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7.xml" ContentType="application/vnd.openxmlformats-officedocument.drawingml.chart+xml"/>
  <Override PartName="/word/charts/chart8.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id w:val="-1280562051"/>
        <w:docPartObj>
          <w:docPartGallery w:val="Cover Pages"/>
          <w:docPartUnique/>
        </w:docPartObj>
      </w:sdtPr>
      <w:sdtEndPr>
        <w:rPr>
          <w:color w:val="FFFFFF" w:themeColor="background1"/>
        </w:rPr>
      </w:sdtEndPr>
      <w:sdtContent>
        <w:p w14:paraId="4E3F2335" w14:textId="77777777" w:rsidR="002064BE" w:rsidRPr="009E599C" w:rsidRDefault="009E7BC4" w:rsidP="002064BE">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55168" behindDoc="0" locked="0" layoutInCell="1" allowOverlap="1" wp14:anchorId="022EBE6D" wp14:editId="564C0D33">
                    <wp:simplePos x="0" y="0"/>
                    <wp:positionH relativeFrom="page">
                      <wp:posOffset>3374390</wp:posOffset>
                    </wp:positionH>
                    <wp:positionV relativeFrom="page">
                      <wp:posOffset>346710</wp:posOffset>
                    </wp:positionV>
                    <wp:extent cx="3248025" cy="2847975"/>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025" cy="28479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BA03FC" w14:textId="77777777" w:rsidR="0025668C" w:rsidRPr="002213E9" w:rsidRDefault="0025668C" w:rsidP="002064BE">
                                <w:pPr>
                                  <w:spacing w:before="240"/>
                                  <w:jc w:val="center"/>
                                  <w:rPr>
                                    <w:color w:val="FFFFFF" w:themeColor="background1"/>
                                    <w:sz w:val="16"/>
                                  </w:rPr>
                                </w:pPr>
                                <w:r w:rsidRPr="002213E9">
                                  <w:rPr>
                                    <w:noProof/>
                                    <w:sz w:val="16"/>
                                    <w:lang w:val="en-US"/>
                                  </w:rPr>
                                  <w:drawing>
                                    <wp:inline distT="0" distB="0" distL="0" distR="0" wp14:anchorId="6334EEFE" wp14:editId="00C174A6">
                                      <wp:extent cx="2280036" cy="2107095"/>
                                      <wp:effectExtent l="0" t="0" r="6350" b="7620"/>
                                      <wp:docPr id="41" name="Picture 41" descr="C:\Users\silvana.doci\Desktop\cropped-logo-1-1-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ilvana.doci\Desktop\cropped-logo-1-1-m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112607"/>
                                              </a:xfrm>
                                              <a:prstGeom prst="rect">
                                                <a:avLst/>
                                              </a:prstGeom>
                                              <a:noFill/>
                                              <a:ln>
                                                <a:noFill/>
                                              </a:ln>
                                            </pic:spPr>
                                          </pic:pic>
                                        </a:graphicData>
                                      </a:graphic>
                                    </wp:inline>
                                  </w:drawing>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B105C0" id="Rectangle 35" o:spid="_x0000_s1026" style="position:absolute;margin-left:265.7pt;margin-top:27.3pt;width:255.75pt;height:22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" fillcolor="#1f497d [3215]" stroked="f" strokeweight="2pt">
                    <v:path arrowok="t"/>
                    <v:textbox inset="14.4pt,14.4pt,14.4pt,28.8pt">
                      <w:txbxContent>
                        <w:p w:rsidR="0025668C" w:rsidRPr="002213E9" w:rsidRDefault="0025668C" w:rsidP="002064BE">
                          <w:pPr>
                            <w:spacing w:before="240"/>
                            <w:jc w:val="center"/>
                            <w:rPr>
                              <w:color w:val="FFFFFF" w:themeColor="background1"/>
                              <w:sz w:val="16"/>
                            </w:rPr>
                          </w:pPr>
                          <w:r w:rsidRPr="002213E9">
                            <w:rPr>
                              <w:noProof/>
                              <w:sz w:val="16"/>
                              <w:lang w:val="en-US"/>
                            </w:rPr>
                            <w:drawing>
                              <wp:inline distT="0" distB="0" distL="0" distR="0" wp14:anchorId="4E3A3964" wp14:editId="2AB891D6">
                                <wp:extent cx="2280036" cy="2107095"/>
                                <wp:effectExtent l="0" t="0" r="6350" b="7620"/>
                                <wp:docPr id="41" name="Picture 41" descr="C:\Users\silvana.doci\Desktop\cropped-logo-1-1-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ilvana.doci\Desktop\cropped-logo-1-1-mi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112607"/>
                                        </a:xfrm>
                                        <a:prstGeom prst="rect">
                                          <a:avLst/>
                                        </a:prstGeom>
                                        <a:noFill/>
                                        <a:ln>
                                          <a:noFill/>
                                        </a:ln>
                                      </pic:spPr>
                                    </pic:pic>
                                  </a:graphicData>
                                </a:graphic>
                              </wp:inline>
                            </w:drawing>
                          </w:r>
                        </w:p>
                      </w:txbxContent>
                    </v:textbox>
                    <w10:wrap anchorx="page" anchory="page"/>
                  </v:rect>
                </w:pict>
              </mc:Fallback>
            </mc:AlternateContent>
          </w:r>
          <w:r>
            <w:rPr>
              <w:rFonts w:ascii="Times New Roman" w:hAnsi="Times New Roman" w:cs="Times New Roman"/>
              <w:noProof/>
              <w:lang w:val="en-US"/>
            </w:rPr>
            <mc:AlternateContent>
              <mc:Choice Requires="wps">
                <w:drawing>
                  <wp:anchor distT="0" distB="0" distL="114300" distR="114300" simplePos="0" relativeHeight="251654144" behindDoc="0" locked="0" layoutInCell="1" allowOverlap="1" wp14:anchorId="3EA340CF" wp14:editId="17FA2988">
                    <wp:simplePos x="0" y="0"/>
                    <wp:positionH relativeFrom="page">
                      <wp:posOffset>3259455</wp:posOffset>
                    </wp:positionH>
                    <wp:positionV relativeFrom="page">
                      <wp:posOffset>200025</wp:posOffset>
                    </wp:positionV>
                    <wp:extent cx="3442335" cy="7847330"/>
                    <wp:effectExtent l="0" t="0" r="5715" b="12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2335" cy="784733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E606AA" id="Rectangle 36" o:spid="_x0000_s1026" style="position:absolute;margin-left:256.65pt;margin-top:15.75pt;width:271.05pt;height:617.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" fillcolor="white [3212]" strokecolor="#938953 [1614]" strokeweight="1.25pt">
                    <v:path arrowok="t"/>
                    <w10:wrap anchorx="page" anchory="page"/>
                  </v:rect>
                </w:pict>
              </mc:Fallback>
            </mc:AlternateContent>
          </w:r>
          <w:r>
            <w:rPr>
              <w:rFonts w:ascii="Times New Roman" w:hAnsi="Times New Roman" w:cs="Times New Roman"/>
              <w:noProof/>
              <w:lang w:val="en-US"/>
            </w:rPr>
            <mc:AlternateContent>
              <mc:Choice Requires="wps">
                <w:drawing>
                  <wp:anchor distT="0" distB="0" distL="114300" distR="114300" simplePos="0" relativeHeight="251659264" behindDoc="1" locked="0" layoutInCell="1" allowOverlap="1" wp14:anchorId="73180232" wp14:editId="7B19366A">
                    <wp:simplePos x="0" y="0"/>
                    <wp:positionH relativeFrom="page">
                      <wp:posOffset>186055</wp:posOffset>
                    </wp:positionH>
                    <wp:positionV relativeFrom="page">
                      <wp:posOffset>156210</wp:posOffset>
                    </wp:positionV>
                    <wp:extent cx="7381240" cy="9547860"/>
                    <wp:effectExtent l="0" t="0" r="762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1240" cy="954786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A4BE665" w14:textId="77777777" w:rsidR="0025668C" w:rsidRDefault="0025668C" w:rsidP="002064BE">
                                <w:r>
                                  <w:t xml:space="preserve"> </w:t>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774289F" id="Rectangle 34" o:spid="_x0000_s1027" style="position:absolute;margin-left:14.65pt;margin-top:12.3pt;width:581.2pt;height:751.8pt;z-index:-251657216;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" fillcolor="#f1efe6 [2579]" stroked="f" strokeweight="2pt">
                    <v:fill color2="#575131 [963]" rotate="t" focusposition=".5,.5" focussize="" focus="100%" type="gradientRadial"/>
                    <v:path arrowok="t"/>
                    <v:textbox inset="21.6pt,,21.6pt">
                      <w:txbxContent>
                        <w:p w:rsidR="0025668C" w:rsidRDefault="0025668C" w:rsidP="002064BE">
                          <w:r>
                            <w:t xml:space="preserve"> </w:t>
                          </w:r>
                        </w:p>
                      </w:txbxContent>
                    </v:textbox>
                    <w10:wrap anchorx="page" anchory="page"/>
                  </v:rect>
                </w:pict>
              </mc:Fallback>
            </mc:AlternateContent>
          </w:r>
        </w:p>
        <w:p w14:paraId="67367CEC" w14:textId="77777777" w:rsidR="002064BE" w:rsidRPr="009E599C" w:rsidRDefault="009E7BC4" w:rsidP="002064BE">
          <w:pPr>
            <w:rPr>
              <w:rFonts w:ascii="Times New Roman" w:hAnsi="Times New Roman" w:cs="Times New Roman"/>
              <w:color w:val="FFFFFF" w:themeColor="background1"/>
            </w:rPr>
          </w:pPr>
          <w:r>
            <w:rPr>
              <w:rFonts w:ascii="Times New Roman" w:hAnsi="Times New Roman" w:cs="Times New Roman"/>
              <w:noProof/>
              <w:lang w:val="en-US"/>
            </w:rPr>
            <mc:AlternateContent>
              <mc:Choice Requires="wps">
                <w:drawing>
                  <wp:anchor distT="0" distB="0" distL="114300" distR="114300" simplePos="0" relativeHeight="251658240" behindDoc="0" locked="0" layoutInCell="1" allowOverlap="1" wp14:anchorId="11498343" wp14:editId="4C3D5377">
                    <wp:simplePos x="0" y="0"/>
                    <wp:positionH relativeFrom="page">
                      <wp:posOffset>3321685</wp:posOffset>
                    </wp:positionH>
                    <wp:positionV relativeFrom="page">
                      <wp:posOffset>7891780</wp:posOffset>
                    </wp:positionV>
                    <wp:extent cx="2872740" cy="118745"/>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2740"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804E698" id="Rectangle 37" o:spid="_x0000_s1026" style="position:absolute;margin-left:261.55pt;margin-top:621.4pt;width:226.2pt;height:9.35pt;z-index:251658240;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" fillcolor="#4f81bd [3204]" stroked="f" strokeweight="2pt">
                    <v:path arrowok="t"/>
                    <w10:wrap anchorx="page" anchory="page"/>
                  </v:rect>
                </w:pict>
              </mc:Fallback>
            </mc:AlternateContent>
          </w:r>
          <w:r>
            <w:rPr>
              <w:rFonts w:ascii="Times New Roman" w:hAnsi="Times New Roman" w:cs="Times New Roman"/>
              <w:noProof/>
              <w:lang w:val="en-US"/>
            </w:rPr>
            <mc:AlternateContent>
              <mc:Choice Requires="wps">
                <w:drawing>
                  <wp:anchor distT="4294967295" distB="4294967295" distL="114300" distR="114300" simplePos="0" relativeHeight="251663360" behindDoc="0" locked="0" layoutInCell="1" allowOverlap="1" wp14:anchorId="67B7E9EC" wp14:editId="1595FFF1">
                    <wp:simplePos x="0" y="0"/>
                    <wp:positionH relativeFrom="column">
                      <wp:posOffset>2811145</wp:posOffset>
                    </wp:positionH>
                    <wp:positionV relativeFrom="paragraph">
                      <wp:posOffset>3414394</wp:posOffset>
                    </wp:positionV>
                    <wp:extent cx="3038475" cy="0"/>
                    <wp:effectExtent l="38100" t="38100" r="47625" b="76200"/>
                    <wp:wrapNone/>
                    <wp:docPr id="2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384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2A8DC" id="Straight Connector 1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1.35pt,268.85pt" to="460.6pt,2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" strokecolor="#4f81bd [3204]" strokeweight="2pt">
                    <v:shadow on="t" color="black" opacity="24903f" origin=",.5" offset="0,.55556mm"/>
                    <o:lock v:ext="edit" shapetype="f"/>
                  </v:line>
                </w:pict>
              </mc:Fallback>
            </mc:AlternateContent>
          </w:r>
          <w:r>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36888809" wp14:editId="2ED77FB0">
                    <wp:simplePos x="0" y="0"/>
                    <wp:positionH relativeFrom="page">
                      <wp:posOffset>3276600</wp:posOffset>
                    </wp:positionH>
                    <wp:positionV relativeFrom="page">
                      <wp:posOffset>7694295</wp:posOffset>
                    </wp:positionV>
                    <wp:extent cx="2795270" cy="252095"/>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270" cy="252095"/>
                            </a:xfrm>
                            <a:prstGeom prst="rect">
                              <a:avLst/>
                            </a:prstGeom>
                            <a:noFill/>
                            <a:ln w="6350">
                              <a:noFill/>
                            </a:ln>
                            <a:effectLst/>
                          </wps:spPr>
                          <wps:txbx>
                            <w:txbxContent>
                              <w:p w14:paraId="5EAA13AC" w14:textId="77777777" w:rsidR="0025668C" w:rsidRDefault="00F54693" w:rsidP="00FA0CE0">
                                <w:pPr>
                                  <w:pStyle w:val="NoSpacing"/>
                                  <w:jc w:val="center"/>
                                  <w:rPr>
                                    <w:noProof/>
                                    <w:color w:val="1F497D" w:themeColor="text2"/>
                                  </w:rPr>
                                </w:pPr>
                                <w:sdt>
                                  <w:sdtPr>
                                    <w:rPr>
                                      <w:rFonts w:ascii="Times New Roman" w:hAnsi="Times New Roman" w:cs="Times New Roman"/>
                                      <w:b/>
                                      <w:noProof/>
                                      <w:color w:val="FFFFFF" w:themeColor="background1"/>
                                      <w:sz w:val="6"/>
                                    </w:rPr>
                                    <w:alias w:val="Author"/>
                                    <w:id w:val="-1193917233"/>
                                    <w:dataBinding w:prefixMappings="xmlns:ns0='http://schemas.openxmlformats.org/package/2006/metadata/core-properties' xmlns:ns1='http://purl.org/dc/elements/1.1/'" w:xpath="/ns0:coreProperties[1]/ns1:creator[1]" w:storeItemID="{6C3C8BC8-F283-45AE-878A-BAB7291924A1}"/>
                                    <w:text/>
                                  </w:sdtPr>
                                  <w:sdtEndPr/>
                                  <w:sdtContent>
                                    <w:r w:rsidR="0025668C">
                                      <w:rPr>
                                        <w:rFonts w:ascii="Times New Roman" w:hAnsi="Times New Roman" w:cs="Times New Roman"/>
                                        <w:b/>
                                        <w:noProof/>
                                        <w:color w:val="FFFFFF" w:themeColor="background1"/>
                                        <w:sz w:val="6"/>
                                      </w:rPr>
                                      <w:t>S.D</w:t>
                                    </w:r>
                                  </w:sdtContent>
                                </w:sdt>
                                <w:r w:rsidR="0025668C">
                                  <w:rPr>
                                    <w:rFonts w:ascii="Times New Roman" w:hAnsi="Times New Roman" w:cs="Times New Roman"/>
                                    <w:b/>
                                    <w:noProof/>
                                    <w:color w:val="1D1B11" w:themeColor="background2" w:themeShade="1A"/>
                                  </w:rPr>
                                  <w:t>Ministria e Financave dhe Ekonomisë</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13EB0122" id="_x0000_t202" coordsize="21600,21600" o:spt="202" path="m,l,21600r21600,l21600,xe">
                    <v:stroke joinstyle="miter"/>
                    <v:path gradientshapeok="t" o:connecttype="rect"/>
                  </v:shapetype>
                  <v:shape id="Text Box 33" o:spid="_x0000_s1028" type="#_x0000_t202" style="position:absolute;margin-left:258pt;margin-top:605.85pt;width:220.1pt;height:19.85pt;z-index:25166028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" filled="f" stroked="f" strokeweight=".5pt">
                    <v:path arrowok="t"/>
                    <v:textbox style="mso-fit-shape-to-text:t">
                      <w:txbxContent>
                        <w:p w:rsidR="0025668C" w:rsidRDefault="0025668C" w:rsidP="00FA0CE0">
                          <w:pPr>
                            <w:pStyle w:val="NoSpacing"/>
                            <w:jc w:val="center"/>
                            <w:rPr>
                              <w:noProof/>
                              <w:color w:val="1F497D" w:themeColor="text2"/>
                            </w:rPr>
                          </w:pPr>
                          <w:sdt>
                            <w:sdtPr>
                              <w:rPr>
                                <w:rFonts w:ascii="Times New Roman" w:hAnsi="Times New Roman" w:cs="Times New Roman"/>
                                <w:b/>
                                <w:noProof/>
                                <w:color w:val="FFFFFF" w:themeColor="background1"/>
                                <w:sz w:val="6"/>
                              </w:rPr>
                              <w:alias w:val="Author"/>
                              <w:id w:val="-1193917233"/>
                              <w:dataBinding w:prefixMappings="xmlns:ns0='http://schemas.openxmlformats.org/package/2006/metadata/core-properties' xmlns:ns1='http://purl.org/dc/elements/1.1/'" w:xpath="/ns0:coreProperties[1]/ns1:creator[1]" w:storeItemID="{6C3C8BC8-F283-45AE-878A-BAB7291924A1}"/>
                              <w:text/>
                            </w:sdtPr>
                            <w:sdtContent>
                              <w:r>
                                <w:rPr>
                                  <w:rFonts w:ascii="Times New Roman" w:hAnsi="Times New Roman" w:cs="Times New Roman"/>
                                  <w:b/>
                                  <w:noProof/>
                                  <w:color w:val="FFFFFF" w:themeColor="background1"/>
                                  <w:sz w:val="6"/>
                                </w:rPr>
                                <w:t>S.D</w:t>
                              </w:r>
                            </w:sdtContent>
                          </w:sdt>
                          <w:r>
                            <w:rPr>
                              <w:rFonts w:ascii="Times New Roman" w:hAnsi="Times New Roman" w:cs="Times New Roman"/>
                              <w:b/>
                              <w:noProof/>
                              <w:color w:val="1D1B11" w:themeColor="background2" w:themeShade="1A"/>
                            </w:rPr>
                            <w:t>Ministria e Financave dhe Ekonomisë</w:t>
                          </w:r>
                        </w:p>
                      </w:txbxContent>
                    </v:textbox>
                    <w10:wrap type="square" anchorx="page" anchory="page"/>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57216" behindDoc="0" locked="0" layoutInCell="1" allowOverlap="1" wp14:anchorId="1C4A422E" wp14:editId="67D99DE0">
                    <wp:simplePos x="0" y="0"/>
                    <wp:positionH relativeFrom="page">
                      <wp:posOffset>3382645</wp:posOffset>
                    </wp:positionH>
                    <wp:positionV relativeFrom="page">
                      <wp:posOffset>3549015</wp:posOffset>
                    </wp:positionV>
                    <wp:extent cx="3248025" cy="2355215"/>
                    <wp:effectExtent l="0" t="0" r="0" b="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025" cy="2355215"/>
                            </a:xfrm>
                            <a:prstGeom prst="rect">
                              <a:avLst/>
                            </a:prstGeom>
                            <a:noFill/>
                            <a:ln w="6350">
                              <a:noFill/>
                            </a:ln>
                            <a:effectLst/>
                          </wps:spPr>
                          <wps:txbx>
                            <w:txbxContent>
                              <w:p w14:paraId="445A4DDC" w14:textId="77777777" w:rsidR="0025668C" w:rsidRPr="00786012" w:rsidRDefault="0025668C" w:rsidP="002064BE">
                                <w:pPr>
                                  <w:jc w:val="center"/>
                                  <w:rPr>
                                    <w:rFonts w:ascii="Times New Roman" w:hAnsi="Times New Roman" w:cs="Times New Roman"/>
                                    <w:b/>
                                    <w:noProof/>
                                    <w:color w:val="4F81BD" w:themeColor="accent1"/>
                                    <w:sz w:val="36"/>
                                    <w:szCs w:val="144"/>
                                  </w:rPr>
                                </w:pPr>
                                <w:r>
                                  <w:rPr>
                                    <w:rFonts w:ascii="Times New Roman" w:hAnsi="Times New Roman" w:cs="Times New Roman"/>
                                    <w:b/>
                                    <w:noProof/>
                                    <w:color w:val="4F81BD" w:themeColor="accent1"/>
                                    <w:sz w:val="36"/>
                                    <w:szCs w:val="144"/>
                                    <w:lang w:val="en-US"/>
                                  </w:rPr>
                                  <w:t>Raporti Vjetor</w:t>
                                </w:r>
                                <w:r w:rsidRPr="00786012">
                                  <w:rPr>
                                    <w:rFonts w:ascii="Times New Roman" w:hAnsi="Times New Roman" w:cs="Times New Roman"/>
                                    <w:b/>
                                    <w:noProof/>
                                    <w:color w:val="4F81BD" w:themeColor="accent1"/>
                                    <w:sz w:val="36"/>
                                    <w:szCs w:val="144"/>
                                    <w:lang w:val="en-US"/>
                                  </w:rPr>
                                  <w:t xml:space="preserve"> i Përmbledhur 2019</w:t>
                                </w:r>
                                <w:r w:rsidRPr="00786012">
                                  <w:rPr>
                                    <w:rFonts w:ascii="Times New Roman" w:hAnsi="Times New Roman" w:cs="Times New Roman"/>
                                    <w:b/>
                                    <w:noProof/>
                                    <w:color w:val="4F81BD" w:themeColor="accent1"/>
                                    <w:sz w:val="36"/>
                                    <w:szCs w:val="144"/>
                                  </w:rPr>
                                  <w:t xml:space="preserve"> </w:t>
                                </w:r>
                              </w:p>
                              <w:p w14:paraId="5769C4EA" w14:textId="77777777" w:rsidR="0025668C" w:rsidRPr="00327B53" w:rsidRDefault="0025668C" w:rsidP="002064BE">
                                <w:pPr>
                                  <w:jc w:val="center"/>
                                  <w:rPr>
                                    <w:rFonts w:ascii="Times New Roman" w:hAnsi="Times New Roman" w:cs="Times New Roman"/>
                                    <w:b/>
                                    <w:i/>
                                    <w:noProof/>
                                    <w:color w:val="4F81BD" w:themeColor="accent1"/>
                                    <w:sz w:val="18"/>
                                    <w:szCs w:val="144"/>
                                  </w:rPr>
                                </w:pPr>
                                <w:r w:rsidRPr="00327B53">
                                  <w:rPr>
                                    <w:rFonts w:ascii="Times New Roman" w:hAnsi="Times New Roman" w:cs="Times New Roman"/>
                                    <w:b/>
                                    <w:i/>
                                    <w:noProof/>
                                    <w:color w:val="4F81BD" w:themeColor="accent1"/>
                                    <w:sz w:val="18"/>
                                    <w:szCs w:val="144"/>
                                  </w:rPr>
                                  <w:t xml:space="preserve">                                 </w:t>
                                </w:r>
                                <w:r>
                                  <w:rPr>
                                    <w:rFonts w:ascii="Times New Roman" w:hAnsi="Times New Roman" w:cs="Times New Roman"/>
                                    <w:b/>
                                    <w:i/>
                                    <w:noProof/>
                                    <w:color w:val="4F81BD" w:themeColor="accent1"/>
                                    <w:sz w:val="18"/>
                                    <w:szCs w:val="144"/>
                                  </w:rPr>
                                  <w:t xml:space="preserve">                    </w:t>
                                </w:r>
                              </w:p>
                              <w:p w14:paraId="0FB4369A" w14:textId="77777777" w:rsidR="0025668C" w:rsidRPr="00327B53" w:rsidRDefault="0025668C" w:rsidP="002064BE">
                                <w:pPr>
                                  <w:jc w:val="center"/>
                                  <w:rPr>
                                    <w:rFonts w:ascii="Times New Roman" w:hAnsi="Times New Roman" w:cs="Times New Roman"/>
                                    <w:b/>
                                    <w:i/>
                                    <w:noProof/>
                                    <w:color w:val="1F497D" w:themeColor="text2"/>
                                    <w:sz w:val="6"/>
                                    <w:szCs w:val="40"/>
                                    <w:lang w:val="en-US"/>
                                  </w:rPr>
                                </w:pPr>
                                <w:r w:rsidRPr="00327B53">
                                  <w:rPr>
                                    <w:rFonts w:ascii="Times New Roman" w:hAnsi="Times New Roman" w:cs="Times New Roman"/>
                                    <w:b/>
                                    <w:i/>
                                    <w:noProof/>
                                    <w:color w:val="1F497D" w:themeColor="text2"/>
                                    <w:sz w:val="6"/>
                                    <w:szCs w:val="40"/>
                                    <w:lang w:val="en-US"/>
                                  </w:rPr>
                                  <w:softHyphen/>
                                </w:r>
                                <w:r w:rsidRPr="00327B53">
                                  <w:rPr>
                                    <w:rFonts w:ascii="Times New Roman" w:hAnsi="Times New Roman" w:cs="Times New Roman"/>
                                    <w:b/>
                                    <w:i/>
                                    <w:noProof/>
                                    <w:color w:val="1F497D" w:themeColor="text2"/>
                                    <w:sz w:val="6"/>
                                    <w:szCs w:val="40"/>
                                    <w:lang w:val="en-US"/>
                                  </w:rPr>
                                  <w:softHyphen/>
                                </w:r>
                              </w:p>
                              <w:p w14:paraId="0F9F7383" w14:textId="77777777" w:rsidR="0025668C" w:rsidRDefault="0025668C" w:rsidP="002064BE">
                                <w:pPr>
                                  <w:jc w:val="center"/>
                                  <w:rPr>
                                    <w:rFonts w:ascii="Times New Roman" w:hAnsi="Times New Roman" w:cs="Times New Roman"/>
                                    <w:b/>
                                    <w:i/>
                                    <w:noProof/>
                                    <w:color w:val="4A442A" w:themeColor="background2" w:themeShade="40"/>
                                    <w:sz w:val="28"/>
                                    <w:szCs w:val="40"/>
                                    <w:lang w:val="en-US"/>
                                  </w:rPr>
                                </w:pPr>
                                <w:r w:rsidRPr="006A445E">
                                  <w:rPr>
                                    <w:rFonts w:ascii="Times New Roman" w:hAnsi="Times New Roman" w:cs="Times New Roman"/>
                                    <w:b/>
                                    <w:i/>
                                    <w:noProof/>
                                    <w:color w:val="4A442A" w:themeColor="background2" w:themeShade="40"/>
                                    <w:sz w:val="28"/>
                                    <w:szCs w:val="40"/>
                                    <w:lang w:val="en-US"/>
                                  </w:rPr>
                                  <w:t>Performanca e Kontratave të  Koncesioneve/Partneritetit Publik Privat</w:t>
                                </w:r>
                              </w:p>
                              <w:p w14:paraId="642105DF" w14:textId="61EB1DDE" w:rsidR="003C3262" w:rsidRPr="003C3262" w:rsidRDefault="003C3262" w:rsidP="002064BE">
                                <w:pPr>
                                  <w:jc w:val="center"/>
                                  <w:rPr>
                                    <w:rFonts w:ascii="Times New Roman" w:hAnsi="Times New Roman" w:cs="Times New Roman"/>
                                    <w:b/>
                                    <w:i/>
                                    <w:noProof/>
                                    <w:color w:val="FF0000"/>
                                    <w:sz w:val="28"/>
                                    <w:szCs w:val="40"/>
                                    <w:lang w:val="en-US"/>
                                  </w:rPr>
                                </w:pPr>
                                <w:bookmarkStart w:id="0" w:name="_GoBack"/>
                                <w:r w:rsidRPr="003C3262">
                                  <w:rPr>
                                    <w:rFonts w:ascii="Times New Roman" w:hAnsi="Times New Roman" w:cs="Times New Roman"/>
                                    <w:b/>
                                    <w:i/>
                                    <w:noProof/>
                                    <w:color w:val="FF0000"/>
                                    <w:sz w:val="28"/>
                                    <w:szCs w:val="40"/>
                                    <w:lang w:val="en-US"/>
                                  </w:rPr>
                                  <w:t>ANEKSI b)/1</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4A422E" id="_x0000_t202" coordsize="21600,21600" o:spt="202" path="m,l,21600r21600,l21600,xe">
                    <v:stroke joinstyle="miter"/>
                    <v:path gradientshapeok="t" o:connecttype="rect"/>
                  </v:shapetype>
                  <v:shape id="Text Box 39" o:spid="_x0000_s1029" type="#_x0000_t202" style="position:absolute;margin-left:266.35pt;margin-top:279.45pt;width:255.75pt;height:18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" filled="f" stroked="f" strokeweight=".5pt">
                    <v:path arrowok="t"/>
                    <v:textbox>
                      <w:txbxContent>
                        <w:p w14:paraId="445A4DDC" w14:textId="77777777" w:rsidR="0025668C" w:rsidRPr="00786012" w:rsidRDefault="0025668C" w:rsidP="002064BE">
                          <w:pPr>
                            <w:jc w:val="center"/>
                            <w:rPr>
                              <w:rFonts w:ascii="Times New Roman" w:hAnsi="Times New Roman" w:cs="Times New Roman"/>
                              <w:b/>
                              <w:noProof/>
                              <w:color w:val="4F81BD" w:themeColor="accent1"/>
                              <w:sz w:val="36"/>
                              <w:szCs w:val="144"/>
                            </w:rPr>
                          </w:pPr>
                          <w:r>
                            <w:rPr>
                              <w:rFonts w:ascii="Times New Roman" w:hAnsi="Times New Roman" w:cs="Times New Roman"/>
                              <w:b/>
                              <w:noProof/>
                              <w:color w:val="4F81BD" w:themeColor="accent1"/>
                              <w:sz w:val="36"/>
                              <w:szCs w:val="144"/>
                              <w:lang w:val="en-US"/>
                            </w:rPr>
                            <w:t>Raporti Vjetor</w:t>
                          </w:r>
                          <w:r w:rsidRPr="00786012">
                            <w:rPr>
                              <w:rFonts w:ascii="Times New Roman" w:hAnsi="Times New Roman" w:cs="Times New Roman"/>
                              <w:b/>
                              <w:noProof/>
                              <w:color w:val="4F81BD" w:themeColor="accent1"/>
                              <w:sz w:val="36"/>
                              <w:szCs w:val="144"/>
                              <w:lang w:val="en-US"/>
                            </w:rPr>
                            <w:t xml:space="preserve"> i Përmbledhur 2019</w:t>
                          </w:r>
                          <w:r w:rsidRPr="00786012">
                            <w:rPr>
                              <w:rFonts w:ascii="Times New Roman" w:hAnsi="Times New Roman" w:cs="Times New Roman"/>
                              <w:b/>
                              <w:noProof/>
                              <w:color w:val="4F81BD" w:themeColor="accent1"/>
                              <w:sz w:val="36"/>
                              <w:szCs w:val="144"/>
                            </w:rPr>
                            <w:t xml:space="preserve"> </w:t>
                          </w:r>
                        </w:p>
                        <w:p w14:paraId="5769C4EA" w14:textId="77777777" w:rsidR="0025668C" w:rsidRPr="00327B53" w:rsidRDefault="0025668C" w:rsidP="002064BE">
                          <w:pPr>
                            <w:jc w:val="center"/>
                            <w:rPr>
                              <w:rFonts w:ascii="Times New Roman" w:hAnsi="Times New Roman" w:cs="Times New Roman"/>
                              <w:b/>
                              <w:i/>
                              <w:noProof/>
                              <w:color w:val="4F81BD" w:themeColor="accent1"/>
                              <w:sz w:val="18"/>
                              <w:szCs w:val="144"/>
                            </w:rPr>
                          </w:pPr>
                          <w:r w:rsidRPr="00327B53">
                            <w:rPr>
                              <w:rFonts w:ascii="Times New Roman" w:hAnsi="Times New Roman" w:cs="Times New Roman"/>
                              <w:b/>
                              <w:i/>
                              <w:noProof/>
                              <w:color w:val="4F81BD" w:themeColor="accent1"/>
                              <w:sz w:val="18"/>
                              <w:szCs w:val="144"/>
                            </w:rPr>
                            <w:t xml:space="preserve">                                 </w:t>
                          </w:r>
                          <w:r>
                            <w:rPr>
                              <w:rFonts w:ascii="Times New Roman" w:hAnsi="Times New Roman" w:cs="Times New Roman"/>
                              <w:b/>
                              <w:i/>
                              <w:noProof/>
                              <w:color w:val="4F81BD" w:themeColor="accent1"/>
                              <w:sz w:val="18"/>
                              <w:szCs w:val="144"/>
                            </w:rPr>
                            <w:t xml:space="preserve">                    </w:t>
                          </w:r>
                        </w:p>
                        <w:p w14:paraId="0FB4369A" w14:textId="77777777" w:rsidR="0025668C" w:rsidRPr="00327B53" w:rsidRDefault="0025668C" w:rsidP="002064BE">
                          <w:pPr>
                            <w:jc w:val="center"/>
                            <w:rPr>
                              <w:rFonts w:ascii="Times New Roman" w:hAnsi="Times New Roman" w:cs="Times New Roman"/>
                              <w:b/>
                              <w:i/>
                              <w:noProof/>
                              <w:color w:val="1F497D" w:themeColor="text2"/>
                              <w:sz w:val="6"/>
                              <w:szCs w:val="40"/>
                              <w:lang w:val="en-US"/>
                            </w:rPr>
                          </w:pPr>
                          <w:r w:rsidRPr="00327B53">
                            <w:rPr>
                              <w:rFonts w:ascii="Times New Roman" w:hAnsi="Times New Roman" w:cs="Times New Roman"/>
                              <w:b/>
                              <w:i/>
                              <w:noProof/>
                              <w:color w:val="1F497D" w:themeColor="text2"/>
                              <w:sz w:val="6"/>
                              <w:szCs w:val="40"/>
                              <w:lang w:val="en-US"/>
                            </w:rPr>
                            <w:softHyphen/>
                          </w:r>
                          <w:r w:rsidRPr="00327B53">
                            <w:rPr>
                              <w:rFonts w:ascii="Times New Roman" w:hAnsi="Times New Roman" w:cs="Times New Roman"/>
                              <w:b/>
                              <w:i/>
                              <w:noProof/>
                              <w:color w:val="1F497D" w:themeColor="text2"/>
                              <w:sz w:val="6"/>
                              <w:szCs w:val="40"/>
                              <w:lang w:val="en-US"/>
                            </w:rPr>
                            <w:softHyphen/>
                          </w:r>
                        </w:p>
                        <w:p w14:paraId="0F9F7383" w14:textId="77777777" w:rsidR="0025668C" w:rsidRDefault="0025668C" w:rsidP="002064BE">
                          <w:pPr>
                            <w:jc w:val="center"/>
                            <w:rPr>
                              <w:rFonts w:ascii="Times New Roman" w:hAnsi="Times New Roman" w:cs="Times New Roman"/>
                              <w:b/>
                              <w:i/>
                              <w:noProof/>
                              <w:color w:val="4A442A" w:themeColor="background2" w:themeShade="40"/>
                              <w:sz w:val="28"/>
                              <w:szCs w:val="40"/>
                              <w:lang w:val="en-US"/>
                            </w:rPr>
                          </w:pPr>
                          <w:r w:rsidRPr="006A445E">
                            <w:rPr>
                              <w:rFonts w:ascii="Times New Roman" w:hAnsi="Times New Roman" w:cs="Times New Roman"/>
                              <w:b/>
                              <w:i/>
                              <w:noProof/>
                              <w:color w:val="4A442A" w:themeColor="background2" w:themeShade="40"/>
                              <w:sz w:val="28"/>
                              <w:szCs w:val="40"/>
                              <w:lang w:val="en-US"/>
                            </w:rPr>
                            <w:t>Performanca e Kontratave të  Koncesioneve/Partneritetit Publik Privat</w:t>
                          </w:r>
                        </w:p>
                        <w:p w14:paraId="642105DF" w14:textId="61EB1DDE" w:rsidR="003C3262" w:rsidRPr="003C3262" w:rsidRDefault="003C3262" w:rsidP="002064BE">
                          <w:pPr>
                            <w:jc w:val="center"/>
                            <w:rPr>
                              <w:rFonts w:ascii="Times New Roman" w:hAnsi="Times New Roman" w:cs="Times New Roman"/>
                              <w:b/>
                              <w:i/>
                              <w:noProof/>
                              <w:color w:val="FF0000"/>
                              <w:sz w:val="28"/>
                              <w:szCs w:val="40"/>
                              <w:lang w:val="en-US"/>
                            </w:rPr>
                          </w:pPr>
                          <w:bookmarkStart w:id="1" w:name="_GoBack"/>
                          <w:r w:rsidRPr="003C3262">
                            <w:rPr>
                              <w:rFonts w:ascii="Times New Roman" w:hAnsi="Times New Roman" w:cs="Times New Roman"/>
                              <w:b/>
                              <w:i/>
                              <w:noProof/>
                              <w:color w:val="FF0000"/>
                              <w:sz w:val="28"/>
                              <w:szCs w:val="40"/>
                              <w:lang w:val="en-US"/>
                            </w:rPr>
                            <w:t>ANEKSI b)/1</w:t>
                          </w:r>
                          <w:bookmarkEnd w:id="1"/>
                        </w:p>
                      </w:txbxContent>
                    </v:textbox>
                    <w10:wrap type="square" anchorx="page" anchory="page"/>
                  </v:shape>
                </w:pict>
              </mc:Fallback>
            </mc:AlternateContent>
          </w:r>
          <w:r w:rsidR="002064BE" w:rsidRPr="009E599C">
            <w:rPr>
              <w:rFonts w:ascii="Times New Roman" w:hAnsi="Times New Roman" w:cs="Times New Roman"/>
              <w:color w:val="FFFFFF" w:themeColor="background1"/>
            </w:rPr>
            <w:br w:type="page"/>
          </w:r>
        </w:p>
      </w:sdtContent>
    </w:sdt>
    <w:p w14:paraId="30634D51" w14:textId="77777777" w:rsidR="002064BE" w:rsidRPr="009E599C" w:rsidRDefault="002064BE" w:rsidP="002064BE">
      <w:pPr>
        <w:spacing w:line="240" w:lineRule="auto"/>
        <w:jc w:val="both"/>
        <w:rPr>
          <w:rFonts w:ascii="Times New Roman" w:hAnsi="Times New Roman" w:cs="Times New Roman"/>
        </w:rPr>
      </w:pPr>
      <w:r w:rsidRPr="009E599C">
        <w:rPr>
          <w:rFonts w:ascii="Times New Roman" w:hAnsi="Times New Roman" w:cs="Times New Roman"/>
        </w:rPr>
        <w:lastRenderedPageBreak/>
        <w:softHyphen/>
      </w:r>
      <w:r w:rsidRPr="009E599C">
        <w:rPr>
          <w:rFonts w:ascii="Times New Roman" w:hAnsi="Times New Roman" w:cs="Times New Roman"/>
        </w:rPr>
        <w:softHyphen/>
      </w:r>
    </w:p>
    <w:p w14:paraId="6C99DF42" w14:textId="77777777" w:rsidR="002064BE" w:rsidRPr="009E599C" w:rsidRDefault="002064BE" w:rsidP="002064BE">
      <w:pPr>
        <w:spacing w:line="240" w:lineRule="auto"/>
        <w:jc w:val="both"/>
        <w:rPr>
          <w:rFonts w:ascii="Times New Roman" w:hAnsi="Times New Roman" w:cs="Times New Roman"/>
        </w:rPr>
      </w:pPr>
    </w:p>
    <w:p w14:paraId="6616E813" w14:textId="77777777" w:rsidR="002064BE" w:rsidRPr="009E599C" w:rsidRDefault="002064BE" w:rsidP="002064BE">
      <w:pPr>
        <w:tabs>
          <w:tab w:val="left" w:pos="7500"/>
        </w:tabs>
        <w:spacing w:line="240" w:lineRule="auto"/>
        <w:jc w:val="both"/>
        <w:rPr>
          <w:rFonts w:ascii="Times New Roman" w:hAnsi="Times New Roman" w:cs="Times New Roman"/>
        </w:rPr>
      </w:pPr>
      <w:r w:rsidRPr="009E599C">
        <w:rPr>
          <w:rFonts w:ascii="Times New Roman" w:hAnsi="Times New Roman" w:cs="Times New Roman"/>
        </w:rPr>
        <w:tab/>
      </w:r>
    </w:p>
    <w:p w14:paraId="17D21FE9" w14:textId="77777777" w:rsidR="002064BE" w:rsidRPr="009E599C" w:rsidRDefault="002064BE" w:rsidP="002064BE">
      <w:pPr>
        <w:spacing w:line="240" w:lineRule="auto"/>
        <w:jc w:val="both"/>
        <w:rPr>
          <w:rFonts w:ascii="Times New Roman" w:hAnsi="Times New Roman" w:cs="Times New Roman"/>
        </w:rPr>
      </w:pPr>
    </w:p>
    <w:p w14:paraId="731EDC8C" w14:textId="77777777" w:rsidR="002064BE" w:rsidRDefault="002064BE" w:rsidP="002064BE">
      <w:pPr>
        <w:spacing w:line="240" w:lineRule="auto"/>
        <w:jc w:val="both"/>
        <w:rPr>
          <w:rFonts w:ascii="Times New Roman" w:hAnsi="Times New Roman" w:cs="Times New Roman"/>
        </w:rPr>
      </w:pPr>
    </w:p>
    <w:p w14:paraId="01FFDBD4" w14:textId="77777777" w:rsidR="00014E22" w:rsidRDefault="00014E22" w:rsidP="002064BE">
      <w:pPr>
        <w:spacing w:line="240" w:lineRule="auto"/>
        <w:jc w:val="both"/>
        <w:rPr>
          <w:rFonts w:ascii="Times New Roman" w:hAnsi="Times New Roman" w:cs="Times New Roman"/>
        </w:rPr>
      </w:pPr>
    </w:p>
    <w:p w14:paraId="4FA0F5F5" w14:textId="77777777" w:rsidR="00014E22" w:rsidRPr="009E599C" w:rsidRDefault="00014E22" w:rsidP="002064BE">
      <w:pPr>
        <w:spacing w:line="240" w:lineRule="auto"/>
        <w:jc w:val="both"/>
        <w:rPr>
          <w:rFonts w:ascii="Times New Roman" w:hAnsi="Times New Roman" w:cs="Times New Roman"/>
        </w:rPr>
      </w:pPr>
    </w:p>
    <w:p w14:paraId="6D089CB5" w14:textId="77777777" w:rsidR="002064BE" w:rsidRPr="009E599C" w:rsidRDefault="002064BE" w:rsidP="002064BE">
      <w:pPr>
        <w:spacing w:line="240" w:lineRule="auto"/>
        <w:jc w:val="both"/>
        <w:rPr>
          <w:rFonts w:ascii="Times New Roman" w:hAnsi="Times New Roman" w:cs="Times New Roman"/>
        </w:rPr>
      </w:pPr>
    </w:p>
    <w:p w14:paraId="7E70C163" w14:textId="77777777" w:rsidR="002064BE" w:rsidRPr="009E599C" w:rsidRDefault="009E7BC4" w:rsidP="002064BE">
      <w:pPr>
        <w:spacing w:line="240" w:lineRule="auto"/>
        <w:jc w:val="both"/>
        <w:rPr>
          <w:rFonts w:ascii="Times New Roman" w:hAnsi="Times New Roman" w:cs="Times New Roman"/>
        </w:rPr>
      </w:pPr>
      <w:r>
        <w:rPr>
          <w:rFonts w:ascii="Times New Roman" w:hAnsi="Times New Roman" w:cs="Times New Roman"/>
          <w:noProof/>
          <w:lang w:val="en-US"/>
        </w:rPr>
        <mc:AlternateContent>
          <mc:Choice Requires="wps">
            <w:drawing>
              <wp:anchor distT="4294967295" distB="4294967295" distL="114300" distR="114300" simplePos="0" relativeHeight="251661312" behindDoc="0" locked="0" layoutInCell="1" allowOverlap="1" wp14:anchorId="228A78F0" wp14:editId="354E4B81">
                <wp:simplePos x="0" y="0"/>
                <wp:positionH relativeFrom="column">
                  <wp:posOffset>0</wp:posOffset>
                </wp:positionH>
                <wp:positionV relativeFrom="paragraph">
                  <wp:posOffset>250189</wp:posOffset>
                </wp:positionV>
                <wp:extent cx="6448425" cy="0"/>
                <wp:effectExtent l="0" t="0" r="9525" b="0"/>
                <wp:wrapNone/>
                <wp:docPr id="20"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8425" cy="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7E829F" id="Straight Connector 1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9.7pt" to="507.7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" strokecolor="#938953 [1614]" strokeweight="1.5pt">
                <o:lock v:ext="edit" shapetype="f"/>
              </v:line>
            </w:pict>
          </mc:Fallback>
        </mc:AlternateContent>
      </w:r>
    </w:p>
    <w:p w14:paraId="46B7FA0F" w14:textId="77777777" w:rsidR="00493D85" w:rsidRPr="009E599C" w:rsidRDefault="00493D85" w:rsidP="002064BE">
      <w:pPr>
        <w:spacing w:line="240" w:lineRule="auto"/>
        <w:jc w:val="both"/>
        <w:rPr>
          <w:rFonts w:ascii="Times New Roman" w:hAnsi="Times New Roman" w:cs="Times New Roman"/>
        </w:rPr>
      </w:pPr>
    </w:p>
    <w:p w14:paraId="1B00FE79" w14:textId="77777777" w:rsidR="002064BE" w:rsidRPr="009E599C" w:rsidRDefault="00C47151" w:rsidP="00CB16F4">
      <w:pPr>
        <w:jc w:val="both"/>
        <w:rPr>
          <w:rFonts w:ascii="Times New Roman" w:hAnsi="Times New Roman" w:cs="Times New Roman"/>
        </w:rPr>
      </w:pPr>
      <w:r w:rsidRPr="009E599C">
        <w:rPr>
          <w:rFonts w:ascii="Times New Roman" w:hAnsi="Times New Roman" w:cs="Times New Roman"/>
        </w:rPr>
        <w:t xml:space="preserve">Ky </w:t>
      </w:r>
      <w:r w:rsidR="002064BE" w:rsidRPr="009E599C">
        <w:rPr>
          <w:rFonts w:ascii="Times New Roman" w:hAnsi="Times New Roman" w:cs="Times New Roman"/>
        </w:rPr>
        <w:t>raport është dokument i Ministrisë së Financave dhe E</w:t>
      </w:r>
      <w:r w:rsidR="00806E23" w:rsidRPr="009E599C">
        <w:rPr>
          <w:rFonts w:ascii="Times New Roman" w:hAnsi="Times New Roman" w:cs="Times New Roman"/>
        </w:rPr>
        <w:t xml:space="preserve">konomisë që përfshin mbledhjen </w:t>
      </w:r>
      <w:r w:rsidR="002064BE" w:rsidRPr="009E599C">
        <w:rPr>
          <w:rFonts w:ascii="Times New Roman" w:hAnsi="Times New Roman" w:cs="Times New Roman"/>
        </w:rPr>
        <w:t>dhe raportimin e ecurisë dhe</w:t>
      </w:r>
      <w:r w:rsidR="00806E23" w:rsidRPr="009E599C">
        <w:rPr>
          <w:rFonts w:ascii="Times New Roman" w:hAnsi="Times New Roman" w:cs="Times New Roman"/>
        </w:rPr>
        <w:t xml:space="preserve"> performancës financiare dhe jo</w:t>
      </w:r>
      <w:r w:rsidR="002064BE" w:rsidRPr="009E599C">
        <w:rPr>
          <w:rFonts w:ascii="Times New Roman" w:hAnsi="Times New Roman" w:cs="Times New Roman"/>
        </w:rPr>
        <w:t>financiare të Kontratave të Koncesionit/PPP në Republikën e Shqipërisë</w:t>
      </w:r>
      <w:r w:rsidR="00806E23" w:rsidRPr="009E599C">
        <w:rPr>
          <w:rFonts w:ascii="Times New Roman" w:hAnsi="Times New Roman" w:cs="Times New Roman"/>
        </w:rPr>
        <w:t xml:space="preserve"> t</w:t>
      </w:r>
      <w:r w:rsidR="00AB446D" w:rsidRPr="009E599C">
        <w:rPr>
          <w:rFonts w:ascii="Times New Roman" w:hAnsi="Times New Roman" w:cs="Times New Roman"/>
        </w:rPr>
        <w:t>ë</w:t>
      </w:r>
      <w:r w:rsidR="00806E23" w:rsidRPr="009E599C">
        <w:rPr>
          <w:rFonts w:ascii="Times New Roman" w:hAnsi="Times New Roman" w:cs="Times New Roman"/>
        </w:rPr>
        <w:t xml:space="preserve"> publikuara n</w:t>
      </w:r>
      <w:r w:rsidR="00AB446D" w:rsidRPr="009E599C">
        <w:rPr>
          <w:rFonts w:ascii="Times New Roman" w:hAnsi="Times New Roman" w:cs="Times New Roman"/>
        </w:rPr>
        <w:t>ë</w:t>
      </w:r>
      <w:r w:rsidR="00806E23" w:rsidRPr="009E599C">
        <w:rPr>
          <w:rFonts w:ascii="Times New Roman" w:hAnsi="Times New Roman" w:cs="Times New Roman"/>
        </w:rPr>
        <w:t xml:space="preserve"> Regjistrin e Koncesionit/ Partne</w:t>
      </w:r>
      <w:r w:rsidR="00216947">
        <w:rPr>
          <w:rFonts w:ascii="Times New Roman" w:hAnsi="Times New Roman" w:cs="Times New Roman"/>
        </w:rPr>
        <w:t>ritetit Publik Privat për vitin 2019.</w:t>
      </w:r>
    </w:p>
    <w:p w14:paraId="102F2673" w14:textId="77777777" w:rsidR="00014E22" w:rsidRDefault="00216947" w:rsidP="00CB16F4">
      <w:pPr>
        <w:jc w:val="both"/>
        <w:rPr>
          <w:rFonts w:ascii="Times New Roman" w:hAnsi="Times New Roman" w:cs="Times New Roman"/>
          <w:i/>
        </w:rPr>
      </w:pPr>
      <w:r>
        <w:rPr>
          <w:rFonts w:ascii="Times New Roman" w:hAnsi="Times New Roman" w:cs="Times New Roman"/>
          <w:i/>
        </w:rPr>
        <w:t>Maj, 2020</w:t>
      </w:r>
    </w:p>
    <w:p w14:paraId="7BE2CFFB" w14:textId="77777777" w:rsidR="002064BE" w:rsidRPr="00014E22" w:rsidRDefault="002064BE" w:rsidP="00014E22">
      <w:pPr>
        <w:spacing w:line="240" w:lineRule="auto"/>
        <w:jc w:val="both"/>
        <w:rPr>
          <w:rFonts w:ascii="Times New Roman" w:hAnsi="Times New Roman" w:cs="Times New Roman"/>
          <w:i/>
        </w:rPr>
      </w:pPr>
      <w:r w:rsidRPr="009E599C">
        <w:rPr>
          <w:rFonts w:ascii="Times New Roman" w:hAnsi="Times New Roman" w:cs="Times New Roman"/>
        </w:rPr>
        <w:t>Ministria e Financave dhe Ekonomisë</w:t>
      </w:r>
    </w:p>
    <w:p w14:paraId="4751D7F4" w14:textId="77777777" w:rsidR="002064BE" w:rsidRPr="009E599C" w:rsidRDefault="002064BE" w:rsidP="002064BE">
      <w:pPr>
        <w:spacing w:after="0" w:line="240" w:lineRule="auto"/>
        <w:jc w:val="both"/>
        <w:rPr>
          <w:rFonts w:ascii="Times New Roman" w:hAnsi="Times New Roman" w:cs="Times New Roman"/>
          <w:i/>
        </w:rPr>
      </w:pPr>
      <w:r w:rsidRPr="009E599C">
        <w:rPr>
          <w:rFonts w:ascii="Times New Roman" w:hAnsi="Times New Roman" w:cs="Times New Roman"/>
          <w:i/>
        </w:rPr>
        <w:t>Bulevardi “Dëshmorët e Kombit”, Nr.3, Tiranë, 1000, Shqipëri</w:t>
      </w:r>
    </w:p>
    <w:p w14:paraId="29D68A94" w14:textId="77777777" w:rsidR="002064BE" w:rsidRPr="009E599C" w:rsidRDefault="002064BE" w:rsidP="002064BE">
      <w:pPr>
        <w:spacing w:after="0" w:line="240" w:lineRule="auto"/>
        <w:jc w:val="both"/>
        <w:rPr>
          <w:rFonts w:ascii="Times New Roman" w:hAnsi="Times New Roman" w:cs="Times New Roman"/>
          <w:i/>
        </w:rPr>
      </w:pPr>
    </w:p>
    <w:p w14:paraId="268F0890" w14:textId="77777777" w:rsidR="002064BE" w:rsidRPr="009E599C" w:rsidRDefault="009E7BC4" w:rsidP="002064BE">
      <w:pPr>
        <w:spacing w:after="0" w:line="240" w:lineRule="auto"/>
        <w:jc w:val="both"/>
        <w:rPr>
          <w:rFonts w:ascii="Times New Roman" w:hAnsi="Times New Roman" w:cs="Times New Roman"/>
          <w:i/>
        </w:rPr>
      </w:pPr>
      <w:r>
        <w:rPr>
          <w:rFonts w:ascii="Times New Roman" w:hAnsi="Times New Roman" w:cs="Times New Roman"/>
          <w:noProof/>
          <w:lang w:val="en-US"/>
        </w:rPr>
        <mc:AlternateContent>
          <mc:Choice Requires="wps">
            <w:drawing>
              <wp:anchor distT="4294967295" distB="4294967295" distL="114300" distR="114300" simplePos="0" relativeHeight="251662336" behindDoc="0" locked="0" layoutInCell="1" allowOverlap="1" wp14:anchorId="17B3762C" wp14:editId="5AC93573">
                <wp:simplePos x="0" y="0"/>
                <wp:positionH relativeFrom="column">
                  <wp:posOffset>0</wp:posOffset>
                </wp:positionH>
                <wp:positionV relativeFrom="paragraph">
                  <wp:posOffset>151764</wp:posOffset>
                </wp:positionV>
                <wp:extent cx="6448425" cy="0"/>
                <wp:effectExtent l="0" t="0" r="9525" b="0"/>
                <wp:wrapNone/>
                <wp:docPr id="1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8425" cy="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D0408DF" id="Straight Connector 1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5pt" to="507.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" strokecolor="#938953 [1614]" strokeweight="1.5pt">
                <o:lock v:ext="edit" shapetype="f"/>
              </v:line>
            </w:pict>
          </mc:Fallback>
        </mc:AlternateContent>
      </w:r>
    </w:p>
    <w:p w14:paraId="58484A03" w14:textId="77777777" w:rsidR="002064BE" w:rsidRPr="009E599C" w:rsidRDefault="002064BE" w:rsidP="002064BE">
      <w:pPr>
        <w:rPr>
          <w:rFonts w:ascii="Times New Roman" w:hAnsi="Times New Roman" w:cs="Times New Roman"/>
          <w:b/>
        </w:rPr>
      </w:pPr>
    </w:p>
    <w:p w14:paraId="684C3CCA" w14:textId="77777777" w:rsidR="002064BE" w:rsidRPr="009E599C" w:rsidRDefault="002064BE" w:rsidP="002064BE">
      <w:pPr>
        <w:rPr>
          <w:rFonts w:ascii="Times New Roman" w:hAnsi="Times New Roman" w:cs="Times New Roman"/>
          <w:b/>
        </w:rPr>
      </w:pPr>
    </w:p>
    <w:p w14:paraId="4FC4FA35" w14:textId="77777777" w:rsidR="002064BE" w:rsidRPr="009E599C" w:rsidRDefault="002064BE" w:rsidP="002064BE">
      <w:pPr>
        <w:rPr>
          <w:rFonts w:ascii="Times New Roman" w:hAnsi="Times New Roman" w:cs="Times New Roman"/>
          <w:b/>
        </w:rPr>
      </w:pPr>
    </w:p>
    <w:p w14:paraId="52BFA183" w14:textId="77777777" w:rsidR="002064BE" w:rsidRPr="009E599C" w:rsidRDefault="002064BE" w:rsidP="002064BE">
      <w:pPr>
        <w:rPr>
          <w:rFonts w:ascii="Times New Roman" w:hAnsi="Times New Roman" w:cs="Times New Roman"/>
          <w:b/>
        </w:rPr>
      </w:pPr>
    </w:p>
    <w:p w14:paraId="1CA40BC3" w14:textId="77777777" w:rsidR="002064BE" w:rsidRDefault="002064BE" w:rsidP="002064BE">
      <w:pPr>
        <w:rPr>
          <w:rFonts w:ascii="Times New Roman" w:hAnsi="Times New Roman" w:cs="Times New Roman"/>
          <w:b/>
        </w:rPr>
      </w:pPr>
    </w:p>
    <w:p w14:paraId="5C640444" w14:textId="77777777" w:rsidR="00014E22" w:rsidRDefault="00014E22" w:rsidP="002064BE">
      <w:pPr>
        <w:rPr>
          <w:rFonts w:ascii="Times New Roman" w:hAnsi="Times New Roman" w:cs="Times New Roman"/>
          <w:b/>
        </w:rPr>
      </w:pPr>
    </w:p>
    <w:p w14:paraId="04048909" w14:textId="77777777" w:rsidR="00014E22" w:rsidRDefault="00014E22" w:rsidP="002064BE">
      <w:pPr>
        <w:rPr>
          <w:rFonts w:ascii="Times New Roman" w:hAnsi="Times New Roman" w:cs="Times New Roman"/>
          <w:b/>
        </w:rPr>
      </w:pPr>
    </w:p>
    <w:p w14:paraId="3D09DA10" w14:textId="77777777" w:rsidR="00014E22" w:rsidRDefault="00014E22" w:rsidP="002064BE">
      <w:pPr>
        <w:rPr>
          <w:rFonts w:ascii="Times New Roman" w:hAnsi="Times New Roman" w:cs="Times New Roman"/>
          <w:b/>
        </w:rPr>
      </w:pPr>
    </w:p>
    <w:p w14:paraId="3DFF6FB4" w14:textId="77777777" w:rsidR="00014E22" w:rsidRDefault="00014E22" w:rsidP="002064BE">
      <w:pPr>
        <w:rPr>
          <w:rFonts w:ascii="Times New Roman" w:hAnsi="Times New Roman" w:cs="Times New Roman"/>
          <w:b/>
        </w:rPr>
      </w:pPr>
    </w:p>
    <w:p w14:paraId="0B6D28B5" w14:textId="77777777" w:rsidR="00014E22" w:rsidRDefault="00014E22" w:rsidP="002064BE">
      <w:pPr>
        <w:rPr>
          <w:rFonts w:ascii="Times New Roman" w:hAnsi="Times New Roman" w:cs="Times New Roman"/>
          <w:b/>
        </w:rPr>
      </w:pPr>
    </w:p>
    <w:p w14:paraId="75BF52D6" w14:textId="77777777" w:rsidR="002064BE" w:rsidRDefault="002064BE" w:rsidP="002064BE">
      <w:pPr>
        <w:rPr>
          <w:rFonts w:ascii="Times New Roman" w:hAnsi="Times New Roman" w:cs="Times New Roman"/>
          <w:b/>
        </w:rPr>
      </w:pPr>
    </w:p>
    <w:p w14:paraId="47D9C697" w14:textId="77777777" w:rsidR="00130EDE" w:rsidRPr="009E599C" w:rsidRDefault="00130EDE" w:rsidP="002064BE">
      <w:pPr>
        <w:rPr>
          <w:rFonts w:ascii="Times New Roman" w:hAnsi="Times New Roman" w:cs="Times New Roman"/>
          <w:b/>
        </w:rPr>
      </w:pPr>
    </w:p>
    <w:p w14:paraId="08A46999" w14:textId="77777777" w:rsidR="002064BE" w:rsidRPr="009E599C" w:rsidRDefault="002064BE" w:rsidP="002064BE">
      <w:pPr>
        <w:rPr>
          <w:rFonts w:ascii="Times New Roman" w:hAnsi="Times New Roman" w:cs="Times New Roman"/>
          <w:b/>
          <w:color w:val="4F81BD" w:themeColor="accent1"/>
          <w:u w:val="single"/>
        </w:rPr>
      </w:pPr>
      <w:r w:rsidRPr="009E599C">
        <w:rPr>
          <w:rFonts w:ascii="Times New Roman" w:hAnsi="Times New Roman" w:cs="Times New Roman"/>
          <w:b/>
          <w:color w:val="4F81BD" w:themeColor="accent1"/>
          <w:u w:val="single"/>
        </w:rPr>
        <w:lastRenderedPageBreak/>
        <w:t>Tabela e Përmbajtjes</w:t>
      </w:r>
    </w:p>
    <w:sdt>
      <w:sdtPr>
        <w:rPr>
          <w:rFonts w:ascii="Times New Roman" w:eastAsia="MS Mincho" w:hAnsi="Times New Roman" w:cs="Times New Roman"/>
          <w:color w:val="auto"/>
          <w:sz w:val="22"/>
          <w:szCs w:val="22"/>
          <w:lang w:val="sq-AL"/>
        </w:rPr>
        <w:id w:val="-1284875300"/>
        <w:docPartObj>
          <w:docPartGallery w:val="Table of Contents"/>
          <w:docPartUnique/>
        </w:docPartObj>
      </w:sdtPr>
      <w:sdtEndPr>
        <w:rPr>
          <w:b/>
          <w:bCs/>
          <w:noProof/>
        </w:rPr>
      </w:sdtEndPr>
      <w:sdtContent>
        <w:p w14:paraId="2673C4C9" w14:textId="77777777" w:rsidR="00D02118" w:rsidRPr="00216947" w:rsidRDefault="00D02118">
          <w:pPr>
            <w:pStyle w:val="TOCHeading"/>
            <w:rPr>
              <w:rFonts w:ascii="Times New Roman" w:hAnsi="Times New Roman" w:cs="Times New Roman"/>
              <w:sz w:val="12"/>
              <w:szCs w:val="22"/>
            </w:rPr>
          </w:pPr>
        </w:p>
        <w:p w14:paraId="42512152" w14:textId="77777777" w:rsidR="00CF5DB8" w:rsidRDefault="00E54EC8" w:rsidP="00824566">
          <w:pPr>
            <w:pStyle w:val="TOC1"/>
            <w:rPr>
              <w:rFonts w:eastAsiaTheme="minorEastAsia"/>
              <w:lang w:val="en-US"/>
            </w:rPr>
          </w:pPr>
          <w:r w:rsidRPr="009E599C">
            <w:rPr>
              <w:rFonts w:ascii="Times New Roman" w:hAnsi="Times New Roman" w:cs="Times New Roman"/>
            </w:rPr>
            <w:fldChar w:fldCharType="begin"/>
          </w:r>
          <w:r w:rsidR="00D02118" w:rsidRPr="009E599C">
            <w:rPr>
              <w:rFonts w:ascii="Times New Roman" w:hAnsi="Times New Roman" w:cs="Times New Roman"/>
            </w:rPr>
            <w:instrText xml:space="preserve"> TOC \o "1-3" \h \z \u </w:instrText>
          </w:r>
          <w:r w:rsidRPr="009E599C">
            <w:rPr>
              <w:rFonts w:ascii="Times New Roman" w:hAnsi="Times New Roman" w:cs="Times New Roman"/>
            </w:rPr>
            <w:fldChar w:fldCharType="separate"/>
          </w:r>
          <w:hyperlink w:anchor="_Toc37196681" w:history="1">
            <w:r w:rsidR="00CF5DB8" w:rsidRPr="00090AA0">
              <w:rPr>
                <w:rStyle w:val="Hyperlink"/>
                <w:rFonts w:ascii="Times New Roman" w:hAnsi="Times New Roman" w:cs="Times New Roman"/>
                <w:i/>
              </w:rPr>
              <w:t>Lista e Shkurtimeve</w:t>
            </w:r>
            <w:r w:rsidR="00CF5DB8">
              <w:rPr>
                <w:webHidden/>
              </w:rPr>
              <w:tab/>
            </w:r>
            <w:r>
              <w:rPr>
                <w:webHidden/>
              </w:rPr>
              <w:fldChar w:fldCharType="begin"/>
            </w:r>
            <w:r w:rsidR="00CF5DB8">
              <w:rPr>
                <w:webHidden/>
              </w:rPr>
              <w:instrText xml:space="preserve"> PAGEREF _Toc37196681 \h </w:instrText>
            </w:r>
            <w:r>
              <w:rPr>
                <w:webHidden/>
              </w:rPr>
            </w:r>
            <w:r>
              <w:rPr>
                <w:webHidden/>
              </w:rPr>
              <w:fldChar w:fldCharType="separate"/>
            </w:r>
            <w:r w:rsidR="00CF5DB8">
              <w:rPr>
                <w:webHidden/>
              </w:rPr>
              <w:t>4</w:t>
            </w:r>
            <w:r>
              <w:rPr>
                <w:webHidden/>
              </w:rPr>
              <w:fldChar w:fldCharType="end"/>
            </w:r>
          </w:hyperlink>
        </w:p>
        <w:p w14:paraId="3D781983" w14:textId="77777777" w:rsidR="00CF5DB8" w:rsidRDefault="00F54693" w:rsidP="00824566">
          <w:pPr>
            <w:pStyle w:val="TOC1"/>
            <w:rPr>
              <w:rFonts w:eastAsiaTheme="minorEastAsia"/>
              <w:lang w:val="en-US"/>
            </w:rPr>
          </w:pPr>
          <w:hyperlink w:anchor="_Toc37196682" w:history="1">
            <w:r w:rsidR="00CF5DB8" w:rsidRPr="00090AA0">
              <w:rPr>
                <w:rStyle w:val="Hyperlink"/>
                <w:rFonts w:ascii="Times New Roman" w:hAnsi="Times New Roman" w:cs="Times New Roman"/>
                <w:i/>
              </w:rPr>
              <w:t>Shpjegim i termave</w:t>
            </w:r>
            <w:r w:rsidR="00CF5DB8">
              <w:rPr>
                <w:webHidden/>
              </w:rPr>
              <w:tab/>
            </w:r>
            <w:r w:rsidR="00E54EC8">
              <w:rPr>
                <w:webHidden/>
              </w:rPr>
              <w:fldChar w:fldCharType="begin"/>
            </w:r>
            <w:r w:rsidR="00CF5DB8">
              <w:rPr>
                <w:webHidden/>
              </w:rPr>
              <w:instrText xml:space="preserve"> PAGEREF _Toc37196682 \h </w:instrText>
            </w:r>
            <w:r w:rsidR="00E54EC8">
              <w:rPr>
                <w:webHidden/>
              </w:rPr>
            </w:r>
            <w:r w:rsidR="00E54EC8">
              <w:rPr>
                <w:webHidden/>
              </w:rPr>
              <w:fldChar w:fldCharType="separate"/>
            </w:r>
            <w:r w:rsidR="00CF5DB8">
              <w:rPr>
                <w:webHidden/>
              </w:rPr>
              <w:t>5</w:t>
            </w:r>
            <w:r w:rsidR="00E54EC8">
              <w:rPr>
                <w:webHidden/>
              </w:rPr>
              <w:fldChar w:fldCharType="end"/>
            </w:r>
          </w:hyperlink>
        </w:p>
        <w:p w14:paraId="43777E72" w14:textId="77777777" w:rsidR="00CF5DB8" w:rsidRDefault="00F54693" w:rsidP="00824566">
          <w:pPr>
            <w:pStyle w:val="TOC1"/>
            <w:rPr>
              <w:rFonts w:eastAsiaTheme="minorEastAsia"/>
              <w:lang w:val="en-US"/>
            </w:rPr>
          </w:pPr>
          <w:hyperlink w:anchor="_Toc37196683" w:history="1">
            <w:r w:rsidR="00CF5DB8" w:rsidRPr="00090AA0">
              <w:rPr>
                <w:rStyle w:val="Hyperlink"/>
                <w:rFonts w:ascii="Times New Roman" w:hAnsi="Times New Roman" w:cs="Times New Roman"/>
              </w:rPr>
              <w:t>Përmbledhje</w:t>
            </w:r>
            <w:r w:rsidR="00CF5DB8">
              <w:rPr>
                <w:webHidden/>
              </w:rPr>
              <w:tab/>
            </w:r>
            <w:r w:rsidR="00E54EC8">
              <w:rPr>
                <w:webHidden/>
              </w:rPr>
              <w:fldChar w:fldCharType="begin"/>
            </w:r>
            <w:r w:rsidR="00CF5DB8">
              <w:rPr>
                <w:webHidden/>
              </w:rPr>
              <w:instrText xml:space="preserve"> PAGEREF _Toc37196683 \h </w:instrText>
            </w:r>
            <w:r w:rsidR="00E54EC8">
              <w:rPr>
                <w:webHidden/>
              </w:rPr>
            </w:r>
            <w:r w:rsidR="00E54EC8">
              <w:rPr>
                <w:webHidden/>
              </w:rPr>
              <w:fldChar w:fldCharType="separate"/>
            </w:r>
            <w:r w:rsidR="00CF5DB8">
              <w:rPr>
                <w:webHidden/>
              </w:rPr>
              <w:t>7</w:t>
            </w:r>
            <w:r w:rsidR="00E54EC8">
              <w:rPr>
                <w:webHidden/>
              </w:rPr>
              <w:fldChar w:fldCharType="end"/>
            </w:r>
          </w:hyperlink>
        </w:p>
        <w:p w14:paraId="5A3ABCAB" w14:textId="77777777" w:rsidR="00CF5DB8" w:rsidRDefault="00F54693" w:rsidP="00824566">
          <w:pPr>
            <w:pStyle w:val="TOC1"/>
            <w:rPr>
              <w:rFonts w:eastAsiaTheme="minorEastAsia"/>
              <w:lang w:val="en-US"/>
            </w:rPr>
          </w:pPr>
          <w:hyperlink w:anchor="_Toc37196684" w:history="1">
            <w:r w:rsidR="00CF5DB8" w:rsidRPr="00090AA0">
              <w:rPr>
                <w:rStyle w:val="Hyperlink"/>
                <w:rFonts w:ascii="Times New Roman" w:hAnsi="Times New Roman" w:cs="Times New Roman"/>
              </w:rPr>
              <w:t>1.</w:t>
            </w:r>
            <w:r w:rsidR="00CF5DB8">
              <w:rPr>
                <w:rFonts w:eastAsiaTheme="minorEastAsia"/>
                <w:lang w:val="en-US"/>
              </w:rPr>
              <w:tab/>
            </w:r>
            <w:r w:rsidR="00CF5DB8" w:rsidRPr="00090AA0">
              <w:rPr>
                <w:rStyle w:val="Hyperlink"/>
                <w:rFonts w:ascii="Times New Roman" w:hAnsi="Times New Roman" w:cs="Times New Roman"/>
              </w:rPr>
              <w:t>Hyrje</w:t>
            </w:r>
            <w:r w:rsidR="00CF5DB8">
              <w:rPr>
                <w:webHidden/>
              </w:rPr>
              <w:tab/>
            </w:r>
            <w:r w:rsidR="00E54EC8">
              <w:rPr>
                <w:webHidden/>
              </w:rPr>
              <w:fldChar w:fldCharType="begin"/>
            </w:r>
            <w:r w:rsidR="00CF5DB8">
              <w:rPr>
                <w:webHidden/>
              </w:rPr>
              <w:instrText xml:space="preserve"> PAGEREF _Toc37196684 \h </w:instrText>
            </w:r>
            <w:r w:rsidR="00E54EC8">
              <w:rPr>
                <w:webHidden/>
              </w:rPr>
            </w:r>
            <w:r w:rsidR="00E54EC8">
              <w:rPr>
                <w:webHidden/>
              </w:rPr>
              <w:fldChar w:fldCharType="separate"/>
            </w:r>
            <w:r w:rsidR="00CF5DB8">
              <w:rPr>
                <w:webHidden/>
              </w:rPr>
              <w:t>9</w:t>
            </w:r>
            <w:r w:rsidR="00E54EC8">
              <w:rPr>
                <w:webHidden/>
              </w:rPr>
              <w:fldChar w:fldCharType="end"/>
            </w:r>
          </w:hyperlink>
        </w:p>
        <w:p w14:paraId="1A64E37C" w14:textId="77777777" w:rsidR="00CF5DB8" w:rsidRPr="00CF5DB8" w:rsidRDefault="00F54693">
          <w:pPr>
            <w:pStyle w:val="TOC2"/>
            <w:rPr>
              <w:rFonts w:eastAsiaTheme="minorEastAsia"/>
              <w:noProof/>
              <w:lang w:val="en-US"/>
            </w:rPr>
          </w:pPr>
          <w:hyperlink w:anchor="_Toc37196685" w:history="1">
            <w:r w:rsidR="00CF5DB8" w:rsidRPr="00CF5DB8">
              <w:rPr>
                <w:rStyle w:val="Hyperlink"/>
                <w:rFonts w:ascii="Times New Roman" w:hAnsi="Times New Roman" w:cs="Times New Roman"/>
                <w:noProof/>
              </w:rPr>
              <w:t>1.1.</w:t>
            </w:r>
            <w:r w:rsidR="00CF5DB8" w:rsidRPr="00CF5DB8">
              <w:rPr>
                <w:rFonts w:eastAsiaTheme="minorEastAsia"/>
                <w:noProof/>
                <w:lang w:val="en-US"/>
              </w:rPr>
              <w:tab/>
            </w:r>
            <w:r w:rsidR="00CF5DB8" w:rsidRPr="00CF5DB8">
              <w:rPr>
                <w:rStyle w:val="Hyperlink"/>
                <w:rFonts w:ascii="Times New Roman" w:hAnsi="Times New Roman" w:cs="Times New Roman"/>
                <w:noProof/>
              </w:rPr>
              <w:t>Koncepti i Koncesioneve dhe Partneritetit Publik Privat</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_Toc37196685 \h </w:instrText>
            </w:r>
            <w:r w:rsidR="00E54EC8" w:rsidRPr="00CF5DB8">
              <w:rPr>
                <w:noProof/>
                <w:webHidden/>
              </w:rPr>
            </w:r>
            <w:r w:rsidR="00E54EC8" w:rsidRPr="00CF5DB8">
              <w:rPr>
                <w:noProof/>
                <w:webHidden/>
              </w:rPr>
              <w:fldChar w:fldCharType="separate"/>
            </w:r>
            <w:r w:rsidR="00CF5DB8" w:rsidRPr="00CF5DB8">
              <w:rPr>
                <w:noProof/>
                <w:webHidden/>
              </w:rPr>
              <w:t>10</w:t>
            </w:r>
            <w:r w:rsidR="00E54EC8" w:rsidRPr="00CF5DB8">
              <w:rPr>
                <w:noProof/>
                <w:webHidden/>
              </w:rPr>
              <w:fldChar w:fldCharType="end"/>
            </w:r>
          </w:hyperlink>
        </w:p>
        <w:p w14:paraId="2B77CD16" w14:textId="77777777" w:rsidR="00CF5DB8" w:rsidRPr="00CF5DB8" w:rsidRDefault="00F54693">
          <w:pPr>
            <w:pStyle w:val="TOC2"/>
            <w:rPr>
              <w:rFonts w:eastAsiaTheme="minorEastAsia"/>
              <w:noProof/>
              <w:lang w:val="en-US"/>
            </w:rPr>
          </w:pPr>
          <w:hyperlink w:anchor="_Toc37196686" w:history="1">
            <w:r w:rsidR="00CF5DB8" w:rsidRPr="00CF5DB8">
              <w:rPr>
                <w:rStyle w:val="Hyperlink"/>
                <w:rFonts w:ascii="Times New Roman" w:hAnsi="Times New Roman" w:cs="Times New Roman"/>
                <w:noProof/>
              </w:rPr>
              <w:t>1.2.</w:t>
            </w:r>
            <w:r w:rsidR="00CF5DB8" w:rsidRPr="00CF5DB8">
              <w:rPr>
                <w:rFonts w:eastAsiaTheme="minorEastAsia"/>
                <w:noProof/>
                <w:lang w:val="en-US"/>
              </w:rPr>
              <w:tab/>
            </w:r>
            <w:r w:rsidR="00CF5DB8" w:rsidRPr="00CF5DB8">
              <w:rPr>
                <w:rStyle w:val="Hyperlink"/>
                <w:rFonts w:ascii="Times New Roman" w:hAnsi="Times New Roman" w:cs="Times New Roman"/>
                <w:noProof/>
              </w:rPr>
              <w:t>Kuadri Ligjor i Koncesioneve/PPP në R.Sh</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_Toc37196686 \h </w:instrText>
            </w:r>
            <w:r w:rsidR="00E54EC8" w:rsidRPr="00CF5DB8">
              <w:rPr>
                <w:noProof/>
                <w:webHidden/>
              </w:rPr>
            </w:r>
            <w:r w:rsidR="00E54EC8" w:rsidRPr="00CF5DB8">
              <w:rPr>
                <w:noProof/>
                <w:webHidden/>
              </w:rPr>
              <w:fldChar w:fldCharType="separate"/>
            </w:r>
            <w:r w:rsidR="00CF5DB8" w:rsidRPr="00CF5DB8">
              <w:rPr>
                <w:noProof/>
                <w:webHidden/>
              </w:rPr>
              <w:t>12</w:t>
            </w:r>
            <w:r w:rsidR="00E54EC8" w:rsidRPr="00CF5DB8">
              <w:rPr>
                <w:noProof/>
                <w:webHidden/>
              </w:rPr>
              <w:fldChar w:fldCharType="end"/>
            </w:r>
          </w:hyperlink>
        </w:p>
        <w:p w14:paraId="2E0391F2" w14:textId="77777777" w:rsidR="00CF5DB8" w:rsidRPr="00CF5DB8" w:rsidRDefault="00F54693">
          <w:pPr>
            <w:pStyle w:val="TOC2"/>
            <w:rPr>
              <w:rFonts w:eastAsiaTheme="minorEastAsia"/>
              <w:noProof/>
              <w:lang w:val="en-US"/>
            </w:rPr>
          </w:pPr>
          <w:hyperlink w:anchor="_Toc37196687" w:history="1">
            <w:r w:rsidR="00CF5DB8" w:rsidRPr="00CF5DB8">
              <w:rPr>
                <w:rStyle w:val="Hyperlink"/>
                <w:rFonts w:ascii="Times New Roman" w:hAnsi="Times New Roman" w:cs="Times New Roman"/>
                <w:noProof/>
              </w:rPr>
              <w:t>1.3.</w:t>
            </w:r>
            <w:r w:rsidR="00CF5DB8" w:rsidRPr="00CF5DB8">
              <w:rPr>
                <w:rFonts w:eastAsiaTheme="minorEastAsia"/>
                <w:noProof/>
                <w:lang w:val="en-US"/>
              </w:rPr>
              <w:tab/>
            </w:r>
            <w:r w:rsidR="00CF5DB8" w:rsidRPr="00CF5DB8">
              <w:rPr>
                <w:rStyle w:val="Hyperlink"/>
                <w:rFonts w:ascii="Times New Roman" w:hAnsi="Times New Roman" w:cs="Times New Roman"/>
                <w:noProof/>
              </w:rPr>
              <w:t>Ecuria e projekteve Koncesion/PPP në Shqipëri.</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_Toc37196687 \h </w:instrText>
            </w:r>
            <w:r w:rsidR="00E54EC8" w:rsidRPr="00CF5DB8">
              <w:rPr>
                <w:noProof/>
                <w:webHidden/>
              </w:rPr>
            </w:r>
            <w:r w:rsidR="00E54EC8" w:rsidRPr="00CF5DB8">
              <w:rPr>
                <w:noProof/>
                <w:webHidden/>
              </w:rPr>
              <w:fldChar w:fldCharType="separate"/>
            </w:r>
            <w:r w:rsidR="00CF5DB8" w:rsidRPr="00CF5DB8">
              <w:rPr>
                <w:noProof/>
                <w:webHidden/>
              </w:rPr>
              <w:t>13</w:t>
            </w:r>
            <w:r w:rsidR="00E54EC8" w:rsidRPr="00CF5DB8">
              <w:rPr>
                <w:noProof/>
                <w:webHidden/>
              </w:rPr>
              <w:fldChar w:fldCharType="end"/>
            </w:r>
          </w:hyperlink>
        </w:p>
        <w:p w14:paraId="5A02B94B" w14:textId="77777777" w:rsidR="00CF5DB8" w:rsidRDefault="00F54693" w:rsidP="00824566">
          <w:pPr>
            <w:pStyle w:val="TOC1"/>
            <w:rPr>
              <w:rFonts w:eastAsiaTheme="minorEastAsia"/>
              <w:lang w:val="en-US"/>
            </w:rPr>
          </w:pPr>
          <w:hyperlink w:anchor="_Toc37196688" w:history="1">
            <w:r w:rsidR="00CF5DB8" w:rsidRPr="00090AA0">
              <w:rPr>
                <w:rStyle w:val="Hyperlink"/>
                <w:rFonts w:ascii="Times New Roman" w:hAnsi="Times New Roman" w:cs="Times New Roman"/>
              </w:rPr>
              <w:t>2. Prezantim i ecurisë së 10 Kontratave Koncesionare/PPP në Shqipëri</w:t>
            </w:r>
            <w:r w:rsidR="00CF5DB8">
              <w:rPr>
                <w:webHidden/>
              </w:rPr>
              <w:tab/>
            </w:r>
            <w:r w:rsidR="00E54EC8">
              <w:rPr>
                <w:webHidden/>
              </w:rPr>
              <w:fldChar w:fldCharType="begin"/>
            </w:r>
            <w:r w:rsidR="00CF5DB8">
              <w:rPr>
                <w:webHidden/>
              </w:rPr>
              <w:instrText xml:space="preserve"> PAGEREF _Toc37196688 \h </w:instrText>
            </w:r>
            <w:r w:rsidR="00E54EC8">
              <w:rPr>
                <w:webHidden/>
              </w:rPr>
            </w:r>
            <w:r w:rsidR="00E54EC8">
              <w:rPr>
                <w:webHidden/>
              </w:rPr>
              <w:fldChar w:fldCharType="separate"/>
            </w:r>
            <w:r w:rsidR="00CF5DB8">
              <w:rPr>
                <w:webHidden/>
              </w:rPr>
              <w:t>20</w:t>
            </w:r>
            <w:r w:rsidR="00E54EC8">
              <w:rPr>
                <w:webHidden/>
              </w:rPr>
              <w:fldChar w:fldCharType="end"/>
            </w:r>
          </w:hyperlink>
        </w:p>
        <w:p w14:paraId="358B5DEB" w14:textId="77777777" w:rsidR="00CF5DB8" w:rsidRPr="00CF5DB8" w:rsidRDefault="00F54693">
          <w:pPr>
            <w:pStyle w:val="TOC2"/>
            <w:rPr>
              <w:rFonts w:eastAsiaTheme="minorEastAsia"/>
              <w:noProof/>
              <w:lang w:val="en-US"/>
            </w:rPr>
          </w:pPr>
          <w:hyperlink w:anchor="_Toc37196689" w:history="1">
            <w:r w:rsidR="00CF5DB8" w:rsidRPr="00CF5DB8">
              <w:rPr>
                <w:rStyle w:val="Hyperlink"/>
                <w:rFonts w:ascii="Times New Roman" w:hAnsi="Times New Roman" w:cs="Times New Roman"/>
                <w:noProof/>
              </w:rPr>
              <w:t>2.1. Kontrata Koncesionare/PPP “</w:t>
            </w:r>
            <w:r w:rsidR="00CF5DB8" w:rsidRPr="00CF5DB8">
              <w:rPr>
                <w:rStyle w:val="Hyperlink"/>
                <w:rFonts w:ascii="Times New Roman" w:hAnsi="Times New Roman" w:cs="Times New Roman"/>
                <w:i/>
                <w:noProof/>
              </w:rPr>
              <w:t>Për ndërtimin, përmirësimin, shfrytëzimin dhe mirëmbajtjen e autostradës Milot-Morinë</w:t>
            </w:r>
            <w:r w:rsidR="00CF5DB8" w:rsidRPr="00CF5DB8">
              <w:rPr>
                <w:rStyle w:val="Hyperlink"/>
                <w:rFonts w:ascii="Times New Roman" w:hAnsi="Times New Roman" w:cs="Times New Roman"/>
                <w:noProof/>
              </w:rPr>
              <w:t>”</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_Toc37196689 \h </w:instrText>
            </w:r>
            <w:r w:rsidR="00E54EC8" w:rsidRPr="00CF5DB8">
              <w:rPr>
                <w:noProof/>
                <w:webHidden/>
              </w:rPr>
            </w:r>
            <w:r w:rsidR="00E54EC8" w:rsidRPr="00CF5DB8">
              <w:rPr>
                <w:noProof/>
                <w:webHidden/>
              </w:rPr>
              <w:fldChar w:fldCharType="separate"/>
            </w:r>
            <w:r w:rsidR="00CF5DB8" w:rsidRPr="00CF5DB8">
              <w:rPr>
                <w:noProof/>
                <w:webHidden/>
              </w:rPr>
              <w:t>20</w:t>
            </w:r>
            <w:r w:rsidR="00E54EC8" w:rsidRPr="00CF5DB8">
              <w:rPr>
                <w:noProof/>
                <w:webHidden/>
              </w:rPr>
              <w:fldChar w:fldCharType="end"/>
            </w:r>
          </w:hyperlink>
        </w:p>
        <w:p w14:paraId="3E9EDAE3" w14:textId="77777777" w:rsidR="00CF5DB8" w:rsidRPr="00CF5DB8" w:rsidRDefault="00F54693">
          <w:pPr>
            <w:pStyle w:val="TOC2"/>
            <w:rPr>
              <w:rFonts w:eastAsiaTheme="minorEastAsia"/>
              <w:noProof/>
              <w:lang w:val="en-US"/>
            </w:rPr>
          </w:pPr>
          <w:hyperlink w:anchor="_Toc37196690" w:history="1">
            <w:r w:rsidR="00CF5DB8" w:rsidRPr="00CF5DB8">
              <w:rPr>
                <w:rStyle w:val="Hyperlink"/>
                <w:rFonts w:ascii="Times New Roman" w:hAnsi="Times New Roman" w:cs="Times New Roman"/>
                <w:i/>
                <w:noProof/>
              </w:rPr>
              <w:t>2.2.</w:t>
            </w:r>
            <w:r w:rsidR="00CF5DB8" w:rsidRPr="00CF5DB8">
              <w:rPr>
                <w:rFonts w:eastAsiaTheme="minorEastAsia"/>
                <w:noProof/>
                <w:lang w:val="en-US"/>
              </w:rPr>
              <w:tab/>
            </w:r>
            <w:r w:rsidR="00CF5DB8" w:rsidRPr="00CF5DB8">
              <w:rPr>
                <w:rStyle w:val="Hyperlink"/>
                <w:rFonts w:ascii="Times New Roman" w:hAnsi="Times New Roman" w:cs="Times New Roman"/>
                <w:noProof/>
              </w:rPr>
              <w:t>Kontrata Koncesionare/PPP “</w:t>
            </w:r>
            <w:r w:rsidR="00CF5DB8" w:rsidRPr="00CF5DB8">
              <w:rPr>
                <w:rStyle w:val="Hyperlink"/>
                <w:rFonts w:ascii="Times New Roman" w:hAnsi="Times New Roman" w:cs="Times New Roman"/>
                <w:i/>
                <w:noProof/>
              </w:rPr>
              <w:t>Për ndërtimin, përmirësimin, shfrytëzimin dhe mirëmbajtjen e Rrugës së Arbrit”</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_Toc37196690 \h </w:instrText>
            </w:r>
            <w:r w:rsidR="00E54EC8" w:rsidRPr="00CF5DB8">
              <w:rPr>
                <w:noProof/>
                <w:webHidden/>
              </w:rPr>
            </w:r>
            <w:r w:rsidR="00E54EC8" w:rsidRPr="00CF5DB8">
              <w:rPr>
                <w:noProof/>
                <w:webHidden/>
              </w:rPr>
              <w:fldChar w:fldCharType="separate"/>
            </w:r>
            <w:r w:rsidR="00CF5DB8" w:rsidRPr="00CF5DB8">
              <w:rPr>
                <w:noProof/>
                <w:webHidden/>
              </w:rPr>
              <w:t>23</w:t>
            </w:r>
            <w:r w:rsidR="00E54EC8" w:rsidRPr="00CF5DB8">
              <w:rPr>
                <w:noProof/>
                <w:webHidden/>
              </w:rPr>
              <w:fldChar w:fldCharType="end"/>
            </w:r>
          </w:hyperlink>
        </w:p>
        <w:p w14:paraId="6F3FFA1F" w14:textId="77777777" w:rsidR="00CF5DB8" w:rsidRPr="00CF5DB8" w:rsidRDefault="00F54693">
          <w:pPr>
            <w:pStyle w:val="TOC2"/>
            <w:rPr>
              <w:rFonts w:eastAsiaTheme="minorEastAsia"/>
              <w:noProof/>
              <w:lang w:val="en-US"/>
            </w:rPr>
          </w:pPr>
          <w:hyperlink w:anchor="_Toc37196691" w:history="1">
            <w:r w:rsidR="00CF5DB8" w:rsidRPr="00CF5DB8">
              <w:rPr>
                <w:rStyle w:val="Hyperlink"/>
                <w:rFonts w:ascii="Times New Roman" w:eastAsia="Times New Roman" w:hAnsi="Times New Roman" w:cs="Times New Roman"/>
                <w:i/>
                <w:noProof/>
              </w:rPr>
              <w:t>2.3</w:t>
            </w:r>
            <w:r w:rsidR="00CF5DB8" w:rsidRPr="00CF5DB8">
              <w:rPr>
                <w:rFonts w:eastAsiaTheme="minorEastAsia"/>
                <w:noProof/>
                <w:lang w:val="en-US"/>
              </w:rPr>
              <w:tab/>
            </w:r>
            <w:r w:rsidR="00CF5DB8" w:rsidRPr="00CF5DB8">
              <w:rPr>
                <w:rStyle w:val="Hyperlink"/>
                <w:rFonts w:ascii="Times New Roman" w:hAnsi="Times New Roman" w:cs="Times New Roman"/>
                <w:noProof/>
              </w:rPr>
              <w:t>Kontrata Koncesionare/PPP “</w:t>
            </w:r>
            <w:r w:rsidR="00CF5DB8" w:rsidRPr="00CF5DB8">
              <w:rPr>
                <w:rStyle w:val="Hyperlink"/>
                <w:rFonts w:ascii="Times New Roman" w:hAnsi="Times New Roman" w:cs="Times New Roman"/>
                <w:i/>
                <w:noProof/>
              </w:rPr>
              <w:t>Ndërtimi, vënia në punë, operimi dhe mirëmbajtja e aeroportit ‘Nënë Tereza’</w:t>
            </w:r>
            <w:r w:rsidR="00CF5DB8" w:rsidRPr="00CF5DB8">
              <w:rPr>
                <w:rStyle w:val="Hyperlink"/>
                <w:rFonts w:ascii="Times New Roman" w:eastAsia="Times New Roman" w:hAnsi="Times New Roman" w:cs="Times New Roman"/>
                <w:i/>
                <w:noProof/>
              </w:rPr>
              <w:t xml:space="preserve"> ”</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_Toc37196691 \h </w:instrText>
            </w:r>
            <w:r w:rsidR="00E54EC8" w:rsidRPr="00CF5DB8">
              <w:rPr>
                <w:noProof/>
                <w:webHidden/>
              </w:rPr>
            </w:r>
            <w:r w:rsidR="00E54EC8" w:rsidRPr="00CF5DB8">
              <w:rPr>
                <w:noProof/>
                <w:webHidden/>
              </w:rPr>
              <w:fldChar w:fldCharType="separate"/>
            </w:r>
            <w:r w:rsidR="00CF5DB8" w:rsidRPr="00CF5DB8">
              <w:rPr>
                <w:noProof/>
                <w:webHidden/>
              </w:rPr>
              <w:t>25</w:t>
            </w:r>
            <w:r w:rsidR="00E54EC8" w:rsidRPr="00CF5DB8">
              <w:rPr>
                <w:noProof/>
                <w:webHidden/>
              </w:rPr>
              <w:fldChar w:fldCharType="end"/>
            </w:r>
          </w:hyperlink>
        </w:p>
        <w:p w14:paraId="046B784B" w14:textId="77777777" w:rsidR="00CF5DB8" w:rsidRPr="00CF5DB8" w:rsidRDefault="00F54693">
          <w:pPr>
            <w:pStyle w:val="TOC2"/>
            <w:rPr>
              <w:rFonts w:eastAsiaTheme="minorEastAsia"/>
              <w:noProof/>
              <w:lang w:val="en-US"/>
            </w:rPr>
          </w:pPr>
          <w:hyperlink w:anchor="_Toc37196692" w:history="1">
            <w:r w:rsidR="00CF5DB8" w:rsidRPr="00CF5DB8">
              <w:rPr>
                <w:rStyle w:val="Hyperlink"/>
                <w:rFonts w:ascii="Times New Roman" w:hAnsi="Times New Roman" w:cs="Times New Roman"/>
                <w:noProof/>
                <w:lang w:val="en-US"/>
              </w:rPr>
              <w:t>2.4.</w:t>
            </w:r>
            <w:r w:rsidR="00CF5DB8" w:rsidRPr="00CF5DB8">
              <w:rPr>
                <w:rFonts w:eastAsiaTheme="minorEastAsia"/>
                <w:noProof/>
                <w:lang w:val="en-US"/>
              </w:rPr>
              <w:tab/>
            </w:r>
            <w:r w:rsidR="00CF5DB8" w:rsidRPr="00CF5DB8">
              <w:rPr>
                <w:rStyle w:val="Hyperlink"/>
                <w:rFonts w:ascii="Times New Roman" w:hAnsi="Times New Roman" w:cs="Times New Roman"/>
                <w:noProof/>
              </w:rPr>
              <w:t xml:space="preserve">Kontrata Koncesionare/PPP </w:t>
            </w:r>
            <w:r w:rsidR="00CF5DB8" w:rsidRPr="00CF5DB8">
              <w:rPr>
                <w:rStyle w:val="Hyperlink"/>
                <w:rFonts w:ascii="Times New Roman" w:eastAsia="Times New Roman" w:hAnsi="Times New Roman" w:cs="Times New Roman"/>
                <w:noProof/>
              </w:rPr>
              <w:t>“</w:t>
            </w:r>
            <w:r w:rsidR="00CF5DB8" w:rsidRPr="00CF5DB8">
              <w:rPr>
                <w:rStyle w:val="Hyperlink"/>
                <w:rFonts w:ascii="Times New Roman" w:eastAsia="Times New Roman" w:hAnsi="Times New Roman" w:cs="Times New Roman"/>
                <w:i/>
                <w:noProof/>
              </w:rPr>
              <w:t>Për Ndërtimin e Landfillit, Inceneratorit dhe rehabilitimin e Venddepozitimeve ekzistuese, Tiranë</w:t>
            </w:r>
            <w:r w:rsidR="00CF5DB8" w:rsidRPr="00CF5DB8">
              <w:rPr>
                <w:rStyle w:val="Hyperlink"/>
                <w:rFonts w:ascii="Times New Roman" w:hAnsi="Times New Roman" w:cs="Times New Roman"/>
                <w:noProof/>
                <w:lang w:val="en-US"/>
              </w:rPr>
              <w:t>”</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_Toc37196692 \h </w:instrText>
            </w:r>
            <w:r w:rsidR="00E54EC8" w:rsidRPr="00CF5DB8">
              <w:rPr>
                <w:noProof/>
                <w:webHidden/>
              </w:rPr>
            </w:r>
            <w:r w:rsidR="00E54EC8" w:rsidRPr="00CF5DB8">
              <w:rPr>
                <w:noProof/>
                <w:webHidden/>
              </w:rPr>
              <w:fldChar w:fldCharType="separate"/>
            </w:r>
            <w:r w:rsidR="00CF5DB8" w:rsidRPr="00CF5DB8">
              <w:rPr>
                <w:noProof/>
                <w:webHidden/>
              </w:rPr>
              <w:t>28</w:t>
            </w:r>
            <w:r w:rsidR="00E54EC8" w:rsidRPr="00CF5DB8">
              <w:rPr>
                <w:noProof/>
                <w:webHidden/>
              </w:rPr>
              <w:fldChar w:fldCharType="end"/>
            </w:r>
          </w:hyperlink>
        </w:p>
        <w:p w14:paraId="29F280A2" w14:textId="77777777" w:rsidR="00CF5DB8" w:rsidRPr="00CF5DB8" w:rsidRDefault="00F54693">
          <w:pPr>
            <w:pStyle w:val="TOC2"/>
            <w:rPr>
              <w:rFonts w:eastAsiaTheme="minorEastAsia"/>
              <w:noProof/>
              <w:lang w:val="en-US"/>
            </w:rPr>
          </w:pPr>
          <w:hyperlink w:anchor="_Toc37196693" w:history="1">
            <w:r w:rsidR="00CF5DB8" w:rsidRPr="00CF5DB8">
              <w:rPr>
                <w:rStyle w:val="Hyperlink"/>
                <w:rFonts w:ascii="Times New Roman" w:hAnsi="Times New Roman" w:cs="Times New Roman"/>
                <w:noProof/>
              </w:rPr>
              <w:t>2.5.</w:t>
            </w:r>
            <w:r w:rsidR="00CF5DB8" w:rsidRPr="00CF5DB8">
              <w:rPr>
                <w:rFonts w:eastAsiaTheme="minorEastAsia"/>
                <w:noProof/>
                <w:lang w:val="en-US"/>
              </w:rPr>
              <w:tab/>
            </w:r>
            <w:r w:rsidR="00CF5DB8" w:rsidRPr="00CF5DB8">
              <w:rPr>
                <w:rStyle w:val="Hyperlink"/>
                <w:rFonts w:ascii="Times New Roman" w:hAnsi="Times New Roman" w:cs="Times New Roman"/>
                <w:noProof/>
              </w:rPr>
              <w:t>Kontrata Koncesionare/PPP “</w:t>
            </w:r>
            <w:r w:rsidR="00CF5DB8" w:rsidRPr="00CF5DB8">
              <w:rPr>
                <w:rStyle w:val="Hyperlink"/>
                <w:rFonts w:ascii="Times New Roman" w:hAnsi="Times New Roman" w:cs="Times New Roman"/>
                <w:i/>
                <w:noProof/>
              </w:rPr>
              <w:t>Për ndërtimin e administrimin e impjantit të trajtimit të mbetjeve urbane të qarkut Fier dhe prodhimin e Energjisë</w:t>
            </w:r>
            <w:r w:rsidR="00CF5DB8" w:rsidRPr="00CF5DB8">
              <w:rPr>
                <w:rStyle w:val="Hyperlink"/>
                <w:rFonts w:ascii="Times New Roman" w:hAnsi="Times New Roman" w:cs="Times New Roman"/>
                <w:noProof/>
              </w:rPr>
              <w:t>”</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_Toc37196693 \h </w:instrText>
            </w:r>
            <w:r w:rsidR="00E54EC8" w:rsidRPr="00CF5DB8">
              <w:rPr>
                <w:noProof/>
                <w:webHidden/>
              </w:rPr>
            </w:r>
            <w:r w:rsidR="00E54EC8" w:rsidRPr="00CF5DB8">
              <w:rPr>
                <w:noProof/>
                <w:webHidden/>
              </w:rPr>
              <w:fldChar w:fldCharType="separate"/>
            </w:r>
            <w:r w:rsidR="00CF5DB8" w:rsidRPr="00CF5DB8">
              <w:rPr>
                <w:noProof/>
                <w:webHidden/>
              </w:rPr>
              <w:t>30</w:t>
            </w:r>
            <w:r w:rsidR="00E54EC8" w:rsidRPr="00CF5DB8">
              <w:rPr>
                <w:noProof/>
                <w:webHidden/>
              </w:rPr>
              <w:fldChar w:fldCharType="end"/>
            </w:r>
          </w:hyperlink>
        </w:p>
        <w:p w14:paraId="573D80D8" w14:textId="77777777" w:rsidR="00CF5DB8" w:rsidRPr="00CF5DB8" w:rsidRDefault="00F54693">
          <w:pPr>
            <w:pStyle w:val="TOC2"/>
            <w:rPr>
              <w:rFonts w:eastAsiaTheme="minorEastAsia"/>
              <w:noProof/>
              <w:lang w:val="en-US"/>
            </w:rPr>
          </w:pPr>
          <w:hyperlink w:anchor="_Toc37196694" w:history="1">
            <w:r w:rsidR="00CF5DB8" w:rsidRPr="00CF5DB8">
              <w:rPr>
                <w:rStyle w:val="Hyperlink"/>
                <w:rFonts w:ascii="Times New Roman" w:hAnsi="Times New Roman" w:cs="Times New Roman"/>
                <w:noProof/>
              </w:rPr>
              <w:t>2.6.</w:t>
            </w:r>
            <w:r w:rsidR="00CF5DB8" w:rsidRPr="00CF5DB8">
              <w:rPr>
                <w:rFonts w:eastAsiaTheme="minorEastAsia"/>
                <w:noProof/>
                <w:lang w:val="en-US"/>
              </w:rPr>
              <w:tab/>
            </w:r>
            <w:r w:rsidR="00CF5DB8" w:rsidRPr="00CF5DB8">
              <w:rPr>
                <w:rStyle w:val="Hyperlink"/>
                <w:rFonts w:ascii="Times New Roman" w:hAnsi="Times New Roman" w:cs="Times New Roman"/>
                <w:noProof/>
              </w:rPr>
              <w:t>Kontrata Koncesionare/PPP “</w:t>
            </w:r>
            <w:r w:rsidR="00CF5DB8" w:rsidRPr="00CF5DB8">
              <w:rPr>
                <w:rStyle w:val="Hyperlink"/>
                <w:rFonts w:ascii="Times New Roman" w:hAnsi="Times New Roman" w:cs="Times New Roman"/>
                <w:i/>
                <w:noProof/>
              </w:rPr>
              <w:t>Ndërtimi, operimi dhe transferimi e inceneratorit për përpunimin e mbetjeve urbane të Bashkisë së Elbasanit</w:t>
            </w:r>
            <w:r w:rsidR="00CF5DB8" w:rsidRPr="00CF5DB8">
              <w:rPr>
                <w:rStyle w:val="Hyperlink"/>
                <w:rFonts w:ascii="Times New Roman" w:hAnsi="Times New Roman" w:cs="Times New Roman"/>
                <w:noProof/>
              </w:rPr>
              <w:t>”</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_Toc37196694 \h </w:instrText>
            </w:r>
            <w:r w:rsidR="00E54EC8" w:rsidRPr="00CF5DB8">
              <w:rPr>
                <w:noProof/>
                <w:webHidden/>
              </w:rPr>
            </w:r>
            <w:r w:rsidR="00E54EC8" w:rsidRPr="00CF5DB8">
              <w:rPr>
                <w:noProof/>
                <w:webHidden/>
              </w:rPr>
              <w:fldChar w:fldCharType="separate"/>
            </w:r>
            <w:r w:rsidR="00CF5DB8" w:rsidRPr="00CF5DB8">
              <w:rPr>
                <w:noProof/>
                <w:webHidden/>
              </w:rPr>
              <w:t>32</w:t>
            </w:r>
            <w:r w:rsidR="00E54EC8" w:rsidRPr="00CF5DB8">
              <w:rPr>
                <w:noProof/>
                <w:webHidden/>
              </w:rPr>
              <w:fldChar w:fldCharType="end"/>
            </w:r>
          </w:hyperlink>
        </w:p>
        <w:p w14:paraId="6D84CEEF" w14:textId="77777777" w:rsidR="00CF5DB8" w:rsidRPr="00CF5DB8" w:rsidRDefault="00F54693">
          <w:pPr>
            <w:pStyle w:val="TOC2"/>
            <w:rPr>
              <w:rFonts w:eastAsiaTheme="minorEastAsia"/>
              <w:noProof/>
              <w:lang w:val="en-US"/>
            </w:rPr>
          </w:pPr>
          <w:hyperlink w:anchor="_Toc37196695" w:history="1">
            <w:r w:rsidR="00CF5DB8" w:rsidRPr="00CF5DB8">
              <w:rPr>
                <w:rStyle w:val="Hyperlink"/>
                <w:rFonts w:ascii="Times New Roman" w:hAnsi="Times New Roman" w:cs="Times New Roman"/>
                <w:i/>
                <w:noProof/>
              </w:rPr>
              <w:t>2.7.</w:t>
            </w:r>
            <w:r w:rsidR="00CF5DB8" w:rsidRPr="00CF5DB8">
              <w:rPr>
                <w:rFonts w:eastAsiaTheme="minorEastAsia"/>
                <w:noProof/>
                <w:lang w:val="en-US"/>
              </w:rPr>
              <w:tab/>
            </w:r>
            <w:r w:rsidR="00CF5DB8" w:rsidRPr="00CF5DB8">
              <w:rPr>
                <w:rStyle w:val="Hyperlink"/>
                <w:rFonts w:ascii="Times New Roman" w:hAnsi="Times New Roman" w:cs="Times New Roman"/>
                <w:noProof/>
              </w:rPr>
              <w:t>Kontrata Koncesionare/PPP “</w:t>
            </w:r>
            <w:r w:rsidR="00CF5DB8" w:rsidRPr="00CF5DB8">
              <w:rPr>
                <w:rStyle w:val="Hyperlink"/>
                <w:rFonts w:ascii="Times New Roman" w:hAnsi="Times New Roman" w:cs="Times New Roman"/>
                <w:i/>
                <w:noProof/>
              </w:rPr>
              <w:t>Për dhënien me konçesion/ppp të shërbimit të pastrimit, grumbullimit, transportimit, dhe seleksionimit të mbetjeve urbane të Bashkisë Kamëz"”</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_Toc37196695 \h </w:instrText>
            </w:r>
            <w:r w:rsidR="00E54EC8" w:rsidRPr="00CF5DB8">
              <w:rPr>
                <w:noProof/>
                <w:webHidden/>
              </w:rPr>
            </w:r>
            <w:r w:rsidR="00E54EC8" w:rsidRPr="00CF5DB8">
              <w:rPr>
                <w:noProof/>
                <w:webHidden/>
              </w:rPr>
              <w:fldChar w:fldCharType="separate"/>
            </w:r>
            <w:r w:rsidR="00CF5DB8" w:rsidRPr="00CF5DB8">
              <w:rPr>
                <w:noProof/>
                <w:webHidden/>
              </w:rPr>
              <w:t>33</w:t>
            </w:r>
            <w:r w:rsidR="00E54EC8" w:rsidRPr="00CF5DB8">
              <w:rPr>
                <w:noProof/>
                <w:webHidden/>
              </w:rPr>
              <w:fldChar w:fldCharType="end"/>
            </w:r>
          </w:hyperlink>
        </w:p>
        <w:p w14:paraId="1B039951" w14:textId="77777777" w:rsidR="00CF5DB8" w:rsidRPr="00CF5DB8" w:rsidRDefault="00F54693" w:rsidP="00CF5DB8">
          <w:pPr>
            <w:pStyle w:val="TOC2"/>
            <w:rPr>
              <w:rFonts w:eastAsiaTheme="minorEastAsia"/>
              <w:noProof/>
              <w:lang w:val="en-US"/>
            </w:rPr>
          </w:pPr>
          <w:hyperlink w:anchor="_Toc37196696" w:history="1">
            <w:r w:rsidR="00CF5DB8" w:rsidRPr="00CF5DB8">
              <w:rPr>
                <w:rStyle w:val="Hyperlink"/>
                <w:rFonts w:ascii="Times New Roman" w:hAnsi="Times New Roman" w:cs="Times New Roman"/>
                <w:noProof/>
              </w:rPr>
              <w:t>2.8.</w:t>
            </w:r>
            <w:r w:rsidR="00CF5DB8" w:rsidRPr="00CF5DB8">
              <w:rPr>
                <w:rFonts w:eastAsiaTheme="minorEastAsia"/>
                <w:noProof/>
                <w:lang w:val="en-US"/>
              </w:rPr>
              <w:tab/>
            </w:r>
            <w:r w:rsidR="00CF5DB8" w:rsidRPr="00CF5DB8">
              <w:rPr>
                <w:rStyle w:val="Hyperlink"/>
                <w:rFonts w:ascii="Times New Roman" w:hAnsi="Times New Roman" w:cs="Times New Roman"/>
                <w:noProof/>
              </w:rPr>
              <w:t>Kontrata Koncesionare/PPP “</w:t>
            </w:r>
            <w:r w:rsidR="00CF5DB8" w:rsidRPr="00CF5DB8">
              <w:rPr>
                <w:rStyle w:val="Hyperlink"/>
                <w:rFonts w:ascii="Times New Roman" w:hAnsi="Times New Roman" w:cs="Times New Roman"/>
                <w:i/>
                <w:noProof/>
              </w:rPr>
              <w:t>Për shërbime të integruara për ofrimin e setit të përsonalizuar të instrumenteve kirurgjikal, furnizimin me material mjekësor steril njëpërdorimësh në sallat kirurgjikale, si dhe trajtimin e mbetjeve me rrezik biologjik dhe dezinfektimin e sallave kirurgjikale”</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_Toc37196696 \h </w:instrText>
            </w:r>
            <w:r w:rsidR="00E54EC8" w:rsidRPr="00CF5DB8">
              <w:rPr>
                <w:noProof/>
                <w:webHidden/>
              </w:rPr>
            </w:r>
            <w:r w:rsidR="00E54EC8" w:rsidRPr="00CF5DB8">
              <w:rPr>
                <w:noProof/>
                <w:webHidden/>
              </w:rPr>
              <w:fldChar w:fldCharType="separate"/>
            </w:r>
            <w:r w:rsidR="00CF5DB8" w:rsidRPr="00CF5DB8">
              <w:rPr>
                <w:noProof/>
                <w:webHidden/>
              </w:rPr>
              <w:t>35</w:t>
            </w:r>
            <w:r w:rsidR="00E54EC8" w:rsidRPr="00CF5DB8">
              <w:rPr>
                <w:noProof/>
                <w:webHidden/>
              </w:rPr>
              <w:fldChar w:fldCharType="end"/>
            </w:r>
          </w:hyperlink>
        </w:p>
        <w:p w14:paraId="741D80E1" w14:textId="77777777" w:rsidR="00CF5DB8" w:rsidRPr="00CF5DB8" w:rsidRDefault="00F54693" w:rsidP="00CF5DB8">
          <w:pPr>
            <w:pStyle w:val="TOC2"/>
            <w:rPr>
              <w:rFonts w:eastAsiaTheme="minorEastAsia"/>
              <w:noProof/>
              <w:lang w:val="en-US"/>
            </w:rPr>
          </w:pPr>
          <w:hyperlink w:anchor="_Toc37196700" w:history="1">
            <w:r w:rsidR="00CF5DB8" w:rsidRPr="00CF5DB8">
              <w:rPr>
                <w:rStyle w:val="Hyperlink"/>
                <w:rFonts w:ascii="Times New Roman" w:hAnsi="Times New Roman" w:cs="Times New Roman"/>
                <w:i/>
                <w:noProof/>
              </w:rPr>
              <w:t>2.9.</w:t>
            </w:r>
            <w:r w:rsidR="00CF5DB8" w:rsidRPr="00CF5DB8">
              <w:rPr>
                <w:rFonts w:eastAsiaTheme="minorEastAsia"/>
                <w:noProof/>
                <w:lang w:val="en-US"/>
              </w:rPr>
              <w:tab/>
            </w:r>
            <w:r w:rsidR="00CF5DB8" w:rsidRPr="00CF5DB8">
              <w:rPr>
                <w:rStyle w:val="Hyperlink"/>
                <w:rFonts w:ascii="Times New Roman" w:hAnsi="Times New Roman" w:cs="Times New Roman"/>
                <w:noProof/>
              </w:rPr>
              <w:t>Kontrata Koncesionare/PPP “</w:t>
            </w:r>
            <w:r w:rsidR="00CF5DB8" w:rsidRPr="00CF5DB8">
              <w:rPr>
                <w:rStyle w:val="Hyperlink"/>
                <w:rFonts w:ascii="Times New Roman" w:hAnsi="Times New Roman" w:cs="Times New Roman"/>
                <w:i/>
                <w:noProof/>
              </w:rPr>
              <w:t>Për paketën e shërbimeve të kontrollit mjekësor bazë për grupmoshat 35-70”</w:t>
            </w:r>
            <w:r w:rsidR="00CF5DB8" w:rsidRPr="00CF5DB8">
              <w:rPr>
                <w:noProof/>
                <w:webHidden/>
              </w:rPr>
              <w:tab/>
              <w:t>.................................................................................................................................................................</w:t>
            </w:r>
            <w:r w:rsidR="00E54EC8" w:rsidRPr="00CF5DB8">
              <w:rPr>
                <w:noProof/>
                <w:webHidden/>
              </w:rPr>
              <w:fldChar w:fldCharType="begin"/>
            </w:r>
            <w:r w:rsidR="00CF5DB8" w:rsidRPr="00CF5DB8">
              <w:rPr>
                <w:noProof/>
                <w:webHidden/>
              </w:rPr>
              <w:instrText xml:space="preserve"> PAGEREF _Toc37196700 \h </w:instrText>
            </w:r>
            <w:r w:rsidR="00E54EC8" w:rsidRPr="00CF5DB8">
              <w:rPr>
                <w:noProof/>
                <w:webHidden/>
              </w:rPr>
            </w:r>
            <w:r w:rsidR="00E54EC8" w:rsidRPr="00CF5DB8">
              <w:rPr>
                <w:noProof/>
                <w:webHidden/>
              </w:rPr>
              <w:fldChar w:fldCharType="separate"/>
            </w:r>
            <w:r w:rsidR="00CF5DB8" w:rsidRPr="00CF5DB8">
              <w:rPr>
                <w:noProof/>
                <w:webHidden/>
              </w:rPr>
              <w:t>37</w:t>
            </w:r>
            <w:r w:rsidR="00E54EC8" w:rsidRPr="00CF5DB8">
              <w:rPr>
                <w:noProof/>
                <w:webHidden/>
              </w:rPr>
              <w:fldChar w:fldCharType="end"/>
            </w:r>
          </w:hyperlink>
        </w:p>
        <w:p w14:paraId="2AE62A61" w14:textId="77777777" w:rsidR="00CF5DB8" w:rsidRPr="00CF5DB8" w:rsidRDefault="00F54693" w:rsidP="00CF5DB8">
          <w:pPr>
            <w:pStyle w:val="TOC2"/>
            <w:rPr>
              <w:rFonts w:eastAsiaTheme="minorEastAsia"/>
              <w:noProof/>
              <w:lang w:val="en-US"/>
            </w:rPr>
          </w:pPr>
          <w:hyperlink w:anchor="_Toc37196704" w:history="1">
            <w:r w:rsidR="00CF5DB8" w:rsidRPr="00CF5DB8">
              <w:rPr>
                <w:rStyle w:val="Hyperlink"/>
                <w:rFonts w:ascii="Times New Roman" w:hAnsi="Times New Roman" w:cs="Times New Roman"/>
                <w:noProof/>
              </w:rPr>
              <w:t>2.10.</w:t>
            </w:r>
            <w:r w:rsidR="00CF5DB8" w:rsidRPr="00CF5DB8">
              <w:rPr>
                <w:rFonts w:eastAsiaTheme="minorEastAsia"/>
                <w:noProof/>
                <w:lang w:val="en-US"/>
              </w:rPr>
              <w:tab/>
            </w:r>
            <w:r w:rsidR="00CF5DB8" w:rsidRPr="00CF5DB8">
              <w:rPr>
                <w:rStyle w:val="Hyperlink"/>
                <w:rFonts w:ascii="Times New Roman" w:hAnsi="Times New Roman" w:cs="Times New Roman"/>
                <w:noProof/>
              </w:rPr>
              <w:t>Kontrata Koncesionare/PPP “</w:t>
            </w:r>
            <w:r w:rsidR="00CF5DB8" w:rsidRPr="00CF5DB8">
              <w:rPr>
                <w:rStyle w:val="Hyperlink"/>
                <w:rFonts w:ascii="Times New Roman" w:hAnsi="Times New Roman" w:cs="Times New Roman"/>
                <w:i/>
                <w:noProof/>
              </w:rPr>
              <w:t>Për projektimin, financimin, ndërtimin, pronësinë, shfrytëzimin, mirëmbajtjen dhe transferimin e Hidrocentralit Ashta</w:t>
            </w:r>
            <w:r w:rsidR="00CF5DB8" w:rsidRPr="00CF5DB8">
              <w:rPr>
                <w:rStyle w:val="Hyperlink"/>
                <w:rFonts w:ascii="Times New Roman" w:hAnsi="Times New Roman" w:cs="Times New Roman"/>
                <w:noProof/>
              </w:rPr>
              <w:t>”</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_Toc37196704 \h </w:instrText>
            </w:r>
            <w:r w:rsidR="00E54EC8" w:rsidRPr="00CF5DB8">
              <w:rPr>
                <w:noProof/>
                <w:webHidden/>
              </w:rPr>
            </w:r>
            <w:r w:rsidR="00E54EC8" w:rsidRPr="00CF5DB8">
              <w:rPr>
                <w:noProof/>
                <w:webHidden/>
              </w:rPr>
              <w:fldChar w:fldCharType="separate"/>
            </w:r>
            <w:r w:rsidR="00CF5DB8" w:rsidRPr="00CF5DB8">
              <w:rPr>
                <w:noProof/>
                <w:webHidden/>
              </w:rPr>
              <w:t>39</w:t>
            </w:r>
            <w:r w:rsidR="00E54EC8" w:rsidRPr="00CF5DB8">
              <w:rPr>
                <w:noProof/>
                <w:webHidden/>
              </w:rPr>
              <w:fldChar w:fldCharType="end"/>
            </w:r>
          </w:hyperlink>
        </w:p>
        <w:p w14:paraId="5AF4A1C7" w14:textId="77777777" w:rsidR="00CF5DB8" w:rsidRPr="00CF5DB8" w:rsidRDefault="00F54693" w:rsidP="00CF5DB8">
          <w:pPr>
            <w:pStyle w:val="TOC2"/>
            <w:rPr>
              <w:rFonts w:eastAsiaTheme="minorEastAsia"/>
              <w:noProof/>
              <w:lang w:val="en-US"/>
            </w:rPr>
          </w:pPr>
          <w:hyperlink w:anchor="_Toc37196707" w:history="1">
            <w:r w:rsidR="00CF5DB8" w:rsidRPr="00CF5DB8">
              <w:rPr>
                <w:rStyle w:val="Hyperlink"/>
                <w:rFonts w:ascii="Times New Roman" w:hAnsi="Times New Roman" w:cs="Times New Roman"/>
                <w:i/>
                <w:noProof/>
              </w:rPr>
              <w:t>2.11.</w:t>
            </w:r>
            <w:r w:rsidR="00CF5DB8" w:rsidRPr="00CF5DB8">
              <w:rPr>
                <w:rFonts w:eastAsiaTheme="minorEastAsia"/>
                <w:noProof/>
                <w:lang w:val="en-US"/>
              </w:rPr>
              <w:tab/>
            </w:r>
            <w:r w:rsidR="00CF5DB8" w:rsidRPr="00CF5DB8">
              <w:rPr>
                <w:rStyle w:val="Hyperlink"/>
                <w:rFonts w:ascii="Times New Roman" w:hAnsi="Times New Roman" w:cs="Times New Roman"/>
                <w:noProof/>
              </w:rPr>
              <w:t>Kontrata Koncesionare/PPP “</w:t>
            </w:r>
            <w:r w:rsidR="00CF5DB8" w:rsidRPr="00CF5DB8">
              <w:rPr>
                <w:rStyle w:val="Hyperlink"/>
                <w:rFonts w:ascii="Times New Roman" w:hAnsi="Times New Roman" w:cs="Times New Roman"/>
                <w:i/>
                <w:noProof/>
              </w:rPr>
              <w:t>Për projektimin financimin, ndërtimin, marrjen në pronësi, shfrytëzimin, mirëmbajtjen dhe transferimin e projektit të hidrocentralit në lumin Devoll”</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_Toc37196707 \h </w:instrText>
            </w:r>
            <w:r w:rsidR="00E54EC8" w:rsidRPr="00CF5DB8">
              <w:rPr>
                <w:noProof/>
                <w:webHidden/>
              </w:rPr>
            </w:r>
            <w:r w:rsidR="00E54EC8" w:rsidRPr="00CF5DB8">
              <w:rPr>
                <w:noProof/>
                <w:webHidden/>
              </w:rPr>
              <w:fldChar w:fldCharType="separate"/>
            </w:r>
            <w:r w:rsidR="00CF5DB8" w:rsidRPr="00CF5DB8">
              <w:rPr>
                <w:noProof/>
                <w:webHidden/>
              </w:rPr>
              <w:t>40</w:t>
            </w:r>
            <w:r w:rsidR="00E54EC8" w:rsidRPr="00CF5DB8">
              <w:rPr>
                <w:noProof/>
                <w:webHidden/>
              </w:rPr>
              <w:fldChar w:fldCharType="end"/>
            </w:r>
          </w:hyperlink>
        </w:p>
        <w:p w14:paraId="75EF47A0" w14:textId="77777777" w:rsidR="00CF5DB8" w:rsidRPr="00CF5DB8" w:rsidRDefault="00F54693">
          <w:pPr>
            <w:pStyle w:val="TOC2"/>
            <w:rPr>
              <w:rFonts w:eastAsiaTheme="minorEastAsia"/>
              <w:noProof/>
              <w:lang w:val="en-US"/>
            </w:rPr>
          </w:pPr>
          <w:hyperlink w:anchor="_Toc37196710" w:history="1">
            <w:r w:rsidR="00CF5DB8" w:rsidRPr="00CF5DB8">
              <w:rPr>
                <w:rStyle w:val="Hyperlink"/>
                <w:rFonts w:ascii="Times New Roman" w:hAnsi="Times New Roman" w:cs="Times New Roman"/>
                <w:i/>
                <w:noProof/>
              </w:rPr>
              <w:t>2.12.</w:t>
            </w:r>
            <w:r w:rsidR="00CF5DB8" w:rsidRPr="00CF5DB8">
              <w:rPr>
                <w:rFonts w:eastAsiaTheme="minorEastAsia"/>
                <w:noProof/>
                <w:lang w:val="en-US"/>
              </w:rPr>
              <w:tab/>
            </w:r>
            <w:r w:rsidR="00CF5DB8" w:rsidRPr="00CF5DB8">
              <w:rPr>
                <w:rStyle w:val="Hyperlink"/>
                <w:rFonts w:ascii="Times New Roman" w:hAnsi="Times New Roman" w:cs="Times New Roman"/>
                <w:noProof/>
              </w:rPr>
              <w:t>Kontrata Koncesionare/PPP “</w:t>
            </w:r>
            <w:r w:rsidR="00CF5DB8" w:rsidRPr="00CF5DB8">
              <w:rPr>
                <w:rStyle w:val="Hyperlink"/>
                <w:rFonts w:ascii="Times New Roman" w:hAnsi="Times New Roman" w:cs="Times New Roman"/>
                <w:i/>
                <w:noProof/>
              </w:rPr>
              <w:t>Financimi, ngritja dhe operimi i sherbimit të skanimit të konteinereve e automjeteve te tjera ne RSH”</w:t>
            </w:r>
            <w:r w:rsidR="00CF5DB8" w:rsidRPr="00CF5DB8">
              <w:rPr>
                <w:noProof/>
                <w:webHidden/>
              </w:rPr>
              <w:tab/>
            </w:r>
            <w:r w:rsidR="00E54EC8" w:rsidRPr="00CF5DB8">
              <w:rPr>
                <w:noProof/>
                <w:webHidden/>
              </w:rPr>
              <w:fldChar w:fldCharType="begin"/>
            </w:r>
            <w:r w:rsidR="00CF5DB8" w:rsidRPr="00CF5DB8">
              <w:rPr>
                <w:noProof/>
                <w:webHidden/>
              </w:rPr>
              <w:instrText xml:space="preserve"> PAGEREF _Toc37196710 \h </w:instrText>
            </w:r>
            <w:r w:rsidR="00E54EC8" w:rsidRPr="00CF5DB8">
              <w:rPr>
                <w:noProof/>
                <w:webHidden/>
              </w:rPr>
            </w:r>
            <w:r w:rsidR="00E54EC8" w:rsidRPr="00CF5DB8">
              <w:rPr>
                <w:noProof/>
                <w:webHidden/>
              </w:rPr>
              <w:fldChar w:fldCharType="separate"/>
            </w:r>
            <w:r w:rsidR="00CF5DB8" w:rsidRPr="00CF5DB8">
              <w:rPr>
                <w:noProof/>
                <w:webHidden/>
              </w:rPr>
              <w:t>42</w:t>
            </w:r>
            <w:r w:rsidR="00E54EC8" w:rsidRPr="00CF5DB8">
              <w:rPr>
                <w:noProof/>
                <w:webHidden/>
              </w:rPr>
              <w:fldChar w:fldCharType="end"/>
            </w:r>
          </w:hyperlink>
        </w:p>
        <w:p w14:paraId="779BBA62" w14:textId="77777777" w:rsidR="00CF5DB8" w:rsidRDefault="00F54693" w:rsidP="00824566">
          <w:pPr>
            <w:pStyle w:val="TOC1"/>
            <w:rPr>
              <w:rFonts w:eastAsiaTheme="minorEastAsia"/>
              <w:lang w:val="en-US"/>
            </w:rPr>
          </w:pPr>
          <w:hyperlink w:anchor="_Toc37196711" w:history="1">
            <w:r w:rsidR="00CF5DB8" w:rsidRPr="00090AA0">
              <w:rPr>
                <w:rStyle w:val="Hyperlink"/>
                <w:rFonts w:ascii="Times New Roman" w:eastAsia="Times New Roman" w:hAnsi="Times New Roman" w:cs="Times New Roman"/>
              </w:rPr>
              <w:t>3.</w:t>
            </w:r>
            <w:r w:rsidR="00CF5DB8">
              <w:rPr>
                <w:rFonts w:eastAsiaTheme="minorEastAsia"/>
                <w:lang w:val="en-US"/>
              </w:rPr>
              <w:tab/>
            </w:r>
            <w:r w:rsidR="00CF5DB8" w:rsidRPr="00090AA0">
              <w:rPr>
                <w:rStyle w:val="Hyperlink"/>
                <w:rFonts w:ascii="Times New Roman" w:hAnsi="Times New Roman" w:cs="Times New Roman"/>
              </w:rPr>
              <w:t>Lista e Koncesioneve/PPP të miratuara</w:t>
            </w:r>
            <w:r w:rsidR="00CF5DB8">
              <w:rPr>
                <w:webHidden/>
              </w:rPr>
              <w:tab/>
            </w:r>
            <w:r w:rsidR="00E54EC8">
              <w:rPr>
                <w:webHidden/>
              </w:rPr>
              <w:fldChar w:fldCharType="begin"/>
            </w:r>
            <w:r w:rsidR="00CF5DB8">
              <w:rPr>
                <w:webHidden/>
              </w:rPr>
              <w:instrText xml:space="preserve"> PAGEREF _Toc37196711 \h </w:instrText>
            </w:r>
            <w:r w:rsidR="00E54EC8">
              <w:rPr>
                <w:webHidden/>
              </w:rPr>
            </w:r>
            <w:r w:rsidR="00E54EC8">
              <w:rPr>
                <w:webHidden/>
              </w:rPr>
              <w:fldChar w:fldCharType="separate"/>
            </w:r>
            <w:r w:rsidR="00CF5DB8">
              <w:rPr>
                <w:webHidden/>
              </w:rPr>
              <w:t>44</w:t>
            </w:r>
            <w:r w:rsidR="00E54EC8">
              <w:rPr>
                <w:webHidden/>
              </w:rPr>
              <w:fldChar w:fldCharType="end"/>
            </w:r>
          </w:hyperlink>
        </w:p>
        <w:p w14:paraId="2C4A4C25" w14:textId="77777777" w:rsidR="002064BE" w:rsidRPr="00824566" w:rsidRDefault="00E54EC8" w:rsidP="002064BE">
          <w:pPr>
            <w:rPr>
              <w:rFonts w:ascii="Times New Roman" w:hAnsi="Times New Roman" w:cs="Times New Roman"/>
            </w:rPr>
          </w:pPr>
          <w:r w:rsidRPr="009E599C">
            <w:rPr>
              <w:rFonts w:ascii="Times New Roman" w:hAnsi="Times New Roman" w:cs="Times New Roman"/>
              <w:b/>
              <w:bCs/>
              <w:noProof/>
            </w:rPr>
            <w:fldChar w:fldCharType="end"/>
          </w:r>
        </w:p>
      </w:sdtContent>
    </w:sdt>
    <w:p w14:paraId="3957FBBD" w14:textId="77777777" w:rsidR="00577A32" w:rsidRPr="009E599C" w:rsidRDefault="00577A32" w:rsidP="00577A32">
      <w:pPr>
        <w:tabs>
          <w:tab w:val="left" w:pos="3553"/>
        </w:tabs>
        <w:rPr>
          <w:rFonts w:ascii="Times New Roman" w:hAnsi="Times New Roman" w:cs="Times New Roman"/>
          <w:b/>
          <w:i/>
          <w:color w:val="4F81BD" w:themeColor="accent1"/>
        </w:rPr>
      </w:pPr>
      <w:r w:rsidRPr="009E599C">
        <w:rPr>
          <w:rFonts w:ascii="Times New Roman" w:hAnsi="Times New Roman" w:cs="Times New Roman"/>
          <w:b/>
          <w:i/>
          <w:color w:val="4F81BD" w:themeColor="accent1"/>
        </w:rPr>
        <w:lastRenderedPageBreak/>
        <w:t>Lista e Figurave</w:t>
      </w:r>
    </w:p>
    <w:p w14:paraId="7F614265" w14:textId="77777777" w:rsidR="00E80010" w:rsidRPr="00E80010" w:rsidRDefault="00E54EC8">
      <w:pPr>
        <w:pStyle w:val="TableofFigures"/>
        <w:tabs>
          <w:tab w:val="right" w:leader="dot" w:pos="10070"/>
        </w:tabs>
        <w:rPr>
          <w:rFonts w:ascii="Times New Roman" w:eastAsiaTheme="minorEastAsia" w:hAnsi="Times New Roman" w:cs="Times New Roman"/>
          <w:noProof/>
          <w:lang w:val="en-US"/>
        </w:rPr>
      </w:pPr>
      <w:r w:rsidRPr="00E80010">
        <w:rPr>
          <w:rFonts w:ascii="Times New Roman" w:hAnsi="Times New Roman" w:cs="Times New Roman"/>
          <w:color w:val="000000" w:themeColor="text1"/>
        </w:rPr>
        <w:fldChar w:fldCharType="begin"/>
      </w:r>
      <w:r w:rsidR="009F1D7F" w:rsidRPr="00E80010">
        <w:rPr>
          <w:rFonts w:ascii="Times New Roman" w:hAnsi="Times New Roman" w:cs="Times New Roman"/>
          <w:color w:val="000000" w:themeColor="text1"/>
        </w:rPr>
        <w:instrText xml:space="preserve"> TOC \c "Figura" </w:instrText>
      </w:r>
      <w:r w:rsidRPr="00E80010">
        <w:rPr>
          <w:rFonts w:ascii="Times New Roman" w:hAnsi="Times New Roman" w:cs="Times New Roman"/>
          <w:color w:val="000000" w:themeColor="text1"/>
        </w:rPr>
        <w:fldChar w:fldCharType="separate"/>
      </w:r>
      <w:r w:rsidR="00E80010" w:rsidRPr="00E80010">
        <w:rPr>
          <w:rFonts w:ascii="Times New Roman" w:hAnsi="Times New Roman" w:cs="Times New Roman"/>
          <w:noProof/>
        </w:rPr>
        <w:t xml:space="preserve">Figura 1: Trendi i projekteve </w:t>
      </w:r>
      <w:r w:rsidR="0054127B">
        <w:rPr>
          <w:rFonts w:ascii="Times New Roman" w:hAnsi="Times New Roman" w:cs="Times New Roman"/>
          <w:noProof/>
        </w:rPr>
        <w:t>t</w:t>
      </w:r>
      <w:r w:rsidR="00D949E1">
        <w:rPr>
          <w:rFonts w:ascii="Times New Roman" w:hAnsi="Times New Roman" w:cs="Times New Roman"/>
          <w:noProof/>
        </w:rPr>
        <w:t>ë</w:t>
      </w:r>
      <w:r w:rsidR="00E80010" w:rsidRPr="00E80010">
        <w:rPr>
          <w:rFonts w:ascii="Times New Roman" w:hAnsi="Times New Roman" w:cs="Times New Roman"/>
          <w:noProof/>
        </w:rPr>
        <w:t xml:space="preserve"> Koncesioneve/PPP të miratuara ndër vite, 2004-2019</w:t>
      </w:r>
      <w:r w:rsidR="00E80010" w:rsidRPr="00E80010">
        <w:rPr>
          <w:rFonts w:ascii="Times New Roman" w:hAnsi="Times New Roman" w:cs="Times New Roman"/>
          <w:noProof/>
        </w:rPr>
        <w:tab/>
      </w:r>
      <w:r w:rsidRPr="00E80010">
        <w:rPr>
          <w:rFonts w:ascii="Times New Roman" w:hAnsi="Times New Roman" w:cs="Times New Roman"/>
          <w:noProof/>
        </w:rPr>
        <w:fldChar w:fldCharType="begin"/>
      </w:r>
      <w:r w:rsidR="00E80010" w:rsidRPr="00E80010">
        <w:rPr>
          <w:rFonts w:ascii="Times New Roman" w:hAnsi="Times New Roman" w:cs="Times New Roman"/>
          <w:noProof/>
        </w:rPr>
        <w:instrText xml:space="preserve"> PAGEREF _Toc34919488 \h </w:instrText>
      </w:r>
      <w:r w:rsidRPr="00E80010">
        <w:rPr>
          <w:rFonts w:ascii="Times New Roman" w:hAnsi="Times New Roman" w:cs="Times New Roman"/>
          <w:noProof/>
        </w:rPr>
      </w:r>
      <w:r w:rsidRPr="00E80010">
        <w:rPr>
          <w:rFonts w:ascii="Times New Roman" w:hAnsi="Times New Roman" w:cs="Times New Roman"/>
          <w:noProof/>
        </w:rPr>
        <w:fldChar w:fldCharType="separate"/>
      </w:r>
      <w:r w:rsidR="00E80010" w:rsidRPr="00E80010">
        <w:rPr>
          <w:rFonts w:ascii="Times New Roman" w:hAnsi="Times New Roman" w:cs="Times New Roman"/>
          <w:noProof/>
        </w:rPr>
        <w:t>13</w:t>
      </w:r>
      <w:r w:rsidRPr="00E80010">
        <w:rPr>
          <w:rFonts w:ascii="Times New Roman" w:hAnsi="Times New Roman" w:cs="Times New Roman"/>
          <w:noProof/>
        </w:rPr>
        <w:fldChar w:fldCharType="end"/>
      </w:r>
    </w:p>
    <w:p w14:paraId="513D1A7F" w14:textId="77777777" w:rsidR="00E80010" w:rsidRPr="00E80010" w:rsidRDefault="00E80010">
      <w:pPr>
        <w:pStyle w:val="TableofFigures"/>
        <w:tabs>
          <w:tab w:val="right" w:leader="dot" w:pos="10070"/>
        </w:tabs>
        <w:rPr>
          <w:rFonts w:ascii="Times New Roman" w:eastAsiaTheme="minorEastAsia" w:hAnsi="Times New Roman" w:cs="Times New Roman"/>
          <w:noProof/>
          <w:lang w:val="en-US"/>
        </w:rPr>
      </w:pPr>
      <w:r w:rsidRPr="00E80010">
        <w:rPr>
          <w:rFonts w:ascii="Times New Roman" w:hAnsi="Times New Roman" w:cs="Times New Roman"/>
          <w:noProof/>
        </w:rPr>
        <w:t>Figura 2: Pesha kumulative e investimit për projektet me koncesion/PPP në PBB, 2004-2019</w:t>
      </w:r>
      <w:r w:rsidRPr="00E80010">
        <w:rPr>
          <w:rFonts w:ascii="Times New Roman" w:hAnsi="Times New Roman" w:cs="Times New Roman"/>
          <w:noProof/>
        </w:rPr>
        <w:tab/>
      </w:r>
      <w:r w:rsidR="00E54EC8" w:rsidRPr="00E80010">
        <w:rPr>
          <w:rFonts w:ascii="Times New Roman" w:hAnsi="Times New Roman" w:cs="Times New Roman"/>
          <w:noProof/>
        </w:rPr>
        <w:fldChar w:fldCharType="begin"/>
      </w:r>
      <w:r w:rsidRPr="00E80010">
        <w:rPr>
          <w:rFonts w:ascii="Times New Roman" w:hAnsi="Times New Roman" w:cs="Times New Roman"/>
          <w:noProof/>
        </w:rPr>
        <w:instrText xml:space="preserve"> PAGEREF _Toc34919489 \h </w:instrText>
      </w:r>
      <w:r w:rsidR="00E54EC8" w:rsidRPr="00E80010">
        <w:rPr>
          <w:rFonts w:ascii="Times New Roman" w:hAnsi="Times New Roman" w:cs="Times New Roman"/>
          <w:noProof/>
        </w:rPr>
      </w:r>
      <w:r w:rsidR="00E54EC8" w:rsidRPr="00E80010">
        <w:rPr>
          <w:rFonts w:ascii="Times New Roman" w:hAnsi="Times New Roman" w:cs="Times New Roman"/>
          <w:noProof/>
        </w:rPr>
        <w:fldChar w:fldCharType="separate"/>
      </w:r>
      <w:r w:rsidRPr="00E80010">
        <w:rPr>
          <w:rFonts w:ascii="Times New Roman" w:hAnsi="Times New Roman" w:cs="Times New Roman"/>
          <w:noProof/>
        </w:rPr>
        <w:t>14</w:t>
      </w:r>
      <w:r w:rsidR="00E54EC8" w:rsidRPr="00E80010">
        <w:rPr>
          <w:rFonts w:ascii="Times New Roman" w:hAnsi="Times New Roman" w:cs="Times New Roman"/>
          <w:noProof/>
        </w:rPr>
        <w:fldChar w:fldCharType="end"/>
      </w:r>
    </w:p>
    <w:p w14:paraId="302E5314" w14:textId="77777777" w:rsidR="00E80010" w:rsidRPr="00E80010" w:rsidRDefault="00E80010">
      <w:pPr>
        <w:pStyle w:val="TableofFigures"/>
        <w:tabs>
          <w:tab w:val="right" w:leader="dot" w:pos="10070"/>
        </w:tabs>
        <w:rPr>
          <w:rFonts w:ascii="Times New Roman" w:eastAsiaTheme="minorEastAsia" w:hAnsi="Times New Roman" w:cs="Times New Roman"/>
          <w:noProof/>
          <w:lang w:val="en-US"/>
        </w:rPr>
      </w:pPr>
      <w:r w:rsidRPr="00E80010">
        <w:rPr>
          <w:rFonts w:ascii="Times New Roman" w:hAnsi="Times New Roman" w:cs="Times New Roman"/>
          <w:noProof/>
        </w:rPr>
        <w:t>Figura 3: Projekte Koncesion/PPP të kërkuara dhe të pakërkuara (Nr.), 2004-2019</w:t>
      </w:r>
      <w:r w:rsidRPr="00E80010">
        <w:rPr>
          <w:rFonts w:ascii="Times New Roman" w:hAnsi="Times New Roman" w:cs="Times New Roman"/>
          <w:noProof/>
        </w:rPr>
        <w:tab/>
      </w:r>
      <w:r w:rsidR="00E54EC8" w:rsidRPr="00E80010">
        <w:rPr>
          <w:rFonts w:ascii="Times New Roman" w:hAnsi="Times New Roman" w:cs="Times New Roman"/>
          <w:noProof/>
        </w:rPr>
        <w:fldChar w:fldCharType="begin"/>
      </w:r>
      <w:r w:rsidRPr="00E80010">
        <w:rPr>
          <w:rFonts w:ascii="Times New Roman" w:hAnsi="Times New Roman" w:cs="Times New Roman"/>
          <w:noProof/>
        </w:rPr>
        <w:instrText xml:space="preserve"> PAGEREF _Toc34919490 \h </w:instrText>
      </w:r>
      <w:r w:rsidR="00E54EC8" w:rsidRPr="00E80010">
        <w:rPr>
          <w:rFonts w:ascii="Times New Roman" w:hAnsi="Times New Roman" w:cs="Times New Roman"/>
          <w:noProof/>
        </w:rPr>
      </w:r>
      <w:r w:rsidR="00E54EC8" w:rsidRPr="00E80010">
        <w:rPr>
          <w:rFonts w:ascii="Times New Roman" w:hAnsi="Times New Roman" w:cs="Times New Roman"/>
          <w:noProof/>
        </w:rPr>
        <w:fldChar w:fldCharType="separate"/>
      </w:r>
      <w:r w:rsidRPr="00E80010">
        <w:rPr>
          <w:rFonts w:ascii="Times New Roman" w:hAnsi="Times New Roman" w:cs="Times New Roman"/>
          <w:noProof/>
        </w:rPr>
        <w:t>15</w:t>
      </w:r>
      <w:r w:rsidR="00E54EC8" w:rsidRPr="00E80010">
        <w:rPr>
          <w:rFonts w:ascii="Times New Roman" w:hAnsi="Times New Roman" w:cs="Times New Roman"/>
          <w:noProof/>
        </w:rPr>
        <w:fldChar w:fldCharType="end"/>
      </w:r>
    </w:p>
    <w:p w14:paraId="7C35F10A" w14:textId="77777777" w:rsidR="00E80010" w:rsidRPr="00E80010" w:rsidRDefault="00E80010">
      <w:pPr>
        <w:pStyle w:val="TableofFigures"/>
        <w:tabs>
          <w:tab w:val="right" w:leader="dot" w:pos="10070"/>
        </w:tabs>
        <w:rPr>
          <w:rFonts w:ascii="Times New Roman" w:eastAsiaTheme="minorEastAsia" w:hAnsi="Times New Roman" w:cs="Times New Roman"/>
          <w:noProof/>
          <w:lang w:val="en-US"/>
        </w:rPr>
      </w:pPr>
      <w:r w:rsidRPr="00E80010">
        <w:rPr>
          <w:rFonts w:ascii="Times New Roman" w:hAnsi="Times New Roman" w:cs="Times New Roman"/>
          <w:noProof/>
        </w:rPr>
        <w:t>Figura 4: Numri total i kontratave koncesionare/PPP të miratuara për periudhat 2004-2013 dhe 2014-2019</w:t>
      </w:r>
      <w:r w:rsidRPr="00E80010">
        <w:rPr>
          <w:rFonts w:ascii="Times New Roman" w:hAnsi="Times New Roman" w:cs="Times New Roman"/>
          <w:noProof/>
        </w:rPr>
        <w:tab/>
      </w:r>
      <w:r w:rsidR="00E54EC8" w:rsidRPr="00E80010">
        <w:rPr>
          <w:rFonts w:ascii="Times New Roman" w:hAnsi="Times New Roman" w:cs="Times New Roman"/>
          <w:noProof/>
        </w:rPr>
        <w:fldChar w:fldCharType="begin"/>
      </w:r>
      <w:r w:rsidRPr="00E80010">
        <w:rPr>
          <w:rFonts w:ascii="Times New Roman" w:hAnsi="Times New Roman" w:cs="Times New Roman"/>
          <w:noProof/>
        </w:rPr>
        <w:instrText xml:space="preserve"> PAGEREF _Toc34919491 \h </w:instrText>
      </w:r>
      <w:r w:rsidR="00E54EC8" w:rsidRPr="00E80010">
        <w:rPr>
          <w:rFonts w:ascii="Times New Roman" w:hAnsi="Times New Roman" w:cs="Times New Roman"/>
          <w:noProof/>
        </w:rPr>
      </w:r>
      <w:r w:rsidR="00E54EC8" w:rsidRPr="00E80010">
        <w:rPr>
          <w:rFonts w:ascii="Times New Roman" w:hAnsi="Times New Roman" w:cs="Times New Roman"/>
          <w:noProof/>
        </w:rPr>
        <w:fldChar w:fldCharType="separate"/>
      </w:r>
      <w:r w:rsidRPr="00E80010">
        <w:rPr>
          <w:rFonts w:ascii="Times New Roman" w:hAnsi="Times New Roman" w:cs="Times New Roman"/>
          <w:noProof/>
        </w:rPr>
        <w:t>15</w:t>
      </w:r>
      <w:r w:rsidR="00E54EC8" w:rsidRPr="00E80010">
        <w:rPr>
          <w:rFonts w:ascii="Times New Roman" w:hAnsi="Times New Roman" w:cs="Times New Roman"/>
          <w:noProof/>
        </w:rPr>
        <w:fldChar w:fldCharType="end"/>
      </w:r>
    </w:p>
    <w:p w14:paraId="3C6D177A" w14:textId="77777777" w:rsidR="00E80010" w:rsidRPr="00E80010" w:rsidRDefault="0054127B">
      <w:pPr>
        <w:pStyle w:val="TableofFigures"/>
        <w:tabs>
          <w:tab w:val="right" w:leader="dot" w:pos="10070"/>
        </w:tabs>
        <w:rPr>
          <w:rFonts w:ascii="Times New Roman" w:eastAsiaTheme="minorEastAsia" w:hAnsi="Times New Roman" w:cs="Times New Roman"/>
          <w:noProof/>
          <w:lang w:val="en-US"/>
        </w:rPr>
      </w:pPr>
      <w:r>
        <w:rPr>
          <w:rFonts w:ascii="Times New Roman" w:hAnsi="Times New Roman" w:cs="Times New Roman"/>
          <w:noProof/>
        </w:rPr>
        <w:t>Figura 5: Numri i kontratave k</w:t>
      </w:r>
      <w:r w:rsidR="00E80010" w:rsidRPr="00E80010">
        <w:rPr>
          <w:rFonts w:ascii="Times New Roman" w:hAnsi="Times New Roman" w:cs="Times New Roman"/>
          <w:noProof/>
        </w:rPr>
        <w:t>oncesionare/PPP  sipas Autoritetit Kontraktues, 2019</w:t>
      </w:r>
      <w:r w:rsidR="00E80010" w:rsidRPr="00E80010">
        <w:rPr>
          <w:rFonts w:ascii="Times New Roman" w:hAnsi="Times New Roman" w:cs="Times New Roman"/>
          <w:noProof/>
        </w:rPr>
        <w:tab/>
      </w:r>
      <w:r w:rsidR="00E54EC8" w:rsidRPr="00E80010">
        <w:rPr>
          <w:rFonts w:ascii="Times New Roman" w:hAnsi="Times New Roman" w:cs="Times New Roman"/>
          <w:noProof/>
        </w:rPr>
        <w:fldChar w:fldCharType="begin"/>
      </w:r>
      <w:r w:rsidR="00E80010" w:rsidRPr="00E80010">
        <w:rPr>
          <w:rFonts w:ascii="Times New Roman" w:hAnsi="Times New Roman" w:cs="Times New Roman"/>
          <w:noProof/>
        </w:rPr>
        <w:instrText xml:space="preserve"> PAGEREF _Toc34919492 \h </w:instrText>
      </w:r>
      <w:r w:rsidR="00E54EC8" w:rsidRPr="00E80010">
        <w:rPr>
          <w:rFonts w:ascii="Times New Roman" w:hAnsi="Times New Roman" w:cs="Times New Roman"/>
          <w:noProof/>
        </w:rPr>
      </w:r>
      <w:r w:rsidR="00E54EC8" w:rsidRPr="00E80010">
        <w:rPr>
          <w:rFonts w:ascii="Times New Roman" w:hAnsi="Times New Roman" w:cs="Times New Roman"/>
          <w:noProof/>
        </w:rPr>
        <w:fldChar w:fldCharType="separate"/>
      </w:r>
      <w:r w:rsidR="00E80010" w:rsidRPr="00E80010">
        <w:rPr>
          <w:rFonts w:ascii="Times New Roman" w:hAnsi="Times New Roman" w:cs="Times New Roman"/>
          <w:noProof/>
        </w:rPr>
        <w:t>16</w:t>
      </w:r>
      <w:r w:rsidR="00E54EC8" w:rsidRPr="00E80010">
        <w:rPr>
          <w:rFonts w:ascii="Times New Roman" w:hAnsi="Times New Roman" w:cs="Times New Roman"/>
          <w:noProof/>
        </w:rPr>
        <w:fldChar w:fldCharType="end"/>
      </w:r>
    </w:p>
    <w:p w14:paraId="402A6D20" w14:textId="77777777" w:rsidR="00E80010" w:rsidRPr="00E80010" w:rsidRDefault="00E80010">
      <w:pPr>
        <w:pStyle w:val="TableofFigures"/>
        <w:tabs>
          <w:tab w:val="right" w:leader="dot" w:pos="10070"/>
        </w:tabs>
        <w:rPr>
          <w:rFonts w:ascii="Times New Roman" w:eastAsiaTheme="minorEastAsia" w:hAnsi="Times New Roman" w:cs="Times New Roman"/>
          <w:noProof/>
          <w:lang w:val="en-US"/>
        </w:rPr>
      </w:pPr>
      <w:r w:rsidRPr="00E80010">
        <w:rPr>
          <w:rFonts w:ascii="Times New Roman" w:hAnsi="Times New Roman" w:cs="Times New Roman"/>
          <w:noProof/>
        </w:rPr>
        <w:t>Figura 6: Numri dhe vlera totale e investimit (në lekë) të projekteve Koncesionare/PPP aktive sipas sektorëve, 2019</w:t>
      </w:r>
      <w:r w:rsidRPr="00E80010">
        <w:rPr>
          <w:rFonts w:ascii="Times New Roman" w:hAnsi="Times New Roman" w:cs="Times New Roman"/>
          <w:noProof/>
        </w:rPr>
        <w:tab/>
      </w:r>
      <w:r w:rsidR="00E54EC8" w:rsidRPr="00E80010">
        <w:rPr>
          <w:rFonts w:ascii="Times New Roman" w:hAnsi="Times New Roman" w:cs="Times New Roman"/>
          <w:noProof/>
        </w:rPr>
        <w:fldChar w:fldCharType="begin"/>
      </w:r>
      <w:r w:rsidRPr="00E80010">
        <w:rPr>
          <w:rFonts w:ascii="Times New Roman" w:hAnsi="Times New Roman" w:cs="Times New Roman"/>
          <w:noProof/>
        </w:rPr>
        <w:instrText xml:space="preserve"> PAGEREF _Toc34919493 \h </w:instrText>
      </w:r>
      <w:r w:rsidR="00E54EC8" w:rsidRPr="00E80010">
        <w:rPr>
          <w:rFonts w:ascii="Times New Roman" w:hAnsi="Times New Roman" w:cs="Times New Roman"/>
          <w:noProof/>
        </w:rPr>
      </w:r>
      <w:r w:rsidR="00E54EC8" w:rsidRPr="00E80010">
        <w:rPr>
          <w:rFonts w:ascii="Times New Roman" w:hAnsi="Times New Roman" w:cs="Times New Roman"/>
          <w:noProof/>
        </w:rPr>
        <w:fldChar w:fldCharType="separate"/>
      </w:r>
      <w:r w:rsidRPr="00E80010">
        <w:rPr>
          <w:rFonts w:ascii="Times New Roman" w:hAnsi="Times New Roman" w:cs="Times New Roman"/>
          <w:noProof/>
        </w:rPr>
        <w:t>16</w:t>
      </w:r>
      <w:r w:rsidR="00E54EC8" w:rsidRPr="00E80010">
        <w:rPr>
          <w:rFonts w:ascii="Times New Roman" w:hAnsi="Times New Roman" w:cs="Times New Roman"/>
          <w:noProof/>
        </w:rPr>
        <w:fldChar w:fldCharType="end"/>
      </w:r>
    </w:p>
    <w:p w14:paraId="36A93B3E" w14:textId="77777777" w:rsidR="00E80010" w:rsidRPr="00E80010" w:rsidRDefault="00E80010">
      <w:pPr>
        <w:pStyle w:val="TableofFigures"/>
        <w:tabs>
          <w:tab w:val="right" w:leader="dot" w:pos="10070"/>
        </w:tabs>
        <w:rPr>
          <w:rFonts w:ascii="Times New Roman" w:eastAsiaTheme="minorEastAsia" w:hAnsi="Times New Roman" w:cs="Times New Roman"/>
          <w:noProof/>
          <w:lang w:val="en-US"/>
        </w:rPr>
      </w:pPr>
      <w:r w:rsidRPr="00E80010">
        <w:rPr>
          <w:rFonts w:ascii="Times New Roman" w:hAnsi="Times New Roman" w:cs="Times New Roman"/>
          <w:noProof/>
        </w:rPr>
        <w:t xml:space="preserve"> Figura 7:  Projekte Koncesion</w:t>
      </w:r>
      <w:r w:rsidR="0054127B">
        <w:rPr>
          <w:rFonts w:ascii="Times New Roman" w:hAnsi="Times New Roman" w:cs="Times New Roman"/>
          <w:noProof/>
        </w:rPr>
        <w:t>i</w:t>
      </w:r>
      <w:r w:rsidRPr="00E80010">
        <w:rPr>
          <w:rFonts w:ascii="Times New Roman" w:hAnsi="Times New Roman" w:cs="Times New Roman"/>
          <w:noProof/>
        </w:rPr>
        <w:t>/PPP me dhe pa mbështetje buxhetore (në total nr.)</w:t>
      </w:r>
      <w:r w:rsidRPr="00E80010">
        <w:rPr>
          <w:rFonts w:ascii="Times New Roman" w:hAnsi="Times New Roman" w:cs="Times New Roman"/>
          <w:noProof/>
        </w:rPr>
        <w:tab/>
      </w:r>
      <w:r w:rsidR="00E54EC8" w:rsidRPr="00E80010">
        <w:rPr>
          <w:rFonts w:ascii="Times New Roman" w:hAnsi="Times New Roman" w:cs="Times New Roman"/>
          <w:noProof/>
        </w:rPr>
        <w:fldChar w:fldCharType="begin"/>
      </w:r>
      <w:r w:rsidRPr="00E80010">
        <w:rPr>
          <w:rFonts w:ascii="Times New Roman" w:hAnsi="Times New Roman" w:cs="Times New Roman"/>
          <w:noProof/>
        </w:rPr>
        <w:instrText xml:space="preserve"> PAGEREF _Toc34919494 \h </w:instrText>
      </w:r>
      <w:r w:rsidR="00E54EC8" w:rsidRPr="00E80010">
        <w:rPr>
          <w:rFonts w:ascii="Times New Roman" w:hAnsi="Times New Roman" w:cs="Times New Roman"/>
          <w:noProof/>
        </w:rPr>
      </w:r>
      <w:r w:rsidR="00E54EC8" w:rsidRPr="00E80010">
        <w:rPr>
          <w:rFonts w:ascii="Times New Roman" w:hAnsi="Times New Roman" w:cs="Times New Roman"/>
          <w:noProof/>
        </w:rPr>
        <w:fldChar w:fldCharType="separate"/>
      </w:r>
      <w:r w:rsidRPr="00E80010">
        <w:rPr>
          <w:rFonts w:ascii="Times New Roman" w:hAnsi="Times New Roman" w:cs="Times New Roman"/>
          <w:noProof/>
        </w:rPr>
        <w:t>17</w:t>
      </w:r>
      <w:r w:rsidR="00E54EC8" w:rsidRPr="00E80010">
        <w:rPr>
          <w:rFonts w:ascii="Times New Roman" w:hAnsi="Times New Roman" w:cs="Times New Roman"/>
          <w:noProof/>
        </w:rPr>
        <w:fldChar w:fldCharType="end"/>
      </w:r>
    </w:p>
    <w:p w14:paraId="15529277" w14:textId="77777777" w:rsidR="00E80010" w:rsidRPr="00E80010" w:rsidRDefault="00E80010">
      <w:pPr>
        <w:pStyle w:val="TableofFigures"/>
        <w:tabs>
          <w:tab w:val="right" w:leader="dot" w:pos="10070"/>
        </w:tabs>
        <w:rPr>
          <w:rFonts w:ascii="Times New Roman" w:eastAsiaTheme="minorEastAsia" w:hAnsi="Times New Roman" w:cs="Times New Roman"/>
          <w:noProof/>
          <w:lang w:val="en-US"/>
        </w:rPr>
      </w:pPr>
      <w:r w:rsidRPr="00E80010">
        <w:rPr>
          <w:rFonts w:ascii="Times New Roman" w:hAnsi="Times New Roman" w:cs="Times New Roman"/>
          <w:noProof/>
        </w:rPr>
        <w:t xml:space="preserve">Figura 8: Pagesat buxhetore për kontratat me mbështetje buxhetore </w:t>
      </w:r>
      <w:r w:rsidRPr="00E80010">
        <w:rPr>
          <w:rFonts w:ascii="Times New Roman" w:hAnsi="Times New Roman" w:cs="Times New Roman"/>
          <w:noProof/>
        </w:rPr>
        <w:tab/>
      </w:r>
      <w:r w:rsidR="00E54EC8" w:rsidRPr="00E80010">
        <w:rPr>
          <w:rFonts w:ascii="Times New Roman" w:hAnsi="Times New Roman" w:cs="Times New Roman"/>
          <w:noProof/>
        </w:rPr>
        <w:fldChar w:fldCharType="begin"/>
      </w:r>
      <w:r w:rsidRPr="00E80010">
        <w:rPr>
          <w:rFonts w:ascii="Times New Roman" w:hAnsi="Times New Roman" w:cs="Times New Roman"/>
          <w:noProof/>
        </w:rPr>
        <w:instrText xml:space="preserve"> PAGEREF _Toc34919495 \h </w:instrText>
      </w:r>
      <w:r w:rsidR="00E54EC8" w:rsidRPr="00E80010">
        <w:rPr>
          <w:rFonts w:ascii="Times New Roman" w:hAnsi="Times New Roman" w:cs="Times New Roman"/>
          <w:noProof/>
        </w:rPr>
      </w:r>
      <w:r w:rsidR="00E54EC8" w:rsidRPr="00E80010">
        <w:rPr>
          <w:rFonts w:ascii="Times New Roman" w:hAnsi="Times New Roman" w:cs="Times New Roman"/>
          <w:noProof/>
        </w:rPr>
        <w:fldChar w:fldCharType="separate"/>
      </w:r>
      <w:r w:rsidRPr="00E80010">
        <w:rPr>
          <w:rFonts w:ascii="Times New Roman" w:hAnsi="Times New Roman" w:cs="Times New Roman"/>
          <w:noProof/>
        </w:rPr>
        <w:t>18</w:t>
      </w:r>
      <w:r w:rsidR="00E54EC8" w:rsidRPr="00E80010">
        <w:rPr>
          <w:rFonts w:ascii="Times New Roman" w:hAnsi="Times New Roman" w:cs="Times New Roman"/>
          <w:noProof/>
        </w:rPr>
        <w:fldChar w:fldCharType="end"/>
      </w:r>
    </w:p>
    <w:p w14:paraId="1BC9AA03" w14:textId="77777777" w:rsidR="00E80010" w:rsidRPr="00E80010" w:rsidRDefault="00E80010">
      <w:pPr>
        <w:pStyle w:val="TableofFigures"/>
        <w:tabs>
          <w:tab w:val="right" w:leader="dot" w:pos="10070"/>
        </w:tabs>
        <w:rPr>
          <w:rFonts w:ascii="Times New Roman" w:eastAsiaTheme="minorEastAsia" w:hAnsi="Times New Roman" w:cs="Times New Roman"/>
          <w:noProof/>
          <w:lang w:val="en-US"/>
        </w:rPr>
      </w:pPr>
      <w:r w:rsidRPr="00E80010">
        <w:rPr>
          <w:rFonts w:ascii="Times New Roman" w:hAnsi="Times New Roman" w:cs="Times New Roman"/>
          <w:noProof/>
        </w:rPr>
        <w:t xml:space="preserve">Figura 9: </w:t>
      </w:r>
      <w:r w:rsidRPr="00E80010">
        <w:rPr>
          <w:rFonts w:ascii="Times New Roman" w:hAnsi="Times New Roman" w:cs="Times New Roman"/>
          <w:noProof/>
          <w:lang w:val="en-US"/>
        </w:rPr>
        <w:t xml:space="preserve">Përpjesa e pagesave buxhetore ndaj totalit të të ardhurave tatimore të vitit paraardhës buxhetor </w:t>
      </w:r>
      <w:r w:rsidRPr="00E80010">
        <w:rPr>
          <w:rFonts w:ascii="Times New Roman" w:hAnsi="Times New Roman" w:cs="Times New Roman"/>
          <w:noProof/>
        </w:rPr>
        <w:tab/>
      </w:r>
      <w:r w:rsidR="00E54EC8" w:rsidRPr="00E80010">
        <w:rPr>
          <w:rFonts w:ascii="Times New Roman" w:hAnsi="Times New Roman" w:cs="Times New Roman"/>
          <w:noProof/>
        </w:rPr>
        <w:fldChar w:fldCharType="begin"/>
      </w:r>
      <w:r w:rsidRPr="00E80010">
        <w:rPr>
          <w:rFonts w:ascii="Times New Roman" w:hAnsi="Times New Roman" w:cs="Times New Roman"/>
          <w:noProof/>
        </w:rPr>
        <w:instrText xml:space="preserve"> PAGEREF _Toc34919496 \h </w:instrText>
      </w:r>
      <w:r w:rsidR="00E54EC8" w:rsidRPr="00E80010">
        <w:rPr>
          <w:rFonts w:ascii="Times New Roman" w:hAnsi="Times New Roman" w:cs="Times New Roman"/>
          <w:noProof/>
        </w:rPr>
      </w:r>
      <w:r w:rsidR="00E54EC8" w:rsidRPr="00E80010">
        <w:rPr>
          <w:rFonts w:ascii="Times New Roman" w:hAnsi="Times New Roman" w:cs="Times New Roman"/>
          <w:noProof/>
        </w:rPr>
        <w:fldChar w:fldCharType="separate"/>
      </w:r>
      <w:r w:rsidRPr="00E80010">
        <w:rPr>
          <w:rFonts w:ascii="Times New Roman" w:hAnsi="Times New Roman" w:cs="Times New Roman"/>
          <w:noProof/>
        </w:rPr>
        <w:t>19</w:t>
      </w:r>
      <w:r w:rsidR="00E54EC8" w:rsidRPr="00E80010">
        <w:rPr>
          <w:rFonts w:ascii="Times New Roman" w:hAnsi="Times New Roman" w:cs="Times New Roman"/>
          <w:noProof/>
        </w:rPr>
        <w:fldChar w:fldCharType="end"/>
      </w:r>
    </w:p>
    <w:p w14:paraId="228BF335" w14:textId="77777777" w:rsidR="00577A32" w:rsidRPr="009E599C" w:rsidRDefault="00E54EC8" w:rsidP="00C26F99">
      <w:pPr>
        <w:tabs>
          <w:tab w:val="left" w:pos="3553"/>
        </w:tabs>
        <w:spacing w:after="240"/>
        <w:rPr>
          <w:rFonts w:ascii="Times New Roman" w:hAnsi="Times New Roman" w:cs="Times New Roman"/>
          <w:b/>
          <w:color w:val="000000" w:themeColor="text1"/>
        </w:rPr>
      </w:pPr>
      <w:r w:rsidRPr="00E80010">
        <w:rPr>
          <w:rFonts w:ascii="Times New Roman" w:hAnsi="Times New Roman" w:cs="Times New Roman"/>
          <w:color w:val="000000" w:themeColor="text1"/>
        </w:rPr>
        <w:fldChar w:fldCharType="end"/>
      </w:r>
    </w:p>
    <w:p w14:paraId="6DFE01FB" w14:textId="77777777" w:rsidR="00577A32" w:rsidRPr="006B6D4D" w:rsidRDefault="00577A32" w:rsidP="00577A32">
      <w:pPr>
        <w:tabs>
          <w:tab w:val="left" w:pos="3553"/>
        </w:tabs>
        <w:spacing w:line="360" w:lineRule="auto"/>
        <w:rPr>
          <w:rFonts w:ascii="Times New Roman" w:hAnsi="Times New Roman" w:cs="Times New Roman"/>
          <w:b/>
          <w:i/>
          <w:color w:val="4F81BD" w:themeColor="accent1"/>
        </w:rPr>
      </w:pPr>
      <w:r w:rsidRPr="006B6D4D">
        <w:rPr>
          <w:rFonts w:ascii="Times New Roman" w:hAnsi="Times New Roman" w:cs="Times New Roman"/>
          <w:b/>
          <w:i/>
          <w:color w:val="4F81BD" w:themeColor="accent1"/>
        </w:rPr>
        <w:t>Lista e tabelave</w:t>
      </w:r>
    </w:p>
    <w:p w14:paraId="449EF032" w14:textId="77777777" w:rsidR="008A1F20" w:rsidRPr="006B6D4D" w:rsidRDefault="00E54EC8">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b/>
        </w:rPr>
        <w:fldChar w:fldCharType="begin"/>
      </w:r>
      <w:r w:rsidR="000346B5" w:rsidRPr="006B6D4D">
        <w:rPr>
          <w:rFonts w:ascii="Times New Roman" w:hAnsi="Times New Roman" w:cs="Times New Roman"/>
          <w:b/>
        </w:rPr>
        <w:instrText xml:space="preserve"> TOC \c "Tabela" </w:instrText>
      </w:r>
      <w:r w:rsidRPr="006B6D4D">
        <w:rPr>
          <w:rFonts w:ascii="Times New Roman" w:hAnsi="Times New Roman" w:cs="Times New Roman"/>
          <w:b/>
        </w:rPr>
        <w:fldChar w:fldCharType="separate"/>
      </w:r>
      <w:r w:rsidR="008A1F20" w:rsidRPr="006B6D4D">
        <w:rPr>
          <w:rFonts w:ascii="Times New Roman" w:hAnsi="Times New Roman" w:cs="Times New Roman"/>
          <w:noProof/>
        </w:rPr>
        <w:t>Tabela 1: Pagesat buxhetore për projektin “Milot-Morinë”</w:t>
      </w:r>
      <w:r w:rsidR="008A1F20" w:rsidRPr="006B6D4D">
        <w:rPr>
          <w:rFonts w:ascii="Times New Roman" w:hAnsi="Times New Roman" w:cs="Times New Roman"/>
          <w:noProof/>
        </w:rPr>
        <w:tab/>
      </w:r>
      <w:r w:rsidR="008A1F20" w:rsidRPr="006B6D4D">
        <w:rPr>
          <w:rFonts w:ascii="Times New Roman" w:hAnsi="Times New Roman" w:cs="Times New Roman"/>
          <w:noProof/>
        </w:rPr>
        <w:fldChar w:fldCharType="begin"/>
      </w:r>
      <w:r w:rsidR="008A1F20" w:rsidRPr="006B6D4D">
        <w:rPr>
          <w:rFonts w:ascii="Times New Roman" w:hAnsi="Times New Roman" w:cs="Times New Roman"/>
          <w:noProof/>
        </w:rPr>
        <w:instrText xml:space="preserve"> PAGEREF _Toc40422385 \h </w:instrText>
      </w:r>
      <w:r w:rsidR="008A1F20" w:rsidRPr="006B6D4D">
        <w:rPr>
          <w:rFonts w:ascii="Times New Roman" w:hAnsi="Times New Roman" w:cs="Times New Roman"/>
          <w:noProof/>
        </w:rPr>
      </w:r>
      <w:r w:rsidR="008A1F20" w:rsidRPr="006B6D4D">
        <w:rPr>
          <w:rFonts w:ascii="Times New Roman" w:hAnsi="Times New Roman" w:cs="Times New Roman"/>
          <w:noProof/>
        </w:rPr>
        <w:fldChar w:fldCharType="separate"/>
      </w:r>
      <w:r w:rsidR="008A1F20" w:rsidRPr="006B6D4D">
        <w:rPr>
          <w:rFonts w:ascii="Times New Roman" w:hAnsi="Times New Roman" w:cs="Times New Roman"/>
          <w:noProof/>
        </w:rPr>
        <w:t>21</w:t>
      </w:r>
      <w:r w:rsidR="008A1F20" w:rsidRPr="006B6D4D">
        <w:rPr>
          <w:rFonts w:ascii="Times New Roman" w:hAnsi="Times New Roman" w:cs="Times New Roman"/>
          <w:noProof/>
        </w:rPr>
        <w:fldChar w:fldCharType="end"/>
      </w:r>
    </w:p>
    <w:p w14:paraId="20718B4D"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2: Të ardhurat nga tarifat e përdoruesve të rrugës “Milot-Morinë”</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_Toc40422386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21</w:t>
      </w:r>
      <w:r w:rsidRPr="006B6D4D">
        <w:rPr>
          <w:rFonts w:ascii="Times New Roman" w:hAnsi="Times New Roman" w:cs="Times New Roman"/>
          <w:noProof/>
        </w:rPr>
        <w:fldChar w:fldCharType="end"/>
      </w:r>
    </w:p>
    <w:p w14:paraId="3EF9DA58"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4: Pagesat buxhetore  për projektin “Rruga e Arbrit”</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_Toc40422387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22</w:t>
      </w:r>
      <w:r w:rsidRPr="006B6D4D">
        <w:rPr>
          <w:rFonts w:ascii="Times New Roman" w:hAnsi="Times New Roman" w:cs="Times New Roman"/>
          <w:noProof/>
        </w:rPr>
        <w:fldChar w:fldCharType="end"/>
      </w:r>
    </w:p>
    <w:p w14:paraId="123A45DA"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5: Vlera e investimit “Rruga e Arbrit”</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_Toc40422388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23</w:t>
      </w:r>
      <w:r w:rsidRPr="006B6D4D">
        <w:rPr>
          <w:rFonts w:ascii="Times New Roman" w:hAnsi="Times New Roman" w:cs="Times New Roman"/>
          <w:noProof/>
        </w:rPr>
        <w:fldChar w:fldCharType="end"/>
      </w:r>
    </w:p>
    <w:p w14:paraId="6096748A"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6: Numri i pasagjerëve ndër vite</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_Toc40422389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24</w:t>
      </w:r>
      <w:r w:rsidRPr="006B6D4D">
        <w:rPr>
          <w:rFonts w:ascii="Times New Roman" w:hAnsi="Times New Roman" w:cs="Times New Roman"/>
          <w:noProof/>
        </w:rPr>
        <w:fldChar w:fldCharType="end"/>
      </w:r>
    </w:p>
    <w:p w14:paraId="0701C2C1"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7: Pagesat e tarifës për ton mbetje  për projektin “Inceneratori i Tiranës”</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_Toc40422390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27</w:t>
      </w:r>
      <w:r w:rsidRPr="006B6D4D">
        <w:rPr>
          <w:rFonts w:ascii="Times New Roman" w:hAnsi="Times New Roman" w:cs="Times New Roman"/>
          <w:noProof/>
        </w:rPr>
        <w:fldChar w:fldCharType="end"/>
      </w:r>
    </w:p>
    <w:p w14:paraId="699919D0"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8: Vlera e investimit për projektin “Inceneratori i Tiranës”</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_Toc40422391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27</w:t>
      </w:r>
      <w:r w:rsidRPr="006B6D4D">
        <w:rPr>
          <w:rFonts w:ascii="Times New Roman" w:hAnsi="Times New Roman" w:cs="Times New Roman"/>
          <w:noProof/>
        </w:rPr>
        <w:fldChar w:fldCharType="end"/>
      </w:r>
    </w:p>
    <w:p w14:paraId="31802724"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9: Niveli i kërkesës</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_Toc40422392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27</w:t>
      </w:r>
      <w:r w:rsidRPr="006B6D4D">
        <w:rPr>
          <w:rFonts w:ascii="Times New Roman" w:hAnsi="Times New Roman" w:cs="Times New Roman"/>
          <w:noProof/>
        </w:rPr>
        <w:fldChar w:fldCharType="end"/>
      </w:r>
    </w:p>
    <w:p w14:paraId="1C6A5D1B"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10: Pagesat Buxhetore për projektin “Inceneratori i Fierit”</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_Toc40422393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28</w:t>
      </w:r>
      <w:r w:rsidRPr="006B6D4D">
        <w:rPr>
          <w:rFonts w:ascii="Times New Roman" w:hAnsi="Times New Roman" w:cs="Times New Roman"/>
          <w:noProof/>
        </w:rPr>
        <w:fldChar w:fldCharType="end"/>
      </w:r>
    </w:p>
    <w:p w14:paraId="3782A429"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11: Pagesat Buxhetore për projektin “Inceneratori i Elbasanit”</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_Toc40422394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30</w:t>
      </w:r>
      <w:r w:rsidRPr="006B6D4D">
        <w:rPr>
          <w:rFonts w:ascii="Times New Roman" w:hAnsi="Times New Roman" w:cs="Times New Roman"/>
          <w:noProof/>
        </w:rPr>
        <w:fldChar w:fldCharType="end"/>
      </w:r>
    </w:p>
    <w:p w14:paraId="29E07A15"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12: Pesha specifike e llojit të ndërhyrjeve të përdorura</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_Toc40422395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32</w:t>
      </w:r>
      <w:r w:rsidRPr="006B6D4D">
        <w:rPr>
          <w:rFonts w:ascii="Times New Roman" w:hAnsi="Times New Roman" w:cs="Times New Roman"/>
          <w:noProof/>
        </w:rPr>
        <w:fldChar w:fldCharType="end"/>
      </w:r>
    </w:p>
    <w:p w14:paraId="23B85285"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13: Pagesat Buxhetore për projektin “Setet Kirugjikale”</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_Toc40422396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32</w:t>
      </w:r>
      <w:r w:rsidRPr="006B6D4D">
        <w:rPr>
          <w:rFonts w:ascii="Times New Roman" w:hAnsi="Times New Roman" w:cs="Times New Roman"/>
          <w:noProof/>
        </w:rPr>
        <w:fldChar w:fldCharType="end"/>
      </w:r>
    </w:p>
    <w:p w14:paraId="71427874"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14: Numri i Përfituesve të kontrollit  mjekësor bazë Check-Up</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_Toc40422397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34</w:t>
      </w:r>
      <w:r w:rsidRPr="006B6D4D">
        <w:rPr>
          <w:rFonts w:ascii="Times New Roman" w:hAnsi="Times New Roman" w:cs="Times New Roman"/>
          <w:noProof/>
        </w:rPr>
        <w:fldChar w:fldCharType="end"/>
      </w:r>
    </w:p>
    <w:p w14:paraId="1E13E690"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15: Pagesat Buxhetore për projektin “Kontrolli  Mjekësor Bazë Check-Up ”</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_Toc40422398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34</w:t>
      </w:r>
      <w:r w:rsidRPr="006B6D4D">
        <w:rPr>
          <w:rFonts w:ascii="Times New Roman" w:hAnsi="Times New Roman" w:cs="Times New Roman"/>
          <w:noProof/>
        </w:rPr>
        <w:fldChar w:fldCharType="end"/>
      </w:r>
    </w:p>
    <w:p w14:paraId="7C80F5DB" w14:textId="77777777" w:rsidR="008A1F20" w:rsidRPr="006B6D4D" w:rsidRDefault="008A1F20" w:rsidP="00A86B34">
      <w:pPr>
        <w:pStyle w:val="TableofFigures"/>
        <w:tabs>
          <w:tab w:val="right" w:leader="dot" w:pos="10070"/>
        </w:tabs>
        <w:jc w:val="both"/>
        <w:rPr>
          <w:rFonts w:ascii="Times New Roman" w:eastAsiaTheme="minorEastAsia" w:hAnsi="Times New Roman" w:cs="Times New Roman"/>
          <w:noProof/>
          <w:lang w:val="en-US"/>
        </w:rPr>
      </w:pPr>
      <w:r w:rsidRPr="006B6D4D">
        <w:rPr>
          <w:rFonts w:ascii="Times New Roman" w:hAnsi="Times New Roman" w:cs="Times New Roman"/>
          <w:noProof/>
        </w:rPr>
        <w:t>Tabela 16: Sasia e energjisë së prodhuar (në MWh/Vit)</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_Toc40422399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36</w:t>
      </w:r>
      <w:r w:rsidRPr="006B6D4D">
        <w:rPr>
          <w:rFonts w:ascii="Times New Roman" w:hAnsi="Times New Roman" w:cs="Times New Roman"/>
          <w:noProof/>
        </w:rPr>
        <w:fldChar w:fldCharType="end"/>
      </w:r>
    </w:p>
    <w:p w14:paraId="7A64C0B3"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17: Sasia e energjisë së prodhuar  (në MWh/Vit)</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_Toc40422400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37</w:t>
      </w:r>
      <w:r w:rsidRPr="006B6D4D">
        <w:rPr>
          <w:rFonts w:ascii="Times New Roman" w:hAnsi="Times New Roman" w:cs="Times New Roman"/>
          <w:noProof/>
        </w:rPr>
        <w:fldChar w:fldCharType="end"/>
      </w:r>
    </w:p>
    <w:p w14:paraId="064193D5"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18: Pagesat buxhetore për projektin “Skanimi i Doganave”</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_Toc40422401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39</w:t>
      </w:r>
      <w:r w:rsidRPr="006B6D4D">
        <w:rPr>
          <w:rFonts w:ascii="Times New Roman" w:hAnsi="Times New Roman" w:cs="Times New Roman"/>
          <w:noProof/>
        </w:rPr>
        <w:fldChar w:fldCharType="end"/>
      </w:r>
    </w:p>
    <w:p w14:paraId="1CD10F26"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19: Numri i skanimeve ndër vite</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_Toc40422402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39</w:t>
      </w:r>
      <w:r w:rsidRPr="006B6D4D">
        <w:rPr>
          <w:rFonts w:ascii="Times New Roman" w:hAnsi="Times New Roman" w:cs="Times New Roman"/>
          <w:noProof/>
        </w:rPr>
        <w:fldChar w:fldCharType="end"/>
      </w:r>
    </w:p>
    <w:p w14:paraId="1B3EE432" w14:textId="77777777" w:rsidR="008A1F20" w:rsidRPr="006B6D4D" w:rsidRDefault="008A1F20">
      <w:pPr>
        <w:pStyle w:val="TableofFigures"/>
        <w:tabs>
          <w:tab w:val="right" w:leader="dot" w:pos="10070"/>
        </w:tabs>
        <w:rPr>
          <w:rFonts w:ascii="Times New Roman" w:eastAsiaTheme="minorEastAsia" w:hAnsi="Times New Roman" w:cs="Times New Roman"/>
          <w:noProof/>
          <w:lang w:val="en-US"/>
        </w:rPr>
      </w:pPr>
      <w:r w:rsidRPr="006B6D4D">
        <w:rPr>
          <w:rFonts w:ascii="Times New Roman" w:hAnsi="Times New Roman" w:cs="Times New Roman"/>
          <w:noProof/>
        </w:rPr>
        <w:t>Tabela 20: Lista e kontratave koncesionare/PPP</w:t>
      </w:r>
      <w:r w:rsidRPr="006B6D4D">
        <w:rPr>
          <w:rFonts w:ascii="Times New Roman" w:hAnsi="Times New Roman" w:cs="Times New Roman"/>
          <w:noProof/>
        </w:rPr>
        <w:tab/>
      </w:r>
      <w:r w:rsidRPr="006B6D4D">
        <w:rPr>
          <w:rFonts w:ascii="Times New Roman" w:hAnsi="Times New Roman" w:cs="Times New Roman"/>
          <w:noProof/>
        </w:rPr>
        <w:fldChar w:fldCharType="begin"/>
      </w:r>
      <w:r w:rsidRPr="006B6D4D">
        <w:rPr>
          <w:rFonts w:ascii="Times New Roman" w:hAnsi="Times New Roman" w:cs="Times New Roman"/>
          <w:noProof/>
        </w:rPr>
        <w:instrText xml:space="preserve"> PAGEREF _Toc40422403 \h </w:instrText>
      </w:r>
      <w:r w:rsidRPr="006B6D4D">
        <w:rPr>
          <w:rFonts w:ascii="Times New Roman" w:hAnsi="Times New Roman" w:cs="Times New Roman"/>
          <w:noProof/>
        </w:rPr>
      </w:r>
      <w:r w:rsidRPr="006B6D4D">
        <w:rPr>
          <w:rFonts w:ascii="Times New Roman" w:hAnsi="Times New Roman" w:cs="Times New Roman"/>
          <w:noProof/>
        </w:rPr>
        <w:fldChar w:fldCharType="separate"/>
      </w:r>
      <w:r w:rsidRPr="006B6D4D">
        <w:rPr>
          <w:rFonts w:ascii="Times New Roman" w:hAnsi="Times New Roman" w:cs="Times New Roman"/>
          <w:noProof/>
        </w:rPr>
        <w:t>40</w:t>
      </w:r>
      <w:r w:rsidRPr="006B6D4D">
        <w:rPr>
          <w:rFonts w:ascii="Times New Roman" w:hAnsi="Times New Roman" w:cs="Times New Roman"/>
          <w:noProof/>
        </w:rPr>
        <w:fldChar w:fldCharType="end"/>
      </w:r>
    </w:p>
    <w:p w14:paraId="56C51F44" w14:textId="77777777" w:rsidR="0038637C" w:rsidRDefault="00E54EC8" w:rsidP="00983FCC">
      <w:pPr>
        <w:tabs>
          <w:tab w:val="right" w:pos="10080"/>
        </w:tabs>
        <w:rPr>
          <w:rFonts w:ascii="Times New Roman" w:hAnsi="Times New Roman" w:cs="Times New Roman"/>
          <w:b/>
        </w:rPr>
      </w:pPr>
      <w:r w:rsidRPr="006B6D4D">
        <w:rPr>
          <w:rFonts w:ascii="Times New Roman" w:hAnsi="Times New Roman" w:cs="Times New Roman"/>
          <w:b/>
        </w:rPr>
        <w:fldChar w:fldCharType="end"/>
      </w:r>
    </w:p>
    <w:p w14:paraId="634D4A05" w14:textId="77777777" w:rsidR="0038637C" w:rsidRDefault="0038637C" w:rsidP="00983FCC">
      <w:pPr>
        <w:tabs>
          <w:tab w:val="right" w:pos="10080"/>
        </w:tabs>
        <w:rPr>
          <w:rFonts w:ascii="Times New Roman" w:hAnsi="Times New Roman" w:cs="Times New Roman"/>
          <w:b/>
        </w:rPr>
      </w:pPr>
    </w:p>
    <w:p w14:paraId="271D8540" w14:textId="77777777" w:rsidR="0038637C" w:rsidRDefault="0038637C" w:rsidP="00983FCC">
      <w:pPr>
        <w:tabs>
          <w:tab w:val="right" w:pos="10080"/>
        </w:tabs>
        <w:rPr>
          <w:rFonts w:ascii="Times New Roman" w:hAnsi="Times New Roman" w:cs="Times New Roman"/>
          <w:b/>
        </w:rPr>
      </w:pPr>
    </w:p>
    <w:p w14:paraId="328D9D27" w14:textId="77777777" w:rsidR="0038637C" w:rsidRDefault="0038637C" w:rsidP="00983FCC">
      <w:pPr>
        <w:tabs>
          <w:tab w:val="right" w:pos="10080"/>
        </w:tabs>
        <w:rPr>
          <w:rFonts w:ascii="Times New Roman" w:hAnsi="Times New Roman" w:cs="Times New Roman"/>
          <w:b/>
        </w:rPr>
      </w:pPr>
    </w:p>
    <w:p w14:paraId="7DD29DC8" w14:textId="77777777" w:rsidR="0038637C" w:rsidRDefault="0038637C" w:rsidP="00983FCC">
      <w:pPr>
        <w:tabs>
          <w:tab w:val="right" w:pos="10080"/>
        </w:tabs>
        <w:rPr>
          <w:rFonts w:ascii="Times New Roman" w:hAnsi="Times New Roman" w:cs="Times New Roman"/>
          <w:b/>
        </w:rPr>
      </w:pPr>
    </w:p>
    <w:p w14:paraId="13FBFFD7" w14:textId="77777777" w:rsidR="00577A32" w:rsidRPr="009E599C" w:rsidRDefault="00983FCC" w:rsidP="00983FCC">
      <w:pPr>
        <w:tabs>
          <w:tab w:val="right" w:pos="10080"/>
        </w:tabs>
        <w:rPr>
          <w:rFonts w:ascii="Times New Roman" w:hAnsi="Times New Roman" w:cs="Times New Roman"/>
          <w:b/>
        </w:rPr>
      </w:pPr>
      <w:r>
        <w:rPr>
          <w:rFonts w:ascii="Times New Roman" w:hAnsi="Times New Roman" w:cs="Times New Roman"/>
          <w:b/>
        </w:rPr>
        <w:tab/>
      </w:r>
    </w:p>
    <w:p w14:paraId="45928A16" w14:textId="77777777" w:rsidR="008C0E70" w:rsidRPr="009E599C" w:rsidRDefault="008C0E70" w:rsidP="009E599C">
      <w:pPr>
        <w:pStyle w:val="Heading1"/>
        <w:rPr>
          <w:rFonts w:ascii="Times New Roman" w:hAnsi="Times New Roman" w:cs="Times New Roman"/>
          <w:b/>
          <w:i/>
          <w:sz w:val="22"/>
          <w:szCs w:val="22"/>
        </w:rPr>
      </w:pPr>
      <w:bookmarkStart w:id="2" w:name="_Toc37196681"/>
      <w:r w:rsidRPr="009E599C">
        <w:rPr>
          <w:rFonts w:ascii="Times New Roman" w:hAnsi="Times New Roman" w:cs="Times New Roman"/>
          <w:b/>
          <w:i/>
          <w:sz w:val="22"/>
          <w:szCs w:val="22"/>
        </w:rPr>
        <w:lastRenderedPageBreak/>
        <w:t>Lista e Shkurtimeve</w:t>
      </w:r>
      <w:bookmarkEnd w:id="2"/>
    </w:p>
    <w:p w14:paraId="21C84390" w14:textId="77777777" w:rsidR="002064BE" w:rsidRPr="009E599C" w:rsidRDefault="009E7BC4" w:rsidP="002064BE">
      <w:pPr>
        <w:rPr>
          <w:rFonts w:ascii="Times New Roman" w:hAnsi="Times New Roman" w:cs="Times New Roman"/>
          <w:b/>
        </w:rPr>
      </w:pPr>
      <w:r>
        <w:rPr>
          <w:rFonts w:ascii="Times New Roman" w:hAnsi="Times New Roman" w:cs="Times New Roman"/>
          <w:b/>
          <w:noProof/>
          <w:color w:val="000000" w:themeColor="text1"/>
          <w:lang w:val="en-US"/>
        </w:rPr>
        <mc:AlternateContent>
          <mc:Choice Requires="wps">
            <w:drawing>
              <wp:anchor distT="0" distB="0" distL="114300" distR="114300" simplePos="0" relativeHeight="251652096" behindDoc="0" locked="0" layoutInCell="1" allowOverlap="1" wp14:anchorId="741450D8" wp14:editId="4A6E6707">
                <wp:simplePos x="0" y="0"/>
                <wp:positionH relativeFrom="column">
                  <wp:posOffset>-57150</wp:posOffset>
                </wp:positionH>
                <wp:positionV relativeFrom="paragraph">
                  <wp:posOffset>27940</wp:posOffset>
                </wp:positionV>
                <wp:extent cx="6499860" cy="77057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7705725"/>
                        </a:xfrm>
                        <a:prstGeom prst="rect">
                          <a:avLst/>
                        </a:prstGeom>
                        <a:solidFill>
                          <a:srgbClr val="FBFBF7"/>
                        </a:solidFill>
                        <a:ln w="9525">
                          <a:solidFill>
                            <a:schemeClr val="bg2">
                              <a:lumMod val="90000"/>
                            </a:schemeClr>
                          </a:solidFill>
                          <a:miter lim="800000"/>
                          <a:headEnd/>
                          <a:tailEnd/>
                        </a:ln>
                      </wps:spPr>
                      <wps:txbx>
                        <w:txbxContent>
                          <w:p w14:paraId="0B25AE1E" w14:textId="77777777" w:rsidR="0025668C" w:rsidRPr="00B257E8" w:rsidRDefault="0025668C" w:rsidP="002064BE">
                            <w:pPr>
                              <w:rPr>
                                <w:rFonts w:ascii="Times New Roman" w:hAnsi="Times New Roman" w:cs="Times New Roman"/>
                                <w:sz w:val="24"/>
                                <w:szCs w:val="24"/>
                              </w:rPr>
                            </w:pPr>
                            <w:r>
                              <w:rPr>
                                <w:rFonts w:ascii="Times New Roman" w:hAnsi="Times New Roman" w:cs="Times New Roman"/>
                                <w:sz w:val="24"/>
                              </w:rPr>
                              <w:t xml:space="preserve">ANTA          </w:t>
                            </w:r>
                            <w:r w:rsidRPr="00B257E8">
                              <w:rPr>
                                <w:rFonts w:ascii="Times New Roman" w:hAnsi="Times New Roman" w:cs="Times New Roman"/>
                                <w:sz w:val="24"/>
                                <w:szCs w:val="24"/>
                              </w:rPr>
                              <w:t>A</w:t>
                            </w:r>
                            <w:r>
                              <w:rPr>
                                <w:rStyle w:val="st"/>
                                <w:rFonts w:ascii="Times New Roman" w:hAnsi="Times New Roman" w:cs="Times New Roman"/>
                                <w:sz w:val="24"/>
                                <w:szCs w:val="24"/>
                              </w:rPr>
                              <w:t>gjenc</w:t>
                            </w:r>
                            <w:r w:rsidRPr="00B257E8">
                              <w:rPr>
                                <w:rStyle w:val="st"/>
                                <w:rFonts w:ascii="Times New Roman" w:hAnsi="Times New Roman" w:cs="Times New Roman"/>
                                <w:sz w:val="24"/>
                                <w:szCs w:val="24"/>
                              </w:rPr>
                              <w:t>ia Nacionale e Trafikut Ajror</w:t>
                            </w:r>
                          </w:p>
                          <w:p w14:paraId="3F957CE8" w14:textId="77777777" w:rsidR="0025668C" w:rsidRPr="00B257E8" w:rsidRDefault="0025668C" w:rsidP="002064BE">
                            <w:pPr>
                              <w:rPr>
                                <w:rFonts w:ascii="Times New Roman" w:hAnsi="Times New Roman" w:cs="Times New Roman"/>
                                <w:sz w:val="24"/>
                                <w:szCs w:val="24"/>
                              </w:rPr>
                            </w:pPr>
                            <w:r>
                              <w:rPr>
                                <w:rFonts w:ascii="Times New Roman" w:hAnsi="Times New Roman" w:cs="Times New Roman"/>
                                <w:sz w:val="24"/>
                                <w:szCs w:val="24"/>
                              </w:rPr>
                              <w:t xml:space="preserve">ATRAKO     </w:t>
                            </w:r>
                            <w:r w:rsidRPr="00B257E8">
                              <w:rPr>
                                <w:rFonts w:ascii="Times New Roman" w:hAnsi="Times New Roman" w:cs="Times New Roman"/>
                                <w:sz w:val="24"/>
                                <w:szCs w:val="24"/>
                              </w:rPr>
                              <w:t>Agjencia e Trajtimit të Koncesioneve</w:t>
                            </w:r>
                          </w:p>
                          <w:p w14:paraId="64E5991C" w14:textId="77777777" w:rsidR="0025668C" w:rsidRPr="00B257E8" w:rsidRDefault="0025668C" w:rsidP="002064BE">
                            <w:pPr>
                              <w:rPr>
                                <w:rFonts w:ascii="Times New Roman" w:hAnsi="Times New Roman" w:cs="Times New Roman"/>
                                <w:sz w:val="24"/>
                                <w:szCs w:val="24"/>
                              </w:rPr>
                            </w:pPr>
                            <w:r w:rsidRPr="00B257E8">
                              <w:rPr>
                                <w:rFonts w:ascii="Times New Roman" w:hAnsi="Times New Roman" w:cs="Times New Roman"/>
                                <w:sz w:val="24"/>
                                <w:szCs w:val="24"/>
                              </w:rPr>
                              <w:t>BB                Banka Botërore</w:t>
                            </w:r>
                          </w:p>
                          <w:p w14:paraId="572FB64A" w14:textId="77777777" w:rsidR="0025668C" w:rsidRDefault="0025668C" w:rsidP="002064BE">
                            <w:pPr>
                              <w:rPr>
                                <w:rFonts w:ascii="Times New Roman" w:hAnsi="Times New Roman" w:cs="Times New Roman"/>
                                <w:sz w:val="24"/>
                                <w:szCs w:val="24"/>
                              </w:rPr>
                            </w:pPr>
                            <w:r w:rsidRPr="00B257E8">
                              <w:rPr>
                                <w:rFonts w:ascii="Times New Roman" w:hAnsi="Times New Roman" w:cs="Times New Roman"/>
                                <w:sz w:val="24"/>
                                <w:szCs w:val="24"/>
                              </w:rPr>
                              <w:t>BOT             Ndërtim-Operim- Transferim (Build Operate Transfer)</w:t>
                            </w:r>
                          </w:p>
                          <w:p w14:paraId="5C711D08" w14:textId="77777777" w:rsidR="0025668C" w:rsidRPr="00B257E8" w:rsidRDefault="0025668C" w:rsidP="002064BE">
                            <w:pPr>
                              <w:rPr>
                                <w:rFonts w:ascii="Times New Roman" w:hAnsi="Times New Roman" w:cs="Times New Roman"/>
                                <w:sz w:val="24"/>
                                <w:szCs w:val="24"/>
                              </w:rPr>
                            </w:pPr>
                            <w:r w:rsidRPr="00D02118">
                              <w:rPr>
                                <w:rFonts w:ascii="Times New Roman" w:eastAsia="Times New Roman" w:hAnsi="Times New Roman" w:cs="Times New Roman"/>
                                <w:sz w:val="24"/>
                                <w:szCs w:val="24"/>
                              </w:rPr>
                              <w:t>BOOT</w:t>
                            </w:r>
                            <w:r>
                              <w:rPr>
                                <w:rFonts w:ascii="Times New Roman" w:eastAsia="Times New Roman" w:hAnsi="Times New Roman" w:cs="Times New Roman"/>
                                <w:sz w:val="24"/>
                                <w:szCs w:val="24"/>
                              </w:rPr>
                              <w:t xml:space="preserve">          </w:t>
                            </w:r>
                            <w:r w:rsidRPr="00453985">
                              <w:rPr>
                                <w:rFonts w:ascii="Times New Roman" w:hAnsi="Times New Roman" w:cs="Times New Roman"/>
                                <w:sz w:val="24"/>
                                <w:szCs w:val="24"/>
                              </w:rPr>
                              <w:t xml:space="preserve"> </w:t>
                            </w:r>
                            <w:r w:rsidRPr="00B257E8">
                              <w:rPr>
                                <w:rFonts w:ascii="Times New Roman" w:hAnsi="Times New Roman" w:cs="Times New Roman"/>
                                <w:sz w:val="24"/>
                                <w:szCs w:val="24"/>
                              </w:rPr>
                              <w:t>Ndërtim-</w:t>
                            </w:r>
                            <w:r>
                              <w:rPr>
                                <w:rFonts w:ascii="Times New Roman" w:hAnsi="Times New Roman" w:cs="Times New Roman"/>
                                <w:sz w:val="24"/>
                                <w:szCs w:val="24"/>
                              </w:rPr>
                              <w:t>Zotërim-Operim-</w:t>
                            </w:r>
                            <w:r w:rsidRPr="00B257E8">
                              <w:rPr>
                                <w:rFonts w:ascii="Times New Roman" w:hAnsi="Times New Roman" w:cs="Times New Roman"/>
                                <w:sz w:val="24"/>
                                <w:szCs w:val="24"/>
                              </w:rPr>
                              <w:t>Transfer</w:t>
                            </w:r>
                            <w:r>
                              <w:rPr>
                                <w:rFonts w:ascii="Times New Roman" w:hAnsi="Times New Roman" w:cs="Times New Roman"/>
                                <w:sz w:val="24"/>
                                <w:szCs w:val="24"/>
                              </w:rPr>
                              <w:t xml:space="preserve">im </w:t>
                            </w:r>
                          </w:p>
                          <w:p w14:paraId="7A73A82D" w14:textId="77777777" w:rsidR="0025668C" w:rsidRPr="004F2C73" w:rsidRDefault="0025668C" w:rsidP="002064BE">
                            <w:pPr>
                              <w:rPr>
                                <w:rFonts w:ascii="Times New Roman" w:hAnsi="Times New Roman" w:cs="Times New Roman"/>
                                <w:sz w:val="24"/>
                              </w:rPr>
                            </w:pPr>
                            <w:r w:rsidRPr="00B257E8">
                              <w:rPr>
                                <w:rFonts w:ascii="Times New Roman" w:hAnsi="Times New Roman" w:cs="Times New Roman"/>
                                <w:sz w:val="24"/>
                                <w:szCs w:val="24"/>
                              </w:rPr>
                              <w:t>FMN             Fondi Monetar</w:t>
                            </w:r>
                            <w:r w:rsidRPr="004F2C73">
                              <w:rPr>
                                <w:rFonts w:ascii="Times New Roman" w:hAnsi="Times New Roman" w:cs="Times New Roman"/>
                                <w:sz w:val="24"/>
                              </w:rPr>
                              <w:t xml:space="preserve"> Nd</w:t>
                            </w:r>
                            <w:r>
                              <w:rPr>
                                <w:rFonts w:ascii="Times New Roman" w:hAnsi="Times New Roman" w:cs="Times New Roman"/>
                                <w:sz w:val="24"/>
                              </w:rPr>
                              <w:t>ë</w:t>
                            </w:r>
                            <w:r w:rsidRPr="004F2C73">
                              <w:rPr>
                                <w:rFonts w:ascii="Times New Roman" w:hAnsi="Times New Roman" w:cs="Times New Roman"/>
                                <w:sz w:val="24"/>
                              </w:rPr>
                              <w:t>rkomb</w:t>
                            </w:r>
                            <w:r>
                              <w:rPr>
                                <w:rFonts w:ascii="Times New Roman" w:hAnsi="Times New Roman" w:cs="Times New Roman"/>
                                <w:sz w:val="24"/>
                              </w:rPr>
                              <w:t>ë</w:t>
                            </w:r>
                            <w:r w:rsidRPr="004F2C73">
                              <w:rPr>
                                <w:rFonts w:ascii="Times New Roman" w:hAnsi="Times New Roman" w:cs="Times New Roman"/>
                                <w:sz w:val="24"/>
                              </w:rPr>
                              <w:t>tar</w:t>
                            </w:r>
                          </w:p>
                          <w:p w14:paraId="4207B23F" w14:textId="77777777" w:rsidR="0025668C" w:rsidRDefault="0025668C" w:rsidP="00BF6B2F">
                            <w:pPr>
                              <w:rPr>
                                <w:rFonts w:ascii="Times New Roman" w:hAnsi="Times New Roman" w:cs="Times New Roman"/>
                                <w:sz w:val="24"/>
                                <w:szCs w:val="24"/>
                              </w:rPr>
                            </w:pPr>
                            <w:r>
                              <w:rPr>
                                <w:rFonts w:ascii="Times New Roman" w:hAnsi="Times New Roman" w:cs="Times New Roman"/>
                                <w:sz w:val="24"/>
                                <w:szCs w:val="24"/>
                              </w:rPr>
                              <w:t>KE                 Komisioni Europian</w:t>
                            </w:r>
                          </w:p>
                          <w:p w14:paraId="3C4DE3F1" w14:textId="77777777" w:rsidR="0025668C" w:rsidRDefault="0025668C" w:rsidP="00BF6B2F">
                            <w:pPr>
                              <w:rPr>
                                <w:rFonts w:ascii="Times New Roman" w:hAnsi="Times New Roman" w:cs="Times New Roman"/>
                                <w:sz w:val="24"/>
                                <w:szCs w:val="24"/>
                              </w:rPr>
                            </w:pPr>
                            <w:r>
                              <w:rPr>
                                <w:rFonts w:ascii="Times New Roman" w:hAnsi="Times New Roman" w:cs="Times New Roman"/>
                                <w:sz w:val="24"/>
                                <w:szCs w:val="24"/>
                              </w:rPr>
                              <w:t>KESH            Koorporata e Energjisë Shqiptare</w:t>
                            </w:r>
                          </w:p>
                          <w:p w14:paraId="132E7237" w14:textId="77777777" w:rsidR="0025668C" w:rsidRDefault="0025668C" w:rsidP="00291442">
                            <w:pPr>
                              <w:rPr>
                                <w:rFonts w:ascii="Times New Roman" w:hAnsi="Times New Roman" w:cs="Times New Roman"/>
                                <w:sz w:val="24"/>
                                <w:szCs w:val="24"/>
                              </w:rPr>
                            </w:pPr>
                            <w:r>
                              <w:rPr>
                                <w:rFonts w:ascii="Times New Roman" w:hAnsi="Times New Roman" w:cs="Times New Roman"/>
                                <w:sz w:val="24"/>
                                <w:szCs w:val="24"/>
                              </w:rPr>
                              <w:t>OECD           Organizata për Bashkëpunim dhe Zhvillim Ekonomik</w:t>
                            </w:r>
                          </w:p>
                          <w:p w14:paraId="77E05D67" w14:textId="77777777" w:rsidR="0025668C" w:rsidRPr="00C33DAB" w:rsidRDefault="0025668C" w:rsidP="00291442">
                            <w:pPr>
                              <w:rPr>
                                <w:rFonts w:ascii="Times New Roman" w:hAnsi="Times New Roman" w:cs="Times New Roman"/>
                                <w:sz w:val="24"/>
                              </w:rPr>
                            </w:pPr>
                            <w:r>
                              <w:rPr>
                                <w:rFonts w:ascii="Times New Roman" w:hAnsi="Times New Roman" w:cs="Times New Roman"/>
                                <w:sz w:val="24"/>
                                <w:szCs w:val="24"/>
                              </w:rPr>
                              <w:t>OSHEE         Operatori i Shpërndarjes së Energjisë Elektrike</w:t>
                            </w:r>
                          </w:p>
                          <w:p w14:paraId="756C25CF" w14:textId="77777777" w:rsidR="0025668C" w:rsidRPr="004F2C73" w:rsidRDefault="0025668C" w:rsidP="002064BE">
                            <w:pPr>
                              <w:rPr>
                                <w:rFonts w:ascii="Times New Roman" w:hAnsi="Times New Roman" w:cs="Times New Roman"/>
                                <w:sz w:val="24"/>
                              </w:rPr>
                            </w:pPr>
                            <w:r>
                              <w:rPr>
                                <w:rFonts w:ascii="Times New Roman" w:hAnsi="Times New Roman" w:cs="Times New Roman"/>
                                <w:sz w:val="24"/>
                              </w:rPr>
                              <w:t xml:space="preserve">PBB             </w:t>
                            </w:r>
                            <w:r w:rsidRPr="004F2C73">
                              <w:rPr>
                                <w:rFonts w:ascii="Times New Roman" w:hAnsi="Times New Roman" w:cs="Times New Roman"/>
                                <w:sz w:val="24"/>
                              </w:rPr>
                              <w:t xml:space="preserve"> Produkti i Brendsh</w:t>
                            </w:r>
                            <w:r>
                              <w:rPr>
                                <w:rFonts w:ascii="Times New Roman" w:hAnsi="Times New Roman" w:cs="Times New Roman"/>
                                <w:sz w:val="24"/>
                              </w:rPr>
                              <w:t>ë</w:t>
                            </w:r>
                            <w:r w:rsidRPr="004F2C73">
                              <w:rPr>
                                <w:rFonts w:ascii="Times New Roman" w:hAnsi="Times New Roman" w:cs="Times New Roman"/>
                                <w:sz w:val="24"/>
                              </w:rPr>
                              <w:t>m Bruto</w:t>
                            </w:r>
                          </w:p>
                          <w:p w14:paraId="50F37DE5" w14:textId="77777777" w:rsidR="0025668C" w:rsidRDefault="0025668C" w:rsidP="002064BE">
                            <w:pPr>
                              <w:rPr>
                                <w:rFonts w:ascii="Times New Roman" w:hAnsi="Times New Roman" w:cs="Times New Roman"/>
                                <w:sz w:val="24"/>
                              </w:rPr>
                            </w:pPr>
                            <w:r>
                              <w:rPr>
                                <w:rFonts w:ascii="Times New Roman" w:hAnsi="Times New Roman" w:cs="Times New Roman"/>
                                <w:sz w:val="24"/>
                              </w:rPr>
                              <w:t xml:space="preserve">PPP               </w:t>
                            </w:r>
                            <w:r w:rsidRPr="004F2C73">
                              <w:rPr>
                                <w:rFonts w:ascii="Times New Roman" w:hAnsi="Times New Roman" w:cs="Times New Roman"/>
                                <w:sz w:val="24"/>
                              </w:rPr>
                              <w:t xml:space="preserve">Partneriteti </w:t>
                            </w:r>
                            <w:r w:rsidRPr="00331BB5">
                              <w:rPr>
                                <w:rFonts w:ascii="Times New Roman" w:hAnsi="Times New Roman" w:cs="Times New Roman"/>
                                <w:sz w:val="24"/>
                              </w:rPr>
                              <w:t>Publik Privat</w:t>
                            </w:r>
                          </w:p>
                          <w:p w14:paraId="2831923C" w14:textId="77777777" w:rsidR="0025668C" w:rsidRDefault="0025668C" w:rsidP="002064BE">
                            <w:pPr>
                              <w:rPr>
                                <w:rFonts w:ascii="Times New Roman" w:hAnsi="Times New Roman" w:cs="Times New Roman"/>
                                <w:sz w:val="24"/>
                              </w:rPr>
                            </w:pPr>
                            <w:r>
                              <w:rPr>
                                <w:rFonts w:ascii="Times New Roman" w:hAnsi="Times New Roman" w:cs="Times New Roman"/>
                                <w:sz w:val="24"/>
                              </w:rPr>
                              <w:t>MFE             Ministria e Financave dhe Ekonomisë</w:t>
                            </w:r>
                          </w:p>
                          <w:p w14:paraId="10C3CBAF" w14:textId="77777777" w:rsidR="0025668C" w:rsidRDefault="0025668C" w:rsidP="002064BE">
                            <w:pPr>
                              <w:rPr>
                                <w:rFonts w:ascii="Times New Roman" w:hAnsi="Times New Roman" w:cs="Times New Roman"/>
                                <w:sz w:val="24"/>
                              </w:rPr>
                            </w:pPr>
                            <w:r>
                              <w:rPr>
                                <w:rFonts w:ascii="Times New Roman" w:hAnsi="Times New Roman" w:cs="Times New Roman"/>
                                <w:sz w:val="24"/>
                              </w:rPr>
                              <w:t>MIE              Ministria e Infrastrukturës dhe Energjisë</w:t>
                            </w:r>
                          </w:p>
                          <w:p w14:paraId="4269C1C8" w14:textId="77777777" w:rsidR="0025668C" w:rsidRDefault="0025668C" w:rsidP="002064BE">
                            <w:pPr>
                              <w:rPr>
                                <w:rFonts w:ascii="Times New Roman" w:hAnsi="Times New Roman" w:cs="Times New Roman"/>
                                <w:sz w:val="24"/>
                              </w:rPr>
                            </w:pPr>
                            <w:r>
                              <w:rPr>
                                <w:rFonts w:ascii="Times New Roman" w:hAnsi="Times New Roman" w:cs="Times New Roman"/>
                                <w:sz w:val="24"/>
                              </w:rPr>
                              <w:t>MSHMS       Ministria e Shëndetësisë dhe Mbrojtjes  Sociale</w:t>
                            </w:r>
                          </w:p>
                          <w:p w14:paraId="6E3BDAE3" w14:textId="77777777" w:rsidR="0025668C" w:rsidRDefault="0025668C" w:rsidP="002064BE">
                            <w:pPr>
                              <w:rPr>
                                <w:rFonts w:ascii="Times New Roman" w:hAnsi="Times New Roman" w:cs="Times New Roman"/>
                                <w:sz w:val="24"/>
                              </w:rPr>
                            </w:pPr>
                            <w:r>
                              <w:rPr>
                                <w:rFonts w:ascii="Times New Roman" w:hAnsi="Times New Roman" w:cs="Times New Roman"/>
                                <w:sz w:val="24"/>
                              </w:rPr>
                              <w:t>ROT             Rehabilitim- Operim- Transferim</w:t>
                            </w:r>
                          </w:p>
                          <w:p w14:paraId="09493060" w14:textId="77777777" w:rsidR="0025668C" w:rsidRDefault="0025668C" w:rsidP="002064BE">
                            <w:pPr>
                              <w:rPr>
                                <w:rFonts w:ascii="Times New Roman" w:hAnsi="Times New Roman" w:cs="Times New Roman"/>
                                <w:sz w:val="24"/>
                              </w:rPr>
                            </w:pPr>
                            <w:r>
                              <w:rPr>
                                <w:rFonts w:ascii="Times New Roman" w:hAnsi="Times New Roman" w:cs="Times New Roman"/>
                                <w:sz w:val="24"/>
                              </w:rPr>
                              <w:t>RVP              Raporti Vjetor i Përmbledhur</w:t>
                            </w:r>
                          </w:p>
                          <w:p w14:paraId="57D19ABB" w14:textId="77777777" w:rsidR="0025668C" w:rsidRDefault="0025668C" w:rsidP="002064BE">
                            <w:pPr>
                              <w:rPr>
                                <w:rFonts w:ascii="Times New Roman" w:hAnsi="Times New Roman" w:cs="Times New Roman"/>
                                <w:sz w:val="24"/>
                              </w:rPr>
                            </w:pPr>
                            <w:r>
                              <w:rPr>
                                <w:rFonts w:ascii="Times New Roman" w:hAnsi="Times New Roman" w:cs="Times New Roman"/>
                                <w:sz w:val="24"/>
                              </w:rPr>
                              <w:t>SMS             Sistemi i Menaxhimit të Sigurisë</w:t>
                            </w:r>
                          </w:p>
                          <w:p w14:paraId="1F29D931" w14:textId="77777777" w:rsidR="0025668C" w:rsidRDefault="0025668C" w:rsidP="002064BE">
                            <w:pPr>
                              <w:rPr>
                                <w:rFonts w:ascii="Times New Roman" w:hAnsi="Times New Roman" w:cs="Times New Roman"/>
                                <w:sz w:val="24"/>
                                <w:szCs w:val="24"/>
                              </w:rPr>
                            </w:pPr>
                            <w:r>
                              <w:rPr>
                                <w:rFonts w:ascii="Times New Roman" w:hAnsi="Times New Roman" w:cs="Times New Roman"/>
                                <w:sz w:val="24"/>
                                <w:szCs w:val="24"/>
                              </w:rPr>
                              <w:t>SPV              Subjekti për Qëllime të V</w:t>
                            </w:r>
                            <w:r w:rsidRPr="00C33DAB">
                              <w:rPr>
                                <w:rFonts w:ascii="Times New Roman" w:hAnsi="Times New Roman" w:cs="Times New Roman"/>
                                <w:sz w:val="24"/>
                                <w:szCs w:val="24"/>
                              </w:rPr>
                              <w:t>eçanta</w:t>
                            </w:r>
                          </w:p>
                          <w:p w14:paraId="237DFDCD" w14:textId="77777777" w:rsidR="0025668C" w:rsidRPr="00331BB5" w:rsidRDefault="0025668C" w:rsidP="002064BE">
                            <w:pPr>
                              <w:rPr>
                                <w:rFonts w:ascii="Times New Roman" w:hAnsi="Times New Roman" w:cs="Times New Roman"/>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923B4" id="Text Box 2" o:spid="_x0000_s1030" type="#_x0000_t202" style="position:absolute;margin-left:-4.5pt;margin-top:2.2pt;width:511.8pt;height:60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" fillcolor="#fbfbf7" strokecolor="#ddd8c2 [2894]">
                <v:textbox>
                  <w:txbxContent>
                    <w:p w:rsidR="0025668C" w:rsidRPr="00B257E8" w:rsidRDefault="0025668C" w:rsidP="002064BE">
                      <w:pPr>
                        <w:rPr>
                          <w:rFonts w:ascii="Times New Roman" w:hAnsi="Times New Roman" w:cs="Times New Roman"/>
                          <w:sz w:val="24"/>
                          <w:szCs w:val="24"/>
                        </w:rPr>
                      </w:pPr>
                      <w:r>
                        <w:rPr>
                          <w:rFonts w:ascii="Times New Roman" w:hAnsi="Times New Roman" w:cs="Times New Roman"/>
                          <w:sz w:val="24"/>
                        </w:rPr>
                        <w:t xml:space="preserve">ANTA          </w:t>
                      </w:r>
                      <w:r w:rsidRPr="00B257E8">
                        <w:rPr>
                          <w:rFonts w:ascii="Times New Roman" w:hAnsi="Times New Roman" w:cs="Times New Roman"/>
                          <w:sz w:val="24"/>
                          <w:szCs w:val="24"/>
                        </w:rPr>
                        <w:t>A</w:t>
                      </w:r>
                      <w:r>
                        <w:rPr>
                          <w:rStyle w:val="st"/>
                          <w:rFonts w:ascii="Times New Roman" w:hAnsi="Times New Roman" w:cs="Times New Roman"/>
                          <w:sz w:val="24"/>
                          <w:szCs w:val="24"/>
                        </w:rPr>
                        <w:t>gjenc</w:t>
                      </w:r>
                      <w:r w:rsidRPr="00B257E8">
                        <w:rPr>
                          <w:rStyle w:val="st"/>
                          <w:rFonts w:ascii="Times New Roman" w:hAnsi="Times New Roman" w:cs="Times New Roman"/>
                          <w:sz w:val="24"/>
                          <w:szCs w:val="24"/>
                        </w:rPr>
                        <w:t>ia Nacionale e Trafikut Ajror</w:t>
                      </w:r>
                    </w:p>
                    <w:p w:rsidR="0025668C" w:rsidRPr="00B257E8" w:rsidRDefault="0025668C" w:rsidP="002064BE">
                      <w:pPr>
                        <w:rPr>
                          <w:rFonts w:ascii="Times New Roman" w:hAnsi="Times New Roman" w:cs="Times New Roman"/>
                          <w:sz w:val="24"/>
                          <w:szCs w:val="24"/>
                        </w:rPr>
                      </w:pPr>
                      <w:r>
                        <w:rPr>
                          <w:rFonts w:ascii="Times New Roman" w:hAnsi="Times New Roman" w:cs="Times New Roman"/>
                          <w:sz w:val="24"/>
                          <w:szCs w:val="24"/>
                        </w:rPr>
                        <w:t xml:space="preserve">ATRAKO     </w:t>
                      </w:r>
                      <w:r w:rsidRPr="00B257E8">
                        <w:rPr>
                          <w:rFonts w:ascii="Times New Roman" w:hAnsi="Times New Roman" w:cs="Times New Roman"/>
                          <w:sz w:val="24"/>
                          <w:szCs w:val="24"/>
                        </w:rPr>
                        <w:t>Agjencia e Trajtimit të Koncesioneve</w:t>
                      </w:r>
                    </w:p>
                    <w:p w:rsidR="0025668C" w:rsidRPr="00B257E8" w:rsidRDefault="0025668C" w:rsidP="002064BE">
                      <w:pPr>
                        <w:rPr>
                          <w:rFonts w:ascii="Times New Roman" w:hAnsi="Times New Roman" w:cs="Times New Roman"/>
                          <w:sz w:val="24"/>
                          <w:szCs w:val="24"/>
                        </w:rPr>
                      </w:pPr>
                      <w:r w:rsidRPr="00B257E8">
                        <w:rPr>
                          <w:rFonts w:ascii="Times New Roman" w:hAnsi="Times New Roman" w:cs="Times New Roman"/>
                          <w:sz w:val="24"/>
                          <w:szCs w:val="24"/>
                        </w:rPr>
                        <w:t>BB                Banka Botërore</w:t>
                      </w:r>
                    </w:p>
                    <w:p w:rsidR="0025668C" w:rsidRDefault="0025668C" w:rsidP="002064BE">
                      <w:pPr>
                        <w:rPr>
                          <w:rFonts w:ascii="Times New Roman" w:hAnsi="Times New Roman" w:cs="Times New Roman"/>
                          <w:sz w:val="24"/>
                          <w:szCs w:val="24"/>
                        </w:rPr>
                      </w:pPr>
                      <w:r w:rsidRPr="00B257E8">
                        <w:rPr>
                          <w:rFonts w:ascii="Times New Roman" w:hAnsi="Times New Roman" w:cs="Times New Roman"/>
                          <w:sz w:val="24"/>
                          <w:szCs w:val="24"/>
                        </w:rPr>
                        <w:t>BOT             Ndërtim-Operim- Transferim (Build Operate Transfer)</w:t>
                      </w:r>
                    </w:p>
                    <w:p w:rsidR="0025668C" w:rsidRPr="00B257E8" w:rsidRDefault="0025668C" w:rsidP="002064BE">
                      <w:pPr>
                        <w:rPr>
                          <w:rFonts w:ascii="Times New Roman" w:hAnsi="Times New Roman" w:cs="Times New Roman"/>
                          <w:sz w:val="24"/>
                          <w:szCs w:val="24"/>
                        </w:rPr>
                      </w:pPr>
                      <w:r w:rsidRPr="00D02118">
                        <w:rPr>
                          <w:rFonts w:ascii="Times New Roman" w:eastAsia="Times New Roman" w:hAnsi="Times New Roman" w:cs="Times New Roman"/>
                          <w:sz w:val="24"/>
                          <w:szCs w:val="24"/>
                        </w:rPr>
                        <w:t>BOOT</w:t>
                      </w:r>
                      <w:r>
                        <w:rPr>
                          <w:rFonts w:ascii="Times New Roman" w:eastAsia="Times New Roman" w:hAnsi="Times New Roman" w:cs="Times New Roman"/>
                          <w:sz w:val="24"/>
                          <w:szCs w:val="24"/>
                        </w:rPr>
                        <w:t xml:space="preserve">          </w:t>
                      </w:r>
                      <w:r w:rsidRPr="00453985">
                        <w:rPr>
                          <w:rFonts w:ascii="Times New Roman" w:hAnsi="Times New Roman" w:cs="Times New Roman"/>
                          <w:sz w:val="24"/>
                          <w:szCs w:val="24"/>
                        </w:rPr>
                        <w:t xml:space="preserve"> </w:t>
                      </w:r>
                      <w:r w:rsidRPr="00B257E8">
                        <w:rPr>
                          <w:rFonts w:ascii="Times New Roman" w:hAnsi="Times New Roman" w:cs="Times New Roman"/>
                          <w:sz w:val="24"/>
                          <w:szCs w:val="24"/>
                        </w:rPr>
                        <w:t>Ndërtim-</w:t>
                      </w:r>
                      <w:r>
                        <w:rPr>
                          <w:rFonts w:ascii="Times New Roman" w:hAnsi="Times New Roman" w:cs="Times New Roman"/>
                          <w:sz w:val="24"/>
                          <w:szCs w:val="24"/>
                        </w:rPr>
                        <w:t>Zotërim-Operim-</w:t>
                      </w:r>
                      <w:r w:rsidRPr="00B257E8">
                        <w:rPr>
                          <w:rFonts w:ascii="Times New Roman" w:hAnsi="Times New Roman" w:cs="Times New Roman"/>
                          <w:sz w:val="24"/>
                          <w:szCs w:val="24"/>
                        </w:rPr>
                        <w:t>Transfer</w:t>
                      </w:r>
                      <w:r>
                        <w:rPr>
                          <w:rFonts w:ascii="Times New Roman" w:hAnsi="Times New Roman" w:cs="Times New Roman"/>
                          <w:sz w:val="24"/>
                          <w:szCs w:val="24"/>
                        </w:rPr>
                        <w:t xml:space="preserve">im </w:t>
                      </w:r>
                    </w:p>
                    <w:p w:rsidR="0025668C" w:rsidRPr="004F2C73" w:rsidRDefault="0025668C" w:rsidP="002064BE">
                      <w:pPr>
                        <w:rPr>
                          <w:rFonts w:ascii="Times New Roman" w:hAnsi="Times New Roman" w:cs="Times New Roman"/>
                          <w:sz w:val="24"/>
                        </w:rPr>
                      </w:pPr>
                      <w:r w:rsidRPr="00B257E8">
                        <w:rPr>
                          <w:rFonts w:ascii="Times New Roman" w:hAnsi="Times New Roman" w:cs="Times New Roman"/>
                          <w:sz w:val="24"/>
                          <w:szCs w:val="24"/>
                        </w:rPr>
                        <w:t>FMN             Fondi Monetar</w:t>
                      </w:r>
                      <w:r w:rsidRPr="004F2C73">
                        <w:rPr>
                          <w:rFonts w:ascii="Times New Roman" w:hAnsi="Times New Roman" w:cs="Times New Roman"/>
                          <w:sz w:val="24"/>
                        </w:rPr>
                        <w:t xml:space="preserve"> Nd</w:t>
                      </w:r>
                      <w:r>
                        <w:rPr>
                          <w:rFonts w:ascii="Times New Roman" w:hAnsi="Times New Roman" w:cs="Times New Roman"/>
                          <w:sz w:val="24"/>
                        </w:rPr>
                        <w:t>ë</w:t>
                      </w:r>
                      <w:r w:rsidRPr="004F2C73">
                        <w:rPr>
                          <w:rFonts w:ascii="Times New Roman" w:hAnsi="Times New Roman" w:cs="Times New Roman"/>
                          <w:sz w:val="24"/>
                        </w:rPr>
                        <w:t>rkomb</w:t>
                      </w:r>
                      <w:r>
                        <w:rPr>
                          <w:rFonts w:ascii="Times New Roman" w:hAnsi="Times New Roman" w:cs="Times New Roman"/>
                          <w:sz w:val="24"/>
                        </w:rPr>
                        <w:t>ë</w:t>
                      </w:r>
                      <w:r w:rsidRPr="004F2C73">
                        <w:rPr>
                          <w:rFonts w:ascii="Times New Roman" w:hAnsi="Times New Roman" w:cs="Times New Roman"/>
                          <w:sz w:val="24"/>
                        </w:rPr>
                        <w:t>tar</w:t>
                      </w:r>
                    </w:p>
                    <w:p w:rsidR="0025668C" w:rsidRDefault="0025668C" w:rsidP="00BF6B2F">
                      <w:pPr>
                        <w:rPr>
                          <w:rFonts w:ascii="Times New Roman" w:hAnsi="Times New Roman" w:cs="Times New Roman"/>
                          <w:sz w:val="24"/>
                          <w:szCs w:val="24"/>
                        </w:rPr>
                      </w:pPr>
                      <w:r>
                        <w:rPr>
                          <w:rFonts w:ascii="Times New Roman" w:hAnsi="Times New Roman" w:cs="Times New Roman"/>
                          <w:sz w:val="24"/>
                          <w:szCs w:val="24"/>
                        </w:rPr>
                        <w:t>KE                 Komisioni Europian</w:t>
                      </w:r>
                    </w:p>
                    <w:p w:rsidR="0025668C" w:rsidRDefault="0025668C" w:rsidP="00BF6B2F">
                      <w:pPr>
                        <w:rPr>
                          <w:rFonts w:ascii="Times New Roman" w:hAnsi="Times New Roman" w:cs="Times New Roman"/>
                          <w:sz w:val="24"/>
                          <w:szCs w:val="24"/>
                        </w:rPr>
                      </w:pPr>
                      <w:r>
                        <w:rPr>
                          <w:rFonts w:ascii="Times New Roman" w:hAnsi="Times New Roman" w:cs="Times New Roman"/>
                          <w:sz w:val="24"/>
                          <w:szCs w:val="24"/>
                        </w:rPr>
                        <w:t>KESH            Koorporata e Energjisë Shqiptare</w:t>
                      </w:r>
                    </w:p>
                    <w:p w:rsidR="0025668C" w:rsidRDefault="0025668C" w:rsidP="00291442">
                      <w:pPr>
                        <w:rPr>
                          <w:rFonts w:ascii="Times New Roman" w:hAnsi="Times New Roman" w:cs="Times New Roman"/>
                          <w:sz w:val="24"/>
                          <w:szCs w:val="24"/>
                        </w:rPr>
                      </w:pPr>
                      <w:r>
                        <w:rPr>
                          <w:rFonts w:ascii="Times New Roman" w:hAnsi="Times New Roman" w:cs="Times New Roman"/>
                          <w:sz w:val="24"/>
                          <w:szCs w:val="24"/>
                        </w:rPr>
                        <w:t>OECD           Organizata për Bashkëpunim dhe Zhvillim Ekonomik</w:t>
                      </w:r>
                    </w:p>
                    <w:p w:rsidR="0025668C" w:rsidRPr="00C33DAB" w:rsidRDefault="0025668C" w:rsidP="00291442">
                      <w:pPr>
                        <w:rPr>
                          <w:rFonts w:ascii="Times New Roman" w:hAnsi="Times New Roman" w:cs="Times New Roman"/>
                          <w:sz w:val="24"/>
                        </w:rPr>
                      </w:pPr>
                      <w:r>
                        <w:rPr>
                          <w:rFonts w:ascii="Times New Roman" w:hAnsi="Times New Roman" w:cs="Times New Roman"/>
                          <w:sz w:val="24"/>
                          <w:szCs w:val="24"/>
                        </w:rPr>
                        <w:t>OSHEE         Operatori i Shpërndarjes së Energjisë Elektrike</w:t>
                      </w:r>
                    </w:p>
                    <w:p w:rsidR="0025668C" w:rsidRPr="004F2C73" w:rsidRDefault="0025668C" w:rsidP="002064BE">
                      <w:pPr>
                        <w:rPr>
                          <w:rFonts w:ascii="Times New Roman" w:hAnsi="Times New Roman" w:cs="Times New Roman"/>
                          <w:sz w:val="24"/>
                        </w:rPr>
                      </w:pPr>
                      <w:r>
                        <w:rPr>
                          <w:rFonts w:ascii="Times New Roman" w:hAnsi="Times New Roman" w:cs="Times New Roman"/>
                          <w:sz w:val="24"/>
                        </w:rPr>
                        <w:t xml:space="preserve">PBB             </w:t>
                      </w:r>
                      <w:r w:rsidRPr="004F2C73">
                        <w:rPr>
                          <w:rFonts w:ascii="Times New Roman" w:hAnsi="Times New Roman" w:cs="Times New Roman"/>
                          <w:sz w:val="24"/>
                        </w:rPr>
                        <w:t xml:space="preserve"> Produkti i Brendsh</w:t>
                      </w:r>
                      <w:r>
                        <w:rPr>
                          <w:rFonts w:ascii="Times New Roman" w:hAnsi="Times New Roman" w:cs="Times New Roman"/>
                          <w:sz w:val="24"/>
                        </w:rPr>
                        <w:t>ë</w:t>
                      </w:r>
                      <w:r w:rsidRPr="004F2C73">
                        <w:rPr>
                          <w:rFonts w:ascii="Times New Roman" w:hAnsi="Times New Roman" w:cs="Times New Roman"/>
                          <w:sz w:val="24"/>
                        </w:rPr>
                        <w:t>m Bruto</w:t>
                      </w:r>
                    </w:p>
                    <w:p w:rsidR="0025668C" w:rsidRDefault="0025668C" w:rsidP="002064BE">
                      <w:pPr>
                        <w:rPr>
                          <w:rFonts w:ascii="Times New Roman" w:hAnsi="Times New Roman" w:cs="Times New Roman"/>
                          <w:sz w:val="24"/>
                        </w:rPr>
                      </w:pPr>
                      <w:r>
                        <w:rPr>
                          <w:rFonts w:ascii="Times New Roman" w:hAnsi="Times New Roman" w:cs="Times New Roman"/>
                          <w:sz w:val="24"/>
                        </w:rPr>
                        <w:t xml:space="preserve">PPP               </w:t>
                      </w:r>
                      <w:r w:rsidRPr="004F2C73">
                        <w:rPr>
                          <w:rFonts w:ascii="Times New Roman" w:hAnsi="Times New Roman" w:cs="Times New Roman"/>
                          <w:sz w:val="24"/>
                        </w:rPr>
                        <w:t xml:space="preserve">Partneriteti </w:t>
                      </w:r>
                      <w:r w:rsidRPr="00331BB5">
                        <w:rPr>
                          <w:rFonts w:ascii="Times New Roman" w:hAnsi="Times New Roman" w:cs="Times New Roman"/>
                          <w:sz w:val="24"/>
                        </w:rPr>
                        <w:t>Publik Privat</w:t>
                      </w:r>
                    </w:p>
                    <w:p w:rsidR="0025668C" w:rsidRDefault="0025668C" w:rsidP="002064BE">
                      <w:pPr>
                        <w:rPr>
                          <w:rFonts w:ascii="Times New Roman" w:hAnsi="Times New Roman" w:cs="Times New Roman"/>
                          <w:sz w:val="24"/>
                        </w:rPr>
                      </w:pPr>
                      <w:r>
                        <w:rPr>
                          <w:rFonts w:ascii="Times New Roman" w:hAnsi="Times New Roman" w:cs="Times New Roman"/>
                          <w:sz w:val="24"/>
                        </w:rPr>
                        <w:t>MFE             Ministria e Financave dhe Ekonomisë</w:t>
                      </w:r>
                    </w:p>
                    <w:p w:rsidR="0025668C" w:rsidRDefault="0025668C" w:rsidP="002064BE">
                      <w:pPr>
                        <w:rPr>
                          <w:rFonts w:ascii="Times New Roman" w:hAnsi="Times New Roman" w:cs="Times New Roman"/>
                          <w:sz w:val="24"/>
                        </w:rPr>
                      </w:pPr>
                      <w:r>
                        <w:rPr>
                          <w:rFonts w:ascii="Times New Roman" w:hAnsi="Times New Roman" w:cs="Times New Roman"/>
                          <w:sz w:val="24"/>
                        </w:rPr>
                        <w:t>MIE              Ministria e Infrastrukturës dhe Energjisë</w:t>
                      </w:r>
                    </w:p>
                    <w:p w:rsidR="0025668C" w:rsidRDefault="0025668C" w:rsidP="002064BE">
                      <w:pPr>
                        <w:rPr>
                          <w:rFonts w:ascii="Times New Roman" w:hAnsi="Times New Roman" w:cs="Times New Roman"/>
                          <w:sz w:val="24"/>
                        </w:rPr>
                      </w:pPr>
                      <w:r>
                        <w:rPr>
                          <w:rFonts w:ascii="Times New Roman" w:hAnsi="Times New Roman" w:cs="Times New Roman"/>
                          <w:sz w:val="24"/>
                        </w:rPr>
                        <w:t>MSHMS       Ministria e Shëndetësisë dhe Mbrojtjes  Sociale</w:t>
                      </w:r>
                    </w:p>
                    <w:p w:rsidR="0025668C" w:rsidRDefault="0025668C" w:rsidP="002064BE">
                      <w:pPr>
                        <w:rPr>
                          <w:rFonts w:ascii="Times New Roman" w:hAnsi="Times New Roman" w:cs="Times New Roman"/>
                          <w:sz w:val="24"/>
                        </w:rPr>
                      </w:pPr>
                      <w:r>
                        <w:rPr>
                          <w:rFonts w:ascii="Times New Roman" w:hAnsi="Times New Roman" w:cs="Times New Roman"/>
                          <w:sz w:val="24"/>
                        </w:rPr>
                        <w:t>ROT             Rehabilitim- Operim- Transferim</w:t>
                      </w:r>
                    </w:p>
                    <w:p w:rsidR="0025668C" w:rsidRDefault="0025668C" w:rsidP="002064BE">
                      <w:pPr>
                        <w:rPr>
                          <w:rFonts w:ascii="Times New Roman" w:hAnsi="Times New Roman" w:cs="Times New Roman"/>
                          <w:sz w:val="24"/>
                        </w:rPr>
                      </w:pPr>
                      <w:r>
                        <w:rPr>
                          <w:rFonts w:ascii="Times New Roman" w:hAnsi="Times New Roman" w:cs="Times New Roman"/>
                          <w:sz w:val="24"/>
                        </w:rPr>
                        <w:t>RVP              Raporti Vjetor i Përmbledhur</w:t>
                      </w:r>
                    </w:p>
                    <w:p w:rsidR="0025668C" w:rsidRDefault="0025668C" w:rsidP="002064BE">
                      <w:pPr>
                        <w:rPr>
                          <w:rFonts w:ascii="Times New Roman" w:hAnsi="Times New Roman" w:cs="Times New Roman"/>
                          <w:sz w:val="24"/>
                        </w:rPr>
                      </w:pPr>
                      <w:r>
                        <w:rPr>
                          <w:rFonts w:ascii="Times New Roman" w:hAnsi="Times New Roman" w:cs="Times New Roman"/>
                          <w:sz w:val="24"/>
                        </w:rPr>
                        <w:t>SMS             Sistemi i Menaxhimit të Sigurisë</w:t>
                      </w:r>
                    </w:p>
                    <w:p w:rsidR="0025668C" w:rsidRDefault="0025668C" w:rsidP="002064BE">
                      <w:pPr>
                        <w:rPr>
                          <w:rFonts w:ascii="Times New Roman" w:hAnsi="Times New Roman" w:cs="Times New Roman"/>
                          <w:sz w:val="24"/>
                          <w:szCs w:val="24"/>
                        </w:rPr>
                      </w:pPr>
                      <w:r>
                        <w:rPr>
                          <w:rFonts w:ascii="Times New Roman" w:hAnsi="Times New Roman" w:cs="Times New Roman"/>
                          <w:sz w:val="24"/>
                          <w:szCs w:val="24"/>
                        </w:rPr>
                        <w:t>SPV              Subjekti për Qëllime të V</w:t>
                      </w:r>
                      <w:r w:rsidRPr="00C33DAB">
                        <w:rPr>
                          <w:rFonts w:ascii="Times New Roman" w:hAnsi="Times New Roman" w:cs="Times New Roman"/>
                          <w:sz w:val="24"/>
                          <w:szCs w:val="24"/>
                        </w:rPr>
                        <w:t>eçanta</w:t>
                      </w:r>
                    </w:p>
                    <w:p w:rsidR="0025668C" w:rsidRPr="00331BB5" w:rsidRDefault="0025668C" w:rsidP="002064BE">
                      <w:pPr>
                        <w:rPr>
                          <w:rFonts w:ascii="Times New Roman" w:hAnsi="Times New Roman" w:cs="Times New Roman"/>
                          <w:sz w:val="24"/>
                        </w:rPr>
                      </w:pPr>
                    </w:p>
                  </w:txbxContent>
                </v:textbox>
              </v:shape>
            </w:pict>
          </mc:Fallback>
        </mc:AlternateContent>
      </w:r>
    </w:p>
    <w:p w14:paraId="1AD4AF6D" w14:textId="77777777" w:rsidR="002064BE" w:rsidRPr="009E599C" w:rsidRDefault="002064BE" w:rsidP="002064BE">
      <w:pPr>
        <w:rPr>
          <w:rFonts w:ascii="Times New Roman" w:hAnsi="Times New Roman" w:cs="Times New Roman"/>
          <w:b/>
        </w:rPr>
      </w:pPr>
    </w:p>
    <w:p w14:paraId="6C5AA058" w14:textId="77777777" w:rsidR="002064BE" w:rsidRPr="009E599C" w:rsidRDefault="002064BE" w:rsidP="002064BE">
      <w:pPr>
        <w:rPr>
          <w:rFonts w:ascii="Times New Roman" w:hAnsi="Times New Roman" w:cs="Times New Roman"/>
          <w:b/>
        </w:rPr>
      </w:pPr>
    </w:p>
    <w:p w14:paraId="6BC62F33" w14:textId="77777777" w:rsidR="002064BE" w:rsidRPr="009E599C" w:rsidRDefault="002064BE" w:rsidP="002064BE">
      <w:pPr>
        <w:rPr>
          <w:rFonts w:ascii="Times New Roman" w:hAnsi="Times New Roman" w:cs="Times New Roman"/>
          <w:b/>
        </w:rPr>
      </w:pPr>
    </w:p>
    <w:p w14:paraId="2D0DB2A3" w14:textId="77777777" w:rsidR="002064BE" w:rsidRPr="009E599C" w:rsidRDefault="002064BE" w:rsidP="002064BE">
      <w:pPr>
        <w:rPr>
          <w:rFonts w:ascii="Times New Roman" w:hAnsi="Times New Roman" w:cs="Times New Roman"/>
          <w:b/>
        </w:rPr>
      </w:pPr>
    </w:p>
    <w:p w14:paraId="018ADB7B" w14:textId="77777777" w:rsidR="002064BE" w:rsidRPr="009E599C" w:rsidRDefault="002064BE" w:rsidP="002064BE">
      <w:pPr>
        <w:rPr>
          <w:rFonts w:ascii="Times New Roman" w:hAnsi="Times New Roman" w:cs="Times New Roman"/>
          <w:b/>
        </w:rPr>
      </w:pPr>
    </w:p>
    <w:p w14:paraId="47129D01" w14:textId="77777777" w:rsidR="002064BE" w:rsidRPr="009E599C" w:rsidRDefault="002064BE" w:rsidP="002064BE">
      <w:pPr>
        <w:rPr>
          <w:rFonts w:ascii="Times New Roman" w:hAnsi="Times New Roman" w:cs="Times New Roman"/>
          <w:b/>
        </w:rPr>
      </w:pPr>
    </w:p>
    <w:p w14:paraId="301E065C" w14:textId="77777777" w:rsidR="002064BE" w:rsidRPr="009E599C" w:rsidRDefault="002064BE" w:rsidP="002064BE">
      <w:pPr>
        <w:rPr>
          <w:rFonts w:ascii="Times New Roman" w:hAnsi="Times New Roman" w:cs="Times New Roman"/>
          <w:b/>
        </w:rPr>
      </w:pPr>
    </w:p>
    <w:p w14:paraId="0AE6B1F2" w14:textId="77777777" w:rsidR="002064BE" w:rsidRPr="009E599C" w:rsidRDefault="002064BE" w:rsidP="002064BE">
      <w:pPr>
        <w:rPr>
          <w:rFonts w:ascii="Times New Roman" w:hAnsi="Times New Roman" w:cs="Times New Roman"/>
          <w:b/>
        </w:rPr>
      </w:pPr>
    </w:p>
    <w:p w14:paraId="4F453F12" w14:textId="77777777" w:rsidR="002064BE" w:rsidRPr="009E599C" w:rsidRDefault="002064BE" w:rsidP="002064BE">
      <w:pPr>
        <w:rPr>
          <w:rFonts w:ascii="Times New Roman" w:hAnsi="Times New Roman" w:cs="Times New Roman"/>
          <w:b/>
        </w:rPr>
      </w:pPr>
    </w:p>
    <w:p w14:paraId="2E916B2F" w14:textId="77777777" w:rsidR="002064BE" w:rsidRPr="009E599C" w:rsidRDefault="002064BE" w:rsidP="002064BE">
      <w:pPr>
        <w:rPr>
          <w:rFonts w:ascii="Times New Roman" w:hAnsi="Times New Roman" w:cs="Times New Roman"/>
          <w:b/>
        </w:rPr>
      </w:pPr>
    </w:p>
    <w:p w14:paraId="1BC9B528" w14:textId="77777777" w:rsidR="002064BE" w:rsidRPr="009E599C" w:rsidRDefault="002064BE" w:rsidP="002064BE">
      <w:pPr>
        <w:rPr>
          <w:rFonts w:ascii="Times New Roman" w:hAnsi="Times New Roman" w:cs="Times New Roman"/>
          <w:b/>
        </w:rPr>
      </w:pPr>
    </w:p>
    <w:p w14:paraId="24377329" w14:textId="77777777" w:rsidR="002064BE" w:rsidRPr="009E599C" w:rsidRDefault="002064BE" w:rsidP="002064BE">
      <w:pPr>
        <w:rPr>
          <w:rFonts w:ascii="Times New Roman" w:hAnsi="Times New Roman" w:cs="Times New Roman"/>
          <w:b/>
          <w:color w:val="000000" w:themeColor="text1"/>
        </w:rPr>
      </w:pPr>
    </w:p>
    <w:p w14:paraId="7E49A523" w14:textId="77777777" w:rsidR="002064BE" w:rsidRPr="009E599C" w:rsidRDefault="002064BE" w:rsidP="002064BE">
      <w:pPr>
        <w:rPr>
          <w:rFonts w:ascii="Times New Roman" w:hAnsi="Times New Roman" w:cs="Times New Roman"/>
        </w:rPr>
      </w:pPr>
    </w:p>
    <w:p w14:paraId="6A512739" w14:textId="77777777" w:rsidR="002064BE" w:rsidRPr="009E599C" w:rsidRDefault="002064BE" w:rsidP="002064BE">
      <w:pPr>
        <w:rPr>
          <w:rFonts w:ascii="Times New Roman" w:hAnsi="Times New Roman" w:cs="Times New Roman"/>
        </w:rPr>
      </w:pPr>
    </w:p>
    <w:p w14:paraId="465AAB1F" w14:textId="77777777" w:rsidR="002064BE" w:rsidRPr="009E599C" w:rsidRDefault="002064BE" w:rsidP="002064BE">
      <w:pPr>
        <w:rPr>
          <w:rFonts w:ascii="Times New Roman" w:hAnsi="Times New Roman" w:cs="Times New Roman"/>
        </w:rPr>
      </w:pPr>
    </w:p>
    <w:p w14:paraId="1F638FF1" w14:textId="77777777" w:rsidR="002064BE" w:rsidRPr="009E599C" w:rsidRDefault="002064BE" w:rsidP="002064BE">
      <w:pPr>
        <w:rPr>
          <w:rFonts w:ascii="Times New Roman" w:hAnsi="Times New Roman" w:cs="Times New Roman"/>
        </w:rPr>
      </w:pPr>
    </w:p>
    <w:p w14:paraId="4995D58F" w14:textId="77777777" w:rsidR="002064BE" w:rsidRPr="009E599C" w:rsidRDefault="002064BE" w:rsidP="002064BE">
      <w:pPr>
        <w:rPr>
          <w:rFonts w:ascii="Times New Roman" w:hAnsi="Times New Roman" w:cs="Times New Roman"/>
        </w:rPr>
      </w:pPr>
    </w:p>
    <w:p w14:paraId="142EB3F5" w14:textId="77777777" w:rsidR="002064BE" w:rsidRPr="009E599C" w:rsidRDefault="002064BE" w:rsidP="002064BE">
      <w:pPr>
        <w:rPr>
          <w:rFonts w:ascii="Times New Roman" w:hAnsi="Times New Roman" w:cs="Times New Roman"/>
        </w:rPr>
      </w:pPr>
    </w:p>
    <w:p w14:paraId="5EBA6BC9" w14:textId="77777777" w:rsidR="002064BE" w:rsidRPr="009E599C" w:rsidRDefault="002064BE" w:rsidP="002064BE">
      <w:pPr>
        <w:rPr>
          <w:rFonts w:ascii="Times New Roman" w:hAnsi="Times New Roman" w:cs="Times New Roman"/>
        </w:rPr>
      </w:pPr>
    </w:p>
    <w:p w14:paraId="30C5D72F" w14:textId="77777777" w:rsidR="002064BE" w:rsidRPr="009E599C" w:rsidRDefault="002064BE" w:rsidP="002064BE">
      <w:pPr>
        <w:rPr>
          <w:rFonts w:ascii="Times New Roman" w:hAnsi="Times New Roman" w:cs="Times New Roman"/>
        </w:rPr>
      </w:pPr>
    </w:p>
    <w:p w14:paraId="30DD05C2" w14:textId="77777777" w:rsidR="002064BE" w:rsidRPr="009E599C" w:rsidRDefault="002064BE" w:rsidP="002064BE">
      <w:pPr>
        <w:rPr>
          <w:rFonts w:ascii="Times New Roman" w:hAnsi="Times New Roman" w:cs="Times New Roman"/>
        </w:rPr>
      </w:pPr>
    </w:p>
    <w:p w14:paraId="2A32BB98" w14:textId="77777777" w:rsidR="002064BE" w:rsidRPr="009E599C" w:rsidRDefault="002064BE" w:rsidP="002064BE">
      <w:pPr>
        <w:rPr>
          <w:rFonts w:ascii="Times New Roman" w:hAnsi="Times New Roman" w:cs="Times New Roman"/>
        </w:rPr>
      </w:pPr>
    </w:p>
    <w:p w14:paraId="77538112" w14:textId="77777777" w:rsidR="002064BE" w:rsidRPr="009E599C" w:rsidRDefault="002064BE" w:rsidP="002064BE">
      <w:pPr>
        <w:tabs>
          <w:tab w:val="left" w:pos="3553"/>
        </w:tabs>
        <w:rPr>
          <w:rFonts w:ascii="Times New Roman" w:hAnsi="Times New Roman" w:cs="Times New Roman"/>
        </w:rPr>
      </w:pPr>
      <w:r w:rsidRPr="009E599C">
        <w:rPr>
          <w:rFonts w:ascii="Times New Roman" w:hAnsi="Times New Roman" w:cs="Times New Roman"/>
        </w:rPr>
        <w:tab/>
      </w:r>
    </w:p>
    <w:p w14:paraId="598B7AFC" w14:textId="77777777" w:rsidR="00E72701" w:rsidRPr="009E599C" w:rsidRDefault="00E72701" w:rsidP="002064BE">
      <w:pPr>
        <w:tabs>
          <w:tab w:val="left" w:pos="3553"/>
        </w:tabs>
        <w:rPr>
          <w:rFonts w:ascii="Times New Roman" w:hAnsi="Times New Roman" w:cs="Times New Roman"/>
          <w:b/>
          <w:color w:val="4A442A" w:themeColor="background2" w:themeShade="40"/>
        </w:rPr>
      </w:pPr>
    </w:p>
    <w:p w14:paraId="56FA01AB" w14:textId="77777777" w:rsidR="002064BE" w:rsidRPr="009B6417" w:rsidRDefault="002064BE" w:rsidP="009E599C">
      <w:pPr>
        <w:pStyle w:val="Heading1"/>
        <w:rPr>
          <w:rFonts w:ascii="Times New Roman" w:hAnsi="Times New Roman" w:cs="Times New Roman"/>
          <w:b/>
          <w:i/>
          <w:sz w:val="24"/>
          <w:szCs w:val="24"/>
        </w:rPr>
      </w:pPr>
      <w:bookmarkStart w:id="3" w:name="_Toc37196682"/>
      <w:r w:rsidRPr="009B6417">
        <w:rPr>
          <w:rFonts w:ascii="Times New Roman" w:hAnsi="Times New Roman" w:cs="Times New Roman"/>
          <w:b/>
          <w:i/>
          <w:sz w:val="24"/>
          <w:szCs w:val="24"/>
        </w:rPr>
        <w:lastRenderedPageBreak/>
        <w:t>Shpjegim i termave</w:t>
      </w:r>
      <w:bookmarkEnd w:id="3"/>
    </w:p>
    <w:p w14:paraId="501EDB15" w14:textId="77777777" w:rsidR="00B257E8" w:rsidRPr="009B6417" w:rsidRDefault="00B257E8" w:rsidP="00B257E8">
      <w:pPr>
        <w:rPr>
          <w:rFonts w:ascii="Times New Roman" w:hAnsi="Times New Roman" w:cs="Times New Roman"/>
          <w:sz w:val="24"/>
          <w:szCs w:val="24"/>
        </w:rPr>
      </w:pPr>
    </w:p>
    <w:p w14:paraId="4AC785ED" w14:textId="77777777" w:rsidR="00E94601" w:rsidRPr="009B6417" w:rsidRDefault="002F3DB9" w:rsidP="00E8327E">
      <w:pPr>
        <w:pStyle w:val="ListParagraph"/>
        <w:numPr>
          <w:ilvl w:val="0"/>
          <w:numId w:val="1"/>
        </w:numPr>
        <w:ind w:left="450"/>
        <w:jc w:val="both"/>
        <w:rPr>
          <w:rFonts w:ascii="Times New Roman" w:hAnsi="Times New Roman" w:cs="Times New Roman"/>
          <w:sz w:val="24"/>
          <w:szCs w:val="24"/>
        </w:rPr>
      </w:pPr>
      <w:r w:rsidRPr="009B6417">
        <w:rPr>
          <w:rFonts w:ascii="Times New Roman" w:hAnsi="Times New Roman" w:cs="Times New Roman"/>
          <w:b/>
          <w:sz w:val="24"/>
          <w:szCs w:val="24"/>
        </w:rPr>
        <w:t>Raporti Vjetor i Përmbledhur (RVP)</w:t>
      </w:r>
      <w:r w:rsidRPr="009B6417">
        <w:rPr>
          <w:rFonts w:ascii="Times New Roman" w:hAnsi="Times New Roman" w:cs="Times New Roman"/>
          <w:sz w:val="24"/>
          <w:szCs w:val="24"/>
        </w:rPr>
        <w:t xml:space="preserve"> është një dokument i Ministrisë së Financave dhe E</w:t>
      </w:r>
      <w:r w:rsidR="008D0F72" w:rsidRPr="009B6417">
        <w:rPr>
          <w:rFonts w:ascii="Times New Roman" w:hAnsi="Times New Roman" w:cs="Times New Roman"/>
          <w:sz w:val="24"/>
          <w:szCs w:val="24"/>
        </w:rPr>
        <w:t xml:space="preserve">konomisë që përfshin mbledhjen </w:t>
      </w:r>
      <w:r w:rsidRPr="009B6417">
        <w:rPr>
          <w:rFonts w:ascii="Times New Roman" w:hAnsi="Times New Roman" w:cs="Times New Roman"/>
          <w:sz w:val="24"/>
          <w:szCs w:val="24"/>
        </w:rPr>
        <w:t>dhe raportimin e të dhënave të ecurisë dhe performanc</w:t>
      </w:r>
      <w:r w:rsidR="007279A8" w:rsidRPr="009B6417">
        <w:rPr>
          <w:rFonts w:ascii="Times New Roman" w:hAnsi="Times New Roman" w:cs="Times New Roman"/>
          <w:sz w:val="24"/>
          <w:szCs w:val="24"/>
        </w:rPr>
        <w:t>ë</w:t>
      </w:r>
      <w:r w:rsidRPr="009B6417">
        <w:rPr>
          <w:rFonts w:ascii="Times New Roman" w:hAnsi="Times New Roman" w:cs="Times New Roman"/>
          <w:sz w:val="24"/>
          <w:szCs w:val="24"/>
        </w:rPr>
        <w:t>s financiare dhe jofinancia</w:t>
      </w:r>
      <w:r w:rsidR="0054127B">
        <w:rPr>
          <w:rFonts w:ascii="Times New Roman" w:hAnsi="Times New Roman" w:cs="Times New Roman"/>
          <w:sz w:val="24"/>
          <w:szCs w:val="24"/>
        </w:rPr>
        <w:t>re të kontratave të koncesioneve/</w:t>
      </w:r>
      <w:r w:rsidRPr="009B6417">
        <w:rPr>
          <w:rFonts w:ascii="Times New Roman" w:hAnsi="Times New Roman" w:cs="Times New Roman"/>
          <w:sz w:val="24"/>
          <w:szCs w:val="24"/>
        </w:rPr>
        <w:t>PPP</w:t>
      </w:r>
      <w:r w:rsidR="0054127B">
        <w:rPr>
          <w:rFonts w:ascii="Times New Roman" w:hAnsi="Times New Roman" w:cs="Times New Roman"/>
          <w:sz w:val="24"/>
          <w:szCs w:val="24"/>
        </w:rPr>
        <w:t>,</w:t>
      </w:r>
      <w:r w:rsidR="007128E4" w:rsidRPr="009B6417">
        <w:rPr>
          <w:rFonts w:ascii="Times New Roman" w:hAnsi="Times New Roman" w:cs="Times New Roman"/>
          <w:sz w:val="24"/>
          <w:szCs w:val="24"/>
        </w:rPr>
        <w:t xml:space="preserve"> i cili synon të sigurojë që risqet kryesore fiskale nga kontratat e kon</w:t>
      </w:r>
      <w:r w:rsidR="00E94601" w:rsidRPr="009B6417">
        <w:rPr>
          <w:rFonts w:ascii="Times New Roman" w:hAnsi="Times New Roman" w:cs="Times New Roman"/>
          <w:sz w:val="24"/>
          <w:szCs w:val="24"/>
        </w:rPr>
        <w:t xml:space="preserve">cesionit/PPP janë identifikuar </w:t>
      </w:r>
      <w:r w:rsidR="007128E4" w:rsidRPr="009B6417">
        <w:rPr>
          <w:rFonts w:ascii="Times New Roman" w:hAnsi="Times New Roman" w:cs="Times New Roman"/>
          <w:sz w:val="24"/>
          <w:szCs w:val="24"/>
        </w:rPr>
        <w:t>dhe rap</w:t>
      </w:r>
      <w:r w:rsidR="00E94601" w:rsidRPr="009B6417">
        <w:rPr>
          <w:rFonts w:ascii="Times New Roman" w:hAnsi="Times New Roman" w:cs="Times New Roman"/>
          <w:sz w:val="24"/>
          <w:szCs w:val="24"/>
        </w:rPr>
        <w:t>ortuar në mënyrë sistematike</w:t>
      </w:r>
      <w:r w:rsidR="007128E4" w:rsidRPr="009B6417">
        <w:rPr>
          <w:rFonts w:ascii="Times New Roman" w:hAnsi="Times New Roman" w:cs="Times New Roman"/>
          <w:sz w:val="24"/>
          <w:szCs w:val="24"/>
        </w:rPr>
        <w:t>.</w:t>
      </w:r>
      <w:r w:rsidR="00E94601" w:rsidRPr="009B6417">
        <w:rPr>
          <w:rFonts w:ascii="Times New Roman" w:hAnsi="Times New Roman" w:cs="Times New Roman"/>
          <w:sz w:val="24"/>
          <w:szCs w:val="24"/>
        </w:rPr>
        <w:t xml:space="preserve"> </w:t>
      </w:r>
    </w:p>
    <w:p w14:paraId="6369B202" w14:textId="77777777" w:rsidR="002064BE" w:rsidRPr="009B6417" w:rsidRDefault="002064BE" w:rsidP="002064BE">
      <w:pPr>
        <w:pStyle w:val="ListParagraph"/>
        <w:numPr>
          <w:ilvl w:val="0"/>
          <w:numId w:val="1"/>
        </w:numPr>
        <w:ind w:left="360"/>
        <w:jc w:val="both"/>
        <w:rPr>
          <w:rFonts w:ascii="Times New Roman" w:hAnsi="Times New Roman" w:cs="Times New Roman"/>
          <w:sz w:val="24"/>
          <w:szCs w:val="24"/>
        </w:rPr>
      </w:pPr>
      <w:r w:rsidRPr="009B6417">
        <w:rPr>
          <w:rFonts w:ascii="Times New Roman" w:hAnsi="Times New Roman" w:cs="Times New Roman"/>
          <w:b/>
          <w:sz w:val="24"/>
          <w:szCs w:val="24"/>
        </w:rPr>
        <w:t>“Koncesioni i punëve/shërbimeve publike"</w:t>
      </w:r>
      <w:r w:rsidRPr="009B6417">
        <w:rPr>
          <w:rFonts w:ascii="Times New Roman" w:hAnsi="Times New Roman" w:cs="Times New Roman"/>
          <w:sz w:val="24"/>
          <w:szCs w:val="24"/>
        </w:rPr>
        <w:t xml:space="preserve"> është një marrëveshje me interes financiar, e lidhur me shkrim ndërmjet autoritetit kontraktues dhe një ose më shumë operatorëve ekonomikë, objekti i së cilës është kryerja e punimeve, ku shpërblimi për punimet/shërbimet që duhet të kryhen përbëhet nga e drejta për të shfrytëzuar veprat/ shërbimet që janë objekt i kontratës ose nga kjo e drejtë së bashku me pagesën.</w:t>
      </w:r>
    </w:p>
    <w:p w14:paraId="68DED98E" w14:textId="77777777" w:rsidR="002064BE" w:rsidRPr="009B6417" w:rsidRDefault="002064BE" w:rsidP="002064BE">
      <w:pPr>
        <w:pStyle w:val="ListParagraph"/>
        <w:numPr>
          <w:ilvl w:val="0"/>
          <w:numId w:val="1"/>
        </w:numPr>
        <w:ind w:left="360"/>
        <w:jc w:val="both"/>
        <w:rPr>
          <w:rFonts w:ascii="Times New Roman" w:hAnsi="Times New Roman" w:cs="Times New Roman"/>
          <w:sz w:val="24"/>
          <w:szCs w:val="24"/>
        </w:rPr>
      </w:pPr>
      <w:r w:rsidRPr="009B6417">
        <w:rPr>
          <w:rFonts w:ascii="Times New Roman" w:hAnsi="Times New Roman" w:cs="Times New Roman"/>
          <w:b/>
          <w:sz w:val="24"/>
          <w:szCs w:val="24"/>
        </w:rPr>
        <w:t>"Koncesionari"</w:t>
      </w:r>
      <w:r w:rsidRPr="009B6417">
        <w:rPr>
          <w:rFonts w:ascii="Times New Roman" w:hAnsi="Times New Roman" w:cs="Times New Roman"/>
          <w:sz w:val="24"/>
          <w:szCs w:val="24"/>
        </w:rPr>
        <w:t xml:space="preserve"> është operatori ekonomik ose subjekti për qëllime të veçanta, me të cilin autoriteti kontraktues ka nënshkruar një kontratë koncesioni.</w:t>
      </w:r>
    </w:p>
    <w:p w14:paraId="484D0CD4" w14:textId="77777777" w:rsidR="002064BE" w:rsidRPr="009B6417" w:rsidRDefault="002064BE" w:rsidP="002064BE">
      <w:pPr>
        <w:pStyle w:val="ListParagraph"/>
        <w:numPr>
          <w:ilvl w:val="0"/>
          <w:numId w:val="1"/>
        </w:numPr>
        <w:ind w:left="360"/>
        <w:jc w:val="both"/>
        <w:rPr>
          <w:rFonts w:ascii="Times New Roman" w:hAnsi="Times New Roman" w:cs="Times New Roman"/>
          <w:sz w:val="24"/>
          <w:szCs w:val="24"/>
        </w:rPr>
      </w:pPr>
      <w:r w:rsidRPr="009B6417">
        <w:rPr>
          <w:rFonts w:ascii="Times New Roman" w:hAnsi="Times New Roman" w:cs="Times New Roman"/>
          <w:b/>
          <w:sz w:val="24"/>
          <w:szCs w:val="24"/>
        </w:rPr>
        <w:t xml:space="preserve">“Subjekti për qëllime të veçanta (SPV)” </w:t>
      </w:r>
      <w:r w:rsidRPr="009B6417">
        <w:rPr>
          <w:rFonts w:ascii="Times New Roman" w:hAnsi="Times New Roman" w:cs="Times New Roman"/>
          <w:sz w:val="24"/>
          <w:szCs w:val="24"/>
        </w:rPr>
        <w:t>është:</w:t>
      </w:r>
    </w:p>
    <w:p w14:paraId="4EF1FE9A" w14:textId="77777777" w:rsidR="002064BE" w:rsidRPr="009B6417" w:rsidRDefault="002064BE" w:rsidP="002064BE">
      <w:pPr>
        <w:pStyle w:val="ListParagraph"/>
        <w:ind w:left="360"/>
        <w:jc w:val="both"/>
        <w:rPr>
          <w:rFonts w:ascii="Times New Roman" w:hAnsi="Times New Roman" w:cs="Times New Roman"/>
          <w:sz w:val="24"/>
          <w:szCs w:val="24"/>
        </w:rPr>
      </w:pPr>
      <w:r w:rsidRPr="009B6417">
        <w:rPr>
          <w:rFonts w:ascii="Times New Roman" w:hAnsi="Times New Roman" w:cs="Times New Roman"/>
          <w:sz w:val="24"/>
          <w:szCs w:val="24"/>
        </w:rPr>
        <w:t>a) një person juridik privat, me seli në Republikën e Shqipërisë, i krijuar me kërkesë të autoritetit kontraktues nga operatori ekonomik i zgjedhur si ofertuesi më i suksesshëm, me të cilin lidhet kontrata.</w:t>
      </w:r>
    </w:p>
    <w:p w14:paraId="34C12EC4" w14:textId="77777777" w:rsidR="002064BE" w:rsidRPr="009B6417" w:rsidRDefault="002064BE" w:rsidP="002064BE">
      <w:pPr>
        <w:pStyle w:val="ListParagraph"/>
        <w:ind w:left="360"/>
        <w:jc w:val="both"/>
        <w:rPr>
          <w:rFonts w:ascii="Times New Roman" w:hAnsi="Times New Roman" w:cs="Times New Roman"/>
          <w:sz w:val="24"/>
          <w:szCs w:val="24"/>
        </w:rPr>
      </w:pPr>
      <w:r w:rsidRPr="009B6417">
        <w:rPr>
          <w:rFonts w:ascii="Times New Roman" w:hAnsi="Times New Roman" w:cs="Times New Roman"/>
          <w:sz w:val="24"/>
          <w:szCs w:val="24"/>
        </w:rPr>
        <w:t>b) një formë e partneritetit publik privat që konsiston në krijimin e një entiteti të përbashkët të partnerit publik dhe atij privat, që kryen punë apo shërbime në bazë të një kontrate koncesioni /PPP dhe ku kontributi i partnerit privat konsiston përveç kontributit në kapital apo asete, edhe në</w:t>
      </w:r>
      <w:r w:rsidR="00E46A9F">
        <w:rPr>
          <w:rFonts w:ascii="Times New Roman" w:hAnsi="Times New Roman" w:cs="Times New Roman"/>
          <w:sz w:val="24"/>
          <w:szCs w:val="24"/>
        </w:rPr>
        <w:t xml:space="preserve"> </w:t>
      </w:r>
      <w:r w:rsidRPr="009B6417">
        <w:rPr>
          <w:rFonts w:ascii="Times New Roman" w:hAnsi="Times New Roman" w:cs="Times New Roman"/>
          <w:sz w:val="24"/>
          <w:szCs w:val="24"/>
        </w:rPr>
        <w:t>pjesëmarrje aktive në menaxhimin e kontratës së koncesionit /PPP. Injektimet e thjeshta të kapitalit nga investitorët privatë në kompanitë shtetërore nuk përbëjnë SPV.</w:t>
      </w:r>
    </w:p>
    <w:p w14:paraId="722BE05A" w14:textId="77777777" w:rsidR="002064BE" w:rsidRPr="009B6417" w:rsidRDefault="002064BE" w:rsidP="002064BE">
      <w:pPr>
        <w:pStyle w:val="ListParagraph"/>
        <w:numPr>
          <w:ilvl w:val="0"/>
          <w:numId w:val="1"/>
        </w:numPr>
        <w:ind w:left="360"/>
        <w:jc w:val="both"/>
        <w:rPr>
          <w:rFonts w:ascii="Times New Roman" w:hAnsi="Times New Roman" w:cs="Times New Roman"/>
          <w:sz w:val="24"/>
          <w:szCs w:val="24"/>
        </w:rPr>
      </w:pPr>
      <w:r w:rsidRPr="009B6417">
        <w:rPr>
          <w:rFonts w:ascii="Times New Roman" w:hAnsi="Times New Roman" w:cs="Times New Roman"/>
          <w:b/>
          <w:sz w:val="24"/>
          <w:szCs w:val="24"/>
        </w:rPr>
        <w:t>"Propozim i pakërkuar"</w:t>
      </w:r>
      <w:r w:rsidRPr="009B6417">
        <w:rPr>
          <w:rFonts w:ascii="Times New Roman" w:hAnsi="Times New Roman" w:cs="Times New Roman"/>
          <w:sz w:val="24"/>
          <w:szCs w:val="24"/>
        </w:rPr>
        <w:t xml:space="preserve"> është propozimi për të marrë përsipër projekte koncesioni, i cili nuk ka ardhur në përgjigje të një kërkese të bërë nga autoriteti kontraktues, në kuadër të një procedure përzgjedhëse konkurruese.</w:t>
      </w:r>
    </w:p>
    <w:p w14:paraId="184AE405" w14:textId="77777777" w:rsidR="002064BE" w:rsidRPr="009B6417" w:rsidRDefault="002064BE" w:rsidP="002064BE">
      <w:pPr>
        <w:pStyle w:val="ListParagraph"/>
        <w:numPr>
          <w:ilvl w:val="0"/>
          <w:numId w:val="1"/>
        </w:numPr>
        <w:ind w:left="360"/>
        <w:jc w:val="both"/>
        <w:rPr>
          <w:rFonts w:ascii="Times New Roman" w:hAnsi="Times New Roman" w:cs="Times New Roman"/>
          <w:sz w:val="24"/>
          <w:szCs w:val="24"/>
        </w:rPr>
      </w:pPr>
      <w:r w:rsidRPr="009B6417">
        <w:rPr>
          <w:rFonts w:ascii="Times New Roman" w:hAnsi="Times New Roman" w:cs="Times New Roman"/>
          <w:b/>
          <w:sz w:val="24"/>
          <w:szCs w:val="24"/>
        </w:rPr>
        <w:t>"Mbështetja financiare"</w:t>
      </w:r>
      <w:r w:rsidRPr="009B6417">
        <w:rPr>
          <w:rFonts w:ascii="Times New Roman" w:hAnsi="Times New Roman" w:cs="Times New Roman"/>
          <w:sz w:val="24"/>
          <w:szCs w:val="24"/>
        </w:rPr>
        <w:t xml:space="preserve"> është lloji i mbështetjes monetare ose jomonetare dhe/ose financimi i dhënë nga sektori publik, duke përfshirë, por pa u kufizuar, subvencione, garanci financiare apo të tjera, kontribute kapitale dhe transferim të të drejtave të pronësisë.</w:t>
      </w:r>
    </w:p>
    <w:p w14:paraId="0C1A4918" w14:textId="77777777" w:rsidR="002064BE" w:rsidRPr="009B6417" w:rsidRDefault="002064BE" w:rsidP="002064BE">
      <w:pPr>
        <w:pStyle w:val="ListParagraph"/>
        <w:numPr>
          <w:ilvl w:val="0"/>
          <w:numId w:val="1"/>
        </w:numPr>
        <w:ind w:left="360"/>
        <w:jc w:val="both"/>
        <w:rPr>
          <w:rFonts w:ascii="Times New Roman" w:hAnsi="Times New Roman" w:cs="Times New Roman"/>
          <w:sz w:val="24"/>
          <w:szCs w:val="24"/>
        </w:rPr>
      </w:pPr>
      <w:r w:rsidRPr="009B6417">
        <w:rPr>
          <w:rFonts w:ascii="Times New Roman" w:hAnsi="Times New Roman" w:cs="Times New Roman"/>
          <w:b/>
          <w:sz w:val="24"/>
          <w:szCs w:val="24"/>
        </w:rPr>
        <w:t>"Vlera e parasë"</w:t>
      </w:r>
      <w:r w:rsidRPr="009B6417">
        <w:rPr>
          <w:rFonts w:ascii="Times New Roman" w:hAnsi="Times New Roman" w:cs="Times New Roman"/>
          <w:sz w:val="24"/>
          <w:szCs w:val="24"/>
        </w:rPr>
        <w:t xml:space="preserve"> është një term, i cili përdoret për të përcaktuar nëse autoriteti kontraktues ka marrë fitimet maksimale të mundshme nga punët apo shërbimet e dhëna me koncesion/partneritet publik privat. Ky term nuk kufizohet në masën e vlerës së parasë së punëve/shërbi</w:t>
      </w:r>
      <w:r w:rsidR="00784B22">
        <w:rPr>
          <w:rFonts w:ascii="Times New Roman" w:hAnsi="Times New Roman" w:cs="Times New Roman"/>
          <w:sz w:val="24"/>
          <w:szCs w:val="24"/>
        </w:rPr>
        <w:t>meve, por përfshin</w:t>
      </w:r>
      <w:r w:rsidRPr="009B6417">
        <w:rPr>
          <w:rFonts w:ascii="Times New Roman" w:hAnsi="Times New Roman" w:cs="Times New Roman"/>
          <w:sz w:val="24"/>
          <w:szCs w:val="24"/>
        </w:rPr>
        <w:t xml:space="preserve"> gjithashtu, edhe vlerësimin e cilësisë, kostos dhe shfrytëzimin e burimeve, përshtatshmërinë me qëllimin dhe objektivin e kontratës, kohën dhe mundësinë për të vendosur nëse të gjitha këto elemente të kombinuara përbëjnë vlerën me të mirë ekonomike.</w:t>
      </w:r>
    </w:p>
    <w:p w14:paraId="6772D6D0" w14:textId="77777777" w:rsidR="002064BE" w:rsidRPr="009B6417" w:rsidRDefault="002064BE" w:rsidP="002064BE">
      <w:pPr>
        <w:pStyle w:val="ListParagraph"/>
        <w:numPr>
          <w:ilvl w:val="0"/>
          <w:numId w:val="1"/>
        </w:numPr>
        <w:spacing w:after="0"/>
        <w:ind w:left="360"/>
        <w:jc w:val="both"/>
        <w:rPr>
          <w:rFonts w:ascii="Times New Roman" w:hAnsi="Times New Roman" w:cs="Times New Roman"/>
          <w:sz w:val="24"/>
          <w:szCs w:val="24"/>
        </w:rPr>
      </w:pPr>
      <w:r w:rsidRPr="009B6417">
        <w:rPr>
          <w:rFonts w:ascii="Times New Roman" w:hAnsi="Times New Roman" w:cs="Times New Roman"/>
          <w:b/>
          <w:sz w:val="24"/>
          <w:szCs w:val="24"/>
        </w:rPr>
        <w:t>"Kontraktues"</w:t>
      </w:r>
      <w:r w:rsidRPr="009B6417">
        <w:rPr>
          <w:rFonts w:ascii="Times New Roman" w:hAnsi="Times New Roman" w:cs="Times New Roman"/>
          <w:sz w:val="24"/>
          <w:szCs w:val="24"/>
        </w:rPr>
        <w:t xml:space="preserve"> është çdo person, fizik ose juridik, ent publik ose grup personash dhe/ose organesh të tilla që ofrojnë në treg, respektivisht, realizimin e punëve dhe/ose të punëve dhe shërbimeve.</w:t>
      </w:r>
    </w:p>
    <w:p w14:paraId="3BA7D323" w14:textId="77777777" w:rsidR="002064BE" w:rsidRPr="009B6417" w:rsidRDefault="002064BE" w:rsidP="002064BE">
      <w:pPr>
        <w:pStyle w:val="ListParagraph"/>
        <w:numPr>
          <w:ilvl w:val="0"/>
          <w:numId w:val="1"/>
        </w:numPr>
        <w:ind w:left="360"/>
        <w:jc w:val="both"/>
        <w:rPr>
          <w:rFonts w:ascii="Times New Roman" w:hAnsi="Times New Roman" w:cs="Times New Roman"/>
          <w:sz w:val="24"/>
          <w:szCs w:val="24"/>
        </w:rPr>
      </w:pPr>
      <w:r w:rsidRPr="009B6417">
        <w:rPr>
          <w:rFonts w:ascii="Times New Roman" w:hAnsi="Times New Roman" w:cs="Times New Roman"/>
          <w:sz w:val="24"/>
          <w:szCs w:val="24"/>
        </w:rPr>
        <w:t>"</w:t>
      </w:r>
      <w:r w:rsidRPr="009B6417">
        <w:rPr>
          <w:rFonts w:ascii="Times New Roman" w:hAnsi="Times New Roman" w:cs="Times New Roman"/>
          <w:b/>
          <w:sz w:val="24"/>
          <w:szCs w:val="24"/>
        </w:rPr>
        <w:t>Kontratë koncesioni</w:t>
      </w:r>
      <w:r w:rsidRPr="009B6417">
        <w:rPr>
          <w:rFonts w:ascii="Times New Roman" w:hAnsi="Times New Roman" w:cs="Times New Roman"/>
          <w:sz w:val="24"/>
          <w:szCs w:val="24"/>
        </w:rPr>
        <w:t>" është një kontratë e nënshkruar ndërmjet autoritetit kontraktues në njërën anë dhe operatorit ekonomik të zgjedhur si ofertuesi më i suksesshëm apo subjektit, për qëllime të veçanta (SPV), i themeluar nga operatori ekonomik në fjalë, kontratë e cila përmban përcaktimet që rregullojnë të drejtat dhe detyrimet në lidhje me koncesionin e dhënë.</w:t>
      </w:r>
    </w:p>
    <w:p w14:paraId="305BBCEF" w14:textId="77777777" w:rsidR="00971EAD" w:rsidRPr="009B6417" w:rsidRDefault="002064BE" w:rsidP="00971EAD">
      <w:pPr>
        <w:pStyle w:val="ListParagraph"/>
        <w:numPr>
          <w:ilvl w:val="0"/>
          <w:numId w:val="1"/>
        </w:numPr>
        <w:ind w:left="360"/>
        <w:jc w:val="both"/>
        <w:rPr>
          <w:rFonts w:ascii="Times New Roman" w:hAnsi="Times New Roman" w:cs="Times New Roman"/>
          <w:sz w:val="24"/>
          <w:szCs w:val="24"/>
        </w:rPr>
      </w:pPr>
      <w:r w:rsidRPr="009B6417">
        <w:rPr>
          <w:rFonts w:ascii="Times New Roman" w:hAnsi="Times New Roman" w:cs="Times New Roman"/>
          <w:sz w:val="24"/>
          <w:szCs w:val="24"/>
        </w:rPr>
        <w:lastRenderedPageBreak/>
        <w:t>“</w:t>
      </w:r>
      <w:r w:rsidRPr="009B6417">
        <w:rPr>
          <w:rFonts w:ascii="Times New Roman" w:hAnsi="Times New Roman" w:cs="Times New Roman"/>
          <w:b/>
          <w:sz w:val="24"/>
          <w:szCs w:val="24"/>
        </w:rPr>
        <w:t>Kontratë e partneritetit publik privat</w:t>
      </w:r>
      <w:r w:rsidRPr="009B6417">
        <w:rPr>
          <w:rFonts w:ascii="Times New Roman" w:hAnsi="Times New Roman" w:cs="Times New Roman"/>
          <w:sz w:val="24"/>
          <w:szCs w:val="24"/>
        </w:rPr>
        <w:t>" ka kuptimin e një kontrate pune publike apo kontrate të shërbimit publik, që plotëson kushtet, të cilat e përcaktojnë atë si një partneritet publik privat, sikurse është rregulluar në këtë ligj dhe që nënshkruhet ndërmjet autoritetit kontraktues në njërën anë dhe operatorit ekonomik të zgjedh</w:t>
      </w:r>
      <w:r w:rsidR="00971EAD" w:rsidRPr="009B6417">
        <w:rPr>
          <w:rFonts w:ascii="Times New Roman" w:hAnsi="Times New Roman" w:cs="Times New Roman"/>
          <w:sz w:val="24"/>
          <w:szCs w:val="24"/>
        </w:rPr>
        <w:t>ur si ofertuesi më i suksesshëm</w:t>
      </w:r>
    </w:p>
    <w:p w14:paraId="4A6BE0C9" w14:textId="77777777" w:rsidR="00971EAD" w:rsidRPr="009B6417" w:rsidRDefault="00971EAD" w:rsidP="00971EAD">
      <w:pPr>
        <w:pStyle w:val="ListParagraph"/>
        <w:numPr>
          <w:ilvl w:val="0"/>
          <w:numId w:val="1"/>
        </w:numPr>
        <w:ind w:left="360"/>
        <w:jc w:val="both"/>
        <w:rPr>
          <w:rFonts w:ascii="Times New Roman" w:hAnsi="Times New Roman" w:cs="Times New Roman"/>
          <w:b/>
          <w:sz w:val="24"/>
          <w:szCs w:val="24"/>
        </w:rPr>
      </w:pPr>
      <w:r w:rsidRPr="009B6417">
        <w:rPr>
          <w:rFonts w:ascii="Times New Roman" w:hAnsi="Times New Roman" w:cs="Times New Roman"/>
          <w:b/>
          <w:sz w:val="24"/>
          <w:szCs w:val="24"/>
        </w:rPr>
        <w:t>“Dat</w:t>
      </w:r>
      <w:r w:rsidR="00B257E8" w:rsidRPr="009B6417">
        <w:rPr>
          <w:rFonts w:ascii="Times New Roman" w:hAnsi="Times New Roman" w:cs="Times New Roman"/>
          <w:b/>
          <w:sz w:val="24"/>
          <w:szCs w:val="24"/>
        </w:rPr>
        <w:t>ë</w:t>
      </w:r>
      <w:r w:rsidRPr="009B6417">
        <w:rPr>
          <w:rFonts w:ascii="Times New Roman" w:hAnsi="Times New Roman" w:cs="Times New Roman"/>
          <w:b/>
          <w:sz w:val="24"/>
          <w:szCs w:val="24"/>
        </w:rPr>
        <w:t xml:space="preserve"> Efektive e Kontrat</w:t>
      </w:r>
      <w:r w:rsidR="00B257E8" w:rsidRPr="009B6417">
        <w:rPr>
          <w:rFonts w:ascii="Times New Roman" w:hAnsi="Times New Roman" w:cs="Times New Roman"/>
          <w:b/>
          <w:sz w:val="24"/>
          <w:szCs w:val="24"/>
        </w:rPr>
        <w:t>ë</w:t>
      </w:r>
      <w:r w:rsidRPr="009B6417">
        <w:rPr>
          <w:rFonts w:ascii="Times New Roman" w:hAnsi="Times New Roman" w:cs="Times New Roman"/>
          <w:b/>
          <w:sz w:val="24"/>
          <w:szCs w:val="24"/>
        </w:rPr>
        <w:t xml:space="preserve">s” </w:t>
      </w:r>
      <w:r w:rsidRPr="009B6417">
        <w:rPr>
          <w:rFonts w:ascii="Times New Roman" w:hAnsi="Times New Roman" w:cs="Times New Roman"/>
          <w:sz w:val="24"/>
          <w:szCs w:val="24"/>
        </w:rPr>
        <w:t>është data në të cilën kontrata fillon zbatimin e saj dhe prodhon efekte juridike</w:t>
      </w:r>
      <w:r w:rsidR="007C722F" w:rsidRPr="009B6417">
        <w:rPr>
          <w:rFonts w:ascii="Times New Roman" w:hAnsi="Times New Roman" w:cs="Times New Roman"/>
          <w:sz w:val="24"/>
          <w:szCs w:val="24"/>
        </w:rPr>
        <w:t>.</w:t>
      </w:r>
    </w:p>
    <w:p w14:paraId="279B4F32" w14:textId="77777777" w:rsidR="002064BE" w:rsidRPr="009B6417" w:rsidRDefault="002064BE" w:rsidP="002064BE">
      <w:pPr>
        <w:pStyle w:val="ListParagraph"/>
        <w:rPr>
          <w:rFonts w:ascii="Times New Roman" w:hAnsi="Times New Roman" w:cs="Times New Roman"/>
          <w:sz w:val="24"/>
          <w:szCs w:val="24"/>
        </w:rPr>
      </w:pPr>
    </w:p>
    <w:p w14:paraId="0C39F248" w14:textId="77777777" w:rsidR="002064BE" w:rsidRDefault="002064BE" w:rsidP="002064BE">
      <w:pPr>
        <w:tabs>
          <w:tab w:val="left" w:pos="3553"/>
        </w:tabs>
        <w:rPr>
          <w:rFonts w:ascii="Times New Roman" w:hAnsi="Times New Roman" w:cs="Times New Roman"/>
          <w:b/>
          <w:sz w:val="24"/>
          <w:szCs w:val="24"/>
        </w:rPr>
      </w:pPr>
    </w:p>
    <w:p w14:paraId="261061B7" w14:textId="77777777" w:rsidR="009B6417" w:rsidRDefault="009B6417" w:rsidP="002064BE">
      <w:pPr>
        <w:tabs>
          <w:tab w:val="left" w:pos="3553"/>
        </w:tabs>
        <w:rPr>
          <w:rFonts w:ascii="Times New Roman" w:hAnsi="Times New Roman" w:cs="Times New Roman"/>
          <w:b/>
          <w:sz w:val="24"/>
          <w:szCs w:val="24"/>
        </w:rPr>
      </w:pPr>
    </w:p>
    <w:p w14:paraId="5D816DBD" w14:textId="77777777" w:rsidR="009B6417" w:rsidRDefault="009B6417" w:rsidP="002064BE">
      <w:pPr>
        <w:tabs>
          <w:tab w:val="left" w:pos="3553"/>
        </w:tabs>
        <w:rPr>
          <w:rFonts w:ascii="Times New Roman" w:hAnsi="Times New Roman" w:cs="Times New Roman"/>
          <w:b/>
          <w:sz w:val="24"/>
          <w:szCs w:val="24"/>
        </w:rPr>
      </w:pPr>
    </w:p>
    <w:p w14:paraId="495BD7B5" w14:textId="77777777" w:rsidR="009B6417" w:rsidRDefault="009B6417" w:rsidP="002064BE">
      <w:pPr>
        <w:tabs>
          <w:tab w:val="left" w:pos="3553"/>
        </w:tabs>
        <w:rPr>
          <w:rFonts w:ascii="Times New Roman" w:hAnsi="Times New Roman" w:cs="Times New Roman"/>
          <w:b/>
          <w:sz w:val="24"/>
          <w:szCs w:val="24"/>
        </w:rPr>
      </w:pPr>
    </w:p>
    <w:p w14:paraId="636F11BE" w14:textId="77777777" w:rsidR="009B6417" w:rsidRDefault="009B6417" w:rsidP="002064BE">
      <w:pPr>
        <w:tabs>
          <w:tab w:val="left" w:pos="3553"/>
        </w:tabs>
        <w:rPr>
          <w:rFonts w:ascii="Times New Roman" w:hAnsi="Times New Roman" w:cs="Times New Roman"/>
          <w:b/>
          <w:sz w:val="24"/>
          <w:szCs w:val="24"/>
        </w:rPr>
      </w:pPr>
    </w:p>
    <w:p w14:paraId="3708A1CE" w14:textId="77777777" w:rsidR="009B6417" w:rsidRDefault="009B6417" w:rsidP="002064BE">
      <w:pPr>
        <w:tabs>
          <w:tab w:val="left" w:pos="3553"/>
        </w:tabs>
        <w:rPr>
          <w:rFonts w:ascii="Times New Roman" w:hAnsi="Times New Roman" w:cs="Times New Roman"/>
          <w:b/>
          <w:sz w:val="24"/>
          <w:szCs w:val="24"/>
        </w:rPr>
      </w:pPr>
    </w:p>
    <w:p w14:paraId="6134385F" w14:textId="77777777" w:rsidR="009B6417" w:rsidRDefault="009B6417" w:rsidP="002064BE">
      <w:pPr>
        <w:tabs>
          <w:tab w:val="left" w:pos="3553"/>
        </w:tabs>
        <w:rPr>
          <w:rFonts w:ascii="Times New Roman" w:hAnsi="Times New Roman" w:cs="Times New Roman"/>
          <w:b/>
          <w:sz w:val="24"/>
          <w:szCs w:val="24"/>
        </w:rPr>
      </w:pPr>
    </w:p>
    <w:p w14:paraId="2B637ADE" w14:textId="77777777" w:rsidR="009B6417" w:rsidRDefault="009B6417" w:rsidP="002064BE">
      <w:pPr>
        <w:tabs>
          <w:tab w:val="left" w:pos="3553"/>
        </w:tabs>
        <w:rPr>
          <w:rFonts w:ascii="Times New Roman" w:hAnsi="Times New Roman" w:cs="Times New Roman"/>
          <w:b/>
          <w:sz w:val="24"/>
          <w:szCs w:val="24"/>
        </w:rPr>
      </w:pPr>
    </w:p>
    <w:p w14:paraId="226D4EC6" w14:textId="77777777" w:rsidR="009B6417" w:rsidRDefault="009B6417" w:rsidP="002064BE">
      <w:pPr>
        <w:tabs>
          <w:tab w:val="left" w:pos="3553"/>
        </w:tabs>
        <w:rPr>
          <w:rFonts w:ascii="Times New Roman" w:hAnsi="Times New Roman" w:cs="Times New Roman"/>
          <w:b/>
          <w:sz w:val="24"/>
          <w:szCs w:val="24"/>
        </w:rPr>
      </w:pPr>
    </w:p>
    <w:p w14:paraId="5673B747" w14:textId="77777777" w:rsidR="009B6417" w:rsidRDefault="009B6417" w:rsidP="002064BE">
      <w:pPr>
        <w:tabs>
          <w:tab w:val="left" w:pos="3553"/>
        </w:tabs>
        <w:rPr>
          <w:rFonts w:ascii="Times New Roman" w:hAnsi="Times New Roman" w:cs="Times New Roman"/>
          <w:b/>
          <w:sz w:val="24"/>
          <w:szCs w:val="24"/>
        </w:rPr>
      </w:pPr>
    </w:p>
    <w:p w14:paraId="304B0539" w14:textId="77777777" w:rsidR="009B6417" w:rsidRDefault="009B6417" w:rsidP="002064BE">
      <w:pPr>
        <w:tabs>
          <w:tab w:val="left" w:pos="3553"/>
        </w:tabs>
        <w:rPr>
          <w:rFonts w:ascii="Times New Roman" w:hAnsi="Times New Roman" w:cs="Times New Roman"/>
          <w:b/>
          <w:sz w:val="24"/>
          <w:szCs w:val="24"/>
        </w:rPr>
      </w:pPr>
    </w:p>
    <w:p w14:paraId="49141ACC" w14:textId="77777777" w:rsidR="009B6417" w:rsidRDefault="009B6417" w:rsidP="002064BE">
      <w:pPr>
        <w:tabs>
          <w:tab w:val="left" w:pos="3553"/>
        </w:tabs>
        <w:rPr>
          <w:rFonts w:ascii="Times New Roman" w:hAnsi="Times New Roman" w:cs="Times New Roman"/>
          <w:b/>
          <w:sz w:val="24"/>
          <w:szCs w:val="24"/>
        </w:rPr>
      </w:pPr>
    </w:p>
    <w:p w14:paraId="2354DBB4" w14:textId="77777777" w:rsidR="009B6417" w:rsidRDefault="009B6417" w:rsidP="002064BE">
      <w:pPr>
        <w:tabs>
          <w:tab w:val="left" w:pos="3553"/>
        </w:tabs>
        <w:rPr>
          <w:rFonts w:ascii="Times New Roman" w:hAnsi="Times New Roman" w:cs="Times New Roman"/>
          <w:b/>
          <w:sz w:val="24"/>
          <w:szCs w:val="24"/>
        </w:rPr>
      </w:pPr>
    </w:p>
    <w:p w14:paraId="097D48D5" w14:textId="77777777" w:rsidR="009B6417" w:rsidRDefault="009B6417" w:rsidP="002064BE">
      <w:pPr>
        <w:tabs>
          <w:tab w:val="left" w:pos="3553"/>
        </w:tabs>
        <w:rPr>
          <w:rFonts w:ascii="Times New Roman" w:hAnsi="Times New Roman" w:cs="Times New Roman"/>
          <w:b/>
          <w:sz w:val="24"/>
          <w:szCs w:val="24"/>
        </w:rPr>
      </w:pPr>
    </w:p>
    <w:p w14:paraId="265FCEF3" w14:textId="77777777" w:rsidR="009B6417" w:rsidRDefault="009B6417" w:rsidP="002064BE">
      <w:pPr>
        <w:tabs>
          <w:tab w:val="left" w:pos="3553"/>
        </w:tabs>
        <w:rPr>
          <w:rFonts w:ascii="Times New Roman" w:hAnsi="Times New Roman" w:cs="Times New Roman"/>
          <w:b/>
          <w:sz w:val="24"/>
          <w:szCs w:val="24"/>
        </w:rPr>
      </w:pPr>
    </w:p>
    <w:p w14:paraId="44930343" w14:textId="77777777" w:rsidR="009B6417" w:rsidRDefault="009B6417" w:rsidP="002064BE">
      <w:pPr>
        <w:tabs>
          <w:tab w:val="left" w:pos="3553"/>
        </w:tabs>
        <w:rPr>
          <w:rFonts w:ascii="Times New Roman" w:hAnsi="Times New Roman" w:cs="Times New Roman"/>
          <w:b/>
          <w:sz w:val="24"/>
          <w:szCs w:val="24"/>
        </w:rPr>
      </w:pPr>
    </w:p>
    <w:p w14:paraId="56F10A03" w14:textId="77777777" w:rsidR="009B6417" w:rsidRDefault="009B6417" w:rsidP="002064BE">
      <w:pPr>
        <w:tabs>
          <w:tab w:val="left" w:pos="3553"/>
        </w:tabs>
        <w:rPr>
          <w:rFonts w:ascii="Times New Roman" w:hAnsi="Times New Roman" w:cs="Times New Roman"/>
          <w:b/>
          <w:sz w:val="24"/>
          <w:szCs w:val="24"/>
        </w:rPr>
      </w:pPr>
    </w:p>
    <w:p w14:paraId="781A0BC6" w14:textId="77777777" w:rsidR="00672505" w:rsidRDefault="00672505" w:rsidP="002064BE">
      <w:pPr>
        <w:tabs>
          <w:tab w:val="left" w:pos="3553"/>
        </w:tabs>
        <w:rPr>
          <w:rFonts w:ascii="Times New Roman" w:hAnsi="Times New Roman" w:cs="Times New Roman"/>
          <w:b/>
          <w:sz w:val="24"/>
          <w:szCs w:val="24"/>
        </w:rPr>
      </w:pPr>
    </w:p>
    <w:p w14:paraId="1A42A058" w14:textId="77777777" w:rsidR="003E4326" w:rsidRDefault="003E4326" w:rsidP="002064BE">
      <w:pPr>
        <w:tabs>
          <w:tab w:val="left" w:pos="3553"/>
        </w:tabs>
        <w:rPr>
          <w:rFonts w:ascii="Times New Roman" w:hAnsi="Times New Roman" w:cs="Times New Roman"/>
          <w:b/>
          <w:sz w:val="24"/>
          <w:szCs w:val="24"/>
        </w:rPr>
      </w:pPr>
    </w:p>
    <w:p w14:paraId="090E1BBA" w14:textId="77777777" w:rsidR="009B6417" w:rsidRPr="009B6417" w:rsidRDefault="009B6417" w:rsidP="002064BE">
      <w:pPr>
        <w:tabs>
          <w:tab w:val="left" w:pos="3553"/>
        </w:tabs>
        <w:rPr>
          <w:rFonts w:ascii="Times New Roman" w:hAnsi="Times New Roman" w:cs="Times New Roman"/>
          <w:b/>
          <w:sz w:val="24"/>
          <w:szCs w:val="24"/>
        </w:rPr>
      </w:pPr>
    </w:p>
    <w:p w14:paraId="7D4A542E" w14:textId="77777777" w:rsidR="00991F81" w:rsidRPr="009B6417" w:rsidRDefault="002064BE" w:rsidP="009E599C">
      <w:pPr>
        <w:pStyle w:val="Heading1"/>
        <w:rPr>
          <w:rFonts w:ascii="Times New Roman" w:hAnsi="Times New Roman" w:cs="Times New Roman"/>
          <w:b/>
          <w:sz w:val="24"/>
          <w:szCs w:val="24"/>
        </w:rPr>
      </w:pPr>
      <w:bookmarkStart w:id="4" w:name="_Toc37196683"/>
      <w:r w:rsidRPr="009B6417">
        <w:rPr>
          <w:rFonts w:ascii="Times New Roman" w:hAnsi="Times New Roman" w:cs="Times New Roman"/>
          <w:b/>
          <w:sz w:val="24"/>
          <w:szCs w:val="24"/>
        </w:rPr>
        <w:lastRenderedPageBreak/>
        <w:t>Përmbledhje</w:t>
      </w:r>
      <w:bookmarkEnd w:id="4"/>
    </w:p>
    <w:p w14:paraId="278C6FF5" w14:textId="77777777" w:rsidR="009B6417" w:rsidRPr="009B6417" w:rsidRDefault="009B6417" w:rsidP="009B6417">
      <w:pPr>
        <w:rPr>
          <w:rFonts w:ascii="Times New Roman" w:hAnsi="Times New Roman" w:cs="Times New Roman"/>
          <w:sz w:val="10"/>
          <w:szCs w:val="24"/>
        </w:rPr>
      </w:pPr>
    </w:p>
    <w:p w14:paraId="51AFDE99" w14:textId="77777777" w:rsidR="001637FF" w:rsidRPr="009B6417" w:rsidRDefault="001637FF" w:rsidP="001637FF">
      <w:pPr>
        <w:spacing w:after="240"/>
        <w:jc w:val="both"/>
        <w:rPr>
          <w:rFonts w:ascii="Times New Roman" w:hAnsi="Times New Roman" w:cs="Times New Roman"/>
          <w:sz w:val="24"/>
          <w:szCs w:val="24"/>
        </w:rPr>
      </w:pPr>
      <w:r w:rsidRPr="009B6417">
        <w:rPr>
          <w:rFonts w:ascii="Times New Roman" w:hAnsi="Times New Roman" w:cs="Times New Roman"/>
          <w:sz w:val="24"/>
          <w:szCs w:val="24"/>
        </w:rPr>
        <w:t>Raport</w:t>
      </w:r>
      <w:r>
        <w:rPr>
          <w:rFonts w:ascii="Times New Roman" w:hAnsi="Times New Roman" w:cs="Times New Roman"/>
          <w:sz w:val="24"/>
          <w:szCs w:val="24"/>
        </w:rPr>
        <w:t>i Vjetor</w:t>
      </w:r>
      <w:r w:rsidRPr="009B6417">
        <w:rPr>
          <w:rFonts w:ascii="Times New Roman" w:hAnsi="Times New Roman" w:cs="Times New Roman"/>
          <w:sz w:val="24"/>
          <w:szCs w:val="24"/>
        </w:rPr>
        <w:t xml:space="preserve"> i Përmbledhur</w:t>
      </w:r>
      <w:r w:rsidRPr="009B6417">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1E3A70">
        <w:rPr>
          <w:rFonts w:ascii="Times New Roman" w:hAnsi="Times New Roman" w:cs="Times New Roman"/>
          <w:sz w:val="24"/>
          <w:szCs w:val="24"/>
        </w:rPr>
        <w:t>ë</w:t>
      </w:r>
      <w:r>
        <w:rPr>
          <w:rFonts w:ascii="Times New Roman" w:hAnsi="Times New Roman" w:cs="Times New Roman"/>
          <w:sz w:val="24"/>
          <w:szCs w:val="24"/>
        </w:rPr>
        <w:t>sht</w:t>
      </w:r>
      <w:r w:rsidR="001E3A70">
        <w:rPr>
          <w:rFonts w:ascii="Times New Roman" w:hAnsi="Times New Roman" w:cs="Times New Roman"/>
          <w:sz w:val="24"/>
          <w:szCs w:val="24"/>
        </w:rPr>
        <w:t>ë</w:t>
      </w:r>
      <w:r>
        <w:rPr>
          <w:rFonts w:ascii="Times New Roman" w:hAnsi="Times New Roman" w:cs="Times New Roman"/>
          <w:sz w:val="24"/>
          <w:szCs w:val="24"/>
        </w:rPr>
        <w:t xml:space="preserve"> dokument </w:t>
      </w:r>
      <w:r w:rsidRPr="009B6417">
        <w:rPr>
          <w:rFonts w:ascii="Times New Roman" w:hAnsi="Times New Roman" w:cs="Times New Roman"/>
          <w:sz w:val="24"/>
          <w:szCs w:val="24"/>
        </w:rPr>
        <w:t>i hartuar për herë të parë nga Ministria e Financave dhe Ekonomisë nëpërmjet Drejtorisë së Koncesioneve</w:t>
      </w:r>
      <w:r>
        <w:rPr>
          <w:rFonts w:ascii="Times New Roman" w:hAnsi="Times New Roman" w:cs="Times New Roman"/>
          <w:sz w:val="24"/>
          <w:szCs w:val="24"/>
        </w:rPr>
        <w:t>,</w:t>
      </w:r>
      <w:r w:rsidRPr="009B6417">
        <w:rPr>
          <w:rFonts w:ascii="Times New Roman" w:hAnsi="Times New Roman" w:cs="Times New Roman"/>
          <w:sz w:val="24"/>
          <w:szCs w:val="24"/>
        </w:rPr>
        <w:t xml:space="preserve"> i cili synon të japë një pamje të përgjithshme të ecurisë financiare </w:t>
      </w:r>
      <w:r w:rsidR="00784B22">
        <w:rPr>
          <w:rFonts w:ascii="Times New Roman" w:hAnsi="Times New Roman" w:cs="Times New Roman"/>
          <w:sz w:val="24"/>
          <w:szCs w:val="24"/>
        </w:rPr>
        <w:t xml:space="preserve">dhe jo financiare ndër vite të </w:t>
      </w:r>
      <w:r w:rsidRPr="009B6417">
        <w:rPr>
          <w:rFonts w:ascii="Times New Roman" w:hAnsi="Times New Roman" w:cs="Times New Roman"/>
          <w:sz w:val="24"/>
          <w:szCs w:val="24"/>
        </w:rPr>
        <w:t>kontratave koncesionare/PPP sipas sekto</w:t>
      </w:r>
      <w:r w:rsidR="00784B22">
        <w:rPr>
          <w:rFonts w:ascii="Times New Roman" w:hAnsi="Times New Roman" w:cs="Times New Roman"/>
          <w:sz w:val="24"/>
          <w:szCs w:val="24"/>
        </w:rPr>
        <w:t xml:space="preserve">rëve specifikë si: transporti, </w:t>
      </w:r>
      <w:r w:rsidRPr="009B6417">
        <w:rPr>
          <w:rFonts w:ascii="Times New Roman" w:hAnsi="Times New Roman" w:cs="Times New Roman"/>
          <w:sz w:val="24"/>
          <w:szCs w:val="24"/>
        </w:rPr>
        <w:t xml:space="preserve">shëndetësia, energjitika, mjedisi dhe kontrolli fiskal. Ky raport përfshin </w:t>
      </w:r>
      <w:r>
        <w:rPr>
          <w:rFonts w:ascii="Times New Roman" w:hAnsi="Times New Roman" w:cs="Times New Roman"/>
          <w:sz w:val="24"/>
          <w:szCs w:val="24"/>
        </w:rPr>
        <w:t>informacion</w:t>
      </w:r>
      <w:r w:rsidRPr="009B6417">
        <w:rPr>
          <w:rFonts w:ascii="Times New Roman" w:hAnsi="Times New Roman" w:cs="Times New Roman"/>
          <w:sz w:val="24"/>
          <w:szCs w:val="24"/>
        </w:rPr>
        <w:t xml:space="preserve"> mbi treguesit e performancës së këtyre kont</w:t>
      </w:r>
      <w:r>
        <w:rPr>
          <w:rFonts w:ascii="Times New Roman" w:hAnsi="Times New Roman" w:cs="Times New Roman"/>
          <w:sz w:val="24"/>
          <w:szCs w:val="24"/>
        </w:rPr>
        <w:t>ratave dhe risqet që implikojnë p</w:t>
      </w:r>
      <w:r w:rsidR="001E3A70">
        <w:rPr>
          <w:rFonts w:ascii="Times New Roman" w:hAnsi="Times New Roman" w:cs="Times New Roman"/>
          <w:sz w:val="24"/>
          <w:szCs w:val="24"/>
        </w:rPr>
        <w:t>ë</w:t>
      </w:r>
      <w:r>
        <w:rPr>
          <w:rFonts w:ascii="Times New Roman" w:hAnsi="Times New Roman" w:cs="Times New Roman"/>
          <w:sz w:val="24"/>
          <w:szCs w:val="24"/>
        </w:rPr>
        <w:t>r vitin 2019.</w:t>
      </w:r>
    </w:p>
    <w:p w14:paraId="62FB7031" w14:textId="77777777" w:rsidR="001637FF" w:rsidRPr="009B6417" w:rsidRDefault="001637FF" w:rsidP="001637FF">
      <w:pPr>
        <w:spacing w:after="240"/>
        <w:jc w:val="both"/>
        <w:rPr>
          <w:rFonts w:ascii="Times New Roman" w:hAnsi="Times New Roman" w:cs="Times New Roman"/>
          <w:sz w:val="24"/>
          <w:szCs w:val="24"/>
        </w:rPr>
      </w:pPr>
      <w:r w:rsidRPr="009B6417">
        <w:rPr>
          <w:rFonts w:ascii="Times New Roman" w:hAnsi="Times New Roman" w:cs="Times New Roman"/>
          <w:sz w:val="24"/>
          <w:szCs w:val="24"/>
        </w:rPr>
        <w:t>Ky raport ka si qëllim të sigurojë një informacion të përmbledhur në lidhje me ecurinë dhe performancën e kontratave të Koncesioneve/PPP-ve në Republikën e Shqipërisë, në kuadër të përmirësimit të transparencës me publikun dhe do të publikohet në përputhje me parashikimet e Ligjit Nr. 125/2013 “Për koncesionet/PPP”</w:t>
      </w:r>
      <w:r>
        <w:rPr>
          <w:rFonts w:ascii="Times New Roman" w:hAnsi="Times New Roman" w:cs="Times New Roman"/>
          <w:sz w:val="24"/>
          <w:szCs w:val="24"/>
        </w:rPr>
        <w:t>,</w:t>
      </w:r>
      <w:r w:rsidRPr="009B6417">
        <w:rPr>
          <w:rFonts w:ascii="Times New Roman" w:hAnsi="Times New Roman" w:cs="Times New Roman"/>
          <w:sz w:val="24"/>
          <w:szCs w:val="24"/>
        </w:rPr>
        <w:t xml:space="preserve"> i ndryshuar.  Gjithashtu, ky raport synon të sigurojë që risqet kryesore fiskale nga kontratat e koncesionit/PPP janë identifikuar dhe raportuar në mënyrë sistematike.  </w:t>
      </w:r>
    </w:p>
    <w:p w14:paraId="630BF51F" w14:textId="77777777" w:rsidR="001637FF" w:rsidRPr="008A7C44" w:rsidRDefault="001637FF" w:rsidP="001637FF">
      <w:pPr>
        <w:jc w:val="both"/>
        <w:rPr>
          <w:rFonts w:ascii="Times New Roman" w:hAnsi="Times New Roman" w:cs="Times New Roman"/>
          <w:sz w:val="24"/>
          <w:szCs w:val="24"/>
        </w:rPr>
      </w:pPr>
      <w:r w:rsidRPr="009B6417">
        <w:rPr>
          <w:rFonts w:ascii="Times New Roman" w:hAnsi="Times New Roman" w:cs="Times New Roman"/>
          <w:sz w:val="24"/>
          <w:szCs w:val="24"/>
        </w:rPr>
        <w:t xml:space="preserve">Me qëllim rritjen e transparencës mbi </w:t>
      </w:r>
      <w:r w:rsidR="0054127B">
        <w:rPr>
          <w:rFonts w:ascii="Times New Roman" w:hAnsi="Times New Roman" w:cs="Times New Roman"/>
          <w:sz w:val="24"/>
          <w:szCs w:val="24"/>
        </w:rPr>
        <w:t>zbatimin</w:t>
      </w:r>
      <w:r w:rsidRPr="009B6417">
        <w:rPr>
          <w:rFonts w:ascii="Times New Roman" w:hAnsi="Times New Roman" w:cs="Times New Roman"/>
          <w:sz w:val="24"/>
          <w:szCs w:val="24"/>
        </w:rPr>
        <w:t xml:space="preserve"> e koncesioneve/PPP, </w:t>
      </w:r>
      <w:r w:rsidRPr="008A7C44">
        <w:rPr>
          <w:rFonts w:ascii="Times New Roman" w:hAnsi="Times New Roman" w:cs="Times New Roman"/>
          <w:sz w:val="24"/>
          <w:szCs w:val="24"/>
        </w:rPr>
        <w:t xml:space="preserve">forcimin e disiplinës financiare, monitorimin e risqeve fiskale dhe buxhetore që burojnë nga kontratat e koncesionit/PPP, </w:t>
      </w:r>
      <w:r w:rsidR="0054127B" w:rsidRPr="008A7C44">
        <w:rPr>
          <w:rFonts w:ascii="Times New Roman" w:hAnsi="Times New Roman" w:cs="Times New Roman"/>
          <w:sz w:val="24"/>
          <w:szCs w:val="24"/>
        </w:rPr>
        <w:t>nga ana e Ministris</w:t>
      </w:r>
      <w:r w:rsidR="00D949E1" w:rsidRPr="008A7C44">
        <w:rPr>
          <w:rFonts w:ascii="Times New Roman" w:hAnsi="Times New Roman" w:cs="Times New Roman"/>
          <w:sz w:val="24"/>
          <w:szCs w:val="24"/>
        </w:rPr>
        <w:t>ë</w:t>
      </w:r>
      <w:r w:rsidR="0054127B" w:rsidRPr="008A7C44">
        <w:rPr>
          <w:rFonts w:ascii="Times New Roman" w:hAnsi="Times New Roman" w:cs="Times New Roman"/>
          <w:sz w:val="24"/>
          <w:szCs w:val="24"/>
        </w:rPr>
        <w:t xml:space="preserve"> p</w:t>
      </w:r>
      <w:r w:rsidR="00D949E1" w:rsidRPr="008A7C44">
        <w:rPr>
          <w:rFonts w:ascii="Times New Roman" w:hAnsi="Times New Roman" w:cs="Times New Roman"/>
          <w:sz w:val="24"/>
          <w:szCs w:val="24"/>
        </w:rPr>
        <w:t>ë</w:t>
      </w:r>
      <w:r w:rsidR="0054127B" w:rsidRPr="008A7C44">
        <w:rPr>
          <w:rFonts w:ascii="Times New Roman" w:hAnsi="Times New Roman" w:cs="Times New Roman"/>
          <w:sz w:val="24"/>
          <w:szCs w:val="24"/>
        </w:rPr>
        <w:t>rgjegj</w:t>
      </w:r>
      <w:r w:rsidR="00D949E1" w:rsidRPr="008A7C44">
        <w:rPr>
          <w:rFonts w:ascii="Times New Roman" w:hAnsi="Times New Roman" w:cs="Times New Roman"/>
          <w:sz w:val="24"/>
          <w:szCs w:val="24"/>
        </w:rPr>
        <w:t>ë</w:t>
      </w:r>
      <w:r w:rsidR="0054127B" w:rsidRPr="008A7C44">
        <w:rPr>
          <w:rFonts w:ascii="Times New Roman" w:hAnsi="Times New Roman" w:cs="Times New Roman"/>
          <w:sz w:val="24"/>
          <w:szCs w:val="24"/>
        </w:rPr>
        <w:t>se p</w:t>
      </w:r>
      <w:r w:rsidR="00D949E1" w:rsidRPr="008A7C44">
        <w:rPr>
          <w:rFonts w:ascii="Times New Roman" w:hAnsi="Times New Roman" w:cs="Times New Roman"/>
          <w:sz w:val="24"/>
          <w:szCs w:val="24"/>
        </w:rPr>
        <w:t>ë</w:t>
      </w:r>
      <w:r w:rsidR="0054127B" w:rsidRPr="008A7C44">
        <w:rPr>
          <w:rFonts w:ascii="Times New Roman" w:hAnsi="Times New Roman" w:cs="Times New Roman"/>
          <w:sz w:val="24"/>
          <w:szCs w:val="24"/>
        </w:rPr>
        <w:t>r Financat jan</w:t>
      </w:r>
      <w:r w:rsidR="00D949E1" w:rsidRPr="008A7C44">
        <w:rPr>
          <w:rFonts w:ascii="Times New Roman" w:hAnsi="Times New Roman" w:cs="Times New Roman"/>
          <w:sz w:val="24"/>
          <w:szCs w:val="24"/>
        </w:rPr>
        <w:t>ë</w:t>
      </w:r>
      <w:r w:rsidR="0054127B" w:rsidRPr="008A7C44">
        <w:rPr>
          <w:rFonts w:ascii="Times New Roman" w:hAnsi="Times New Roman" w:cs="Times New Roman"/>
          <w:sz w:val="24"/>
          <w:szCs w:val="24"/>
        </w:rPr>
        <w:t xml:space="preserve"> propozuar disa ndryshime t</w:t>
      </w:r>
      <w:r w:rsidR="00D949E1" w:rsidRPr="008A7C44">
        <w:rPr>
          <w:rFonts w:ascii="Times New Roman" w:hAnsi="Times New Roman" w:cs="Times New Roman"/>
          <w:sz w:val="24"/>
          <w:szCs w:val="24"/>
        </w:rPr>
        <w:t>ë</w:t>
      </w:r>
      <w:r w:rsidR="0054127B" w:rsidRPr="008A7C44">
        <w:rPr>
          <w:rFonts w:ascii="Times New Roman" w:hAnsi="Times New Roman" w:cs="Times New Roman"/>
          <w:sz w:val="24"/>
          <w:szCs w:val="24"/>
        </w:rPr>
        <w:t xml:space="preserve"> miratuara me </w:t>
      </w:r>
      <w:r w:rsidRPr="008A7C44">
        <w:rPr>
          <w:rFonts w:ascii="Times New Roman" w:hAnsi="Times New Roman" w:cs="Times New Roman"/>
          <w:sz w:val="24"/>
          <w:szCs w:val="24"/>
        </w:rPr>
        <w:t>Ligji</w:t>
      </w:r>
      <w:r w:rsidR="0054127B" w:rsidRPr="008A7C44">
        <w:rPr>
          <w:rFonts w:ascii="Times New Roman" w:hAnsi="Times New Roman" w:cs="Times New Roman"/>
          <w:sz w:val="24"/>
          <w:szCs w:val="24"/>
        </w:rPr>
        <w:t>n</w:t>
      </w:r>
      <w:r w:rsidRPr="008A7C44">
        <w:rPr>
          <w:rFonts w:ascii="Times New Roman" w:hAnsi="Times New Roman" w:cs="Times New Roman"/>
          <w:sz w:val="24"/>
          <w:szCs w:val="24"/>
        </w:rPr>
        <w:t xml:space="preserve"> Nr.50 datë 18.07.2019 “Për disa shtesa dhe ndryshime në Ligjin Nr. 125/2013 “</w:t>
      </w:r>
      <w:r w:rsidRPr="008A7C44">
        <w:rPr>
          <w:rFonts w:ascii="Times New Roman" w:hAnsi="Times New Roman" w:cs="Times New Roman"/>
          <w:i/>
          <w:sz w:val="24"/>
          <w:szCs w:val="24"/>
        </w:rPr>
        <w:t>Për koncesionet dhe partneritetin publik privat</w:t>
      </w:r>
      <w:r w:rsidRPr="008A7C44">
        <w:rPr>
          <w:rFonts w:ascii="Times New Roman" w:hAnsi="Times New Roman" w:cs="Times New Roman"/>
          <w:sz w:val="24"/>
          <w:szCs w:val="24"/>
        </w:rPr>
        <w:t xml:space="preserve">” i ndryshuar, </w:t>
      </w:r>
      <w:r w:rsidR="0054127B" w:rsidRPr="008A7C44">
        <w:rPr>
          <w:rFonts w:ascii="Times New Roman" w:hAnsi="Times New Roman" w:cs="Times New Roman"/>
          <w:sz w:val="24"/>
          <w:szCs w:val="24"/>
        </w:rPr>
        <w:t>ndryshime t</w:t>
      </w:r>
      <w:r w:rsidR="00D949E1" w:rsidRPr="008A7C44">
        <w:rPr>
          <w:rFonts w:ascii="Times New Roman" w:hAnsi="Times New Roman" w:cs="Times New Roman"/>
          <w:sz w:val="24"/>
          <w:szCs w:val="24"/>
        </w:rPr>
        <w:t>ë</w:t>
      </w:r>
      <w:r w:rsidR="0054127B" w:rsidRPr="008A7C44">
        <w:rPr>
          <w:rFonts w:ascii="Times New Roman" w:hAnsi="Times New Roman" w:cs="Times New Roman"/>
          <w:sz w:val="24"/>
          <w:szCs w:val="24"/>
        </w:rPr>
        <w:t xml:space="preserve"> </w:t>
      </w:r>
      <w:r w:rsidR="00F66A54" w:rsidRPr="008A7C44">
        <w:rPr>
          <w:rFonts w:ascii="Times New Roman" w:hAnsi="Times New Roman" w:cs="Times New Roman"/>
          <w:sz w:val="24"/>
          <w:szCs w:val="24"/>
        </w:rPr>
        <w:t>cilat</w:t>
      </w:r>
      <w:r w:rsidR="0054127B" w:rsidRPr="008A7C44">
        <w:rPr>
          <w:rFonts w:ascii="Times New Roman" w:hAnsi="Times New Roman" w:cs="Times New Roman"/>
          <w:sz w:val="24"/>
          <w:szCs w:val="24"/>
        </w:rPr>
        <w:t xml:space="preserve"> kan</w:t>
      </w:r>
      <w:r w:rsidR="00D949E1" w:rsidRPr="008A7C44">
        <w:rPr>
          <w:rFonts w:ascii="Times New Roman" w:hAnsi="Times New Roman" w:cs="Times New Roman"/>
          <w:sz w:val="24"/>
          <w:szCs w:val="24"/>
        </w:rPr>
        <w:t>ë</w:t>
      </w:r>
      <w:r w:rsidR="0054127B" w:rsidRPr="008A7C44">
        <w:rPr>
          <w:rFonts w:ascii="Times New Roman" w:hAnsi="Times New Roman" w:cs="Times New Roman"/>
          <w:sz w:val="24"/>
          <w:szCs w:val="24"/>
        </w:rPr>
        <w:t xml:space="preserve"> </w:t>
      </w:r>
      <w:r w:rsidR="00E56326" w:rsidRPr="008A7C44">
        <w:rPr>
          <w:rFonts w:ascii="Times New Roman" w:hAnsi="Times New Roman" w:cs="Times New Roman"/>
          <w:sz w:val="24"/>
          <w:szCs w:val="24"/>
        </w:rPr>
        <w:t xml:space="preserve">përforcuar </w:t>
      </w:r>
      <w:r w:rsidRPr="008A7C44">
        <w:rPr>
          <w:rFonts w:ascii="Times New Roman" w:hAnsi="Times New Roman" w:cs="Times New Roman"/>
          <w:sz w:val="24"/>
          <w:szCs w:val="24"/>
        </w:rPr>
        <w:t>rolin e MFE-së në monitorimin e zbatueshmërisë së projekteve të dhëna me Koncesion/PPP në këndvështrimin e implikimeve financiare.</w:t>
      </w:r>
    </w:p>
    <w:p w14:paraId="5CC780A0" w14:textId="77777777" w:rsidR="001637FF" w:rsidRPr="009B6417" w:rsidRDefault="001637FF" w:rsidP="001637FF">
      <w:pPr>
        <w:jc w:val="both"/>
        <w:rPr>
          <w:rFonts w:ascii="Times New Roman" w:hAnsi="Times New Roman" w:cs="Times New Roman"/>
          <w:sz w:val="24"/>
          <w:szCs w:val="24"/>
        </w:rPr>
      </w:pPr>
      <w:r w:rsidRPr="008A7C44">
        <w:rPr>
          <w:rFonts w:ascii="Times New Roman" w:hAnsi="Times New Roman" w:cs="Times New Roman"/>
          <w:sz w:val="24"/>
          <w:szCs w:val="24"/>
        </w:rPr>
        <w:t>Në bazë të pikës 7 të nenit 10 të Ligjit Nr. 125/2013 “</w:t>
      </w:r>
      <w:r w:rsidRPr="008A7C44">
        <w:rPr>
          <w:rFonts w:ascii="Times New Roman" w:hAnsi="Times New Roman" w:cs="Times New Roman"/>
          <w:i/>
          <w:sz w:val="24"/>
          <w:szCs w:val="24"/>
        </w:rPr>
        <w:t>Për koncesionet/PPP</w:t>
      </w:r>
      <w:r w:rsidR="00F66A54" w:rsidRPr="008A7C44">
        <w:rPr>
          <w:rFonts w:ascii="Times New Roman" w:hAnsi="Times New Roman" w:cs="Times New Roman"/>
          <w:sz w:val="24"/>
          <w:szCs w:val="24"/>
        </w:rPr>
        <w:t xml:space="preserve">” i ndryshuar, RVP </w:t>
      </w:r>
      <w:r w:rsidRPr="008A7C44">
        <w:rPr>
          <w:rFonts w:ascii="Times New Roman" w:hAnsi="Times New Roman" w:cs="Times New Roman"/>
          <w:sz w:val="24"/>
          <w:szCs w:val="24"/>
        </w:rPr>
        <w:t>përgatitet</w:t>
      </w:r>
      <w:r w:rsidRPr="009B6417">
        <w:rPr>
          <w:rFonts w:ascii="Times New Roman" w:hAnsi="Times New Roman" w:cs="Times New Roman"/>
          <w:sz w:val="24"/>
          <w:szCs w:val="24"/>
        </w:rPr>
        <w:t xml:space="preserve"> dhe </w:t>
      </w:r>
      <w:r w:rsidR="00F66A54">
        <w:rPr>
          <w:rFonts w:ascii="Times New Roman" w:hAnsi="Times New Roman" w:cs="Times New Roman"/>
          <w:sz w:val="24"/>
          <w:szCs w:val="24"/>
        </w:rPr>
        <w:t xml:space="preserve">publikohet një herë në vit dhe </w:t>
      </w:r>
      <w:r w:rsidR="00D949E1">
        <w:rPr>
          <w:rFonts w:ascii="Times New Roman" w:hAnsi="Times New Roman" w:cs="Times New Roman"/>
          <w:sz w:val="24"/>
          <w:szCs w:val="24"/>
        </w:rPr>
        <w:t>ë</w:t>
      </w:r>
      <w:r w:rsidR="00F66A54">
        <w:rPr>
          <w:rFonts w:ascii="Times New Roman" w:hAnsi="Times New Roman" w:cs="Times New Roman"/>
          <w:sz w:val="24"/>
          <w:szCs w:val="24"/>
        </w:rPr>
        <w:t>sht</w:t>
      </w:r>
      <w:r w:rsidRPr="009B6417">
        <w:rPr>
          <w:rFonts w:ascii="Times New Roman" w:hAnsi="Times New Roman" w:cs="Times New Roman"/>
          <w:sz w:val="24"/>
          <w:szCs w:val="24"/>
        </w:rPr>
        <w:t>ë pjesë si aneks i raportit vjetor të zbatimit të buxhetit, në përputhje me legjislacionin në fuqi për menaxhimin e sistemit buxhetor. RVP-ja do të përmbajë informacionin e mëposhtëm:</w:t>
      </w:r>
    </w:p>
    <w:p w14:paraId="6C9E5636" w14:textId="77777777" w:rsidR="001637FF" w:rsidRPr="009B6417" w:rsidRDefault="001637FF" w:rsidP="001637FF">
      <w:pPr>
        <w:pStyle w:val="ListParagraph"/>
        <w:numPr>
          <w:ilvl w:val="0"/>
          <w:numId w:val="12"/>
        </w:numPr>
        <w:jc w:val="both"/>
        <w:rPr>
          <w:rFonts w:ascii="Times New Roman" w:hAnsi="Times New Roman" w:cs="Times New Roman"/>
          <w:sz w:val="24"/>
          <w:szCs w:val="24"/>
        </w:rPr>
      </w:pPr>
      <w:r w:rsidRPr="009B6417">
        <w:rPr>
          <w:rFonts w:ascii="Times New Roman" w:hAnsi="Times New Roman" w:cs="Times New Roman"/>
          <w:sz w:val="24"/>
          <w:szCs w:val="24"/>
        </w:rPr>
        <w:t xml:space="preserve">Një pamje e përgjithshme të portofolit aktual të Koncesioneve/PPP-ve (vlera totale e </w:t>
      </w:r>
      <w:r w:rsidR="00F66A54">
        <w:rPr>
          <w:rFonts w:ascii="Times New Roman" w:hAnsi="Times New Roman" w:cs="Times New Roman"/>
          <w:sz w:val="24"/>
          <w:szCs w:val="24"/>
        </w:rPr>
        <w:t>kontratave t</w:t>
      </w:r>
      <w:r w:rsidR="00D949E1">
        <w:rPr>
          <w:rFonts w:ascii="Times New Roman" w:hAnsi="Times New Roman" w:cs="Times New Roman"/>
          <w:sz w:val="24"/>
          <w:szCs w:val="24"/>
        </w:rPr>
        <w:t>ë</w:t>
      </w:r>
      <w:r w:rsidR="00F66A54">
        <w:rPr>
          <w:rFonts w:ascii="Times New Roman" w:hAnsi="Times New Roman" w:cs="Times New Roman"/>
          <w:sz w:val="24"/>
          <w:szCs w:val="24"/>
        </w:rPr>
        <w:t xml:space="preserve"> koncesioneve/PPP, numri i kontratave, statusi i projekteve dhe burimi i</w:t>
      </w:r>
      <w:r w:rsidRPr="009B6417">
        <w:rPr>
          <w:rFonts w:ascii="Times New Roman" w:hAnsi="Times New Roman" w:cs="Times New Roman"/>
          <w:sz w:val="24"/>
          <w:szCs w:val="24"/>
        </w:rPr>
        <w:t xml:space="preserve"> financimit). Gjithashtu, nëpëmjet RVP-së do të sigurohet edhe një rishikim i ndryshimeve  në portofolin e </w:t>
      </w:r>
      <w:r w:rsidR="00F66A54">
        <w:rPr>
          <w:rFonts w:ascii="Times New Roman" w:hAnsi="Times New Roman" w:cs="Times New Roman"/>
          <w:sz w:val="24"/>
          <w:szCs w:val="24"/>
        </w:rPr>
        <w:t>koncesioneve/</w:t>
      </w:r>
      <w:r w:rsidRPr="009B6417">
        <w:rPr>
          <w:rFonts w:ascii="Times New Roman" w:hAnsi="Times New Roman" w:cs="Times New Roman"/>
          <w:sz w:val="24"/>
          <w:szCs w:val="24"/>
        </w:rPr>
        <w:t>PPP-ve (numrin e projekteve me ndryshime të statusit të projektit, vlerat e përditësuara të kontratave nëse ka).</w:t>
      </w:r>
    </w:p>
    <w:p w14:paraId="115E3887" w14:textId="77777777" w:rsidR="001637FF" w:rsidRPr="009B6417" w:rsidRDefault="001637FF" w:rsidP="001637FF">
      <w:pPr>
        <w:pStyle w:val="ListParagraph"/>
        <w:numPr>
          <w:ilvl w:val="0"/>
          <w:numId w:val="12"/>
        </w:numPr>
        <w:jc w:val="both"/>
        <w:rPr>
          <w:rFonts w:ascii="Times New Roman" w:hAnsi="Times New Roman" w:cs="Times New Roman"/>
          <w:sz w:val="24"/>
          <w:szCs w:val="24"/>
        </w:rPr>
      </w:pPr>
      <w:r w:rsidRPr="009B6417">
        <w:rPr>
          <w:rFonts w:ascii="Times New Roman" w:hAnsi="Times New Roman" w:cs="Times New Roman"/>
          <w:sz w:val="24"/>
          <w:szCs w:val="24"/>
        </w:rPr>
        <w:t xml:space="preserve">Një përshkrim të performancës së portofolit të Koncesioneve/PPP (statistika mbi treguesit financiarë dhe jofinanciarë të projektit si statistika mbi ndërtimin, statistikat specifike të performancës së sektorit etj). Gjithashtu në këtë seksion do të paraqitet një përmbledhje e pagesave buxhetore të parashikuara dhe atyre të realizuara sipas PBA-së, </w:t>
      </w:r>
      <w:r>
        <w:rPr>
          <w:rFonts w:ascii="Times New Roman" w:hAnsi="Times New Roman" w:cs="Times New Roman"/>
          <w:sz w:val="24"/>
          <w:szCs w:val="24"/>
        </w:rPr>
        <w:t>si dhe risqet që</w:t>
      </w:r>
      <w:r w:rsidRPr="009B6417">
        <w:rPr>
          <w:rFonts w:ascii="Times New Roman" w:hAnsi="Times New Roman" w:cs="Times New Roman"/>
          <w:sz w:val="24"/>
          <w:szCs w:val="24"/>
        </w:rPr>
        <w:t xml:space="preserve"> rrjedhin nga këto kontrata koncesioni/PPP, nëse janë materializuar apo jo, impaktin në buxhetin e shtetit dhe probabilitetin që kanë për të ndodhur.</w:t>
      </w:r>
    </w:p>
    <w:p w14:paraId="66AB3D86" w14:textId="77777777" w:rsidR="001637FF" w:rsidRPr="009B6417" w:rsidRDefault="001637FF" w:rsidP="001637FF">
      <w:pPr>
        <w:jc w:val="both"/>
        <w:rPr>
          <w:rFonts w:ascii="Times New Roman" w:hAnsi="Times New Roman" w:cs="Times New Roman"/>
          <w:sz w:val="24"/>
          <w:szCs w:val="24"/>
        </w:rPr>
      </w:pPr>
      <w:r w:rsidRPr="009B6417">
        <w:rPr>
          <w:rFonts w:ascii="Times New Roman" w:hAnsi="Times New Roman" w:cs="Times New Roman"/>
          <w:sz w:val="24"/>
          <w:szCs w:val="24"/>
        </w:rPr>
        <w:t>Njësitë përgjegjëse të cilët janë aktorët kryesorë në monitorimin dhe raportimin e ecurisë së zbatimit të kontratave të koncesionit/PPP-ve janë: Autoritetet Kon</w:t>
      </w:r>
      <w:r>
        <w:rPr>
          <w:rFonts w:ascii="Times New Roman" w:hAnsi="Times New Roman" w:cs="Times New Roman"/>
          <w:sz w:val="24"/>
          <w:szCs w:val="24"/>
        </w:rPr>
        <w:t>traktuese dhe njësitë brenda MFE-s</w:t>
      </w:r>
      <w:r w:rsidR="0038637C">
        <w:rPr>
          <w:rFonts w:ascii="Times New Roman" w:hAnsi="Times New Roman" w:cs="Times New Roman"/>
          <w:sz w:val="24"/>
          <w:szCs w:val="24"/>
        </w:rPr>
        <w:t>ë</w:t>
      </w:r>
      <w:r w:rsidRPr="009B6417">
        <w:rPr>
          <w:rFonts w:ascii="Times New Roman" w:hAnsi="Times New Roman" w:cs="Times New Roman"/>
          <w:sz w:val="24"/>
          <w:szCs w:val="24"/>
        </w:rPr>
        <w:t xml:space="preserve">, përgjegjëse </w:t>
      </w:r>
      <w:r w:rsidRPr="009B6417">
        <w:rPr>
          <w:rFonts w:ascii="Times New Roman" w:hAnsi="Times New Roman" w:cs="Times New Roman"/>
          <w:sz w:val="24"/>
          <w:szCs w:val="24"/>
        </w:rPr>
        <w:lastRenderedPageBreak/>
        <w:t>për përgatitjen e raportit të përmbledhur vjetor mbi ecurinë e zbatimit t</w:t>
      </w:r>
      <w:r w:rsidR="00D949E1">
        <w:rPr>
          <w:rFonts w:ascii="Times New Roman" w:hAnsi="Times New Roman" w:cs="Times New Roman"/>
          <w:sz w:val="24"/>
          <w:szCs w:val="24"/>
        </w:rPr>
        <w:t xml:space="preserve">ë kontratave të koncesionit/PPP, </w:t>
      </w:r>
      <w:r w:rsidRPr="009B6417">
        <w:rPr>
          <w:rFonts w:ascii="Times New Roman" w:hAnsi="Times New Roman" w:cs="Times New Roman"/>
          <w:sz w:val="24"/>
          <w:szCs w:val="24"/>
        </w:rPr>
        <w:t>si dhe ATRAKO.</w:t>
      </w:r>
    </w:p>
    <w:p w14:paraId="52643D82" w14:textId="77777777" w:rsidR="001637FF" w:rsidRPr="008A7C44" w:rsidRDefault="001637FF" w:rsidP="001637FF">
      <w:pPr>
        <w:jc w:val="both"/>
        <w:rPr>
          <w:rFonts w:ascii="Times New Roman" w:hAnsi="Times New Roman" w:cs="Times New Roman"/>
          <w:color w:val="000000" w:themeColor="text1"/>
          <w:sz w:val="24"/>
          <w:szCs w:val="24"/>
        </w:rPr>
      </w:pPr>
      <w:r w:rsidRPr="009B6417">
        <w:rPr>
          <w:rFonts w:ascii="Times New Roman" w:hAnsi="Times New Roman" w:cs="Times New Roman"/>
          <w:color w:val="000000" w:themeColor="text1"/>
          <w:sz w:val="24"/>
          <w:szCs w:val="24"/>
        </w:rPr>
        <w:t xml:space="preserve">Në Republikën e Shqipërisë janë lidhur një sërë kontratash koncesioni në sektorë të rëndësishëm duke e përdorur si një metodë alternative në ofrimin e veprave, </w:t>
      </w:r>
      <w:r w:rsidRPr="008A7C44">
        <w:rPr>
          <w:rFonts w:ascii="Times New Roman" w:hAnsi="Times New Roman" w:cs="Times New Roman"/>
          <w:color w:val="000000" w:themeColor="text1"/>
          <w:sz w:val="24"/>
          <w:szCs w:val="24"/>
        </w:rPr>
        <w:t>punëve dhe shërbimeve. Synimi i dhënies së punëve apo shërbimeve publike me koncesion/PPP ka qënë sigurimi i një sërë avantazhesh në lidhje me përmirësimin e cilësisë së ofrimit të tyre mbi: standardin, kohën më të shkurtër, vlerën më të mirë për para dhe inovacionin e shtuar në shumë sektorë. Megjithatë për ofrimin e punëve dhe shërbimeve publike me eficencë duhet të sigurohet një kuadër i mirëorganizuar institucional, ligjor dhe rregullativ në mënyrë që të maksimizohen avantazhet e kësaj metode investimi, të forcohe</w:t>
      </w:r>
      <w:r w:rsidR="001D07C7" w:rsidRPr="008A7C44">
        <w:rPr>
          <w:rFonts w:ascii="Times New Roman" w:hAnsi="Times New Roman" w:cs="Times New Roman"/>
          <w:color w:val="000000" w:themeColor="text1"/>
          <w:sz w:val="24"/>
          <w:szCs w:val="24"/>
        </w:rPr>
        <w:t>t monitorimi i ecurisë së tyre me q</w:t>
      </w:r>
      <w:r w:rsidR="00D949E1" w:rsidRPr="008A7C44">
        <w:rPr>
          <w:rFonts w:ascii="Times New Roman" w:hAnsi="Times New Roman" w:cs="Times New Roman"/>
          <w:color w:val="000000" w:themeColor="text1"/>
          <w:sz w:val="24"/>
          <w:szCs w:val="24"/>
        </w:rPr>
        <w:t>ë</w:t>
      </w:r>
      <w:r w:rsidR="001D07C7" w:rsidRPr="008A7C44">
        <w:rPr>
          <w:rFonts w:ascii="Times New Roman" w:hAnsi="Times New Roman" w:cs="Times New Roman"/>
          <w:color w:val="000000" w:themeColor="text1"/>
          <w:sz w:val="24"/>
          <w:szCs w:val="24"/>
        </w:rPr>
        <w:t>llim reduktimin e risqeve t</w:t>
      </w:r>
      <w:r w:rsidR="00D949E1" w:rsidRPr="008A7C44">
        <w:rPr>
          <w:rFonts w:ascii="Times New Roman" w:hAnsi="Times New Roman" w:cs="Times New Roman"/>
          <w:color w:val="000000" w:themeColor="text1"/>
          <w:sz w:val="24"/>
          <w:szCs w:val="24"/>
        </w:rPr>
        <w:t>ë</w:t>
      </w:r>
      <w:r w:rsidRPr="008A7C44">
        <w:rPr>
          <w:rFonts w:ascii="Times New Roman" w:hAnsi="Times New Roman" w:cs="Times New Roman"/>
          <w:color w:val="000000" w:themeColor="text1"/>
          <w:sz w:val="24"/>
          <w:szCs w:val="24"/>
        </w:rPr>
        <w:t xml:space="preserve"> ndërmarra nga a</w:t>
      </w:r>
      <w:r w:rsidR="001D07C7" w:rsidRPr="008A7C44">
        <w:rPr>
          <w:rFonts w:ascii="Times New Roman" w:hAnsi="Times New Roman" w:cs="Times New Roman"/>
          <w:color w:val="000000" w:themeColor="text1"/>
          <w:sz w:val="24"/>
          <w:szCs w:val="24"/>
        </w:rPr>
        <w:t>utoritetet p</w:t>
      </w:r>
      <w:r w:rsidR="00D949E1" w:rsidRPr="008A7C44">
        <w:rPr>
          <w:rFonts w:ascii="Times New Roman" w:hAnsi="Times New Roman" w:cs="Times New Roman"/>
          <w:color w:val="000000" w:themeColor="text1"/>
          <w:sz w:val="24"/>
          <w:szCs w:val="24"/>
        </w:rPr>
        <w:t>ë</w:t>
      </w:r>
      <w:r w:rsidR="001D07C7" w:rsidRPr="008A7C44">
        <w:rPr>
          <w:rFonts w:ascii="Times New Roman" w:hAnsi="Times New Roman" w:cs="Times New Roman"/>
          <w:color w:val="000000" w:themeColor="text1"/>
          <w:sz w:val="24"/>
          <w:szCs w:val="24"/>
        </w:rPr>
        <w:t>rkat</w:t>
      </w:r>
      <w:r w:rsidR="00D949E1" w:rsidRPr="008A7C44">
        <w:rPr>
          <w:rFonts w:ascii="Times New Roman" w:hAnsi="Times New Roman" w:cs="Times New Roman"/>
          <w:color w:val="000000" w:themeColor="text1"/>
          <w:sz w:val="24"/>
          <w:szCs w:val="24"/>
        </w:rPr>
        <w:t>ë</w:t>
      </w:r>
      <w:r w:rsidR="001D07C7" w:rsidRPr="008A7C44">
        <w:rPr>
          <w:rFonts w:ascii="Times New Roman" w:hAnsi="Times New Roman" w:cs="Times New Roman"/>
          <w:color w:val="000000" w:themeColor="text1"/>
          <w:sz w:val="24"/>
          <w:szCs w:val="24"/>
        </w:rPr>
        <w:t>se kontraktuese</w:t>
      </w:r>
      <w:r w:rsidRPr="008A7C44">
        <w:rPr>
          <w:rFonts w:ascii="Times New Roman" w:hAnsi="Times New Roman" w:cs="Times New Roman"/>
          <w:color w:val="000000" w:themeColor="text1"/>
          <w:sz w:val="24"/>
          <w:szCs w:val="24"/>
        </w:rPr>
        <w:t xml:space="preserve">. </w:t>
      </w:r>
    </w:p>
    <w:p w14:paraId="6A98796B" w14:textId="77777777" w:rsidR="001637FF" w:rsidRPr="008A7C44" w:rsidRDefault="001637FF" w:rsidP="001637FF">
      <w:pPr>
        <w:jc w:val="both"/>
        <w:rPr>
          <w:rFonts w:ascii="Times New Roman" w:hAnsi="Times New Roman" w:cs="Times New Roman"/>
          <w:color w:val="000000" w:themeColor="text1"/>
          <w:sz w:val="24"/>
          <w:szCs w:val="24"/>
        </w:rPr>
      </w:pPr>
      <w:r w:rsidRPr="008A7C44">
        <w:rPr>
          <w:rFonts w:ascii="Times New Roman" w:hAnsi="Times New Roman" w:cs="Times New Roman"/>
          <w:color w:val="000000" w:themeColor="text1"/>
          <w:sz w:val="24"/>
          <w:szCs w:val="24"/>
        </w:rPr>
        <w:t>Procesi i monitorimit të kontratave të konc</w:t>
      </w:r>
      <w:r w:rsidR="001D07C7" w:rsidRPr="008A7C44">
        <w:rPr>
          <w:rFonts w:ascii="Times New Roman" w:hAnsi="Times New Roman" w:cs="Times New Roman"/>
          <w:color w:val="000000" w:themeColor="text1"/>
          <w:sz w:val="24"/>
          <w:szCs w:val="24"/>
        </w:rPr>
        <w:t xml:space="preserve">esioneve/PPP dhe raportimit nga </w:t>
      </w:r>
      <w:r w:rsidRPr="008A7C44">
        <w:rPr>
          <w:rFonts w:ascii="Times New Roman" w:hAnsi="Times New Roman" w:cs="Times New Roman"/>
          <w:color w:val="000000" w:themeColor="text1"/>
          <w:sz w:val="24"/>
          <w:szCs w:val="24"/>
        </w:rPr>
        <w:t xml:space="preserve">Autoritetet Kontraktuese ka filluar për herë të parë në muajin Mars të vitit 2019 </w:t>
      </w:r>
      <w:r w:rsidRPr="008A7C44">
        <w:rPr>
          <w:rFonts w:ascii="Times New Roman" w:hAnsi="Times New Roman" w:cs="Times New Roman"/>
          <w:sz w:val="24"/>
          <w:szCs w:val="24"/>
        </w:rPr>
        <w:t xml:space="preserve">në </w:t>
      </w:r>
      <w:r w:rsidRPr="008A7C44">
        <w:rPr>
          <w:rFonts w:ascii="Times New Roman" w:hAnsi="Times New Roman" w:cs="Times New Roman"/>
          <w:color w:val="000000" w:themeColor="text1"/>
          <w:sz w:val="24"/>
          <w:szCs w:val="24"/>
        </w:rPr>
        <w:t>zbatim të paragrafit të dytë të pikës 121, seksioni IV të Udhëzimit plotësues nr. 1 datë 17.01.2019 “Për zbatimin e Buxhetit të vitit 2019”. Me miratimin e ndryshimeve t</w:t>
      </w:r>
      <w:r w:rsidR="0038637C" w:rsidRPr="008A7C44">
        <w:rPr>
          <w:rFonts w:ascii="Times New Roman" w:hAnsi="Times New Roman" w:cs="Times New Roman"/>
          <w:color w:val="000000" w:themeColor="text1"/>
          <w:sz w:val="24"/>
          <w:szCs w:val="24"/>
        </w:rPr>
        <w:t>ë</w:t>
      </w:r>
      <w:r w:rsidRPr="008A7C44">
        <w:rPr>
          <w:rFonts w:ascii="Times New Roman" w:hAnsi="Times New Roman" w:cs="Times New Roman"/>
          <w:color w:val="000000" w:themeColor="text1"/>
          <w:sz w:val="24"/>
          <w:szCs w:val="24"/>
        </w:rPr>
        <w:t xml:space="preserve"> ligjit ‘P</w:t>
      </w:r>
      <w:r w:rsidR="0038637C" w:rsidRPr="008A7C44">
        <w:rPr>
          <w:rFonts w:ascii="Times New Roman" w:hAnsi="Times New Roman" w:cs="Times New Roman"/>
          <w:color w:val="000000" w:themeColor="text1"/>
          <w:sz w:val="24"/>
          <w:szCs w:val="24"/>
        </w:rPr>
        <w:t>ë</w:t>
      </w:r>
      <w:r w:rsidRPr="008A7C44">
        <w:rPr>
          <w:rFonts w:ascii="Times New Roman" w:hAnsi="Times New Roman" w:cs="Times New Roman"/>
          <w:color w:val="000000" w:themeColor="text1"/>
          <w:sz w:val="24"/>
          <w:szCs w:val="24"/>
        </w:rPr>
        <w:t>r koncesionet/PPP”, raportimi i kontratave koncesionare/PPP n</w:t>
      </w:r>
      <w:r w:rsidR="00921FB3" w:rsidRPr="008A7C44">
        <w:rPr>
          <w:rFonts w:ascii="Times New Roman" w:hAnsi="Times New Roman" w:cs="Times New Roman"/>
          <w:color w:val="000000" w:themeColor="text1"/>
          <w:sz w:val="24"/>
          <w:szCs w:val="24"/>
        </w:rPr>
        <w:t>ga Autoritetet Kontraktuese b</w:t>
      </w:r>
      <w:r w:rsidR="0038637C" w:rsidRPr="008A7C44">
        <w:rPr>
          <w:rFonts w:ascii="Times New Roman" w:hAnsi="Times New Roman" w:cs="Times New Roman"/>
          <w:color w:val="000000" w:themeColor="text1"/>
          <w:sz w:val="24"/>
          <w:szCs w:val="24"/>
        </w:rPr>
        <w:t>ë</w:t>
      </w:r>
      <w:r w:rsidR="00921FB3" w:rsidRPr="008A7C44">
        <w:rPr>
          <w:rFonts w:ascii="Times New Roman" w:hAnsi="Times New Roman" w:cs="Times New Roman"/>
          <w:color w:val="000000" w:themeColor="text1"/>
          <w:sz w:val="24"/>
          <w:szCs w:val="24"/>
        </w:rPr>
        <w:t>he</w:t>
      </w:r>
      <w:r w:rsidRPr="008A7C44">
        <w:rPr>
          <w:rFonts w:ascii="Times New Roman" w:hAnsi="Times New Roman" w:cs="Times New Roman"/>
          <w:color w:val="000000" w:themeColor="text1"/>
          <w:sz w:val="24"/>
          <w:szCs w:val="24"/>
        </w:rPr>
        <w:t>t sipas Udh</w:t>
      </w:r>
      <w:r w:rsidR="0038637C" w:rsidRPr="008A7C44">
        <w:rPr>
          <w:rFonts w:ascii="Times New Roman" w:hAnsi="Times New Roman" w:cs="Times New Roman"/>
          <w:color w:val="000000" w:themeColor="text1"/>
          <w:sz w:val="24"/>
          <w:szCs w:val="24"/>
        </w:rPr>
        <w:t>ë</w:t>
      </w:r>
      <w:r w:rsidRPr="008A7C44">
        <w:rPr>
          <w:rFonts w:ascii="Times New Roman" w:hAnsi="Times New Roman" w:cs="Times New Roman"/>
          <w:color w:val="000000" w:themeColor="text1"/>
          <w:sz w:val="24"/>
          <w:szCs w:val="24"/>
        </w:rPr>
        <w:t>zimit nr.35, dat</w:t>
      </w:r>
      <w:r w:rsidR="0038637C" w:rsidRPr="008A7C44">
        <w:rPr>
          <w:rFonts w:ascii="Times New Roman" w:hAnsi="Times New Roman" w:cs="Times New Roman"/>
          <w:color w:val="000000" w:themeColor="text1"/>
          <w:sz w:val="24"/>
          <w:szCs w:val="24"/>
        </w:rPr>
        <w:t>ë</w:t>
      </w:r>
      <w:r w:rsidRPr="008A7C44">
        <w:rPr>
          <w:rFonts w:ascii="Times New Roman" w:hAnsi="Times New Roman" w:cs="Times New Roman"/>
          <w:color w:val="000000" w:themeColor="text1"/>
          <w:sz w:val="24"/>
          <w:szCs w:val="24"/>
        </w:rPr>
        <w:t xml:space="preserve"> 12.12.2019.</w:t>
      </w:r>
    </w:p>
    <w:p w14:paraId="7676EBDD" w14:textId="77777777" w:rsidR="001637FF" w:rsidRDefault="001637FF" w:rsidP="001637FF">
      <w:pPr>
        <w:pStyle w:val="NoSpacing"/>
        <w:spacing w:line="276" w:lineRule="auto"/>
        <w:jc w:val="both"/>
        <w:rPr>
          <w:rFonts w:ascii="Times New Roman" w:hAnsi="Times New Roman" w:cs="Times New Roman"/>
          <w:sz w:val="24"/>
          <w:szCs w:val="24"/>
          <w:lang w:val="sq-AL"/>
        </w:rPr>
      </w:pPr>
      <w:r w:rsidRPr="008A7C44">
        <w:rPr>
          <w:rFonts w:ascii="Times New Roman" w:hAnsi="Times New Roman" w:cs="Times New Roman"/>
          <w:sz w:val="24"/>
          <w:szCs w:val="24"/>
          <w:lang w:val="sq-AL"/>
        </w:rPr>
        <w:t xml:space="preserve">Duke qenë se ky raport vjetor </w:t>
      </w:r>
      <w:r w:rsidR="0038637C" w:rsidRPr="008A7C44">
        <w:rPr>
          <w:rFonts w:ascii="Times New Roman" w:hAnsi="Times New Roman" w:cs="Times New Roman"/>
          <w:sz w:val="24"/>
          <w:szCs w:val="24"/>
          <w:lang w:val="sq-AL"/>
        </w:rPr>
        <w:t>ë</w:t>
      </w:r>
      <w:r w:rsidRPr="008A7C44">
        <w:rPr>
          <w:rFonts w:ascii="Times New Roman" w:hAnsi="Times New Roman" w:cs="Times New Roman"/>
          <w:sz w:val="24"/>
          <w:szCs w:val="24"/>
          <w:lang w:val="sq-AL"/>
        </w:rPr>
        <w:t>sht</w:t>
      </w:r>
      <w:r w:rsidR="0038637C" w:rsidRPr="008A7C44">
        <w:rPr>
          <w:rFonts w:ascii="Times New Roman" w:hAnsi="Times New Roman" w:cs="Times New Roman"/>
          <w:sz w:val="24"/>
          <w:szCs w:val="24"/>
          <w:lang w:val="sq-AL"/>
        </w:rPr>
        <w:t>ë</w:t>
      </w:r>
      <w:r w:rsidRPr="008A7C44">
        <w:rPr>
          <w:rFonts w:ascii="Times New Roman" w:hAnsi="Times New Roman" w:cs="Times New Roman"/>
          <w:sz w:val="24"/>
          <w:szCs w:val="24"/>
          <w:lang w:val="sq-AL"/>
        </w:rPr>
        <w:t xml:space="preserve"> </w:t>
      </w:r>
      <w:r w:rsidR="001D07C7" w:rsidRPr="008A7C44">
        <w:rPr>
          <w:rFonts w:ascii="Times New Roman" w:hAnsi="Times New Roman" w:cs="Times New Roman"/>
          <w:sz w:val="24"/>
          <w:szCs w:val="24"/>
          <w:lang w:val="sq-AL"/>
        </w:rPr>
        <w:t>hartuar për herë të parë,</w:t>
      </w:r>
      <w:r w:rsidRPr="008A7C44">
        <w:rPr>
          <w:rFonts w:ascii="Times New Roman" w:hAnsi="Times New Roman" w:cs="Times New Roman"/>
          <w:sz w:val="24"/>
          <w:szCs w:val="24"/>
          <w:lang w:val="sq-AL"/>
        </w:rPr>
        <w:t xml:space="preserve"> nisur nga kompleksiteti </w:t>
      </w:r>
      <w:r w:rsidR="001D07C7" w:rsidRPr="008A7C44">
        <w:rPr>
          <w:rFonts w:ascii="Times New Roman" w:hAnsi="Times New Roman" w:cs="Times New Roman"/>
          <w:sz w:val="24"/>
          <w:szCs w:val="24"/>
          <w:lang w:val="sq-AL"/>
        </w:rPr>
        <w:t xml:space="preserve">i kontratave të koncesionit/PPP, </w:t>
      </w:r>
      <w:r w:rsidRPr="008A7C44">
        <w:rPr>
          <w:rFonts w:ascii="Times New Roman" w:hAnsi="Times New Roman" w:cs="Times New Roman"/>
          <w:sz w:val="24"/>
          <w:szCs w:val="24"/>
          <w:lang w:val="sq-AL"/>
        </w:rPr>
        <w:t>forcimit të kuadrit ligjor të monitorimit të të gjitha kontratave të koncesionit/PPP</w:t>
      </w:r>
      <w:r w:rsidR="001D07C7" w:rsidRPr="008A7C44">
        <w:rPr>
          <w:rFonts w:ascii="Times New Roman" w:hAnsi="Times New Roman" w:cs="Times New Roman"/>
          <w:sz w:val="24"/>
          <w:szCs w:val="24"/>
          <w:lang w:val="sq-AL"/>
        </w:rPr>
        <w:t xml:space="preserve"> dhe forcimit t</w:t>
      </w:r>
      <w:r w:rsidR="00D949E1" w:rsidRPr="008A7C44">
        <w:rPr>
          <w:rFonts w:ascii="Times New Roman" w:hAnsi="Times New Roman" w:cs="Times New Roman"/>
          <w:sz w:val="24"/>
          <w:szCs w:val="24"/>
          <w:lang w:val="sq-AL"/>
        </w:rPr>
        <w:t>ë</w:t>
      </w:r>
      <w:r w:rsidR="001D07C7" w:rsidRPr="008A7C44">
        <w:rPr>
          <w:rFonts w:ascii="Times New Roman" w:hAnsi="Times New Roman" w:cs="Times New Roman"/>
          <w:sz w:val="24"/>
          <w:szCs w:val="24"/>
          <w:lang w:val="sq-AL"/>
        </w:rPr>
        <w:t xml:space="preserve"> kapaciteteve monitoruese</w:t>
      </w:r>
      <w:r w:rsidRPr="008A7C44">
        <w:rPr>
          <w:rFonts w:ascii="Times New Roman" w:hAnsi="Times New Roman" w:cs="Times New Roman"/>
          <w:sz w:val="24"/>
          <w:szCs w:val="24"/>
          <w:lang w:val="sq-AL"/>
        </w:rPr>
        <w:t>, në vijim ky raport mund të pësojë ndryshime me qëllim për</w:t>
      </w:r>
      <w:r w:rsidR="002F5DC5">
        <w:rPr>
          <w:rFonts w:ascii="Times New Roman" w:hAnsi="Times New Roman" w:cs="Times New Roman"/>
          <w:sz w:val="24"/>
          <w:szCs w:val="24"/>
          <w:lang w:val="sq-AL"/>
        </w:rPr>
        <w:t>mirësimin e përmbajtjes së tij.</w:t>
      </w:r>
    </w:p>
    <w:p w14:paraId="4B437000" w14:textId="77777777" w:rsidR="002F5DC5" w:rsidRPr="002F5DC5" w:rsidRDefault="002F5DC5" w:rsidP="001637FF">
      <w:pPr>
        <w:pStyle w:val="NoSpacing"/>
        <w:spacing w:line="276" w:lineRule="auto"/>
        <w:jc w:val="both"/>
        <w:rPr>
          <w:rFonts w:ascii="Times New Roman" w:hAnsi="Times New Roman" w:cs="Times New Roman"/>
          <w:sz w:val="16"/>
          <w:szCs w:val="24"/>
          <w:lang w:val="sq-AL"/>
        </w:rPr>
      </w:pPr>
    </w:p>
    <w:p w14:paraId="752C8D6F" w14:textId="77777777" w:rsidR="001637FF" w:rsidRPr="001F3324" w:rsidRDefault="001637FF" w:rsidP="001637FF">
      <w:pPr>
        <w:tabs>
          <w:tab w:val="left" w:pos="3553"/>
        </w:tabs>
        <w:jc w:val="both"/>
        <w:rPr>
          <w:rFonts w:ascii="Times New Roman" w:hAnsi="Times New Roman" w:cs="Times New Roman"/>
          <w:sz w:val="24"/>
          <w:szCs w:val="24"/>
        </w:rPr>
      </w:pPr>
      <w:r w:rsidRPr="008A7C44">
        <w:rPr>
          <w:rFonts w:ascii="Times New Roman" w:hAnsi="Times New Roman" w:cs="Times New Roman"/>
          <w:sz w:val="24"/>
          <w:szCs w:val="24"/>
        </w:rPr>
        <w:t>Në bazë të raportimeve të bëra deri tani nga Autoritetet Kontraktuese në këtë raport janë p</w:t>
      </w:r>
      <w:r w:rsidR="0038637C" w:rsidRPr="008A7C44">
        <w:rPr>
          <w:rFonts w:ascii="Times New Roman" w:hAnsi="Times New Roman" w:cs="Times New Roman"/>
          <w:sz w:val="24"/>
          <w:szCs w:val="24"/>
        </w:rPr>
        <w:t>ë</w:t>
      </w:r>
      <w:r w:rsidRPr="008A7C44">
        <w:rPr>
          <w:rFonts w:ascii="Times New Roman" w:hAnsi="Times New Roman" w:cs="Times New Roman"/>
          <w:sz w:val="24"/>
          <w:szCs w:val="24"/>
        </w:rPr>
        <w:t>rshkruar</w:t>
      </w:r>
      <w:r w:rsidRPr="001F3324">
        <w:rPr>
          <w:rFonts w:ascii="Times New Roman" w:hAnsi="Times New Roman" w:cs="Times New Roman"/>
          <w:sz w:val="24"/>
          <w:szCs w:val="24"/>
        </w:rPr>
        <w:t xml:space="preserve"> </w:t>
      </w:r>
      <w:r w:rsidR="00B56575">
        <w:rPr>
          <w:rFonts w:ascii="Times New Roman" w:hAnsi="Times New Roman" w:cs="Times New Roman"/>
          <w:sz w:val="24"/>
          <w:szCs w:val="24"/>
        </w:rPr>
        <w:t>12</w:t>
      </w:r>
      <w:r w:rsidR="001F3324">
        <w:rPr>
          <w:rFonts w:ascii="Times New Roman" w:hAnsi="Times New Roman" w:cs="Times New Roman"/>
          <w:sz w:val="24"/>
          <w:szCs w:val="24"/>
        </w:rPr>
        <w:t xml:space="preserve"> </w:t>
      </w:r>
      <w:r w:rsidRPr="001F3324">
        <w:rPr>
          <w:rFonts w:ascii="Times New Roman" w:hAnsi="Times New Roman" w:cs="Times New Roman"/>
          <w:sz w:val="24"/>
          <w:szCs w:val="24"/>
        </w:rPr>
        <w:t>projekte të rëndësishme me vlera të konsiderueshme, për të cilat të dhënat e përcjella nga Autoritetet Kontraktuese ka</w:t>
      </w:r>
      <w:r w:rsidR="00B56575">
        <w:rPr>
          <w:rFonts w:ascii="Times New Roman" w:hAnsi="Times New Roman" w:cs="Times New Roman"/>
          <w:sz w:val="24"/>
          <w:szCs w:val="24"/>
        </w:rPr>
        <w:t>në qenë më të sakta. Nga këto, 8</w:t>
      </w:r>
      <w:r w:rsidRPr="001F3324">
        <w:rPr>
          <w:rFonts w:ascii="Times New Roman" w:hAnsi="Times New Roman" w:cs="Times New Roman"/>
          <w:sz w:val="24"/>
          <w:szCs w:val="24"/>
        </w:rPr>
        <w:t xml:space="preserve"> projekte janë me mbështetje buxhetore, dy kontrata koncesioni në fushën e energjisë (hidrocentrale) dhe njëra është kontrata e koncesionit të aeroportit “Nënë Tereza”. Gjithashtu fokus i veçant</w:t>
      </w:r>
      <w:r w:rsidR="0038637C">
        <w:rPr>
          <w:rFonts w:ascii="Times New Roman" w:hAnsi="Times New Roman" w:cs="Times New Roman"/>
          <w:sz w:val="24"/>
          <w:szCs w:val="24"/>
        </w:rPr>
        <w:t>ë</w:t>
      </w:r>
      <w:r w:rsidRPr="001F3324">
        <w:rPr>
          <w:rFonts w:ascii="Times New Roman" w:hAnsi="Times New Roman" w:cs="Times New Roman"/>
          <w:sz w:val="24"/>
          <w:szCs w:val="24"/>
        </w:rPr>
        <w:t xml:space="preserve"> n</w:t>
      </w:r>
      <w:r w:rsidR="0038637C">
        <w:rPr>
          <w:rFonts w:ascii="Times New Roman" w:hAnsi="Times New Roman" w:cs="Times New Roman"/>
          <w:sz w:val="24"/>
          <w:szCs w:val="24"/>
        </w:rPr>
        <w:t>ë</w:t>
      </w:r>
      <w:r w:rsidRPr="001F3324">
        <w:rPr>
          <w:rFonts w:ascii="Times New Roman" w:hAnsi="Times New Roman" w:cs="Times New Roman"/>
          <w:sz w:val="24"/>
          <w:szCs w:val="24"/>
        </w:rPr>
        <w:t xml:space="preserve"> k</w:t>
      </w:r>
      <w:r w:rsidR="0038637C">
        <w:rPr>
          <w:rFonts w:ascii="Times New Roman" w:hAnsi="Times New Roman" w:cs="Times New Roman"/>
          <w:sz w:val="24"/>
          <w:szCs w:val="24"/>
        </w:rPr>
        <w:t>ë</w:t>
      </w:r>
      <w:r w:rsidRPr="001F3324">
        <w:rPr>
          <w:rFonts w:ascii="Times New Roman" w:hAnsi="Times New Roman" w:cs="Times New Roman"/>
          <w:sz w:val="24"/>
          <w:szCs w:val="24"/>
        </w:rPr>
        <w:t>t</w:t>
      </w:r>
      <w:r w:rsidR="0038637C">
        <w:rPr>
          <w:rFonts w:ascii="Times New Roman" w:hAnsi="Times New Roman" w:cs="Times New Roman"/>
          <w:sz w:val="24"/>
          <w:szCs w:val="24"/>
        </w:rPr>
        <w:t>ë</w:t>
      </w:r>
      <w:r w:rsidRPr="001F3324">
        <w:rPr>
          <w:rFonts w:ascii="Times New Roman" w:hAnsi="Times New Roman" w:cs="Times New Roman"/>
          <w:sz w:val="24"/>
          <w:szCs w:val="24"/>
        </w:rPr>
        <w:t xml:space="preserve"> raport i </w:t>
      </w:r>
      <w:r w:rsidR="0038637C">
        <w:rPr>
          <w:rFonts w:ascii="Times New Roman" w:hAnsi="Times New Roman" w:cs="Times New Roman"/>
          <w:sz w:val="24"/>
          <w:szCs w:val="24"/>
        </w:rPr>
        <w:t>ë</w:t>
      </w:r>
      <w:r w:rsidRPr="001F3324">
        <w:rPr>
          <w:rFonts w:ascii="Times New Roman" w:hAnsi="Times New Roman" w:cs="Times New Roman"/>
          <w:sz w:val="24"/>
          <w:szCs w:val="24"/>
        </w:rPr>
        <w:t>sht</w:t>
      </w:r>
      <w:r w:rsidR="0038637C">
        <w:rPr>
          <w:rFonts w:ascii="Times New Roman" w:hAnsi="Times New Roman" w:cs="Times New Roman"/>
          <w:sz w:val="24"/>
          <w:szCs w:val="24"/>
        </w:rPr>
        <w:t>ë</w:t>
      </w:r>
      <w:r w:rsidRPr="001F3324">
        <w:rPr>
          <w:rFonts w:ascii="Times New Roman" w:hAnsi="Times New Roman" w:cs="Times New Roman"/>
          <w:sz w:val="24"/>
          <w:szCs w:val="24"/>
        </w:rPr>
        <w:t xml:space="preserve"> dh</w:t>
      </w:r>
      <w:r w:rsidR="0038637C">
        <w:rPr>
          <w:rFonts w:ascii="Times New Roman" w:hAnsi="Times New Roman" w:cs="Times New Roman"/>
          <w:sz w:val="24"/>
          <w:szCs w:val="24"/>
        </w:rPr>
        <w:t>ë</w:t>
      </w:r>
      <w:r w:rsidRPr="001F3324">
        <w:rPr>
          <w:rFonts w:ascii="Times New Roman" w:hAnsi="Times New Roman" w:cs="Times New Roman"/>
          <w:sz w:val="24"/>
          <w:szCs w:val="24"/>
        </w:rPr>
        <w:t>n</w:t>
      </w:r>
      <w:r w:rsidR="0038637C">
        <w:rPr>
          <w:rFonts w:ascii="Times New Roman" w:hAnsi="Times New Roman" w:cs="Times New Roman"/>
          <w:sz w:val="24"/>
          <w:szCs w:val="24"/>
        </w:rPr>
        <w:t>ë</w:t>
      </w:r>
      <w:r w:rsidRPr="001F3324">
        <w:rPr>
          <w:rFonts w:ascii="Times New Roman" w:hAnsi="Times New Roman" w:cs="Times New Roman"/>
          <w:sz w:val="24"/>
          <w:szCs w:val="24"/>
        </w:rPr>
        <w:t xml:space="preserve"> kontratave t</w:t>
      </w:r>
      <w:r w:rsidR="0038637C">
        <w:rPr>
          <w:rFonts w:ascii="Times New Roman" w:hAnsi="Times New Roman" w:cs="Times New Roman"/>
          <w:sz w:val="24"/>
          <w:szCs w:val="24"/>
        </w:rPr>
        <w:t>ë</w:t>
      </w:r>
      <w:r w:rsidRPr="001F3324">
        <w:rPr>
          <w:rFonts w:ascii="Times New Roman" w:hAnsi="Times New Roman" w:cs="Times New Roman"/>
          <w:sz w:val="24"/>
          <w:szCs w:val="24"/>
        </w:rPr>
        <w:t xml:space="preserve"> koncesionit/PPP n</w:t>
      </w:r>
      <w:r w:rsidR="0038637C">
        <w:rPr>
          <w:rFonts w:ascii="Times New Roman" w:hAnsi="Times New Roman" w:cs="Times New Roman"/>
          <w:sz w:val="24"/>
          <w:szCs w:val="24"/>
        </w:rPr>
        <w:t>ë</w:t>
      </w:r>
      <w:r w:rsidRPr="001F3324">
        <w:rPr>
          <w:rFonts w:ascii="Times New Roman" w:hAnsi="Times New Roman" w:cs="Times New Roman"/>
          <w:sz w:val="24"/>
          <w:szCs w:val="24"/>
        </w:rPr>
        <w:t xml:space="preserve"> </w:t>
      </w:r>
      <w:r w:rsidR="00921FB3" w:rsidRPr="001F3324">
        <w:rPr>
          <w:rFonts w:ascii="Times New Roman" w:hAnsi="Times New Roman" w:cs="Times New Roman"/>
          <w:sz w:val="24"/>
          <w:szCs w:val="24"/>
        </w:rPr>
        <w:t>Sektorin e</w:t>
      </w:r>
      <w:r w:rsidRPr="001F3324">
        <w:rPr>
          <w:rFonts w:ascii="Times New Roman" w:hAnsi="Times New Roman" w:cs="Times New Roman"/>
          <w:sz w:val="24"/>
          <w:szCs w:val="24"/>
        </w:rPr>
        <w:t xml:space="preserve"> Mjedisit. </w:t>
      </w:r>
    </w:p>
    <w:p w14:paraId="493AC892" w14:textId="77777777" w:rsidR="001637FF" w:rsidRPr="00DB1882" w:rsidRDefault="001637FF" w:rsidP="001637FF">
      <w:pPr>
        <w:tabs>
          <w:tab w:val="left" w:pos="3553"/>
        </w:tabs>
        <w:jc w:val="both"/>
        <w:rPr>
          <w:rFonts w:ascii="Times New Roman" w:hAnsi="Times New Roman" w:cs="Times New Roman"/>
          <w:b/>
          <w:sz w:val="24"/>
          <w:szCs w:val="24"/>
        </w:rPr>
      </w:pPr>
    </w:p>
    <w:p w14:paraId="6F2D5C95" w14:textId="77777777" w:rsidR="00884549" w:rsidRPr="009B6417" w:rsidRDefault="00884549" w:rsidP="00991F81">
      <w:pPr>
        <w:pStyle w:val="NoSpacing"/>
        <w:spacing w:line="276" w:lineRule="auto"/>
        <w:jc w:val="both"/>
        <w:rPr>
          <w:rFonts w:ascii="Times New Roman" w:hAnsi="Times New Roman" w:cs="Times New Roman"/>
          <w:sz w:val="24"/>
          <w:szCs w:val="24"/>
          <w:lang w:val="sq-AL"/>
        </w:rPr>
      </w:pPr>
    </w:p>
    <w:p w14:paraId="3A45AE46" w14:textId="77777777" w:rsidR="00884549" w:rsidRPr="009B6417" w:rsidRDefault="00884549" w:rsidP="00991F81">
      <w:pPr>
        <w:pStyle w:val="NoSpacing"/>
        <w:spacing w:line="276" w:lineRule="auto"/>
        <w:jc w:val="both"/>
        <w:rPr>
          <w:rFonts w:ascii="Times New Roman" w:hAnsi="Times New Roman" w:cs="Times New Roman"/>
          <w:sz w:val="24"/>
          <w:szCs w:val="24"/>
          <w:lang w:val="sq-AL"/>
        </w:rPr>
      </w:pPr>
    </w:p>
    <w:p w14:paraId="1E3B8DDF" w14:textId="77777777" w:rsidR="00884549" w:rsidRPr="009B6417" w:rsidRDefault="00884549" w:rsidP="00991F81">
      <w:pPr>
        <w:pStyle w:val="NoSpacing"/>
        <w:spacing w:line="276" w:lineRule="auto"/>
        <w:jc w:val="both"/>
        <w:rPr>
          <w:rFonts w:ascii="Times New Roman" w:hAnsi="Times New Roman" w:cs="Times New Roman"/>
          <w:sz w:val="24"/>
          <w:szCs w:val="24"/>
          <w:lang w:val="sq-AL"/>
        </w:rPr>
      </w:pPr>
    </w:p>
    <w:p w14:paraId="6DBE60B4" w14:textId="77777777" w:rsidR="00884549" w:rsidRPr="009B6417" w:rsidRDefault="00884549" w:rsidP="00991F81">
      <w:pPr>
        <w:pStyle w:val="NoSpacing"/>
        <w:spacing w:line="276" w:lineRule="auto"/>
        <w:jc w:val="both"/>
        <w:rPr>
          <w:rFonts w:ascii="Times New Roman" w:hAnsi="Times New Roman" w:cs="Times New Roman"/>
          <w:sz w:val="24"/>
          <w:szCs w:val="24"/>
          <w:lang w:val="sq-AL"/>
        </w:rPr>
      </w:pPr>
    </w:p>
    <w:p w14:paraId="3B90B82D" w14:textId="77777777" w:rsidR="00884549" w:rsidRPr="009B6417" w:rsidRDefault="00884549" w:rsidP="00991F81">
      <w:pPr>
        <w:pStyle w:val="NoSpacing"/>
        <w:spacing w:line="276" w:lineRule="auto"/>
        <w:jc w:val="both"/>
        <w:rPr>
          <w:rFonts w:ascii="Times New Roman" w:hAnsi="Times New Roman" w:cs="Times New Roman"/>
          <w:sz w:val="24"/>
          <w:szCs w:val="24"/>
          <w:lang w:val="sq-AL"/>
        </w:rPr>
      </w:pPr>
    </w:p>
    <w:p w14:paraId="39F667A5" w14:textId="77777777" w:rsidR="00884549" w:rsidRPr="009B6417" w:rsidRDefault="00884549" w:rsidP="00991F81">
      <w:pPr>
        <w:pStyle w:val="NoSpacing"/>
        <w:spacing w:line="276" w:lineRule="auto"/>
        <w:jc w:val="both"/>
        <w:rPr>
          <w:rFonts w:ascii="Times New Roman" w:hAnsi="Times New Roman" w:cs="Times New Roman"/>
          <w:sz w:val="24"/>
          <w:szCs w:val="24"/>
          <w:lang w:val="sq-AL"/>
        </w:rPr>
      </w:pPr>
    </w:p>
    <w:p w14:paraId="3CF301DA" w14:textId="77777777" w:rsidR="00884549" w:rsidRDefault="00884549" w:rsidP="00991F81">
      <w:pPr>
        <w:pStyle w:val="NoSpacing"/>
        <w:spacing w:line="276" w:lineRule="auto"/>
        <w:jc w:val="both"/>
        <w:rPr>
          <w:rFonts w:ascii="Times New Roman" w:hAnsi="Times New Roman" w:cs="Times New Roman"/>
          <w:sz w:val="24"/>
          <w:szCs w:val="24"/>
          <w:lang w:val="sq-AL"/>
        </w:rPr>
      </w:pPr>
    </w:p>
    <w:p w14:paraId="519AEB06" w14:textId="77777777" w:rsidR="00784B22" w:rsidRPr="009B6417" w:rsidRDefault="00784B22" w:rsidP="00991F81">
      <w:pPr>
        <w:pStyle w:val="NoSpacing"/>
        <w:spacing w:line="276" w:lineRule="auto"/>
        <w:jc w:val="both"/>
        <w:rPr>
          <w:rFonts w:ascii="Times New Roman" w:hAnsi="Times New Roman" w:cs="Times New Roman"/>
          <w:sz w:val="24"/>
          <w:szCs w:val="24"/>
          <w:lang w:val="sq-AL"/>
        </w:rPr>
      </w:pPr>
    </w:p>
    <w:p w14:paraId="3F37356C" w14:textId="77777777" w:rsidR="00884549" w:rsidRPr="009B6417" w:rsidRDefault="00884549" w:rsidP="00991F81">
      <w:pPr>
        <w:pStyle w:val="NoSpacing"/>
        <w:spacing w:line="276" w:lineRule="auto"/>
        <w:jc w:val="both"/>
        <w:rPr>
          <w:rFonts w:ascii="Times New Roman" w:hAnsi="Times New Roman" w:cs="Times New Roman"/>
          <w:sz w:val="24"/>
          <w:szCs w:val="24"/>
          <w:lang w:val="sq-AL"/>
        </w:rPr>
      </w:pPr>
    </w:p>
    <w:p w14:paraId="44094DD2" w14:textId="77777777" w:rsidR="002134C7" w:rsidRPr="009B6417" w:rsidRDefault="002134C7" w:rsidP="00991F81">
      <w:pPr>
        <w:pStyle w:val="NoSpacing"/>
        <w:spacing w:line="276" w:lineRule="auto"/>
        <w:jc w:val="both"/>
        <w:rPr>
          <w:rFonts w:ascii="Times New Roman" w:hAnsi="Times New Roman" w:cs="Times New Roman"/>
          <w:sz w:val="24"/>
          <w:szCs w:val="24"/>
          <w:lang w:val="sq-AL"/>
        </w:rPr>
      </w:pPr>
    </w:p>
    <w:p w14:paraId="33FB461C" w14:textId="77777777" w:rsidR="0003157F" w:rsidRPr="009B6417" w:rsidRDefault="002064BE" w:rsidP="009E599C">
      <w:pPr>
        <w:pStyle w:val="Heading1"/>
        <w:numPr>
          <w:ilvl w:val="0"/>
          <w:numId w:val="21"/>
        </w:numPr>
        <w:rPr>
          <w:rFonts w:ascii="Times New Roman" w:hAnsi="Times New Roman" w:cs="Times New Roman"/>
          <w:b/>
          <w:sz w:val="24"/>
          <w:szCs w:val="24"/>
        </w:rPr>
      </w:pPr>
      <w:bookmarkStart w:id="5" w:name="_Toc37196684"/>
      <w:r w:rsidRPr="009B6417">
        <w:rPr>
          <w:rFonts w:ascii="Times New Roman" w:hAnsi="Times New Roman" w:cs="Times New Roman"/>
          <w:b/>
          <w:sz w:val="24"/>
          <w:szCs w:val="24"/>
        </w:rPr>
        <w:lastRenderedPageBreak/>
        <w:t>Hyrje</w:t>
      </w:r>
      <w:bookmarkEnd w:id="5"/>
      <w:r w:rsidRPr="009B6417">
        <w:rPr>
          <w:rFonts w:ascii="Times New Roman" w:hAnsi="Times New Roman" w:cs="Times New Roman"/>
          <w:b/>
          <w:sz w:val="24"/>
          <w:szCs w:val="24"/>
        </w:rPr>
        <w:t xml:space="preserve"> </w:t>
      </w:r>
    </w:p>
    <w:p w14:paraId="49BD6B53" w14:textId="77777777" w:rsidR="002A5512" w:rsidRPr="009B6417" w:rsidRDefault="002A5512" w:rsidP="002A5512">
      <w:pPr>
        <w:rPr>
          <w:rFonts w:ascii="Times New Roman" w:hAnsi="Times New Roman" w:cs="Times New Roman"/>
          <w:sz w:val="2"/>
          <w:szCs w:val="24"/>
        </w:rPr>
      </w:pPr>
    </w:p>
    <w:p w14:paraId="02CB301D" w14:textId="77777777" w:rsidR="001637FF" w:rsidRPr="009B6417" w:rsidRDefault="001637FF" w:rsidP="001637FF">
      <w:pPr>
        <w:tabs>
          <w:tab w:val="left" w:pos="3553"/>
        </w:tabs>
        <w:spacing w:after="0"/>
        <w:jc w:val="both"/>
        <w:rPr>
          <w:rFonts w:ascii="Times New Roman" w:hAnsi="Times New Roman" w:cs="Times New Roman"/>
          <w:sz w:val="24"/>
          <w:szCs w:val="24"/>
        </w:rPr>
      </w:pPr>
      <w:r w:rsidRPr="009B6417">
        <w:rPr>
          <w:rFonts w:ascii="Times New Roman" w:hAnsi="Times New Roman" w:cs="Times New Roman"/>
          <w:sz w:val="24"/>
          <w:szCs w:val="24"/>
        </w:rPr>
        <w:t>Ky raport synon të prezantojë</w:t>
      </w:r>
      <w:r>
        <w:rPr>
          <w:rFonts w:ascii="Times New Roman" w:hAnsi="Times New Roman" w:cs="Times New Roman"/>
          <w:sz w:val="24"/>
          <w:szCs w:val="24"/>
        </w:rPr>
        <w:t xml:space="preserve"> </w:t>
      </w:r>
      <w:r w:rsidRPr="009B6417">
        <w:rPr>
          <w:rFonts w:ascii="Times New Roman" w:hAnsi="Times New Roman" w:cs="Times New Roman"/>
          <w:sz w:val="24"/>
          <w:szCs w:val="24"/>
        </w:rPr>
        <w:t>një informacion</w:t>
      </w:r>
      <w:r>
        <w:rPr>
          <w:rFonts w:ascii="Times New Roman" w:hAnsi="Times New Roman" w:cs="Times New Roman"/>
          <w:sz w:val="24"/>
          <w:szCs w:val="24"/>
        </w:rPr>
        <w:t xml:space="preserve"> të</w:t>
      </w:r>
      <w:r w:rsidRPr="009B6417">
        <w:rPr>
          <w:rFonts w:ascii="Times New Roman" w:hAnsi="Times New Roman" w:cs="Times New Roman"/>
          <w:sz w:val="24"/>
          <w:szCs w:val="24"/>
        </w:rPr>
        <w:t xml:space="preserve"> përmbledhur mbi ecurinë dhe  zbatueshmërinë e kontratave të koncesionit /PPP në Republikën e Shqipërisë të raportuara nga Autoritetet Kontraktuese pranë Ministrisë së Financave dhe Ekonomisë lidhur me risqet fiskale dhe implikimet buxhetore. Këto raportime janë bërë sipas përmbajtjes së dy shtojcave, formatet e të cilave janë përgatitur bazuar në praktikat ndërkombëtare të asistuara nga Ekspertët e Bankës Botërore</w:t>
      </w:r>
      <w:r>
        <w:rPr>
          <w:rFonts w:ascii="Times New Roman" w:hAnsi="Times New Roman" w:cs="Times New Roman"/>
          <w:sz w:val="24"/>
          <w:szCs w:val="24"/>
        </w:rPr>
        <w:t>,</w:t>
      </w:r>
      <w:r w:rsidRPr="009B6417">
        <w:rPr>
          <w:rFonts w:ascii="Times New Roman" w:hAnsi="Times New Roman" w:cs="Times New Roman"/>
          <w:sz w:val="24"/>
          <w:szCs w:val="24"/>
        </w:rPr>
        <w:t xml:space="preserve"> të financuar nga Delegacioni i Bashkimit Europian dhe Federata e Zvicrës. Këta ekspertë kanë asistuar inicimin e procesit të monitorimit të kontratave të koncesionit/PPP nga MFE në këndvështrimin e implikimeve buxhetore.</w:t>
      </w:r>
    </w:p>
    <w:p w14:paraId="48017DA9" w14:textId="77777777" w:rsidR="001637FF" w:rsidRPr="0013520B" w:rsidRDefault="001637FF" w:rsidP="001637FF">
      <w:pPr>
        <w:tabs>
          <w:tab w:val="left" w:pos="3553"/>
        </w:tabs>
        <w:spacing w:after="0"/>
        <w:jc w:val="both"/>
        <w:rPr>
          <w:rFonts w:ascii="Times New Roman" w:hAnsi="Times New Roman" w:cs="Times New Roman"/>
          <w:sz w:val="14"/>
          <w:szCs w:val="24"/>
        </w:rPr>
      </w:pPr>
    </w:p>
    <w:p w14:paraId="7C3E8DEA" w14:textId="77777777" w:rsidR="001637FF" w:rsidRPr="009B6417" w:rsidRDefault="001637FF" w:rsidP="001637FF">
      <w:pPr>
        <w:tabs>
          <w:tab w:val="left" w:pos="3553"/>
        </w:tabs>
        <w:jc w:val="both"/>
        <w:rPr>
          <w:rFonts w:ascii="Times New Roman" w:hAnsi="Times New Roman" w:cs="Times New Roman"/>
          <w:sz w:val="24"/>
          <w:szCs w:val="24"/>
        </w:rPr>
      </w:pPr>
      <w:r w:rsidRPr="009B6417">
        <w:rPr>
          <w:rFonts w:ascii="Times New Roman" w:hAnsi="Times New Roman" w:cs="Times New Roman"/>
          <w:sz w:val="24"/>
          <w:szCs w:val="24"/>
        </w:rPr>
        <w:t>Nisur nga numri i lartë i kontratave të koncesionit/PPP të lidhura në Republikën e Shqipërisë dhe kompleksitetit të tyre, është e rëndësishme të sqarohet se numri i kontratave të paraqitura në këtë raport është i kufizuar</w:t>
      </w:r>
      <w:r>
        <w:rPr>
          <w:rFonts w:ascii="Times New Roman" w:hAnsi="Times New Roman" w:cs="Times New Roman"/>
          <w:sz w:val="24"/>
          <w:szCs w:val="24"/>
        </w:rPr>
        <w:t xml:space="preserve">. </w:t>
      </w:r>
      <w:r w:rsidRPr="009B6417">
        <w:rPr>
          <w:rFonts w:ascii="Times New Roman" w:hAnsi="Times New Roman" w:cs="Times New Roman"/>
          <w:sz w:val="24"/>
          <w:szCs w:val="24"/>
        </w:rPr>
        <w:t xml:space="preserve">Me konsolidimin e procesit të monitorimit dhe </w:t>
      </w:r>
      <w:r>
        <w:rPr>
          <w:rFonts w:ascii="Times New Roman" w:hAnsi="Times New Roman" w:cs="Times New Roman"/>
          <w:sz w:val="24"/>
          <w:szCs w:val="24"/>
        </w:rPr>
        <w:t>zbatimit t</w:t>
      </w:r>
      <w:r w:rsidR="0038637C">
        <w:rPr>
          <w:rFonts w:ascii="Times New Roman" w:hAnsi="Times New Roman" w:cs="Times New Roman"/>
          <w:sz w:val="24"/>
          <w:szCs w:val="24"/>
        </w:rPr>
        <w:t>ë</w:t>
      </w:r>
      <w:r w:rsidRPr="009B6417">
        <w:rPr>
          <w:rFonts w:ascii="Times New Roman" w:hAnsi="Times New Roman" w:cs="Times New Roman"/>
          <w:sz w:val="24"/>
          <w:szCs w:val="24"/>
        </w:rPr>
        <w:t xml:space="preserve"> Udhëzimit</w:t>
      </w:r>
      <w:r>
        <w:rPr>
          <w:rFonts w:ascii="Times New Roman" w:hAnsi="Times New Roman" w:cs="Times New Roman"/>
          <w:sz w:val="24"/>
          <w:szCs w:val="24"/>
        </w:rPr>
        <w:t xml:space="preserve"> nr.35, dat</w:t>
      </w:r>
      <w:r w:rsidR="0038637C">
        <w:rPr>
          <w:rFonts w:ascii="Times New Roman" w:hAnsi="Times New Roman" w:cs="Times New Roman"/>
          <w:sz w:val="24"/>
          <w:szCs w:val="24"/>
        </w:rPr>
        <w:t>ë</w:t>
      </w:r>
      <w:r>
        <w:rPr>
          <w:rFonts w:ascii="Times New Roman" w:hAnsi="Times New Roman" w:cs="Times New Roman"/>
          <w:sz w:val="24"/>
          <w:szCs w:val="24"/>
        </w:rPr>
        <w:t xml:space="preserve"> 12.12.2019, </w:t>
      </w:r>
      <w:r w:rsidRPr="009B6417">
        <w:rPr>
          <w:rFonts w:ascii="Times New Roman" w:hAnsi="Times New Roman" w:cs="Times New Roman"/>
          <w:sz w:val="24"/>
          <w:szCs w:val="24"/>
        </w:rPr>
        <w:t xml:space="preserve">i cili </w:t>
      </w:r>
      <w:r>
        <w:rPr>
          <w:rFonts w:ascii="Times New Roman" w:hAnsi="Times New Roman" w:cs="Times New Roman"/>
          <w:sz w:val="24"/>
          <w:szCs w:val="24"/>
        </w:rPr>
        <w:t>p</w:t>
      </w:r>
      <w:r w:rsidR="0038637C">
        <w:rPr>
          <w:rFonts w:ascii="Times New Roman" w:hAnsi="Times New Roman" w:cs="Times New Roman"/>
          <w:sz w:val="24"/>
          <w:szCs w:val="24"/>
        </w:rPr>
        <w:t>ë</w:t>
      </w:r>
      <w:r>
        <w:rPr>
          <w:rFonts w:ascii="Times New Roman" w:hAnsi="Times New Roman" w:cs="Times New Roman"/>
          <w:sz w:val="24"/>
          <w:szCs w:val="24"/>
        </w:rPr>
        <w:t>rcakton</w:t>
      </w:r>
      <w:r w:rsidR="006570C5">
        <w:rPr>
          <w:rFonts w:ascii="Times New Roman" w:hAnsi="Times New Roman" w:cs="Times New Roman"/>
          <w:sz w:val="24"/>
          <w:szCs w:val="24"/>
        </w:rPr>
        <w:t xml:space="preserve"> </w:t>
      </w:r>
      <w:r w:rsidRPr="009B6417">
        <w:rPr>
          <w:rFonts w:ascii="Times New Roman" w:hAnsi="Times New Roman" w:cs="Times New Roman"/>
          <w:sz w:val="24"/>
          <w:szCs w:val="24"/>
        </w:rPr>
        <w:t>rregullat standarde, procedurat, afatet që duhet të ndiqen në procesin e raportimit dhe monitorimit të ecurisë dhe performancës financiare dhe jo financiare të kontratave të koncesionit/PPP nga të gjitha Autoritetet Kontraktuese, synohet që në vijim të pasqyrohen në RVP</w:t>
      </w:r>
      <w:r>
        <w:rPr>
          <w:rFonts w:ascii="Times New Roman" w:hAnsi="Times New Roman" w:cs="Times New Roman"/>
          <w:sz w:val="24"/>
          <w:szCs w:val="24"/>
        </w:rPr>
        <w:t>-t</w:t>
      </w:r>
      <w:r w:rsidRPr="009B6417">
        <w:rPr>
          <w:rFonts w:ascii="Times New Roman" w:hAnsi="Times New Roman" w:cs="Times New Roman"/>
          <w:sz w:val="24"/>
          <w:szCs w:val="24"/>
        </w:rPr>
        <w:t>ë pasardhëse të gjitha kontratat e koncesionit/PPP që do të raportohen nga Autoritetet Kontraktuese pranë MFE-së.</w:t>
      </w:r>
    </w:p>
    <w:p w14:paraId="06D752D5" w14:textId="77777777" w:rsidR="001637FF" w:rsidRPr="009B6417" w:rsidRDefault="001637FF" w:rsidP="001637FF">
      <w:pPr>
        <w:tabs>
          <w:tab w:val="left" w:pos="3553"/>
        </w:tabs>
        <w:jc w:val="both"/>
        <w:rPr>
          <w:rFonts w:ascii="Times New Roman" w:hAnsi="Times New Roman" w:cs="Times New Roman"/>
          <w:sz w:val="24"/>
          <w:szCs w:val="24"/>
        </w:rPr>
      </w:pPr>
      <w:r w:rsidRPr="009B6417">
        <w:rPr>
          <w:rFonts w:ascii="Times New Roman" w:hAnsi="Times New Roman" w:cs="Times New Roman"/>
          <w:sz w:val="24"/>
          <w:szCs w:val="24"/>
        </w:rPr>
        <w:t>Objekt i RVP-së janë të gjitha kontratat e koncesionit/PPP të lidhura në bazë të Ligjit nr. 7973, datë 26.7.1995 “</w:t>
      </w:r>
      <w:r w:rsidRPr="009B6417">
        <w:rPr>
          <w:rFonts w:ascii="Times New Roman" w:hAnsi="Times New Roman" w:cs="Times New Roman"/>
          <w:i/>
          <w:sz w:val="24"/>
          <w:szCs w:val="24"/>
        </w:rPr>
        <w:t>Për koncesionet dhe pjesëmarrjen e sektorit privat në shërbimet publike dhe infrastrukturë</w:t>
      </w:r>
      <w:r w:rsidRPr="009B6417">
        <w:rPr>
          <w:rFonts w:ascii="Times New Roman" w:hAnsi="Times New Roman" w:cs="Times New Roman"/>
          <w:sz w:val="24"/>
          <w:szCs w:val="24"/>
        </w:rPr>
        <w:t xml:space="preserve">”, Ligjit nr. 9663, datë 18.12.2006, </w:t>
      </w:r>
      <w:r w:rsidRPr="001E3A70">
        <w:rPr>
          <w:rFonts w:ascii="Times New Roman" w:hAnsi="Times New Roman" w:cs="Times New Roman"/>
          <w:sz w:val="24"/>
          <w:szCs w:val="24"/>
        </w:rPr>
        <w:t>“</w:t>
      </w:r>
      <w:r w:rsidRPr="001E3A70">
        <w:rPr>
          <w:rFonts w:ascii="Times New Roman" w:hAnsi="Times New Roman" w:cs="Times New Roman"/>
          <w:i/>
          <w:sz w:val="24"/>
          <w:szCs w:val="24"/>
        </w:rPr>
        <w:t>Për Koncesionet</w:t>
      </w:r>
      <w:r w:rsidRPr="001E3A70">
        <w:rPr>
          <w:rFonts w:ascii="Times New Roman" w:hAnsi="Times New Roman" w:cs="Times New Roman"/>
          <w:sz w:val="24"/>
          <w:szCs w:val="24"/>
        </w:rPr>
        <w:t xml:space="preserve">”, Ligji nr. 125/2013, </w:t>
      </w:r>
      <w:r w:rsidRPr="001E3A70">
        <w:rPr>
          <w:rFonts w:ascii="Times New Roman" w:hAnsi="Times New Roman" w:cs="Times New Roman"/>
          <w:i/>
          <w:sz w:val="24"/>
          <w:szCs w:val="24"/>
        </w:rPr>
        <w:t>“Për koncesionet dhe partneritetin publik privat</w:t>
      </w:r>
      <w:r w:rsidRPr="001E3A70">
        <w:rPr>
          <w:rFonts w:ascii="Times New Roman" w:hAnsi="Times New Roman" w:cs="Times New Roman"/>
          <w:sz w:val="24"/>
          <w:szCs w:val="24"/>
        </w:rPr>
        <w:t>”, si dhe të gjitha kontratat e tjera të publikuara në Regjistrin e Koncesioneve në faqen zyrtare të ATRAKO-s. Në total</w:t>
      </w:r>
      <w:r w:rsidR="001E3A70">
        <w:rPr>
          <w:rFonts w:ascii="Times New Roman" w:hAnsi="Times New Roman" w:cs="Times New Roman"/>
          <w:sz w:val="24"/>
          <w:szCs w:val="24"/>
        </w:rPr>
        <w:t>,</w:t>
      </w:r>
      <w:r w:rsidRPr="001E3A70">
        <w:rPr>
          <w:rFonts w:ascii="Times New Roman" w:hAnsi="Times New Roman" w:cs="Times New Roman"/>
          <w:sz w:val="24"/>
          <w:szCs w:val="24"/>
        </w:rPr>
        <w:t xml:space="preserve"> në Shqipëri deri në vitin 2019 rezultojnë 224 kontrat</w:t>
      </w:r>
      <w:r w:rsidR="001E3A70" w:rsidRPr="001E3A70">
        <w:rPr>
          <w:rFonts w:ascii="Times New Roman" w:hAnsi="Times New Roman" w:cs="Times New Roman"/>
          <w:sz w:val="24"/>
          <w:szCs w:val="24"/>
        </w:rPr>
        <w:t>a koncesionare, nga të cilat 210</w:t>
      </w:r>
      <w:r w:rsidRPr="001E3A70">
        <w:rPr>
          <w:rFonts w:ascii="Times New Roman" w:hAnsi="Times New Roman" w:cs="Times New Roman"/>
          <w:sz w:val="24"/>
          <w:szCs w:val="24"/>
        </w:rPr>
        <w:t xml:space="preserve"> jan</w:t>
      </w:r>
      <w:r w:rsidR="001F3324" w:rsidRPr="001E3A70">
        <w:rPr>
          <w:rFonts w:ascii="Times New Roman" w:hAnsi="Times New Roman" w:cs="Times New Roman"/>
          <w:sz w:val="24"/>
          <w:szCs w:val="24"/>
        </w:rPr>
        <w:t>ë pa mbështetje buxhetore dhe 14</w:t>
      </w:r>
      <w:r w:rsidRPr="001E3A70">
        <w:rPr>
          <w:rFonts w:ascii="Times New Roman" w:hAnsi="Times New Roman" w:cs="Times New Roman"/>
          <w:sz w:val="24"/>
          <w:szCs w:val="24"/>
        </w:rPr>
        <w:t xml:space="preserve"> me mbështetje buxhetore.</w:t>
      </w:r>
    </w:p>
    <w:p w14:paraId="0D915C92" w14:textId="77777777" w:rsidR="001637FF" w:rsidRPr="009B6417" w:rsidRDefault="001637FF" w:rsidP="001637FF">
      <w:pPr>
        <w:pStyle w:val="Heading2"/>
        <w:numPr>
          <w:ilvl w:val="1"/>
          <w:numId w:val="17"/>
        </w:numPr>
        <w:spacing w:after="240"/>
        <w:ind w:left="1080"/>
        <w:rPr>
          <w:rFonts w:ascii="Times New Roman" w:hAnsi="Times New Roman" w:cs="Times New Roman"/>
          <w:b/>
          <w:sz w:val="24"/>
          <w:szCs w:val="24"/>
        </w:rPr>
      </w:pPr>
      <w:bookmarkStart w:id="6" w:name="_Toc37196685"/>
      <w:r w:rsidRPr="009B6417">
        <w:rPr>
          <w:rFonts w:ascii="Times New Roman" w:hAnsi="Times New Roman" w:cs="Times New Roman"/>
          <w:b/>
          <w:sz w:val="24"/>
          <w:szCs w:val="24"/>
        </w:rPr>
        <w:t>Koncepti i Koncesioneve dhe Partneritetit Publik Privat</w:t>
      </w:r>
      <w:bookmarkEnd w:id="6"/>
    </w:p>
    <w:p w14:paraId="1C990071" w14:textId="77777777" w:rsidR="001637FF" w:rsidRPr="009B6417" w:rsidRDefault="001637FF" w:rsidP="00784B22">
      <w:pPr>
        <w:spacing w:after="0"/>
        <w:jc w:val="both"/>
        <w:rPr>
          <w:rFonts w:ascii="Times New Roman" w:hAnsi="Times New Roman" w:cs="Times New Roman"/>
          <w:sz w:val="24"/>
          <w:szCs w:val="24"/>
        </w:rPr>
      </w:pPr>
      <w:r w:rsidRPr="009B6417">
        <w:rPr>
          <w:rFonts w:ascii="Times New Roman" w:hAnsi="Times New Roman" w:cs="Times New Roman"/>
          <w:sz w:val="24"/>
          <w:szCs w:val="24"/>
        </w:rPr>
        <w:t>Para se të jepet një përshkrim i përgjithshëm i situatës së koncesioneve dhe PPP-ve në R.Sh. është e nevojshme të jepet një përkufizim i PPP-ve dhe koncesioneve. Koncesioni është një formë partneriteti midis palës publike dhe asaj private në ofrimin e punëve dhe shërbimeve publike.</w:t>
      </w:r>
    </w:p>
    <w:p w14:paraId="34B2B9C1" w14:textId="77777777" w:rsidR="001637FF" w:rsidRPr="009B6417" w:rsidRDefault="001637FF" w:rsidP="00784B22">
      <w:pPr>
        <w:spacing w:after="0"/>
        <w:jc w:val="both"/>
        <w:rPr>
          <w:rFonts w:ascii="Times New Roman" w:hAnsi="Times New Roman" w:cs="Times New Roman"/>
          <w:sz w:val="24"/>
          <w:szCs w:val="24"/>
        </w:rPr>
      </w:pPr>
      <w:r w:rsidRPr="009B6417">
        <w:rPr>
          <w:rFonts w:ascii="Times New Roman" w:hAnsi="Times New Roman" w:cs="Times New Roman"/>
          <w:sz w:val="24"/>
          <w:szCs w:val="24"/>
        </w:rPr>
        <w:t>S</w:t>
      </w:r>
      <w:r>
        <w:rPr>
          <w:rFonts w:ascii="Times New Roman" w:hAnsi="Times New Roman" w:cs="Times New Roman"/>
          <w:sz w:val="24"/>
          <w:szCs w:val="24"/>
        </w:rPr>
        <w:t xml:space="preserve">ipas </w:t>
      </w:r>
      <w:r w:rsidRPr="009B6417">
        <w:rPr>
          <w:rFonts w:ascii="Times New Roman" w:hAnsi="Times New Roman" w:cs="Times New Roman"/>
          <w:sz w:val="24"/>
          <w:szCs w:val="24"/>
        </w:rPr>
        <w:t xml:space="preserve"> Ligjit nr.125/2013 “Për koncesionet/PPP në R.Sh” i ndryshuar, përkufizimi i koncesioneve jepet në këtë mënyrë:</w:t>
      </w:r>
    </w:p>
    <w:p w14:paraId="478CFEA0" w14:textId="77777777" w:rsidR="001637FF" w:rsidRPr="009B6417" w:rsidRDefault="001637FF" w:rsidP="001637FF">
      <w:pPr>
        <w:jc w:val="both"/>
        <w:rPr>
          <w:rFonts w:ascii="Times New Roman" w:hAnsi="Times New Roman" w:cs="Times New Roman"/>
          <w:i/>
          <w:sz w:val="24"/>
          <w:szCs w:val="24"/>
        </w:rPr>
      </w:pPr>
      <w:r w:rsidRPr="009B6417">
        <w:rPr>
          <w:rFonts w:ascii="Times New Roman" w:hAnsi="Times New Roman" w:cs="Times New Roman"/>
          <w:sz w:val="24"/>
          <w:szCs w:val="24"/>
        </w:rPr>
        <w:t>“</w:t>
      </w:r>
      <w:r w:rsidRPr="009B6417">
        <w:rPr>
          <w:rFonts w:ascii="Times New Roman" w:hAnsi="Times New Roman" w:cs="Times New Roman"/>
          <w:i/>
          <w:sz w:val="24"/>
          <w:szCs w:val="24"/>
        </w:rPr>
        <w:t>Koncesioni është një marrëveshje me interes financiar, e lidhur me shkrim ndërmjet autoritetit kontraktues dhe një ose më shumë operatorëve ekonomikë, objekti i së cilës është kryerja e punimeve, ku shpërblimi për punimet/shërbimet që duhet të kryhen përbëhet nga e drejta për të shfrytëzuar veprat/ shërbimet që janë objekt i kontratës ose nga kjo e drejtë së bashku me pagesën”,</w:t>
      </w:r>
    </w:p>
    <w:p w14:paraId="07110DFB" w14:textId="77777777" w:rsidR="001637FF" w:rsidRPr="009B6417" w:rsidRDefault="001637FF" w:rsidP="00784B22">
      <w:pPr>
        <w:spacing w:after="0"/>
        <w:jc w:val="both"/>
        <w:rPr>
          <w:rFonts w:ascii="Times New Roman" w:hAnsi="Times New Roman" w:cs="Times New Roman"/>
          <w:sz w:val="24"/>
          <w:szCs w:val="24"/>
        </w:rPr>
      </w:pPr>
      <w:r w:rsidRPr="009B6417">
        <w:rPr>
          <w:rFonts w:ascii="Times New Roman" w:hAnsi="Times New Roman" w:cs="Times New Roman"/>
          <w:sz w:val="24"/>
          <w:szCs w:val="24"/>
        </w:rPr>
        <w:t>ndërsa Partneriteti Publik Privat  përcaktohet  si:</w:t>
      </w:r>
    </w:p>
    <w:p w14:paraId="3451FF18" w14:textId="77777777" w:rsidR="001637FF" w:rsidRDefault="001637FF" w:rsidP="00784B22">
      <w:pPr>
        <w:spacing w:after="0"/>
        <w:jc w:val="both"/>
        <w:rPr>
          <w:rFonts w:ascii="Times New Roman" w:hAnsi="Times New Roman" w:cs="Times New Roman"/>
          <w:sz w:val="24"/>
          <w:szCs w:val="24"/>
        </w:rPr>
      </w:pPr>
      <w:r w:rsidRPr="009B6417">
        <w:rPr>
          <w:rFonts w:ascii="Times New Roman" w:hAnsi="Times New Roman" w:cs="Times New Roman"/>
          <w:sz w:val="24"/>
          <w:szCs w:val="24"/>
        </w:rPr>
        <w:t>“...</w:t>
      </w:r>
      <w:r w:rsidRPr="009B6417">
        <w:rPr>
          <w:rFonts w:ascii="Times New Roman" w:hAnsi="Times New Roman" w:cs="Times New Roman"/>
          <w:i/>
          <w:sz w:val="24"/>
          <w:szCs w:val="24"/>
        </w:rPr>
        <w:t>Kontratë e punëve publike apo kontratë e shërbimit publik, që plotëson kushtet, të cilat e përcaktojnë atë si një partneritet publik privat, sikurse është rregulluar në këtë ligj dhe që nënshkruhet ndërmjet autoritetit kontraktues në njërën anë dhe operatorit ekonomik të zgjedhur si ofertuesi më i suksesshëm.</w:t>
      </w:r>
      <w:r w:rsidRPr="009B6417">
        <w:rPr>
          <w:rFonts w:ascii="Times New Roman" w:hAnsi="Times New Roman" w:cs="Times New Roman"/>
          <w:sz w:val="24"/>
          <w:szCs w:val="24"/>
        </w:rPr>
        <w:t>”</w:t>
      </w:r>
    </w:p>
    <w:p w14:paraId="48B41C4D" w14:textId="77777777" w:rsidR="00784B22" w:rsidRPr="009B6417" w:rsidRDefault="00784B22" w:rsidP="00784B22">
      <w:pPr>
        <w:spacing w:after="0"/>
        <w:jc w:val="both"/>
        <w:rPr>
          <w:rFonts w:ascii="Times New Roman" w:hAnsi="Times New Roman" w:cs="Times New Roman"/>
          <w:sz w:val="24"/>
          <w:szCs w:val="24"/>
        </w:rPr>
      </w:pPr>
    </w:p>
    <w:p w14:paraId="40AE94FB" w14:textId="77777777" w:rsidR="001637FF" w:rsidRPr="009B6417" w:rsidRDefault="001637FF" w:rsidP="001637FF">
      <w:pPr>
        <w:tabs>
          <w:tab w:val="left" w:pos="3553"/>
        </w:tabs>
        <w:jc w:val="both"/>
        <w:rPr>
          <w:rFonts w:ascii="Times New Roman" w:hAnsi="Times New Roman" w:cs="Times New Roman"/>
          <w:sz w:val="24"/>
          <w:szCs w:val="24"/>
        </w:rPr>
      </w:pPr>
      <w:r w:rsidRPr="009B6417">
        <w:rPr>
          <w:rFonts w:ascii="Times New Roman" w:hAnsi="Times New Roman" w:cs="Times New Roman"/>
          <w:sz w:val="24"/>
          <w:szCs w:val="24"/>
        </w:rPr>
        <w:lastRenderedPageBreak/>
        <w:t>Sipas institucioneve ndërkombëtare koncesionet/PPP përkufizohen si:</w:t>
      </w:r>
    </w:p>
    <w:p w14:paraId="04964751" w14:textId="77777777" w:rsidR="001637FF" w:rsidRPr="009B6417" w:rsidRDefault="001637FF" w:rsidP="001637FF">
      <w:pPr>
        <w:tabs>
          <w:tab w:val="left" w:pos="3553"/>
        </w:tabs>
        <w:jc w:val="both"/>
        <w:rPr>
          <w:rFonts w:ascii="Times New Roman" w:hAnsi="Times New Roman" w:cs="Times New Roman"/>
          <w:sz w:val="24"/>
          <w:szCs w:val="24"/>
        </w:rPr>
      </w:pPr>
      <w:r w:rsidRPr="009B6417">
        <w:rPr>
          <w:rFonts w:ascii="Times New Roman" w:hAnsi="Times New Roman" w:cs="Times New Roman"/>
          <w:b/>
          <w:sz w:val="24"/>
          <w:szCs w:val="24"/>
        </w:rPr>
        <w:t>BB</w:t>
      </w:r>
      <w:r w:rsidRPr="009B6417">
        <w:rPr>
          <w:rStyle w:val="FootnoteReference"/>
          <w:rFonts w:ascii="Times New Roman" w:hAnsi="Times New Roman" w:cs="Times New Roman"/>
          <w:b/>
          <w:sz w:val="24"/>
          <w:szCs w:val="24"/>
        </w:rPr>
        <w:footnoteReference w:id="2"/>
      </w:r>
      <w:r w:rsidRPr="009B6417">
        <w:rPr>
          <w:rFonts w:ascii="Times New Roman" w:hAnsi="Times New Roman" w:cs="Times New Roman"/>
          <w:sz w:val="24"/>
          <w:szCs w:val="24"/>
        </w:rPr>
        <w:t xml:space="preserve"> : “... </w:t>
      </w:r>
      <w:r w:rsidRPr="009B6417">
        <w:rPr>
          <w:rFonts w:ascii="Times New Roman" w:hAnsi="Times New Roman" w:cs="Times New Roman"/>
          <w:i/>
          <w:sz w:val="24"/>
          <w:szCs w:val="24"/>
        </w:rPr>
        <w:t>një kontratë afatgjatë lidhur midis palës private dhe palës publike për të siguruar shërbimet dhe asetet publike në të cilën pala private merr përsipër përgjegjësinë për menaxhimin e për risqeve kryesore dhe shpërblimin për performancën.”</w:t>
      </w:r>
    </w:p>
    <w:p w14:paraId="143A91A5" w14:textId="77777777" w:rsidR="001637FF" w:rsidRPr="009B6417" w:rsidRDefault="001637FF" w:rsidP="001637FF">
      <w:pPr>
        <w:tabs>
          <w:tab w:val="left" w:pos="3553"/>
        </w:tabs>
        <w:jc w:val="both"/>
        <w:rPr>
          <w:rFonts w:ascii="Times New Roman" w:hAnsi="Times New Roman" w:cs="Times New Roman"/>
          <w:b/>
          <w:i/>
          <w:sz w:val="24"/>
          <w:szCs w:val="24"/>
        </w:rPr>
      </w:pPr>
      <w:r w:rsidRPr="009B6417">
        <w:rPr>
          <w:rFonts w:ascii="Times New Roman" w:hAnsi="Times New Roman" w:cs="Times New Roman"/>
          <w:b/>
          <w:sz w:val="24"/>
          <w:szCs w:val="24"/>
        </w:rPr>
        <w:t>FMN</w:t>
      </w:r>
      <w:r w:rsidRPr="009B6417">
        <w:rPr>
          <w:rStyle w:val="FootnoteReference"/>
          <w:rFonts w:ascii="Times New Roman" w:hAnsi="Times New Roman" w:cs="Times New Roman"/>
          <w:b/>
          <w:sz w:val="24"/>
          <w:szCs w:val="24"/>
        </w:rPr>
        <w:footnoteReference w:id="3"/>
      </w:r>
      <w:r w:rsidRPr="009B6417">
        <w:rPr>
          <w:rFonts w:ascii="Times New Roman" w:hAnsi="Times New Roman" w:cs="Times New Roman"/>
          <w:sz w:val="24"/>
          <w:szCs w:val="24"/>
        </w:rPr>
        <w:t>:</w:t>
      </w:r>
      <w:r w:rsidRPr="009B6417">
        <w:rPr>
          <w:rFonts w:ascii="Times New Roman" w:hAnsi="Times New Roman" w:cs="Times New Roman"/>
          <w:b/>
          <w:sz w:val="24"/>
          <w:szCs w:val="24"/>
        </w:rPr>
        <w:t xml:space="preserve">  “</w:t>
      </w:r>
      <w:r w:rsidRPr="009B6417">
        <w:rPr>
          <w:rFonts w:ascii="Times New Roman" w:hAnsi="Times New Roman" w:cs="Times New Roman"/>
          <w:sz w:val="24"/>
          <w:szCs w:val="24"/>
        </w:rPr>
        <w:t>...</w:t>
      </w:r>
      <w:r w:rsidRPr="009B6417">
        <w:rPr>
          <w:rStyle w:val="tlid-translation"/>
          <w:rFonts w:ascii="Times New Roman" w:hAnsi="Times New Roman" w:cs="Times New Roman"/>
          <w:i/>
          <w:sz w:val="24"/>
          <w:szCs w:val="24"/>
        </w:rPr>
        <w:t>PPP-të i referohen marrëveshjeve sipas të cilave sektori privat siguron asete të infrastrukturës dhe shërbime të bazuara në infrastrukturë që tradicionalisht janë siguruar nga qeveria...”</w:t>
      </w:r>
    </w:p>
    <w:p w14:paraId="25F228A8" w14:textId="77777777" w:rsidR="001637FF" w:rsidRPr="009B6417" w:rsidRDefault="001637FF" w:rsidP="001637FF">
      <w:pPr>
        <w:jc w:val="both"/>
        <w:rPr>
          <w:rFonts w:ascii="Times New Roman" w:hAnsi="Times New Roman" w:cs="Times New Roman"/>
          <w:sz w:val="24"/>
          <w:szCs w:val="24"/>
        </w:rPr>
      </w:pPr>
      <w:r w:rsidRPr="009B6417">
        <w:rPr>
          <w:rFonts w:ascii="Times New Roman" w:hAnsi="Times New Roman" w:cs="Times New Roman"/>
          <w:b/>
          <w:sz w:val="24"/>
          <w:szCs w:val="24"/>
        </w:rPr>
        <w:t>OECD (2008)</w:t>
      </w:r>
      <w:r w:rsidRPr="009B6417">
        <w:rPr>
          <w:rStyle w:val="FootnoteReference"/>
          <w:rFonts w:ascii="Times New Roman" w:hAnsi="Times New Roman" w:cs="Times New Roman"/>
          <w:b/>
          <w:color w:val="000000" w:themeColor="text1"/>
          <w:sz w:val="24"/>
          <w:szCs w:val="24"/>
        </w:rPr>
        <w:footnoteReference w:id="4"/>
      </w:r>
      <w:r w:rsidRPr="009B6417">
        <w:rPr>
          <w:rFonts w:ascii="Times New Roman" w:hAnsi="Times New Roman" w:cs="Times New Roman"/>
          <w:sz w:val="24"/>
          <w:szCs w:val="24"/>
        </w:rPr>
        <w:t xml:space="preserve"> : “....</w:t>
      </w:r>
      <w:r w:rsidRPr="009B6417">
        <w:rPr>
          <w:rFonts w:ascii="Times New Roman" w:hAnsi="Times New Roman" w:cs="Times New Roman"/>
          <w:i/>
          <w:sz w:val="24"/>
          <w:szCs w:val="24"/>
        </w:rPr>
        <w:t xml:space="preserve">një marrëveshje midis qeverisë dhe një ose më shumë partnerëve të sektorit privat (i cili mund të përfshijë operatorët dhe financuesit) sipas të cilit partnerët privatë ofrojnë shërbimin në atë mënyrë që, objektivat e ofrimit të shërbimit të qeverisë të jenë në përputhje me objektivat e fitimit të partnerëve privatë dhe ku efektiviteti i shtrirjes varet nga transferimi i mjaftueshëm i rrezikut për partnerët privatë.” </w:t>
      </w:r>
      <w:r w:rsidRPr="009B6417">
        <w:rPr>
          <w:rFonts w:ascii="Times New Roman" w:hAnsi="Times New Roman" w:cs="Times New Roman"/>
          <w:sz w:val="24"/>
          <w:szCs w:val="24"/>
        </w:rPr>
        <w:t xml:space="preserve"> </w:t>
      </w:r>
    </w:p>
    <w:p w14:paraId="560E73F8" w14:textId="77777777" w:rsidR="001637FF" w:rsidRDefault="001637FF" w:rsidP="001637FF">
      <w:pPr>
        <w:jc w:val="both"/>
        <w:rPr>
          <w:rFonts w:ascii="Times New Roman" w:hAnsi="Times New Roman" w:cs="Times New Roman"/>
          <w:sz w:val="24"/>
          <w:szCs w:val="24"/>
        </w:rPr>
      </w:pPr>
      <w:r w:rsidRPr="009B6417">
        <w:rPr>
          <w:rFonts w:ascii="Times New Roman" w:hAnsi="Times New Roman" w:cs="Times New Roman"/>
          <w:sz w:val="24"/>
          <w:szCs w:val="24"/>
        </w:rPr>
        <w:t>Për vlerësimin sistematik të implikimeve të mundshme makrofiskale nga projektet me koncesion/PPP, është zhvilluar modeli PFRAM nga FMN dhe Grupi i Bankës Botërore. Ky model gjithashtu siguron një kornizë për identifikimin e risqeve fiskale të lidhura me një projekt PPP, vlerësimin e tyre dhe diskutimin e masave përkatëse zbutëse.</w:t>
      </w:r>
      <w:r w:rsidRPr="00E83E8F">
        <w:rPr>
          <w:rFonts w:ascii="Times New Roman" w:hAnsi="Times New Roman" w:cs="Times New Roman"/>
          <w:sz w:val="24"/>
          <w:szCs w:val="24"/>
        </w:rPr>
        <w:t xml:space="preserve"> </w:t>
      </w:r>
      <w:r w:rsidRPr="009B6417">
        <w:rPr>
          <w:rFonts w:ascii="Times New Roman" w:hAnsi="Times New Roman" w:cs="Times New Roman"/>
          <w:sz w:val="24"/>
          <w:szCs w:val="24"/>
        </w:rPr>
        <w:t>Më poshtë është paraqitur një përmbledhje e risqeve kryesore që përfshihen tek matrica e risqeve sipas modelit PFRAM, si dhe merren parasysh në vlerësimin e analizës së risqeve për projektet që paraqiten për miratim në Ministrinë e Financave dhe Ekonomisë.</w:t>
      </w:r>
    </w:p>
    <w:p w14:paraId="0383E11E" w14:textId="77777777" w:rsidR="001637FF" w:rsidRDefault="001637FF" w:rsidP="001637FF">
      <w:pPr>
        <w:jc w:val="both"/>
        <w:rPr>
          <w:rFonts w:ascii="Times New Roman" w:hAnsi="Times New Roman" w:cs="Times New Roman"/>
          <w:sz w:val="24"/>
          <w:szCs w:val="24"/>
        </w:rPr>
      </w:pPr>
    </w:p>
    <w:p w14:paraId="755FDE36" w14:textId="77777777" w:rsidR="001637FF" w:rsidRDefault="001637FF" w:rsidP="001637FF">
      <w:pPr>
        <w:jc w:val="both"/>
        <w:rPr>
          <w:rFonts w:ascii="Times New Roman" w:hAnsi="Times New Roman" w:cs="Times New Roman"/>
          <w:sz w:val="24"/>
          <w:szCs w:val="24"/>
        </w:rPr>
      </w:pPr>
    </w:p>
    <w:p w14:paraId="79DCC529" w14:textId="77777777" w:rsidR="001637FF" w:rsidRDefault="001637FF" w:rsidP="001637FF">
      <w:pPr>
        <w:jc w:val="both"/>
        <w:rPr>
          <w:rFonts w:ascii="Times New Roman" w:hAnsi="Times New Roman" w:cs="Times New Roman"/>
          <w:sz w:val="24"/>
          <w:szCs w:val="24"/>
        </w:rPr>
      </w:pPr>
    </w:p>
    <w:p w14:paraId="2584A65D" w14:textId="77777777" w:rsidR="001637FF" w:rsidRDefault="009E7BC4" w:rsidP="001637FF">
      <w:pPr>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91440" distB="91440" distL="114300" distR="114300" simplePos="0" relativeHeight="251669504" behindDoc="0" locked="0" layoutInCell="1" allowOverlap="1" wp14:anchorId="08735B6D" wp14:editId="4C871CF1">
                <wp:simplePos x="0" y="0"/>
                <wp:positionH relativeFrom="margin">
                  <wp:posOffset>0</wp:posOffset>
                </wp:positionH>
                <wp:positionV relativeFrom="page">
                  <wp:posOffset>895350</wp:posOffset>
                </wp:positionV>
                <wp:extent cx="6200775" cy="4724400"/>
                <wp:effectExtent l="0" t="0" r="0" b="0"/>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4724400"/>
                        </a:xfrm>
                        <a:prstGeom prst="rect">
                          <a:avLst/>
                        </a:prstGeom>
                        <a:solidFill>
                          <a:schemeClr val="bg2"/>
                        </a:solidFill>
                        <a:ln w="9525">
                          <a:noFill/>
                          <a:miter lim="800000"/>
                          <a:headEnd/>
                          <a:tailEnd/>
                        </a:ln>
                      </wps:spPr>
                      <wps:txbx>
                        <w:txbxContent>
                          <w:p w14:paraId="1296088B"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center"/>
                              <w:rPr>
                                <w:rFonts w:ascii="Times New Roman" w:eastAsia="Times New Roman" w:hAnsi="Times New Roman"/>
                                <w:b/>
                                <w:i/>
                                <w:color w:val="000000"/>
                                <w:sz w:val="20"/>
                                <w:szCs w:val="20"/>
                                <w:u w:val="single"/>
                              </w:rPr>
                            </w:pPr>
                            <w:r w:rsidRPr="00B606D6">
                              <w:rPr>
                                <w:rFonts w:ascii="Times New Roman" w:eastAsia="Times New Roman" w:hAnsi="Times New Roman"/>
                                <w:b/>
                                <w:i/>
                                <w:color w:val="000000"/>
                                <w:sz w:val="20"/>
                                <w:szCs w:val="20"/>
                                <w:u w:val="single"/>
                              </w:rPr>
                              <w:t>Risqet Kryesore të Kontratave Koncensionare/PPP</w:t>
                            </w:r>
                          </w:p>
                          <w:p w14:paraId="20D284E1"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eastAsia="Times New Roman" w:hAnsi="Times New Roman"/>
                                <w:b/>
                                <w:i/>
                                <w:color w:val="000000"/>
                                <w:sz w:val="20"/>
                                <w:szCs w:val="20"/>
                                <w:u w:val="single"/>
                              </w:rPr>
                            </w:pPr>
                          </w:p>
                          <w:p w14:paraId="4740710C"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Risku i projektimit dhe ndërtimit</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Lidhet me situatat ku ndërtimi zgjat më shumë ose kushton më shumë se sa pritej, ose që cilësia e projektimit apo e ndërtimit nënkupton se aseti nuk është i mjaftueshëm për të përmbushur kërkesat e projektit</w:t>
                            </w:r>
                          </w:p>
                          <w:p w14:paraId="0E3DB3E0"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10"/>
                                <w:szCs w:val="20"/>
                              </w:rPr>
                            </w:pPr>
                          </w:p>
                          <w:p w14:paraId="702A5C08"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color w:val="222222"/>
                                <w:sz w:val="20"/>
                                <w:szCs w:val="20"/>
                              </w:rPr>
                            </w:pPr>
                            <w:r w:rsidRPr="00B606D6">
                              <w:rPr>
                                <w:rFonts w:ascii="Times New Roman" w:eastAsia="Times New Roman" w:hAnsi="Times New Roman"/>
                                <w:i/>
                                <w:color w:val="000000"/>
                                <w:sz w:val="20"/>
                                <w:szCs w:val="20"/>
                              </w:rPr>
                              <w:t>Risku i lejeve dhe licencave</w:t>
                            </w:r>
                            <w:r w:rsidRPr="00B606D6">
                              <w:rPr>
                                <w:rFonts w:ascii="Times New Roman" w:eastAsia="Times New Roman" w:hAnsi="Times New Roman"/>
                                <w:color w:val="000000"/>
                                <w:sz w:val="20"/>
                                <w:szCs w:val="20"/>
                              </w:rPr>
                              <w:t xml:space="preserve">: </w:t>
                            </w:r>
                            <w:r w:rsidRPr="00B606D6">
                              <w:rPr>
                                <w:rFonts w:ascii="Times New Roman" w:hAnsi="Times New Roman"/>
                                <w:color w:val="222222"/>
                                <w:sz w:val="20"/>
                                <w:szCs w:val="20"/>
                              </w:rPr>
                              <w:t>Kostot që mund të vijnë nga risku i marrjes apo nxjerrjes së lejeve që lidhen me projektimin ndërtimin, operimin apo mirëmbajtjen  e rrugës.</w:t>
                            </w:r>
                          </w:p>
                          <w:p w14:paraId="24199FEF"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color w:val="222222"/>
                                <w:sz w:val="10"/>
                                <w:szCs w:val="20"/>
                              </w:rPr>
                            </w:pPr>
                          </w:p>
                          <w:p w14:paraId="06196593"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color w:val="222222"/>
                                <w:sz w:val="20"/>
                                <w:szCs w:val="20"/>
                              </w:rPr>
                            </w:pPr>
                            <w:r w:rsidRPr="00B606D6">
                              <w:rPr>
                                <w:rFonts w:ascii="Times New Roman" w:eastAsia="Times New Roman" w:hAnsi="Times New Roman"/>
                                <w:i/>
                                <w:color w:val="000000"/>
                                <w:sz w:val="20"/>
                                <w:szCs w:val="20"/>
                              </w:rPr>
                              <w:t>Risku i kërkesës</w:t>
                            </w:r>
                            <w:r w:rsidRPr="00B606D6">
                              <w:rPr>
                                <w:rFonts w:ascii="Times New Roman" w:eastAsia="Times New Roman" w:hAnsi="Times New Roman"/>
                                <w:color w:val="000000"/>
                                <w:sz w:val="20"/>
                                <w:szCs w:val="20"/>
                              </w:rPr>
                              <w:t xml:space="preserve">: </w:t>
                            </w:r>
                            <w:r w:rsidRPr="00B606D6">
                              <w:rPr>
                                <w:rFonts w:ascii="Times New Roman" w:hAnsi="Times New Roman"/>
                                <w:color w:val="222222"/>
                                <w:sz w:val="20"/>
                                <w:szCs w:val="20"/>
                              </w:rPr>
                              <w:t>Ky risk lidhet me situatat ku përdorimi i objektit/shërbimit është i ndryshëm nga sa pritej ose të ardhurat nuk janë aq sa priten</w:t>
                            </w:r>
                          </w:p>
                          <w:p w14:paraId="175A7266"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color w:val="222222"/>
                                <w:sz w:val="12"/>
                                <w:szCs w:val="20"/>
                              </w:rPr>
                            </w:pPr>
                          </w:p>
                          <w:p w14:paraId="03E37D2A"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Risku i operimit dhe performancës</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Paaftësia për të shpërndarë shërbimin në sasinë dhe cilësinë e kërkuar.</w:t>
                            </w:r>
                          </w:p>
                          <w:p w14:paraId="49455A05"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10"/>
                                <w:szCs w:val="20"/>
                              </w:rPr>
                            </w:pPr>
                          </w:p>
                          <w:p w14:paraId="049B60A4"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Risku Financiar</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Risk që lidhet me luhatjet në normën e interesit, normën e kursit të këmbimit, normën e inflacionit dhe kushtet e tjera financiare</w:t>
                            </w:r>
                          </w:p>
                          <w:p w14:paraId="57D7197E"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12"/>
                                <w:szCs w:val="20"/>
                              </w:rPr>
                            </w:pPr>
                          </w:p>
                          <w:p w14:paraId="71F9CD2A"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Forca Madhore</w:t>
                            </w:r>
                            <w:r w:rsidRPr="00B606D6">
                              <w:rPr>
                                <w:rFonts w:ascii="Times New Roman" w:hAnsi="Times New Roman"/>
                                <w:sz w:val="20"/>
                                <w:szCs w:val="20"/>
                              </w:rPr>
                              <w:t>: Risqet që lidhen me ngjarjet përtej kontrollit të palëve në kontratë, të tilla si: fatkeqësitë natyrore, luftëra ose trazira civile, që ndikojnë mbi projektin.</w:t>
                            </w:r>
                          </w:p>
                          <w:p w14:paraId="1740AEA9"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10"/>
                                <w:szCs w:val="20"/>
                              </w:rPr>
                            </w:pPr>
                          </w:p>
                          <w:p w14:paraId="27793A2D"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Palatino Linotype" w:hAnsi="Palatino Linotype"/>
                                <w:color w:val="222222"/>
                                <w:sz w:val="20"/>
                                <w:szCs w:val="20"/>
                              </w:rPr>
                            </w:pPr>
                            <w:r w:rsidRPr="00B606D6">
                              <w:rPr>
                                <w:rFonts w:ascii="Times New Roman" w:eastAsia="Times New Roman" w:hAnsi="Times New Roman"/>
                                <w:i/>
                                <w:color w:val="000000"/>
                                <w:sz w:val="20"/>
                                <w:szCs w:val="20"/>
                              </w:rPr>
                              <w:t>Risku material nga vendimet politike:</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 xml:space="preserve">Kanë të bëjnë me riskun që lind si pasojë e </w:t>
                            </w:r>
                            <w:r w:rsidRPr="00B606D6">
                              <w:rPr>
                                <w:rFonts w:ascii="Times New Roman" w:hAnsi="Times New Roman"/>
                                <w:color w:val="222222"/>
                                <w:sz w:val="20"/>
                                <w:szCs w:val="20"/>
                              </w:rPr>
                              <w:t>vendimeve të dobëta politike të bërjes së procesit, stabiliteti qeveritar, kundërshtimi politik dhe shpronësimi.</w:t>
                            </w:r>
                            <w:r w:rsidRPr="00B606D6">
                              <w:rPr>
                                <w:rFonts w:ascii="Palatino Linotype" w:hAnsi="Palatino Linotype"/>
                                <w:color w:val="222222"/>
                                <w:sz w:val="20"/>
                                <w:szCs w:val="20"/>
                              </w:rPr>
                              <w:t xml:space="preserve">  </w:t>
                            </w:r>
                          </w:p>
                          <w:p w14:paraId="70B98D56"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Palatino Linotype" w:hAnsi="Palatino Linotype"/>
                                <w:color w:val="222222"/>
                                <w:sz w:val="8"/>
                                <w:szCs w:val="20"/>
                              </w:rPr>
                            </w:pPr>
                          </w:p>
                          <w:p w14:paraId="197016E7"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Risku i ndryshimeve ligjore</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Risku që një ndryshim në ligjin ose në rregullat e përgjithshme ndikon negativisht mbi projektin, të tilla si: ndryshimet në tatimet e përgjithshme të korporatave ose në rregullat që rregullojnë këmbimin e monedhës, ose riatdhesimin e fitimeve;</w:t>
                            </w:r>
                          </w:p>
                          <w:p w14:paraId="7C2B5CBA"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Risku i rinegocimit:</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Risk që lidhet me ndryshimet në kontratë që implikojnë kosto fiskale në buxhetin e shtetit.</w:t>
                            </w:r>
                          </w:p>
                          <w:p w14:paraId="26915058"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10"/>
                                <w:szCs w:val="20"/>
                              </w:rPr>
                            </w:pPr>
                          </w:p>
                          <w:p w14:paraId="2FC414B7"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Risku transferimit të aseteve:</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Risqet që lidhen me pronësinë e aseteve, duke përfshirë riskun që teknologjia vjetërohet ose, që vlera e aseteve në fund të kontratës është e ndryshme nga sa pritej si dhe riskun e transferimit të ndonjë detyrimi të marrë përsipër mbi asetin gjatë kohëzgjatjes së kontratës.</w:t>
                            </w:r>
                          </w:p>
                          <w:p w14:paraId="105B74AB" w14:textId="77777777"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12"/>
                                <w:szCs w:val="20"/>
                              </w:rPr>
                            </w:pPr>
                          </w:p>
                          <w:p w14:paraId="1F9782D7" w14:textId="77777777" w:rsidR="0025668C" w:rsidRPr="00526957" w:rsidRDefault="0025668C" w:rsidP="001637FF">
                            <w:pPr>
                              <w:pBdr>
                                <w:top w:val="single" w:sz="24" w:space="8" w:color="4F81BD" w:themeColor="accent1"/>
                                <w:bottom w:val="single" w:sz="24" w:space="8" w:color="4F81BD" w:themeColor="accent1"/>
                              </w:pBdr>
                              <w:spacing w:after="0" w:line="240" w:lineRule="auto"/>
                              <w:jc w:val="both"/>
                              <w:rPr>
                                <w:i/>
                                <w:iCs/>
                                <w:color w:val="4F81BD" w:themeColor="accent1"/>
                                <w:sz w:val="20"/>
                                <w:szCs w:val="20"/>
                              </w:rPr>
                            </w:pPr>
                            <w:r w:rsidRPr="00B606D6">
                              <w:rPr>
                                <w:rFonts w:ascii="Times New Roman" w:eastAsia="Times New Roman" w:hAnsi="Times New Roman"/>
                                <w:i/>
                                <w:color w:val="000000"/>
                                <w:sz w:val="20"/>
                                <w:szCs w:val="20"/>
                              </w:rPr>
                              <w:t>Risku i ndërprerjes së kontratës</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Risk që rrjedh nga ndërprerja e kontratës dhe implikon kosto fiskale për buxhetin e shtetit.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B928C" id="_x0000_s1031" type="#_x0000_t202" style="position:absolute;left:0;text-align:left;margin-left:0;margin-top:70.5pt;width:488.25pt;height:372pt;z-index:2516695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" fillcolor="#eeece1 [3214]" stroked="f">
                <v:textbox>
                  <w:txbxContent>
                    <w:p w:rsidR="0025668C" w:rsidRPr="00B606D6" w:rsidRDefault="0025668C" w:rsidP="001637FF">
                      <w:pPr>
                        <w:pBdr>
                          <w:top w:val="single" w:sz="24" w:space="8" w:color="4F81BD" w:themeColor="accent1"/>
                          <w:bottom w:val="single" w:sz="24" w:space="8" w:color="4F81BD" w:themeColor="accent1"/>
                        </w:pBdr>
                        <w:spacing w:after="0" w:line="240" w:lineRule="auto"/>
                        <w:jc w:val="center"/>
                        <w:rPr>
                          <w:rFonts w:ascii="Times New Roman" w:eastAsia="Times New Roman" w:hAnsi="Times New Roman"/>
                          <w:b/>
                          <w:i/>
                          <w:color w:val="000000"/>
                          <w:sz w:val="20"/>
                          <w:szCs w:val="20"/>
                          <w:u w:val="single"/>
                        </w:rPr>
                      </w:pPr>
                      <w:r w:rsidRPr="00B606D6">
                        <w:rPr>
                          <w:rFonts w:ascii="Times New Roman" w:eastAsia="Times New Roman" w:hAnsi="Times New Roman"/>
                          <w:b/>
                          <w:i/>
                          <w:color w:val="000000"/>
                          <w:sz w:val="20"/>
                          <w:szCs w:val="20"/>
                          <w:u w:val="single"/>
                        </w:rPr>
                        <w:t>Risqet Kryesore të Kontratave Koncensionare/PPP</w:t>
                      </w: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eastAsia="Times New Roman" w:hAnsi="Times New Roman"/>
                          <w:b/>
                          <w:i/>
                          <w:color w:val="000000"/>
                          <w:sz w:val="20"/>
                          <w:szCs w:val="20"/>
                          <w:u w:val="single"/>
                        </w:rPr>
                      </w:pP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Risku i projektimit dhe ndërtimit</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Lidhet me situatat ku ndërtimi zgjat më shumë ose kushton më shumë se sa pritej, ose që cilësia e projektimit apo e ndërtimit nënkupton se aseti nuk është i mjaftueshëm për të përmbushur kërkesat e projektit</w:t>
                      </w: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10"/>
                          <w:szCs w:val="20"/>
                        </w:rPr>
                      </w:pP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color w:val="222222"/>
                          <w:sz w:val="20"/>
                          <w:szCs w:val="20"/>
                        </w:rPr>
                      </w:pPr>
                      <w:r w:rsidRPr="00B606D6">
                        <w:rPr>
                          <w:rFonts w:ascii="Times New Roman" w:eastAsia="Times New Roman" w:hAnsi="Times New Roman"/>
                          <w:i/>
                          <w:color w:val="000000"/>
                          <w:sz w:val="20"/>
                          <w:szCs w:val="20"/>
                        </w:rPr>
                        <w:t>Risku i lejeve dhe licencave</w:t>
                      </w:r>
                      <w:r w:rsidRPr="00B606D6">
                        <w:rPr>
                          <w:rFonts w:ascii="Times New Roman" w:eastAsia="Times New Roman" w:hAnsi="Times New Roman"/>
                          <w:color w:val="000000"/>
                          <w:sz w:val="20"/>
                          <w:szCs w:val="20"/>
                        </w:rPr>
                        <w:t xml:space="preserve">: </w:t>
                      </w:r>
                      <w:r w:rsidRPr="00B606D6">
                        <w:rPr>
                          <w:rFonts w:ascii="Times New Roman" w:hAnsi="Times New Roman"/>
                          <w:color w:val="222222"/>
                          <w:sz w:val="20"/>
                          <w:szCs w:val="20"/>
                        </w:rPr>
                        <w:t>Kostot që mund të vijnë nga risku i marrjes apo nxjerrjes së lejeve që lidhen me projektimin ndërtimin, operimin apo mirëmbajtjen  e rrugës.</w:t>
                      </w: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color w:val="222222"/>
                          <w:sz w:val="10"/>
                          <w:szCs w:val="20"/>
                        </w:rPr>
                      </w:pP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color w:val="222222"/>
                          <w:sz w:val="20"/>
                          <w:szCs w:val="20"/>
                        </w:rPr>
                      </w:pPr>
                      <w:r w:rsidRPr="00B606D6">
                        <w:rPr>
                          <w:rFonts w:ascii="Times New Roman" w:eastAsia="Times New Roman" w:hAnsi="Times New Roman"/>
                          <w:i/>
                          <w:color w:val="000000"/>
                          <w:sz w:val="20"/>
                          <w:szCs w:val="20"/>
                        </w:rPr>
                        <w:t>Risku i kërkesës</w:t>
                      </w:r>
                      <w:r w:rsidRPr="00B606D6">
                        <w:rPr>
                          <w:rFonts w:ascii="Times New Roman" w:eastAsia="Times New Roman" w:hAnsi="Times New Roman"/>
                          <w:color w:val="000000"/>
                          <w:sz w:val="20"/>
                          <w:szCs w:val="20"/>
                        </w:rPr>
                        <w:t xml:space="preserve">: </w:t>
                      </w:r>
                      <w:r w:rsidRPr="00B606D6">
                        <w:rPr>
                          <w:rFonts w:ascii="Times New Roman" w:hAnsi="Times New Roman"/>
                          <w:color w:val="222222"/>
                          <w:sz w:val="20"/>
                          <w:szCs w:val="20"/>
                        </w:rPr>
                        <w:t>Ky risk lidhet me situatat ku përdorimi i objektit/shërbimit është i ndryshëm nga sa pritej ose të ardhurat nuk janë aq sa priten</w:t>
                      </w: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color w:val="222222"/>
                          <w:sz w:val="12"/>
                          <w:szCs w:val="20"/>
                        </w:rPr>
                      </w:pP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Risku i operimit dhe performancës</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Paaftësia për të shpërndarë shërbimin në sasinë dhe cilësinë e kërkuar.</w:t>
                      </w: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10"/>
                          <w:szCs w:val="20"/>
                        </w:rPr>
                      </w:pP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Risku Financiar</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Risk që lidhet me luhatjet në normën e interesit, normën e kursit të këmbimit, normën e inflacionit dhe kushtet e tjera financiare</w:t>
                      </w: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12"/>
                          <w:szCs w:val="20"/>
                        </w:rPr>
                      </w:pP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Forca Madhore</w:t>
                      </w:r>
                      <w:r w:rsidRPr="00B606D6">
                        <w:rPr>
                          <w:rFonts w:ascii="Times New Roman" w:hAnsi="Times New Roman"/>
                          <w:sz w:val="20"/>
                          <w:szCs w:val="20"/>
                        </w:rPr>
                        <w:t>: Risqet që lidhen me ngjarjet përtej kontrollit të palëve në kontratë, të tilla si: fatkeqësitë natyrore, luftëra ose trazira civile, që ndikojnë mbi projektin.</w:t>
                      </w: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10"/>
                          <w:szCs w:val="20"/>
                        </w:rPr>
                      </w:pP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Palatino Linotype" w:hAnsi="Palatino Linotype"/>
                          <w:color w:val="222222"/>
                          <w:sz w:val="20"/>
                          <w:szCs w:val="20"/>
                        </w:rPr>
                      </w:pPr>
                      <w:r w:rsidRPr="00B606D6">
                        <w:rPr>
                          <w:rFonts w:ascii="Times New Roman" w:eastAsia="Times New Roman" w:hAnsi="Times New Roman"/>
                          <w:i/>
                          <w:color w:val="000000"/>
                          <w:sz w:val="20"/>
                          <w:szCs w:val="20"/>
                        </w:rPr>
                        <w:t>Risku material nga vendimet politike:</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 xml:space="preserve">Kanë të bëjnë me riskun që lind si pasojë e </w:t>
                      </w:r>
                      <w:r w:rsidRPr="00B606D6">
                        <w:rPr>
                          <w:rFonts w:ascii="Times New Roman" w:hAnsi="Times New Roman"/>
                          <w:color w:val="222222"/>
                          <w:sz w:val="20"/>
                          <w:szCs w:val="20"/>
                        </w:rPr>
                        <w:t>vendimeve të dobëta politike të bërjes së procesit, stabiliteti qeveritar, kundërshtimi politik dhe shpronësimi.</w:t>
                      </w:r>
                      <w:r w:rsidRPr="00B606D6">
                        <w:rPr>
                          <w:rFonts w:ascii="Palatino Linotype" w:hAnsi="Palatino Linotype"/>
                          <w:color w:val="222222"/>
                          <w:sz w:val="20"/>
                          <w:szCs w:val="20"/>
                        </w:rPr>
                        <w:t xml:space="preserve">  </w:t>
                      </w: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Palatino Linotype" w:hAnsi="Palatino Linotype"/>
                          <w:color w:val="222222"/>
                          <w:sz w:val="8"/>
                          <w:szCs w:val="20"/>
                        </w:rPr>
                      </w:pP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Risku i ndryshimeve ligjore</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Risku që një ndryshim në ligjin ose në rregullat e përgjithshme ndikon negativisht mbi projektin, të tilla si: ndryshimet në tatimet e përgjithshme të korporatave ose në rregullat që rregullojnë këmbimin e monedhës, ose riatdhesimin e fitimeve;</w:t>
                      </w: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Risku i rinegocimit:</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Risk që lidhet me ndryshimet në kontratë që implikojnë kosto fiskale në buxhetin e shtetit.</w:t>
                      </w: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10"/>
                          <w:szCs w:val="20"/>
                        </w:rPr>
                      </w:pP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20"/>
                          <w:szCs w:val="20"/>
                        </w:rPr>
                      </w:pPr>
                      <w:r w:rsidRPr="00B606D6">
                        <w:rPr>
                          <w:rFonts w:ascii="Times New Roman" w:eastAsia="Times New Roman" w:hAnsi="Times New Roman"/>
                          <w:i/>
                          <w:color w:val="000000"/>
                          <w:sz w:val="20"/>
                          <w:szCs w:val="20"/>
                        </w:rPr>
                        <w:t>Risku transferimit të aseteve:</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Risqet që lidhen me pronësinë e aseteve, duke përfshirë riskun që teknologjia vjetërohet ose, që vlera e aseteve në fund të kontratës është e ndryshme nga sa pritej si dhe riskun e transferimit të ndonjë detyrimi të marrë përsipër mbi asetin gjatë kohëzgjatjes së kontratës.</w:t>
                      </w:r>
                    </w:p>
                    <w:p w:rsidR="0025668C" w:rsidRPr="00B606D6" w:rsidRDefault="0025668C" w:rsidP="001637FF">
                      <w:pPr>
                        <w:pBdr>
                          <w:top w:val="single" w:sz="24" w:space="8" w:color="4F81BD" w:themeColor="accent1"/>
                          <w:bottom w:val="single" w:sz="24" w:space="8" w:color="4F81BD" w:themeColor="accent1"/>
                        </w:pBdr>
                        <w:spacing w:after="0" w:line="240" w:lineRule="auto"/>
                        <w:jc w:val="both"/>
                        <w:rPr>
                          <w:rFonts w:ascii="Times New Roman" w:hAnsi="Times New Roman"/>
                          <w:sz w:val="12"/>
                          <w:szCs w:val="20"/>
                        </w:rPr>
                      </w:pPr>
                    </w:p>
                    <w:p w:rsidR="0025668C" w:rsidRPr="00526957" w:rsidRDefault="0025668C" w:rsidP="001637FF">
                      <w:pPr>
                        <w:pBdr>
                          <w:top w:val="single" w:sz="24" w:space="8" w:color="4F81BD" w:themeColor="accent1"/>
                          <w:bottom w:val="single" w:sz="24" w:space="8" w:color="4F81BD" w:themeColor="accent1"/>
                        </w:pBdr>
                        <w:spacing w:after="0" w:line="240" w:lineRule="auto"/>
                        <w:jc w:val="both"/>
                        <w:rPr>
                          <w:i/>
                          <w:iCs/>
                          <w:color w:val="4F81BD" w:themeColor="accent1"/>
                          <w:sz w:val="20"/>
                          <w:szCs w:val="20"/>
                        </w:rPr>
                      </w:pPr>
                      <w:r w:rsidRPr="00B606D6">
                        <w:rPr>
                          <w:rFonts w:ascii="Times New Roman" w:eastAsia="Times New Roman" w:hAnsi="Times New Roman"/>
                          <w:i/>
                          <w:color w:val="000000"/>
                          <w:sz w:val="20"/>
                          <w:szCs w:val="20"/>
                        </w:rPr>
                        <w:t>Risku i ndërprerjes së kontratës</w:t>
                      </w:r>
                      <w:r w:rsidRPr="00B606D6">
                        <w:rPr>
                          <w:rFonts w:ascii="Times New Roman" w:eastAsia="Times New Roman" w:hAnsi="Times New Roman"/>
                          <w:color w:val="000000"/>
                          <w:sz w:val="20"/>
                          <w:szCs w:val="20"/>
                        </w:rPr>
                        <w:t xml:space="preserve">: </w:t>
                      </w:r>
                      <w:r w:rsidRPr="00B606D6">
                        <w:rPr>
                          <w:rFonts w:ascii="Times New Roman" w:hAnsi="Times New Roman"/>
                          <w:sz w:val="20"/>
                          <w:szCs w:val="20"/>
                        </w:rPr>
                        <w:t>Risk që rrjedh nga ndërprerja e kontratës dhe implikon kosto fiskale për buxhetin e shtetit.</w:t>
                      </w:r>
                    </w:p>
                  </w:txbxContent>
                </v:textbox>
                <w10:wrap type="topAndBottom" anchorx="margin" anchory="page"/>
              </v:shape>
            </w:pict>
          </mc:Fallback>
        </mc:AlternateContent>
      </w:r>
      <w:r w:rsidR="001637FF" w:rsidRPr="009B6417">
        <w:rPr>
          <w:rFonts w:ascii="Times New Roman" w:hAnsi="Times New Roman" w:cs="Times New Roman"/>
          <w:sz w:val="24"/>
          <w:szCs w:val="24"/>
        </w:rPr>
        <w:t>Përsa i përket vendeve në zhvillim, koncesionet/PPP kanë një rëndësi të madhe në financimin e investimeve për ndërtimin e infrastrukturës publike, përcaktuese për rritjen dhe zhvillimin ekonomik të këtyre vendeve</w:t>
      </w:r>
      <w:r w:rsidR="001637FF">
        <w:rPr>
          <w:rStyle w:val="FootnoteReference"/>
          <w:rFonts w:ascii="Times New Roman" w:hAnsi="Times New Roman" w:cs="Times New Roman"/>
          <w:sz w:val="24"/>
          <w:szCs w:val="24"/>
        </w:rPr>
        <w:footnoteReference w:id="5"/>
      </w:r>
      <w:r w:rsidR="001637FF" w:rsidRPr="009B6417">
        <w:rPr>
          <w:rFonts w:ascii="Times New Roman" w:hAnsi="Times New Roman" w:cs="Times New Roman"/>
          <w:sz w:val="24"/>
          <w:szCs w:val="24"/>
        </w:rPr>
        <w:t>. Përvoja aktuale shqiptare në përdorimin e projekteve koncesionare/PPP-ve ka ardhur duke u përmirësuar, megjithatë ka akoma nevojë për përmirësime dhe për sigurimin e një plani strategjik kombëtar për implementimin e këtyre projekteve. Prandaj në këtë raport është synuar të jepet  një pamje e përgjithshme e situatës aktuale të kontratave koncesionare/PPP aktive në vend, ku janë evidentuar të dhënat kryesore në lidhje me projektin, risqet që implikojnë, materializimin e t</w:t>
      </w:r>
      <w:r w:rsidR="001637FF">
        <w:rPr>
          <w:rFonts w:ascii="Times New Roman" w:hAnsi="Times New Roman" w:cs="Times New Roman"/>
          <w:sz w:val="24"/>
          <w:szCs w:val="24"/>
        </w:rPr>
        <w:t>yre dhe impaktin që kanë pasur.</w:t>
      </w:r>
    </w:p>
    <w:p w14:paraId="6CEF09FC" w14:textId="77777777" w:rsidR="001637FF" w:rsidRDefault="001637FF" w:rsidP="001637FF">
      <w:pPr>
        <w:jc w:val="both"/>
        <w:rPr>
          <w:rFonts w:ascii="Times New Roman" w:hAnsi="Times New Roman" w:cs="Times New Roman"/>
          <w:sz w:val="24"/>
          <w:szCs w:val="24"/>
        </w:rPr>
      </w:pPr>
    </w:p>
    <w:p w14:paraId="295EFE56" w14:textId="77777777" w:rsidR="005E2D2E" w:rsidRDefault="005E2D2E" w:rsidP="00DE3110">
      <w:pPr>
        <w:jc w:val="both"/>
        <w:rPr>
          <w:rFonts w:ascii="Times New Roman" w:hAnsi="Times New Roman" w:cs="Times New Roman"/>
          <w:sz w:val="24"/>
          <w:szCs w:val="24"/>
        </w:rPr>
      </w:pPr>
    </w:p>
    <w:p w14:paraId="3C4FF166" w14:textId="77777777" w:rsidR="001637FF" w:rsidRPr="009B6417" w:rsidRDefault="001637FF" w:rsidP="00DE3110">
      <w:pPr>
        <w:jc w:val="both"/>
        <w:rPr>
          <w:rFonts w:ascii="Times New Roman" w:hAnsi="Times New Roman" w:cs="Times New Roman"/>
          <w:sz w:val="24"/>
          <w:szCs w:val="24"/>
        </w:rPr>
      </w:pPr>
    </w:p>
    <w:p w14:paraId="61ECACD2" w14:textId="77777777" w:rsidR="002064BE" w:rsidRDefault="002064BE" w:rsidP="002064BE">
      <w:pPr>
        <w:pStyle w:val="Heading2"/>
        <w:numPr>
          <w:ilvl w:val="1"/>
          <w:numId w:val="17"/>
        </w:numPr>
        <w:rPr>
          <w:rFonts w:ascii="Times New Roman" w:hAnsi="Times New Roman" w:cs="Times New Roman"/>
          <w:b/>
          <w:sz w:val="24"/>
          <w:szCs w:val="24"/>
        </w:rPr>
      </w:pPr>
      <w:bookmarkStart w:id="7" w:name="_Toc37196686"/>
      <w:r w:rsidRPr="009B6417">
        <w:rPr>
          <w:rFonts w:ascii="Times New Roman" w:hAnsi="Times New Roman" w:cs="Times New Roman"/>
          <w:b/>
          <w:sz w:val="24"/>
          <w:szCs w:val="24"/>
        </w:rPr>
        <w:lastRenderedPageBreak/>
        <w:t>Kuadri Ligjor</w:t>
      </w:r>
      <w:r w:rsidR="00A05852" w:rsidRPr="009B6417">
        <w:rPr>
          <w:rFonts w:ascii="Times New Roman" w:hAnsi="Times New Roman" w:cs="Times New Roman"/>
          <w:b/>
          <w:sz w:val="24"/>
          <w:szCs w:val="24"/>
        </w:rPr>
        <w:t xml:space="preserve"> i </w:t>
      </w:r>
      <w:r w:rsidR="002C507D" w:rsidRPr="009B6417">
        <w:rPr>
          <w:rFonts w:ascii="Times New Roman" w:hAnsi="Times New Roman" w:cs="Times New Roman"/>
          <w:b/>
          <w:sz w:val="24"/>
          <w:szCs w:val="24"/>
        </w:rPr>
        <w:t>Koncesioneve</w:t>
      </w:r>
      <w:r w:rsidR="008A7F58" w:rsidRPr="009B6417">
        <w:rPr>
          <w:rFonts w:ascii="Times New Roman" w:hAnsi="Times New Roman" w:cs="Times New Roman"/>
          <w:b/>
          <w:sz w:val="24"/>
          <w:szCs w:val="24"/>
        </w:rPr>
        <w:t>/</w:t>
      </w:r>
      <w:r w:rsidR="00A05852" w:rsidRPr="009B6417">
        <w:rPr>
          <w:rFonts w:ascii="Times New Roman" w:hAnsi="Times New Roman" w:cs="Times New Roman"/>
          <w:b/>
          <w:sz w:val="24"/>
          <w:szCs w:val="24"/>
        </w:rPr>
        <w:t>PPP n</w:t>
      </w:r>
      <w:r w:rsidR="00297F2E" w:rsidRPr="009B6417">
        <w:rPr>
          <w:rFonts w:ascii="Times New Roman" w:hAnsi="Times New Roman" w:cs="Times New Roman"/>
          <w:b/>
          <w:sz w:val="24"/>
          <w:szCs w:val="24"/>
        </w:rPr>
        <w:t>ë</w:t>
      </w:r>
      <w:r w:rsidR="00A05852" w:rsidRPr="009B6417">
        <w:rPr>
          <w:rFonts w:ascii="Times New Roman" w:hAnsi="Times New Roman" w:cs="Times New Roman"/>
          <w:b/>
          <w:sz w:val="24"/>
          <w:szCs w:val="24"/>
        </w:rPr>
        <w:t xml:space="preserve"> R.Sh</w:t>
      </w:r>
      <w:bookmarkEnd w:id="7"/>
      <w:r w:rsidRPr="009B6417">
        <w:rPr>
          <w:rFonts w:ascii="Times New Roman" w:hAnsi="Times New Roman" w:cs="Times New Roman"/>
          <w:b/>
          <w:sz w:val="24"/>
          <w:szCs w:val="24"/>
        </w:rPr>
        <w:t xml:space="preserve"> </w:t>
      </w:r>
    </w:p>
    <w:p w14:paraId="4FAEDB2A" w14:textId="77777777" w:rsidR="0094612E" w:rsidRPr="00D949E1" w:rsidRDefault="0094612E" w:rsidP="0094612E">
      <w:pPr>
        <w:rPr>
          <w:sz w:val="2"/>
        </w:rPr>
      </w:pPr>
    </w:p>
    <w:p w14:paraId="021AC329" w14:textId="77777777" w:rsidR="002064BE" w:rsidRPr="009B6417" w:rsidRDefault="002064BE" w:rsidP="009E44FB">
      <w:pPr>
        <w:tabs>
          <w:tab w:val="left" w:pos="3553"/>
        </w:tabs>
        <w:spacing w:after="0"/>
        <w:ind w:right="-75"/>
        <w:jc w:val="both"/>
        <w:rPr>
          <w:rFonts w:ascii="Times New Roman" w:hAnsi="Times New Roman" w:cs="Times New Roman"/>
          <w:sz w:val="24"/>
          <w:szCs w:val="24"/>
        </w:rPr>
      </w:pPr>
      <w:r w:rsidRPr="009B6417">
        <w:rPr>
          <w:rFonts w:ascii="Times New Roman" w:hAnsi="Times New Roman" w:cs="Times New Roman"/>
          <w:sz w:val="24"/>
          <w:szCs w:val="24"/>
        </w:rPr>
        <w:t>Në Republikën e Shqipërisë koncepti i koncesioneve është disi më i njohur se ai i partneriteteve publike private, duke qenë se ka qenë i parashikuar më herët nga legjislacioni, ndërkohë që koncepti i PPP</w:t>
      </w:r>
      <w:r w:rsidR="006A3863" w:rsidRPr="009B6417">
        <w:rPr>
          <w:rFonts w:ascii="Times New Roman" w:hAnsi="Times New Roman" w:cs="Times New Roman"/>
          <w:sz w:val="24"/>
          <w:szCs w:val="24"/>
        </w:rPr>
        <w:t>-s</w:t>
      </w:r>
      <w:r w:rsidR="00B85EB6" w:rsidRPr="009B6417">
        <w:rPr>
          <w:rFonts w:ascii="Times New Roman" w:hAnsi="Times New Roman" w:cs="Times New Roman"/>
          <w:sz w:val="24"/>
          <w:szCs w:val="24"/>
        </w:rPr>
        <w:t>ë</w:t>
      </w:r>
      <w:r w:rsidRPr="009B6417">
        <w:rPr>
          <w:rFonts w:ascii="Times New Roman" w:hAnsi="Times New Roman" w:cs="Times New Roman"/>
          <w:sz w:val="24"/>
          <w:szCs w:val="24"/>
        </w:rPr>
        <w:t xml:space="preserve"> ka hyrë së fundmi në legjislacionin shqiptar</w:t>
      </w:r>
      <w:r w:rsidR="0022624E" w:rsidRPr="009B6417">
        <w:rPr>
          <w:rFonts w:ascii="Times New Roman" w:hAnsi="Times New Roman" w:cs="Times New Roman"/>
          <w:sz w:val="24"/>
          <w:szCs w:val="24"/>
        </w:rPr>
        <w:t xml:space="preserve"> me L</w:t>
      </w:r>
      <w:r w:rsidR="0096147A" w:rsidRPr="009B6417">
        <w:rPr>
          <w:rFonts w:ascii="Times New Roman" w:hAnsi="Times New Roman" w:cs="Times New Roman"/>
          <w:sz w:val="24"/>
          <w:szCs w:val="24"/>
        </w:rPr>
        <w:t xml:space="preserve">igjin </w:t>
      </w:r>
      <w:r w:rsidR="0022624E" w:rsidRPr="009B6417">
        <w:rPr>
          <w:rFonts w:ascii="Times New Roman" w:hAnsi="Times New Roman" w:cs="Times New Roman"/>
          <w:sz w:val="24"/>
          <w:szCs w:val="24"/>
        </w:rPr>
        <w:t>N</w:t>
      </w:r>
      <w:r w:rsidR="0096147A" w:rsidRPr="009B6417">
        <w:rPr>
          <w:rFonts w:ascii="Times New Roman" w:hAnsi="Times New Roman" w:cs="Times New Roman"/>
          <w:sz w:val="24"/>
          <w:szCs w:val="24"/>
        </w:rPr>
        <w:t>r. 125/2013 “</w:t>
      </w:r>
      <w:r w:rsidR="0096147A" w:rsidRPr="009B6417">
        <w:rPr>
          <w:rFonts w:ascii="Times New Roman" w:hAnsi="Times New Roman" w:cs="Times New Roman"/>
          <w:i/>
          <w:sz w:val="24"/>
          <w:szCs w:val="24"/>
        </w:rPr>
        <w:t>Për koncesionet dhe partneritetin publik privat</w:t>
      </w:r>
      <w:r w:rsidR="0096147A" w:rsidRPr="009B6417">
        <w:rPr>
          <w:rFonts w:ascii="Times New Roman" w:hAnsi="Times New Roman" w:cs="Times New Roman"/>
          <w:sz w:val="24"/>
          <w:szCs w:val="24"/>
        </w:rPr>
        <w:t>, i</w:t>
      </w:r>
      <w:r w:rsidR="00FB62C3" w:rsidRPr="009B6417">
        <w:rPr>
          <w:rFonts w:ascii="Times New Roman" w:hAnsi="Times New Roman" w:cs="Times New Roman"/>
          <w:sz w:val="24"/>
          <w:szCs w:val="24"/>
        </w:rPr>
        <w:t xml:space="preserve"> </w:t>
      </w:r>
      <w:r w:rsidR="0096147A" w:rsidRPr="009B6417">
        <w:rPr>
          <w:rFonts w:ascii="Times New Roman" w:hAnsi="Times New Roman" w:cs="Times New Roman"/>
          <w:sz w:val="24"/>
          <w:szCs w:val="24"/>
        </w:rPr>
        <w:t>ndryshuar.</w:t>
      </w:r>
      <w:r w:rsidRPr="009B6417">
        <w:rPr>
          <w:rFonts w:ascii="Times New Roman" w:hAnsi="Times New Roman" w:cs="Times New Roman"/>
          <w:sz w:val="24"/>
          <w:szCs w:val="24"/>
        </w:rPr>
        <w:t xml:space="preserve"> </w:t>
      </w:r>
    </w:p>
    <w:p w14:paraId="57BDBAC2" w14:textId="77777777" w:rsidR="009E44FB" w:rsidRPr="009B6417" w:rsidRDefault="009E7BC4" w:rsidP="009E44FB">
      <w:pPr>
        <w:tabs>
          <w:tab w:val="left" w:pos="3553"/>
        </w:tabs>
        <w:spacing w:after="0"/>
        <w:ind w:right="-75"/>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91440" distB="91440" distL="182880" distR="320040" simplePos="0" relativeHeight="251656192" behindDoc="0" locked="0" layoutInCell="1" allowOverlap="1" wp14:anchorId="766E3A2A" wp14:editId="7DBA5DAE">
                <wp:simplePos x="0" y="0"/>
                <wp:positionH relativeFrom="margin">
                  <wp:posOffset>3800475</wp:posOffset>
                </wp:positionH>
                <wp:positionV relativeFrom="paragraph">
                  <wp:posOffset>617220</wp:posOffset>
                </wp:positionV>
                <wp:extent cx="2686050" cy="3679825"/>
                <wp:effectExtent l="9525" t="6350" r="9525" b="9525"/>
                <wp:wrapSquare wrapText="bothSides"/>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679825"/>
                        </a:xfrm>
                        <a:prstGeom prst="rect">
                          <a:avLst/>
                        </a:prstGeom>
                        <a:pattFill prst="pct50">
                          <a:fgClr>
                            <a:schemeClr val="bg2">
                              <a:lumMod val="100000"/>
                              <a:lumOff val="0"/>
                            </a:schemeClr>
                          </a:fgClr>
                          <a:bgClr>
                            <a:schemeClr val="bg1">
                              <a:lumMod val="100000"/>
                              <a:lumOff val="0"/>
                            </a:schemeClr>
                          </a:bgClr>
                        </a:pattFill>
                        <a:ln w="6350">
                          <a:solidFill>
                            <a:schemeClr val="bg2">
                              <a:lumMod val="75000"/>
                              <a:lumOff val="0"/>
                            </a:schemeClr>
                          </a:solidFill>
                          <a:miter lim="800000"/>
                          <a:headEnd/>
                          <a:tailEnd/>
                        </a:ln>
                      </wps:spPr>
                      <wps:txbx>
                        <w:txbxContent>
                          <w:p w14:paraId="4C76749A" w14:textId="77777777" w:rsidR="0025668C" w:rsidRPr="002A1F81" w:rsidRDefault="0025668C" w:rsidP="002064BE">
                            <w:pPr>
                              <w:pBdr>
                                <w:left w:val="single" w:sz="80" w:space="3" w:color="7F7F7F" w:themeColor="text1" w:themeTint="80"/>
                                <w:bottom w:val="single" w:sz="8" w:space="4" w:color="7F7F7F" w:themeColor="text1" w:themeTint="80"/>
                              </w:pBdr>
                              <w:spacing w:before="40" w:line="288" w:lineRule="auto"/>
                              <w:rPr>
                                <w:rFonts w:ascii="Times New Roman" w:hAnsi="Times New Roman" w:cs="Times New Roman"/>
                                <w:b/>
                                <w:i/>
                                <w:color w:val="4A442A" w:themeColor="background2" w:themeShade="40"/>
                                <w:sz w:val="18"/>
                                <w:szCs w:val="27"/>
                              </w:rPr>
                            </w:pPr>
                            <w:r w:rsidRPr="002A1F81">
                              <w:rPr>
                                <w:rFonts w:ascii="Times New Roman" w:hAnsi="Times New Roman" w:cs="Times New Roman"/>
                                <w:b/>
                                <w:i/>
                                <w:color w:val="4A442A" w:themeColor="background2" w:themeShade="40"/>
                                <w:sz w:val="18"/>
                                <w:szCs w:val="27"/>
                              </w:rPr>
                              <w:t>Kuadri L</w:t>
                            </w:r>
                            <w:r>
                              <w:rPr>
                                <w:rFonts w:ascii="Times New Roman" w:hAnsi="Times New Roman" w:cs="Times New Roman"/>
                                <w:b/>
                                <w:i/>
                                <w:color w:val="4A442A" w:themeColor="background2" w:themeShade="40"/>
                                <w:sz w:val="18"/>
                                <w:szCs w:val="27"/>
                              </w:rPr>
                              <w:t>igjor i Koncesioneve/PPP në R.Sh</w:t>
                            </w:r>
                          </w:p>
                          <w:p w14:paraId="77641800" w14:textId="77777777" w:rsidR="0025668C" w:rsidRPr="00BF27B2" w:rsidRDefault="0025668C" w:rsidP="00B515FD">
                            <w:pPr>
                              <w:tabs>
                                <w:tab w:val="left" w:pos="3553"/>
                              </w:tabs>
                              <w:spacing w:line="240" w:lineRule="auto"/>
                              <w:ind w:left="-180" w:right="-75"/>
                              <w:jc w:val="both"/>
                            </w:pPr>
                            <w:r w:rsidRPr="002A1F81">
                              <w:rPr>
                                <w:rFonts w:ascii="Times New Roman" w:hAnsi="Times New Roman" w:cs="Times New Roman"/>
                                <w:sz w:val="20"/>
                              </w:rPr>
                              <w:t xml:space="preserve">Kuadri ligjor </w:t>
                            </w:r>
                            <w:r>
                              <w:rPr>
                                <w:rFonts w:ascii="Times New Roman" w:hAnsi="Times New Roman" w:cs="Times New Roman"/>
                                <w:sz w:val="20"/>
                              </w:rPr>
                              <w:t xml:space="preserve">aktual </w:t>
                            </w:r>
                            <w:r w:rsidRPr="002A1F81">
                              <w:rPr>
                                <w:rFonts w:ascii="Times New Roman" w:hAnsi="Times New Roman" w:cs="Times New Roman"/>
                                <w:sz w:val="20"/>
                              </w:rPr>
                              <w:t xml:space="preserve">i koncesioneve dhe PPP në </w:t>
                            </w:r>
                            <w:r>
                              <w:rPr>
                                <w:rFonts w:ascii="Times New Roman" w:hAnsi="Times New Roman" w:cs="Times New Roman"/>
                                <w:sz w:val="20"/>
                              </w:rPr>
                              <w:t xml:space="preserve">R.Sh </w:t>
                            </w:r>
                            <w:r w:rsidRPr="002A1F81">
                              <w:rPr>
                                <w:rFonts w:ascii="Times New Roman" w:hAnsi="Times New Roman" w:cs="Times New Roman"/>
                                <w:sz w:val="20"/>
                              </w:rPr>
                              <w:t xml:space="preserve">mbështetet kryesisht në legjislacionin e </w:t>
                            </w:r>
                            <w:r w:rsidRPr="00BF27B2">
                              <w:rPr>
                                <w:rFonts w:ascii="Times New Roman" w:hAnsi="Times New Roman" w:cs="Times New Roman"/>
                                <w:sz w:val="20"/>
                              </w:rPr>
                              <w:t>mëposhtëm</w:t>
                            </w:r>
                            <w:r w:rsidRPr="00BF27B2">
                              <w:t>:</w:t>
                            </w:r>
                          </w:p>
                          <w:p w14:paraId="55F9B2F5" w14:textId="77777777" w:rsidR="0025668C" w:rsidRPr="00BF27B2" w:rsidRDefault="0025668C" w:rsidP="00FA79CF">
                            <w:pPr>
                              <w:pStyle w:val="ListParagraph"/>
                              <w:numPr>
                                <w:ilvl w:val="0"/>
                                <w:numId w:val="2"/>
                              </w:numPr>
                              <w:ind w:left="0" w:hanging="270"/>
                              <w:jc w:val="both"/>
                              <w:rPr>
                                <w:rFonts w:ascii="Times New Roman" w:hAnsi="Times New Roman" w:cs="Times New Roman"/>
                                <w:sz w:val="20"/>
                              </w:rPr>
                            </w:pPr>
                            <w:r w:rsidRPr="00BF27B2">
                              <w:rPr>
                                <w:rFonts w:ascii="Times New Roman" w:hAnsi="Times New Roman" w:cs="Times New Roman"/>
                                <w:sz w:val="20"/>
                              </w:rPr>
                              <w:t>Ligji nr. 50/2019 “P</w:t>
                            </w:r>
                            <w:r>
                              <w:rPr>
                                <w:rFonts w:ascii="Times New Roman" w:hAnsi="Times New Roman" w:cs="Times New Roman"/>
                                <w:sz w:val="20"/>
                              </w:rPr>
                              <w:t>ë</w:t>
                            </w:r>
                            <w:r w:rsidRPr="00BF27B2">
                              <w:rPr>
                                <w:rFonts w:ascii="Times New Roman" w:hAnsi="Times New Roman" w:cs="Times New Roman"/>
                                <w:sz w:val="20"/>
                              </w:rPr>
                              <w:t>r disa shtesa dhe ndryshime n</w:t>
                            </w:r>
                            <w:r>
                              <w:rPr>
                                <w:rFonts w:ascii="Times New Roman" w:hAnsi="Times New Roman" w:cs="Times New Roman"/>
                                <w:sz w:val="20"/>
                              </w:rPr>
                              <w:t>ë</w:t>
                            </w:r>
                            <w:r w:rsidRPr="00BF27B2">
                              <w:rPr>
                                <w:rFonts w:ascii="Times New Roman" w:hAnsi="Times New Roman" w:cs="Times New Roman"/>
                                <w:sz w:val="20"/>
                              </w:rPr>
                              <w:t xml:space="preserve"> Ligjin 125/013: </w:t>
                            </w:r>
                            <w:r w:rsidRPr="00BF27B2">
                              <w:rPr>
                                <w:rFonts w:ascii="Times New Roman" w:hAnsi="Times New Roman" w:cs="Times New Roman"/>
                                <w:i/>
                                <w:sz w:val="20"/>
                              </w:rPr>
                              <w:t>Për Koncesionet dhe Partneritetin Publik Privat</w:t>
                            </w:r>
                            <w:r w:rsidRPr="00BF27B2">
                              <w:rPr>
                                <w:rFonts w:ascii="Times New Roman" w:hAnsi="Times New Roman" w:cs="Times New Roman"/>
                                <w:sz w:val="20"/>
                              </w:rPr>
                              <w:t>”, i ndryshuar.</w:t>
                            </w:r>
                          </w:p>
                          <w:p w14:paraId="67533DB0" w14:textId="77777777" w:rsidR="0025668C" w:rsidRPr="00BF27B2" w:rsidRDefault="0025668C" w:rsidP="00FA79CF">
                            <w:pPr>
                              <w:pStyle w:val="ListParagraph"/>
                              <w:numPr>
                                <w:ilvl w:val="0"/>
                                <w:numId w:val="2"/>
                              </w:numPr>
                              <w:ind w:left="0" w:hanging="270"/>
                              <w:jc w:val="both"/>
                              <w:rPr>
                                <w:color w:val="808080" w:themeColor="background1" w:themeShade="80"/>
                              </w:rPr>
                            </w:pPr>
                            <w:r w:rsidRPr="00BF27B2">
                              <w:rPr>
                                <w:rFonts w:ascii="Times New Roman" w:hAnsi="Times New Roman" w:cs="Times New Roman"/>
                                <w:sz w:val="20"/>
                              </w:rPr>
                              <w:t>Vendim i Këshillit të Ministrave nr. 575, datë 10.07.2013 “</w:t>
                            </w:r>
                            <w:r w:rsidRPr="00BF27B2">
                              <w:rPr>
                                <w:rFonts w:ascii="Times New Roman" w:hAnsi="Times New Roman" w:cs="Times New Roman"/>
                                <w:i/>
                                <w:sz w:val="20"/>
                              </w:rPr>
                              <w:t>Për miratimin e rregullave për vlerësimin dhe dhënien me Koncesion/Partneritet Publik Privat</w:t>
                            </w:r>
                            <w:r w:rsidRPr="00BF27B2">
                              <w:rPr>
                                <w:rFonts w:ascii="Times New Roman" w:hAnsi="Times New Roman" w:cs="Times New Roman"/>
                                <w:sz w:val="20"/>
                              </w:rPr>
                              <w:t>”, i ndryshuar.</w:t>
                            </w:r>
                          </w:p>
                          <w:p w14:paraId="7F727D39" w14:textId="77777777" w:rsidR="0025668C" w:rsidRPr="002A1F81" w:rsidRDefault="0025668C" w:rsidP="00FA79CF">
                            <w:pPr>
                              <w:pStyle w:val="ListParagraph"/>
                              <w:numPr>
                                <w:ilvl w:val="0"/>
                                <w:numId w:val="2"/>
                              </w:numPr>
                              <w:ind w:left="0" w:hanging="270"/>
                              <w:jc w:val="both"/>
                              <w:rPr>
                                <w:rFonts w:ascii="Times New Roman" w:hAnsi="Times New Roman" w:cs="Times New Roman"/>
                                <w:color w:val="808080" w:themeColor="background1" w:themeShade="80"/>
                                <w:sz w:val="20"/>
                              </w:rPr>
                            </w:pPr>
                            <w:r w:rsidRPr="00BF27B2">
                              <w:rPr>
                                <w:rFonts w:ascii="Times New Roman" w:hAnsi="Times New Roman" w:cs="Times New Roman"/>
                                <w:sz w:val="20"/>
                              </w:rPr>
                              <w:t>Vendimi i Këshillit të Ministrave nr. 634 datë 1.10.2014 “</w:t>
                            </w:r>
                            <w:r w:rsidRPr="00BF27B2">
                              <w:rPr>
                                <w:rFonts w:ascii="Times New Roman" w:hAnsi="Times New Roman" w:cs="Times New Roman"/>
                                <w:i/>
                                <w:sz w:val="20"/>
                              </w:rPr>
                              <w:t>Për miratimin e rregullave për vlerësimin dhe dhënien me koncesion</w:t>
                            </w:r>
                            <w:r w:rsidRPr="002A1F81">
                              <w:rPr>
                                <w:rFonts w:ascii="Times New Roman" w:hAnsi="Times New Roman" w:cs="Times New Roman"/>
                                <w:i/>
                                <w:sz w:val="20"/>
                              </w:rPr>
                              <w:t>/partneritet publik privat të punëve publike dhe shërbimeve për ndërtimin, operimin, mirëmbajtjen dhe rehabilitimin e rrugëve nacionale</w:t>
                            </w:r>
                            <w:r>
                              <w:rPr>
                                <w:rFonts w:ascii="Times New Roman" w:hAnsi="Times New Roman" w:cs="Times New Roman"/>
                                <w:sz w:val="20"/>
                              </w:rPr>
                              <w:t>”.</w:t>
                            </w: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F1DCBF" id="Text Box 6" o:spid="_x0000_s1032" type="#_x0000_t202" style="position:absolute;left:0;text-align:left;margin-left:299.25pt;margin-top:48.6pt;width:211.5pt;height:289.75pt;z-index:251656192;visibility:visible;mso-wrap-style:square;mso-width-percent:0;mso-height-percent:0;mso-wrap-distance-left:14.4pt;mso-wrap-distance-top:7.2pt;mso-wrap-distance-right:25.2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" fillcolor="#eeece1 [3214]" strokecolor="#c4bc96 [2414]" strokeweight=".5pt">
                <v:fill r:id="rId10" o:title="" color2="white [3212]" type="pattern"/>
                <v:textbox inset="14.4pt,0,10.8pt,0">
                  <w:txbxContent>
                    <w:p w:rsidR="0025668C" w:rsidRPr="002A1F81" w:rsidRDefault="0025668C" w:rsidP="002064BE">
                      <w:pPr>
                        <w:pBdr>
                          <w:left w:val="single" w:sz="80" w:space="3" w:color="7F7F7F" w:themeColor="text1" w:themeTint="80"/>
                          <w:bottom w:val="single" w:sz="8" w:space="4" w:color="7F7F7F" w:themeColor="text1" w:themeTint="80"/>
                        </w:pBdr>
                        <w:spacing w:before="40" w:line="288" w:lineRule="auto"/>
                        <w:rPr>
                          <w:rFonts w:ascii="Times New Roman" w:hAnsi="Times New Roman" w:cs="Times New Roman"/>
                          <w:b/>
                          <w:i/>
                          <w:color w:val="4A442A" w:themeColor="background2" w:themeShade="40"/>
                          <w:sz w:val="18"/>
                          <w:szCs w:val="27"/>
                        </w:rPr>
                      </w:pPr>
                      <w:r w:rsidRPr="002A1F81">
                        <w:rPr>
                          <w:rFonts w:ascii="Times New Roman" w:hAnsi="Times New Roman" w:cs="Times New Roman"/>
                          <w:b/>
                          <w:i/>
                          <w:color w:val="4A442A" w:themeColor="background2" w:themeShade="40"/>
                          <w:sz w:val="18"/>
                          <w:szCs w:val="27"/>
                        </w:rPr>
                        <w:t>Kuadri L</w:t>
                      </w:r>
                      <w:r>
                        <w:rPr>
                          <w:rFonts w:ascii="Times New Roman" w:hAnsi="Times New Roman" w:cs="Times New Roman"/>
                          <w:b/>
                          <w:i/>
                          <w:color w:val="4A442A" w:themeColor="background2" w:themeShade="40"/>
                          <w:sz w:val="18"/>
                          <w:szCs w:val="27"/>
                        </w:rPr>
                        <w:t>igjor i Koncesioneve/PPP në R.Sh</w:t>
                      </w:r>
                    </w:p>
                    <w:p w:rsidR="0025668C" w:rsidRPr="00BF27B2" w:rsidRDefault="0025668C" w:rsidP="00B515FD">
                      <w:pPr>
                        <w:tabs>
                          <w:tab w:val="left" w:pos="3553"/>
                        </w:tabs>
                        <w:spacing w:line="240" w:lineRule="auto"/>
                        <w:ind w:left="-180" w:right="-75"/>
                        <w:jc w:val="both"/>
                      </w:pPr>
                      <w:r w:rsidRPr="002A1F81">
                        <w:rPr>
                          <w:rFonts w:ascii="Times New Roman" w:hAnsi="Times New Roman" w:cs="Times New Roman"/>
                          <w:sz w:val="20"/>
                        </w:rPr>
                        <w:t xml:space="preserve">Kuadri ligjor </w:t>
                      </w:r>
                      <w:r>
                        <w:rPr>
                          <w:rFonts w:ascii="Times New Roman" w:hAnsi="Times New Roman" w:cs="Times New Roman"/>
                          <w:sz w:val="20"/>
                        </w:rPr>
                        <w:t xml:space="preserve">aktual </w:t>
                      </w:r>
                      <w:r w:rsidRPr="002A1F81">
                        <w:rPr>
                          <w:rFonts w:ascii="Times New Roman" w:hAnsi="Times New Roman" w:cs="Times New Roman"/>
                          <w:sz w:val="20"/>
                        </w:rPr>
                        <w:t xml:space="preserve">i koncesioneve dhe PPP në </w:t>
                      </w:r>
                      <w:r>
                        <w:rPr>
                          <w:rFonts w:ascii="Times New Roman" w:hAnsi="Times New Roman" w:cs="Times New Roman"/>
                          <w:sz w:val="20"/>
                        </w:rPr>
                        <w:t xml:space="preserve">R.Sh </w:t>
                      </w:r>
                      <w:r w:rsidRPr="002A1F81">
                        <w:rPr>
                          <w:rFonts w:ascii="Times New Roman" w:hAnsi="Times New Roman" w:cs="Times New Roman"/>
                          <w:sz w:val="20"/>
                        </w:rPr>
                        <w:t xml:space="preserve">mbështetet kryesisht në legjislacionin e </w:t>
                      </w:r>
                      <w:r w:rsidRPr="00BF27B2">
                        <w:rPr>
                          <w:rFonts w:ascii="Times New Roman" w:hAnsi="Times New Roman" w:cs="Times New Roman"/>
                          <w:sz w:val="20"/>
                        </w:rPr>
                        <w:t>mëposhtëm</w:t>
                      </w:r>
                      <w:r w:rsidRPr="00BF27B2">
                        <w:t>:</w:t>
                      </w:r>
                    </w:p>
                    <w:p w:rsidR="0025668C" w:rsidRPr="00BF27B2" w:rsidRDefault="0025668C" w:rsidP="00FA79CF">
                      <w:pPr>
                        <w:pStyle w:val="ListParagraph"/>
                        <w:numPr>
                          <w:ilvl w:val="0"/>
                          <w:numId w:val="2"/>
                        </w:numPr>
                        <w:ind w:left="0" w:hanging="270"/>
                        <w:jc w:val="both"/>
                        <w:rPr>
                          <w:rFonts w:ascii="Times New Roman" w:hAnsi="Times New Roman" w:cs="Times New Roman"/>
                          <w:sz w:val="20"/>
                        </w:rPr>
                      </w:pPr>
                      <w:r w:rsidRPr="00BF27B2">
                        <w:rPr>
                          <w:rFonts w:ascii="Times New Roman" w:hAnsi="Times New Roman" w:cs="Times New Roman"/>
                          <w:sz w:val="20"/>
                        </w:rPr>
                        <w:t>Ligji nr. 50/2019 “P</w:t>
                      </w:r>
                      <w:r>
                        <w:rPr>
                          <w:rFonts w:ascii="Times New Roman" w:hAnsi="Times New Roman" w:cs="Times New Roman"/>
                          <w:sz w:val="20"/>
                        </w:rPr>
                        <w:t>ë</w:t>
                      </w:r>
                      <w:r w:rsidRPr="00BF27B2">
                        <w:rPr>
                          <w:rFonts w:ascii="Times New Roman" w:hAnsi="Times New Roman" w:cs="Times New Roman"/>
                          <w:sz w:val="20"/>
                        </w:rPr>
                        <w:t>r disa shtesa dhe ndryshime n</w:t>
                      </w:r>
                      <w:r>
                        <w:rPr>
                          <w:rFonts w:ascii="Times New Roman" w:hAnsi="Times New Roman" w:cs="Times New Roman"/>
                          <w:sz w:val="20"/>
                        </w:rPr>
                        <w:t>ë</w:t>
                      </w:r>
                      <w:r w:rsidRPr="00BF27B2">
                        <w:rPr>
                          <w:rFonts w:ascii="Times New Roman" w:hAnsi="Times New Roman" w:cs="Times New Roman"/>
                          <w:sz w:val="20"/>
                        </w:rPr>
                        <w:t xml:space="preserve"> Ligjin 125/013: </w:t>
                      </w:r>
                      <w:r w:rsidRPr="00BF27B2">
                        <w:rPr>
                          <w:rFonts w:ascii="Times New Roman" w:hAnsi="Times New Roman" w:cs="Times New Roman"/>
                          <w:i/>
                          <w:sz w:val="20"/>
                        </w:rPr>
                        <w:t>Për Koncesionet dhe Partneritetin Publik Privat</w:t>
                      </w:r>
                      <w:r w:rsidRPr="00BF27B2">
                        <w:rPr>
                          <w:rFonts w:ascii="Times New Roman" w:hAnsi="Times New Roman" w:cs="Times New Roman"/>
                          <w:sz w:val="20"/>
                        </w:rPr>
                        <w:t>”, i ndryshuar.</w:t>
                      </w:r>
                    </w:p>
                    <w:p w:rsidR="0025668C" w:rsidRPr="00BF27B2" w:rsidRDefault="0025668C" w:rsidP="00FA79CF">
                      <w:pPr>
                        <w:pStyle w:val="ListParagraph"/>
                        <w:numPr>
                          <w:ilvl w:val="0"/>
                          <w:numId w:val="2"/>
                        </w:numPr>
                        <w:ind w:left="0" w:hanging="270"/>
                        <w:jc w:val="both"/>
                        <w:rPr>
                          <w:color w:val="808080" w:themeColor="background1" w:themeShade="80"/>
                        </w:rPr>
                      </w:pPr>
                      <w:r w:rsidRPr="00BF27B2">
                        <w:rPr>
                          <w:rFonts w:ascii="Times New Roman" w:hAnsi="Times New Roman" w:cs="Times New Roman"/>
                          <w:sz w:val="20"/>
                        </w:rPr>
                        <w:t>Vendim i Këshillit të Ministrave nr. 575, datë 10.07.2013 “</w:t>
                      </w:r>
                      <w:r w:rsidRPr="00BF27B2">
                        <w:rPr>
                          <w:rFonts w:ascii="Times New Roman" w:hAnsi="Times New Roman" w:cs="Times New Roman"/>
                          <w:i/>
                          <w:sz w:val="20"/>
                        </w:rPr>
                        <w:t>Për miratimin e rregullave për vlerësimin dhe dhënien me Koncesion/Partneritet Publik Privat</w:t>
                      </w:r>
                      <w:r w:rsidRPr="00BF27B2">
                        <w:rPr>
                          <w:rFonts w:ascii="Times New Roman" w:hAnsi="Times New Roman" w:cs="Times New Roman"/>
                          <w:sz w:val="20"/>
                        </w:rPr>
                        <w:t>”, i ndryshuar.</w:t>
                      </w:r>
                    </w:p>
                    <w:p w:rsidR="0025668C" w:rsidRPr="002A1F81" w:rsidRDefault="0025668C" w:rsidP="00FA79CF">
                      <w:pPr>
                        <w:pStyle w:val="ListParagraph"/>
                        <w:numPr>
                          <w:ilvl w:val="0"/>
                          <w:numId w:val="2"/>
                        </w:numPr>
                        <w:ind w:left="0" w:hanging="270"/>
                        <w:jc w:val="both"/>
                        <w:rPr>
                          <w:rFonts w:ascii="Times New Roman" w:hAnsi="Times New Roman" w:cs="Times New Roman"/>
                          <w:color w:val="808080" w:themeColor="background1" w:themeShade="80"/>
                          <w:sz w:val="20"/>
                        </w:rPr>
                      </w:pPr>
                      <w:r w:rsidRPr="00BF27B2">
                        <w:rPr>
                          <w:rFonts w:ascii="Times New Roman" w:hAnsi="Times New Roman" w:cs="Times New Roman"/>
                          <w:sz w:val="20"/>
                        </w:rPr>
                        <w:t>Vendimi i Këshillit të Ministrave nr. 634 datë 1.10.2014 “</w:t>
                      </w:r>
                      <w:r w:rsidRPr="00BF27B2">
                        <w:rPr>
                          <w:rFonts w:ascii="Times New Roman" w:hAnsi="Times New Roman" w:cs="Times New Roman"/>
                          <w:i/>
                          <w:sz w:val="20"/>
                        </w:rPr>
                        <w:t>Për miratimin e rregullave për vlerësimin dhe dhënien me koncesion</w:t>
                      </w:r>
                      <w:r w:rsidRPr="002A1F81">
                        <w:rPr>
                          <w:rFonts w:ascii="Times New Roman" w:hAnsi="Times New Roman" w:cs="Times New Roman"/>
                          <w:i/>
                          <w:sz w:val="20"/>
                        </w:rPr>
                        <w:t>/partneritet publik privat të punëve publike dhe shërbimeve për ndërtimin, operimin, mirëmbajtjen dhe rehabilitimin e rrugëve nacionale</w:t>
                      </w:r>
                      <w:r>
                        <w:rPr>
                          <w:rFonts w:ascii="Times New Roman" w:hAnsi="Times New Roman" w:cs="Times New Roman"/>
                          <w:sz w:val="20"/>
                        </w:rPr>
                        <w:t>”.</w:t>
                      </w:r>
                    </w:p>
                  </w:txbxContent>
                </v:textbox>
                <w10:wrap type="square" anchorx="margin"/>
              </v:shape>
            </w:pict>
          </mc:Fallback>
        </mc:AlternateContent>
      </w:r>
      <w:r w:rsidR="007279A8" w:rsidRPr="009B6417">
        <w:rPr>
          <w:rFonts w:ascii="Times New Roman" w:hAnsi="Times New Roman" w:cs="Times New Roman"/>
          <w:sz w:val="24"/>
          <w:szCs w:val="24"/>
        </w:rPr>
        <w:t xml:space="preserve">Legjislacioni shqiptar </w:t>
      </w:r>
      <w:r w:rsidR="002064BE" w:rsidRPr="009B6417">
        <w:rPr>
          <w:rFonts w:ascii="Times New Roman" w:hAnsi="Times New Roman" w:cs="Times New Roman"/>
          <w:sz w:val="24"/>
          <w:szCs w:val="24"/>
        </w:rPr>
        <w:t xml:space="preserve">fillimisht </w:t>
      </w:r>
      <w:r w:rsidR="007279A8" w:rsidRPr="009B6417">
        <w:rPr>
          <w:rFonts w:ascii="Times New Roman" w:hAnsi="Times New Roman" w:cs="Times New Roman"/>
          <w:sz w:val="24"/>
          <w:szCs w:val="24"/>
        </w:rPr>
        <w:t xml:space="preserve">i ka trajtuar koncesionet </w:t>
      </w:r>
      <w:r w:rsidR="00FB62C3" w:rsidRPr="009B6417">
        <w:rPr>
          <w:rFonts w:ascii="Times New Roman" w:hAnsi="Times New Roman" w:cs="Times New Roman"/>
          <w:sz w:val="24"/>
          <w:szCs w:val="24"/>
        </w:rPr>
        <w:t>me anë të ligjit nr.</w:t>
      </w:r>
      <w:r w:rsidR="002064BE" w:rsidRPr="009B6417">
        <w:rPr>
          <w:rFonts w:ascii="Times New Roman" w:hAnsi="Times New Roman" w:cs="Times New Roman"/>
          <w:sz w:val="24"/>
          <w:szCs w:val="24"/>
        </w:rPr>
        <w:t>7973, datë 26.7.1995 “</w:t>
      </w:r>
      <w:r w:rsidR="002064BE" w:rsidRPr="009B6417">
        <w:rPr>
          <w:rFonts w:ascii="Times New Roman" w:hAnsi="Times New Roman" w:cs="Times New Roman"/>
          <w:i/>
          <w:sz w:val="24"/>
          <w:szCs w:val="24"/>
        </w:rPr>
        <w:t>Për koncesionet dhe pjesëmarrjen e sektorit privat në shërbimet publike dhe infrastrukturë</w:t>
      </w:r>
      <w:r w:rsidR="002064BE" w:rsidRPr="009B6417">
        <w:rPr>
          <w:rFonts w:ascii="Times New Roman" w:hAnsi="Times New Roman" w:cs="Times New Roman"/>
          <w:sz w:val="24"/>
          <w:szCs w:val="24"/>
        </w:rPr>
        <w:t xml:space="preserve">”, </w:t>
      </w:r>
      <w:r w:rsidR="00BF27B2" w:rsidRPr="009B6417">
        <w:rPr>
          <w:rFonts w:ascii="Times New Roman" w:hAnsi="Times New Roman" w:cs="Times New Roman"/>
          <w:sz w:val="24"/>
          <w:szCs w:val="24"/>
        </w:rPr>
        <w:t xml:space="preserve">i cili  më pas është </w:t>
      </w:r>
      <w:r w:rsidR="007279A8" w:rsidRPr="009B6417">
        <w:rPr>
          <w:rFonts w:ascii="Times New Roman" w:hAnsi="Times New Roman" w:cs="Times New Roman"/>
          <w:sz w:val="24"/>
          <w:szCs w:val="24"/>
        </w:rPr>
        <w:t>zëvendësuar nga L</w:t>
      </w:r>
      <w:r w:rsidR="0022624E" w:rsidRPr="009B6417">
        <w:rPr>
          <w:rFonts w:ascii="Times New Roman" w:hAnsi="Times New Roman" w:cs="Times New Roman"/>
          <w:sz w:val="24"/>
          <w:szCs w:val="24"/>
        </w:rPr>
        <w:t>igji N</w:t>
      </w:r>
      <w:r w:rsidR="00FB62C3" w:rsidRPr="009B6417">
        <w:rPr>
          <w:rFonts w:ascii="Times New Roman" w:hAnsi="Times New Roman" w:cs="Times New Roman"/>
          <w:sz w:val="24"/>
          <w:szCs w:val="24"/>
        </w:rPr>
        <w:t xml:space="preserve">r. </w:t>
      </w:r>
      <w:r w:rsidR="002064BE" w:rsidRPr="009B6417">
        <w:rPr>
          <w:rFonts w:ascii="Times New Roman" w:hAnsi="Times New Roman" w:cs="Times New Roman"/>
          <w:sz w:val="24"/>
          <w:szCs w:val="24"/>
        </w:rPr>
        <w:t>9663, datë 18.12.2006, “</w:t>
      </w:r>
      <w:r w:rsidR="002064BE" w:rsidRPr="009B6417">
        <w:rPr>
          <w:rFonts w:ascii="Times New Roman" w:hAnsi="Times New Roman" w:cs="Times New Roman"/>
          <w:i/>
          <w:sz w:val="24"/>
          <w:szCs w:val="24"/>
        </w:rPr>
        <w:t>Për Koncesionet</w:t>
      </w:r>
      <w:r w:rsidR="002064BE" w:rsidRPr="009B6417">
        <w:rPr>
          <w:rFonts w:ascii="Times New Roman" w:hAnsi="Times New Roman" w:cs="Times New Roman"/>
          <w:sz w:val="24"/>
          <w:szCs w:val="24"/>
        </w:rPr>
        <w:t xml:space="preserve">”. Përgjatë viteve të fundit, bazuar edhe </w:t>
      </w:r>
      <w:r w:rsidR="00FB62C3" w:rsidRPr="009B6417">
        <w:rPr>
          <w:rFonts w:ascii="Times New Roman" w:hAnsi="Times New Roman" w:cs="Times New Roman"/>
          <w:sz w:val="24"/>
          <w:szCs w:val="24"/>
        </w:rPr>
        <w:t xml:space="preserve">në </w:t>
      </w:r>
      <w:r w:rsidR="002064BE" w:rsidRPr="009B6417">
        <w:rPr>
          <w:rFonts w:ascii="Times New Roman" w:hAnsi="Times New Roman" w:cs="Times New Roman"/>
          <w:sz w:val="24"/>
          <w:szCs w:val="24"/>
        </w:rPr>
        <w:t>praktikat e biznesit si edhe n</w:t>
      </w:r>
      <w:r w:rsidR="007279A8" w:rsidRPr="009B6417">
        <w:rPr>
          <w:rFonts w:ascii="Times New Roman" w:hAnsi="Times New Roman" w:cs="Times New Roman"/>
          <w:sz w:val="24"/>
          <w:szCs w:val="24"/>
        </w:rPr>
        <w:t>ë përshtatje të legjislacionit dhe qasjes nd</w:t>
      </w:r>
      <w:r w:rsidR="00B761DA" w:rsidRPr="009B6417">
        <w:rPr>
          <w:rFonts w:ascii="Times New Roman" w:hAnsi="Times New Roman" w:cs="Times New Roman"/>
          <w:sz w:val="24"/>
          <w:szCs w:val="24"/>
        </w:rPr>
        <w:t>ë</w:t>
      </w:r>
      <w:r w:rsidR="007279A8" w:rsidRPr="009B6417">
        <w:rPr>
          <w:rFonts w:ascii="Times New Roman" w:hAnsi="Times New Roman" w:cs="Times New Roman"/>
          <w:sz w:val="24"/>
          <w:szCs w:val="24"/>
        </w:rPr>
        <w:t>rkomb</w:t>
      </w:r>
      <w:r w:rsidR="00B761DA" w:rsidRPr="009B6417">
        <w:rPr>
          <w:rFonts w:ascii="Times New Roman" w:hAnsi="Times New Roman" w:cs="Times New Roman"/>
          <w:sz w:val="24"/>
          <w:szCs w:val="24"/>
        </w:rPr>
        <w:t>ë</w:t>
      </w:r>
      <w:r w:rsidR="007279A8" w:rsidRPr="009B6417">
        <w:rPr>
          <w:rFonts w:ascii="Times New Roman" w:hAnsi="Times New Roman" w:cs="Times New Roman"/>
          <w:sz w:val="24"/>
          <w:szCs w:val="24"/>
        </w:rPr>
        <w:t xml:space="preserve">tare mbi koncesionet dhe partneritetin publik privat </w:t>
      </w:r>
      <w:r w:rsidR="002064BE" w:rsidRPr="009B6417">
        <w:rPr>
          <w:rFonts w:ascii="Times New Roman" w:hAnsi="Times New Roman" w:cs="Times New Roman"/>
          <w:sz w:val="24"/>
          <w:szCs w:val="24"/>
        </w:rPr>
        <w:t xml:space="preserve">është miratuar një koncept më i gjerë i </w:t>
      </w:r>
      <w:r w:rsidR="007279A8" w:rsidRPr="009B6417">
        <w:rPr>
          <w:rFonts w:ascii="Times New Roman" w:hAnsi="Times New Roman" w:cs="Times New Roman"/>
          <w:sz w:val="24"/>
          <w:szCs w:val="24"/>
        </w:rPr>
        <w:t>koncesioneve duke futur edhe p</w:t>
      </w:r>
      <w:r w:rsidR="00B761DA" w:rsidRPr="009B6417">
        <w:rPr>
          <w:rFonts w:ascii="Times New Roman" w:hAnsi="Times New Roman" w:cs="Times New Roman"/>
          <w:sz w:val="24"/>
          <w:szCs w:val="24"/>
        </w:rPr>
        <w:t>ë</w:t>
      </w:r>
      <w:r w:rsidR="007279A8" w:rsidRPr="009B6417">
        <w:rPr>
          <w:rFonts w:ascii="Times New Roman" w:hAnsi="Times New Roman" w:cs="Times New Roman"/>
          <w:sz w:val="24"/>
          <w:szCs w:val="24"/>
        </w:rPr>
        <w:t>rkufiz</w:t>
      </w:r>
      <w:r w:rsidR="0096147A" w:rsidRPr="009B6417">
        <w:rPr>
          <w:rFonts w:ascii="Times New Roman" w:hAnsi="Times New Roman" w:cs="Times New Roman"/>
          <w:sz w:val="24"/>
          <w:szCs w:val="24"/>
        </w:rPr>
        <w:t>i</w:t>
      </w:r>
      <w:r w:rsidR="007279A8" w:rsidRPr="009B6417">
        <w:rPr>
          <w:rFonts w:ascii="Times New Roman" w:hAnsi="Times New Roman" w:cs="Times New Roman"/>
          <w:sz w:val="24"/>
          <w:szCs w:val="24"/>
        </w:rPr>
        <w:t xml:space="preserve">min e </w:t>
      </w:r>
      <w:r w:rsidR="002064BE" w:rsidRPr="009B6417">
        <w:rPr>
          <w:rFonts w:ascii="Times New Roman" w:hAnsi="Times New Roman" w:cs="Times New Roman"/>
          <w:sz w:val="24"/>
          <w:szCs w:val="24"/>
        </w:rPr>
        <w:t>partneritetit publik privat, i përcaktuar tashmë edhe në dispozitat ligjore të ligjit aktual që rreg</w:t>
      </w:r>
      <w:r w:rsidR="007279A8" w:rsidRPr="009B6417">
        <w:rPr>
          <w:rFonts w:ascii="Times New Roman" w:hAnsi="Times New Roman" w:cs="Times New Roman"/>
          <w:sz w:val="24"/>
          <w:szCs w:val="24"/>
        </w:rPr>
        <w:t>ullon këtë fushë, përkatësisht L</w:t>
      </w:r>
      <w:r w:rsidR="0022624E" w:rsidRPr="009B6417">
        <w:rPr>
          <w:rFonts w:ascii="Times New Roman" w:hAnsi="Times New Roman" w:cs="Times New Roman"/>
          <w:sz w:val="24"/>
          <w:szCs w:val="24"/>
        </w:rPr>
        <w:t>igji N</w:t>
      </w:r>
      <w:r w:rsidR="002064BE" w:rsidRPr="009B6417">
        <w:rPr>
          <w:rFonts w:ascii="Times New Roman" w:hAnsi="Times New Roman" w:cs="Times New Roman"/>
          <w:sz w:val="24"/>
          <w:szCs w:val="24"/>
        </w:rPr>
        <w:t xml:space="preserve">r. 125/2013, </w:t>
      </w:r>
      <w:r w:rsidR="002064BE" w:rsidRPr="009B6417">
        <w:rPr>
          <w:rFonts w:ascii="Times New Roman" w:hAnsi="Times New Roman" w:cs="Times New Roman"/>
          <w:i/>
          <w:sz w:val="24"/>
          <w:szCs w:val="24"/>
        </w:rPr>
        <w:t>“Për koncesionet dhe partneritetin publik privat</w:t>
      </w:r>
      <w:r w:rsidR="00FB62C3" w:rsidRPr="009B6417">
        <w:rPr>
          <w:rFonts w:ascii="Times New Roman" w:hAnsi="Times New Roman" w:cs="Times New Roman"/>
          <w:sz w:val="24"/>
          <w:szCs w:val="24"/>
        </w:rPr>
        <w:t>”</w:t>
      </w:r>
      <w:r w:rsidR="002064BE" w:rsidRPr="009B6417">
        <w:rPr>
          <w:rStyle w:val="FootnoteReference"/>
          <w:rFonts w:ascii="Times New Roman" w:hAnsi="Times New Roman" w:cs="Times New Roman"/>
          <w:sz w:val="24"/>
          <w:szCs w:val="24"/>
        </w:rPr>
        <w:footnoteReference w:id="6"/>
      </w:r>
      <w:r w:rsidR="002064BE" w:rsidRPr="009B6417">
        <w:rPr>
          <w:rFonts w:ascii="Times New Roman" w:hAnsi="Times New Roman" w:cs="Times New Roman"/>
          <w:sz w:val="24"/>
          <w:szCs w:val="24"/>
        </w:rPr>
        <w:t xml:space="preserve"> </w:t>
      </w:r>
      <w:r w:rsidR="00314A7D" w:rsidRPr="009B6417">
        <w:rPr>
          <w:rFonts w:ascii="Times New Roman" w:hAnsi="Times New Roman" w:cs="Times New Roman"/>
          <w:sz w:val="24"/>
          <w:szCs w:val="24"/>
        </w:rPr>
        <w:t>i ndryshuar.</w:t>
      </w:r>
    </w:p>
    <w:p w14:paraId="24B28D88" w14:textId="77777777" w:rsidR="009E44FB" w:rsidRPr="009B6417" w:rsidRDefault="00AF185D" w:rsidP="009E44FB">
      <w:pPr>
        <w:tabs>
          <w:tab w:val="left" w:pos="3553"/>
        </w:tabs>
        <w:spacing w:after="0"/>
        <w:ind w:right="-75"/>
        <w:jc w:val="both"/>
        <w:rPr>
          <w:rFonts w:ascii="Times New Roman" w:hAnsi="Times New Roman" w:cs="Times New Roman"/>
          <w:sz w:val="24"/>
          <w:szCs w:val="24"/>
        </w:rPr>
      </w:pPr>
      <w:r w:rsidRPr="009B6417">
        <w:rPr>
          <w:rFonts w:ascii="Times New Roman" w:hAnsi="Times New Roman" w:cs="Times New Roman"/>
          <w:sz w:val="24"/>
          <w:szCs w:val="24"/>
        </w:rPr>
        <w:t xml:space="preserve">Së fundmi, </w:t>
      </w:r>
      <w:r w:rsidR="007279A8" w:rsidRPr="009B6417">
        <w:rPr>
          <w:rFonts w:ascii="Times New Roman" w:hAnsi="Times New Roman" w:cs="Times New Roman"/>
          <w:sz w:val="24"/>
          <w:szCs w:val="24"/>
        </w:rPr>
        <w:t>ky ligj ka p</w:t>
      </w:r>
      <w:r w:rsidR="00B761DA" w:rsidRPr="009B6417">
        <w:rPr>
          <w:rFonts w:ascii="Times New Roman" w:hAnsi="Times New Roman" w:cs="Times New Roman"/>
          <w:sz w:val="24"/>
          <w:szCs w:val="24"/>
        </w:rPr>
        <w:t>ë</w:t>
      </w:r>
      <w:r w:rsidR="007279A8" w:rsidRPr="009B6417">
        <w:rPr>
          <w:rFonts w:ascii="Times New Roman" w:hAnsi="Times New Roman" w:cs="Times New Roman"/>
          <w:sz w:val="24"/>
          <w:szCs w:val="24"/>
        </w:rPr>
        <w:t>suar disa ndryshime n</w:t>
      </w:r>
      <w:r w:rsidR="00B761DA" w:rsidRPr="009B6417">
        <w:rPr>
          <w:rFonts w:ascii="Times New Roman" w:hAnsi="Times New Roman" w:cs="Times New Roman"/>
          <w:sz w:val="24"/>
          <w:szCs w:val="24"/>
        </w:rPr>
        <w:t>ë</w:t>
      </w:r>
      <w:r w:rsidR="007279A8" w:rsidRPr="009B6417">
        <w:rPr>
          <w:rFonts w:ascii="Times New Roman" w:hAnsi="Times New Roman" w:cs="Times New Roman"/>
          <w:sz w:val="24"/>
          <w:szCs w:val="24"/>
        </w:rPr>
        <w:t>p</w:t>
      </w:r>
      <w:r w:rsidR="00B761DA" w:rsidRPr="009B6417">
        <w:rPr>
          <w:rFonts w:ascii="Times New Roman" w:hAnsi="Times New Roman" w:cs="Times New Roman"/>
          <w:sz w:val="24"/>
          <w:szCs w:val="24"/>
        </w:rPr>
        <w:t>ë</w:t>
      </w:r>
      <w:r w:rsidR="007279A8" w:rsidRPr="009B6417">
        <w:rPr>
          <w:rFonts w:ascii="Times New Roman" w:hAnsi="Times New Roman" w:cs="Times New Roman"/>
          <w:sz w:val="24"/>
          <w:szCs w:val="24"/>
        </w:rPr>
        <w:t xml:space="preserve">rmjet Ligjit </w:t>
      </w:r>
      <w:r w:rsidR="0022624E" w:rsidRPr="009B6417">
        <w:rPr>
          <w:rFonts w:ascii="Times New Roman" w:hAnsi="Times New Roman" w:cs="Times New Roman"/>
          <w:sz w:val="24"/>
          <w:szCs w:val="24"/>
        </w:rPr>
        <w:t>N</w:t>
      </w:r>
      <w:r w:rsidR="00F140B0" w:rsidRPr="009B6417">
        <w:rPr>
          <w:rFonts w:ascii="Times New Roman" w:hAnsi="Times New Roman" w:cs="Times New Roman"/>
          <w:sz w:val="24"/>
          <w:szCs w:val="24"/>
        </w:rPr>
        <w:t xml:space="preserve">r.50 datë 18.07.2019  “Për disa </w:t>
      </w:r>
      <w:r w:rsidR="0022624E" w:rsidRPr="009B6417">
        <w:rPr>
          <w:rFonts w:ascii="Times New Roman" w:hAnsi="Times New Roman" w:cs="Times New Roman"/>
          <w:sz w:val="24"/>
          <w:szCs w:val="24"/>
        </w:rPr>
        <w:t>shtesa dhe ndryshime në Ligjin N</w:t>
      </w:r>
      <w:r w:rsidR="00F140B0" w:rsidRPr="009B6417">
        <w:rPr>
          <w:rFonts w:ascii="Times New Roman" w:hAnsi="Times New Roman" w:cs="Times New Roman"/>
          <w:sz w:val="24"/>
          <w:szCs w:val="24"/>
        </w:rPr>
        <w:t>r. 125/2013 “</w:t>
      </w:r>
      <w:r w:rsidR="00F140B0" w:rsidRPr="009B6417">
        <w:rPr>
          <w:rFonts w:ascii="Times New Roman" w:hAnsi="Times New Roman" w:cs="Times New Roman"/>
          <w:i/>
          <w:sz w:val="24"/>
          <w:szCs w:val="24"/>
        </w:rPr>
        <w:t>Për koncesionet dhe partneritetin publik privat</w:t>
      </w:r>
      <w:r w:rsidR="0022624E" w:rsidRPr="009B6417">
        <w:rPr>
          <w:rFonts w:ascii="Times New Roman" w:hAnsi="Times New Roman" w:cs="Times New Roman"/>
          <w:sz w:val="24"/>
          <w:szCs w:val="24"/>
        </w:rPr>
        <w:t xml:space="preserve">” i  botuar </w:t>
      </w:r>
      <w:r w:rsidR="00F140B0" w:rsidRPr="009B6417">
        <w:rPr>
          <w:rFonts w:ascii="Times New Roman" w:hAnsi="Times New Roman" w:cs="Times New Roman"/>
          <w:sz w:val="24"/>
          <w:szCs w:val="24"/>
        </w:rPr>
        <w:t xml:space="preserve"> </w:t>
      </w:r>
      <w:r w:rsidRPr="009B6417">
        <w:rPr>
          <w:rFonts w:ascii="Times New Roman" w:hAnsi="Times New Roman" w:cs="Times New Roman"/>
          <w:sz w:val="24"/>
          <w:szCs w:val="24"/>
        </w:rPr>
        <w:t>n</w:t>
      </w:r>
      <w:r w:rsidR="007279A8" w:rsidRPr="009B6417">
        <w:rPr>
          <w:rFonts w:ascii="Times New Roman" w:hAnsi="Times New Roman" w:cs="Times New Roman"/>
          <w:sz w:val="24"/>
          <w:szCs w:val="24"/>
        </w:rPr>
        <w:t>ë</w:t>
      </w:r>
      <w:r w:rsidR="0022624E" w:rsidRPr="009B6417">
        <w:rPr>
          <w:rFonts w:ascii="Times New Roman" w:hAnsi="Times New Roman" w:cs="Times New Roman"/>
          <w:sz w:val="24"/>
          <w:szCs w:val="24"/>
        </w:rPr>
        <w:t xml:space="preserve"> Fletoren Zyrtare N</w:t>
      </w:r>
      <w:r w:rsidR="00F140B0" w:rsidRPr="009B6417">
        <w:rPr>
          <w:rFonts w:ascii="Times New Roman" w:hAnsi="Times New Roman" w:cs="Times New Roman"/>
          <w:sz w:val="24"/>
          <w:szCs w:val="24"/>
        </w:rPr>
        <w:t xml:space="preserve">r. </w:t>
      </w:r>
      <w:r w:rsidRPr="009B6417">
        <w:rPr>
          <w:rFonts w:ascii="Times New Roman" w:hAnsi="Times New Roman" w:cs="Times New Roman"/>
          <w:sz w:val="24"/>
          <w:szCs w:val="24"/>
        </w:rPr>
        <w:t xml:space="preserve">126 </w:t>
      </w:r>
      <w:r w:rsidR="00F140B0" w:rsidRPr="009B6417">
        <w:rPr>
          <w:rFonts w:ascii="Times New Roman" w:hAnsi="Times New Roman" w:cs="Times New Roman"/>
          <w:sz w:val="24"/>
          <w:szCs w:val="24"/>
        </w:rPr>
        <w:t>dat</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 13.09.2019</w:t>
      </w:r>
      <w:r w:rsidRPr="009B6417">
        <w:rPr>
          <w:rFonts w:ascii="Times New Roman" w:hAnsi="Times New Roman" w:cs="Times New Roman"/>
          <w:sz w:val="24"/>
          <w:szCs w:val="24"/>
        </w:rPr>
        <w:t xml:space="preserve">. </w:t>
      </w:r>
    </w:p>
    <w:p w14:paraId="70EC57D8" w14:textId="77777777" w:rsidR="005C0E0B" w:rsidRPr="009B6417" w:rsidRDefault="00AF185D" w:rsidP="009E44FB">
      <w:pPr>
        <w:tabs>
          <w:tab w:val="left" w:pos="3553"/>
        </w:tabs>
        <w:spacing w:after="0"/>
        <w:ind w:right="-75"/>
        <w:jc w:val="both"/>
        <w:rPr>
          <w:rFonts w:ascii="Times New Roman" w:hAnsi="Times New Roman" w:cs="Times New Roman"/>
          <w:sz w:val="24"/>
          <w:szCs w:val="24"/>
        </w:rPr>
      </w:pPr>
      <w:r w:rsidRPr="009B6417">
        <w:rPr>
          <w:rFonts w:ascii="Times New Roman" w:hAnsi="Times New Roman" w:cs="Times New Roman"/>
          <w:sz w:val="24"/>
          <w:szCs w:val="24"/>
        </w:rPr>
        <w:t>N</w:t>
      </w:r>
      <w:r w:rsidR="007279A8" w:rsidRPr="009B6417">
        <w:rPr>
          <w:rFonts w:ascii="Times New Roman" w:hAnsi="Times New Roman" w:cs="Times New Roman"/>
          <w:sz w:val="24"/>
          <w:szCs w:val="24"/>
        </w:rPr>
        <w:t>ë</w:t>
      </w:r>
      <w:r w:rsidRPr="009B6417">
        <w:rPr>
          <w:rFonts w:ascii="Times New Roman" w:hAnsi="Times New Roman" w:cs="Times New Roman"/>
          <w:sz w:val="24"/>
          <w:szCs w:val="24"/>
        </w:rPr>
        <w:t xml:space="preserve"> parashikimet e reja është përforcuar roli i MFE</w:t>
      </w:r>
      <w:r w:rsidR="009E44FB" w:rsidRPr="009B6417">
        <w:rPr>
          <w:rFonts w:ascii="Times New Roman" w:hAnsi="Times New Roman" w:cs="Times New Roman"/>
          <w:sz w:val="24"/>
          <w:szCs w:val="24"/>
        </w:rPr>
        <w:t>-së</w:t>
      </w:r>
      <w:r w:rsidRPr="009B6417">
        <w:rPr>
          <w:rFonts w:ascii="Times New Roman" w:hAnsi="Times New Roman" w:cs="Times New Roman"/>
          <w:sz w:val="24"/>
          <w:szCs w:val="24"/>
        </w:rPr>
        <w:t xml:space="preserve"> n</w:t>
      </w:r>
      <w:r w:rsidR="007279A8" w:rsidRPr="009B6417">
        <w:rPr>
          <w:rFonts w:ascii="Times New Roman" w:hAnsi="Times New Roman" w:cs="Times New Roman"/>
          <w:sz w:val="24"/>
          <w:szCs w:val="24"/>
        </w:rPr>
        <w:t>ë</w:t>
      </w:r>
      <w:r w:rsidRPr="009B6417">
        <w:rPr>
          <w:rFonts w:ascii="Times New Roman" w:hAnsi="Times New Roman" w:cs="Times New Roman"/>
          <w:sz w:val="24"/>
          <w:szCs w:val="24"/>
        </w:rPr>
        <w:t>p</w:t>
      </w:r>
      <w:r w:rsidR="007279A8" w:rsidRPr="009B6417">
        <w:rPr>
          <w:rFonts w:ascii="Times New Roman" w:hAnsi="Times New Roman" w:cs="Times New Roman"/>
          <w:sz w:val="24"/>
          <w:szCs w:val="24"/>
        </w:rPr>
        <w:t>ë</w:t>
      </w:r>
      <w:r w:rsidRPr="009B6417">
        <w:rPr>
          <w:rFonts w:ascii="Times New Roman" w:hAnsi="Times New Roman" w:cs="Times New Roman"/>
          <w:sz w:val="24"/>
          <w:szCs w:val="24"/>
        </w:rPr>
        <w:t>rmjet miratimit p</w:t>
      </w:r>
      <w:r w:rsidR="007279A8" w:rsidRPr="009B6417">
        <w:rPr>
          <w:rFonts w:ascii="Times New Roman" w:hAnsi="Times New Roman" w:cs="Times New Roman"/>
          <w:sz w:val="24"/>
          <w:szCs w:val="24"/>
        </w:rPr>
        <w:t>ë</w:t>
      </w:r>
      <w:r w:rsidRPr="009B6417">
        <w:rPr>
          <w:rFonts w:ascii="Times New Roman" w:hAnsi="Times New Roman" w:cs="Times New Roman"/>
          <w:sz w:val="24"/>
          <w:szCs w:val="24"/>
        </w:rPr>
        <w:t>rfundimtar p</w:t>
      </w:r>
      <w:r w:rsidR="007279A8" w:rsidRPr="009B6417">
        <w:rPr>
          <w:rFonts w:ascii="Times New Roman" w:hAnsi="Times New Roman" w:cs="Times New Roman"/>
          <w:sz w:val="24"/>
          <w:szCs w:val="24"/>
        </w:rPr>
        <w:t>ë</w:t>
      </w:r>
      <w:r w:rsidRPr="009B6417">
        <w:rPr>
          <w:rFonts w:ascii="Times New Roman" w:hAnsi="Times New Roman" w:cs="Times New Roman"/>
          <w:sz w:val="24"/>
          <w:szCs w:val="24"/>
        </w:rPr>
        <w:t>rpara n</w:t>
      </w:r>
      <w:r w:rsidR="007279A8" w:rsidRPr="009B6417">
        <w:rPr>
          <w:rFonts w:ascii="Times New Roman" w:hAnsi="Times New Roman" w:cs="Times New Roman"/>
          <w:sz w:val="24"/>
          <w:szCs w:val="24"/>
        </w:rPr>
        <w:t>ë</w:t>
      </w:r>
      <w:r w:rsidRPr="009B6417">
        <w:rPr>
          <w:rFonts w:ascii="Times New Roman" w:hAnsi="Times New Roman" w:cs="Times New Roman"/>
          <w:sz w:val="24"/>
          <w:szCs w:val="24"/>
        </w:rPr>
        <w:t>nshkrimit t</w:t>
      </w:r>
      <w:r w:rsidR="007279A8" w:rsidRPr="009B6417">
        <w:rPr>
          <w:rFonts w:ascii="Times New Roman" w:hAnsi="Times New Roman" w:cs="Times New Roman"/>
          <w:sz w:val="24"/>
          <w:szCs w:val="24"/>
        </w:rPr>
        <w:t>ë</w:t>
      </w:r>
      <w:r w:rsidRPr="009B6417">
        <w:rPr>
          <w:rFonts w:ascii="Times New Roman" w:hAnsi="Times New Roman" w:cs="Times New Roman"/>
          <w:sz w:val="24"/>
          <w:szCs w:val="24"/>
        </w:rPr>
        <w:t xml:space="preserve"> draft kontrat</w:t>
      </w:r>
      <w:r w:rsidR="007279A8" w:rsidRPr="009B6417">
        <w:rPr>
          <w:rFonts w:ascii="Times New Roman" w:hAnsi="Times New Roman" w:cs="Times New Roman"/>
          <w:sz w:val="24"/>
          <w:szCs w:val="24"/>
        </w:rPr>
        <w:t>ë</w:t>
      </w:r>
      <w:r w:rsidRPr="009B6417">
        <w:rPr>
          <w:rFonts w:ascii="Times New Roman" w:hAnsi="Times New Roman" w:cs="Times New Roman"/>
          <w:sz w:val="24"/>
          <w:szCs w:val="24"/>
        </w:rPr>
        <w:t xml:space="preserve">s </w:t>
      </w:r>
      <w:r w:rsidR="00FB62C3" w:rsidRPr="009B6417">
        <w:rPr>
          <w:rFonts w:ascii="Times New Roman" w:hAnsi="Times New Roman" w:cs="Times New Roman"/>
          <w:sz w:val="24"/>
          <w:szCs w:val="24"/>
        </w:rPr>
        <w:t>s</w:t>
      </w:r>
      <w:r w:rsidR="007279A8" w:rsidRPr="009B6417">
        <w:rPr>
          <w:rFonts w:ascii="Times New Roman" w:hAnsi="Times New Roman" w:cs="Times New Roman"/>
          <w:sz w:val="24"/>
          <w:szCs w:val="24"/>
        </w:rPr>
        <w:t>ë</w:t>
      </w:r>
      <w:r w:rsidRPr="009B6417">
        <w:rPr>
          <w:rFonts w:ascii="Times New Roman" w:hAnsi="Times New Roman" w:cs="Times New Roman"/>
          <w:sz w:val="24"/>
          <w:szCs w:val="24"/>
        </w:rPr>
        <w:t xml:space="preserve"> negociuar, </w:t>
      </w:r>
      <w:r w:rsidR="00F140B0" w:rsidRPr="009B6417">
        <w:rPr>
          <w:rFonts w:ascii="Times New Roman" w:hAnsi="Times New Roman" w:cs="Times New Roman"/>
          <w:sz w:val="24"/>
          <w:szCs w:val="24"/>
        </w:rPr>
        <w:t>kontrollit t</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 ecurisë dhe zbatimit t</w:t>
      </w:r>
      <w:r w:rsidR="00B761DA" w:rsidRPr="009B6417">
        <w:rPr>
          <w:rFonts w:ascii="Times New Roman" w:hAnsi="Times New Roman" w:cs="Times New Roman"/>
          <w:sz w:val="24"/>
          <w:szCs w:val="24"/>
        </w:rPr>
        <w:t>ë</w:t>
      </w:r>
      <w:r w:rsidR="002064BE" w:rsidRPr="009B6417">
        <w:rPr>
          <w:rFonts w:ascii="Times New Roman" w:hAnsi="Times New Roman" w:cs="Times New Roman"/>
          <w:sz w:val="24"/>
          <w:szCs w:val="24"/>
        </w:rPr>
        <w:t xml:space="preserve"> të gjitha kontratave koncesionare</w:t>
      </w:r>
      <w:r w:rsidR="00F140B0" w:rsidRPr="009B6417">
        <w:rPr>
          <w:rFonts w:ascii="Times New Roman" w:hAnsi="Times New Roman" w:cs="Times New Roman"/>
          <w:sz w:val="24"/>
          <w:szCs w:val="24"/>
        </w:rPr>
        <w:t xml:space="preserve"> në R.Sh., me q</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llim monitorimin e </w:t>
      </w:r>
      <w:r w:rsidR="002064BE" w:rsidRPr="009B6417">
        <w:rPr>
          <w:rFonts w:ascii="Times New Roman" w:hAnsi="Times New Roman" w:cs="Times New Roman"/>
          <w:sz w:val="24"/>
          <w:szCs w:val="24"/>
        </w:rPr>
        <w:t xml:space="preserve">vazhdueshëm të risqeve që mund t’i vijnë buxhetit të shtetit nga këto kontrata. </w:t>
      </w:r>
      <w:r w:rsidR="009E44FB" w:rsidRPr="009B6417">
        <w:rPr>
          <w:rFonts w:ascii="Times New Roman" w:hAnsi="Times New Roman" w:cs="Times New Roman"/>
          <w:sz w:val="24"/>
          <w:szCs w:val="24"/>
        </w:rPr>
        <w:t>Gjithashtu,</w:t>
      </w:r>
      <w:r w:rsidR="00F140B0" w:rsidRPr="009B6417">
        <w:rPr>
          <w:rFonts w:ascii="Times New Roman" w:hAnsi="Times New Roman" w:cs="Times New Roman"/>
          <w:sz w:val="24"/>
          <w:szCs w:val="24"/>
        </w:rPr>
        <w:t xml:space="preserve"> n</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 k</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to ndryshime </w:t>
      </w:r>
      <w:r w:rsidR="002064BE" w:rsidRPr="009B6417">
        <w:rPr>
          <w:rFonts w:ascii="Times New Roman" w:hAnsi="Times New Roman" w:cs="Times New Roman"/>
          <w:sz w:val="24"/>
          <w:szCs w:val="24"/>
        </w:rPr>
        <w:t xml:space="preserve">është parashikuar se Autoritetet Kontraktuese </w:t>
      </w:r>
      <w:r w:rsidR="0000732D">
        <w:rPr>
          <w:rFonts w:ascii="Times New Roman" w:hAnsi="Times New Roman" w:cs="Times New Roman"/>
          <w:sz w:val="24"/>
          <w:szCs w:val="24"/>
        </w:rPr>
        <w:t xml:space="preserve">i </w:t>
      </w:r>
      <w:r w:rsidR="002064BE" w:rsidRPr="009B6417">
        <w:rPr>
          <w:rFonts w:ascii="Times New Roman" w:hAnsi="Times New Roman" w:cs="Times New Roman"/>
          <w:sz w:val="24"/>
          <w:szCs w:val="24"/>
        </w:rPr>
        <w:t>paraqesin, sa herë që kërkohet, por</w:t>
      </w:r>
      <w:r w:rsidR="0000732D">
        <w:rPr>
          <w:rFonts w:ascii="Times New Roman" w:hAnsi="Times New Roman" w:cs="Times New Roman"/>
          <w:sz w:val="24"/>
          <w:szCs w:val="24"/>
        </w:rPr>
        <w:t xml:space="preserve"> jo më pak se tri herë në vit, M</w:t>
      </w:r>
      <w:r w:rsidR="002064BE" w:rsidRPr="009B6417">
        <w:rPr>
          <w:rFonts w:ascii="Times New Roman" w:hAnsi="Times New Roman" w:cs="Times New Roman"/>
          <w:sz w:val="24"/>
          <w:szCs w:val="24"/>
        </w:rPr>
        <w:t>inistrit përgjegjës për financat, raporte të përmbledhura të monitorimit të zbatimit të kontratave të koncesionit/PPP me argumentet dhe shpjegimet përkat</w:t>
      </w:r>
      <w:r w:rsidR="00AC45D3" w:rsidRPr="009B6417">
        <w:rPr>
          <w:rFonts w:ascii="Times New Roman" w:hAnsi="Times New Roman" w:cs="Times New Roman"/>
          <w:sz w:val="24"/>
          <w:szCs w:val="24"/>
        </w:rPr>
        <w:t>ëse. Ministria përgjegjëse për F</w:t>
      </w:r>
      <w:r w:rsidR="002064BE" w:rsidRPr="009B6417">
        <w:rPr>
          <w:rFonts w:ascii="Times New Roman" w:hAnsi="Times New Roman" w:cs="Times New Roman"/>
          <w:sz w:val="24"/>
          <w:szCs w:val="24"/>
        </w:rPr>
        <w:t xml:space="preserve">inancat mund t’iu rekomandojë autoriteteve kontraktuese marrjen e masave për përmirësimin e performancës në ofrimin e shërbimeve dhe punëve publike, objekt i këtyre kontratave, si dhe për minimizimin apo eliminimin e risqeve të drejtpërdrejta e të tërthorta që </w:t>
      </w:r>
      <w:r w:rsidR="003B2DDA" w:rsidRPr="009B6417">
        <w:rPr>
          <w:rFonts w:ascii="Times New Roman" w:hAnsi="Times New Roman" w:cs="Times New Roman"/>
          <w:sz w:val="24"/>
          <w:szCs w:val="24"/>
        </w:rPr>
        <w:t>ndikojnë në buxhetin e shtetit.</w:t>
      </w:r>
      <w:r w:rsidR="00631E0E" w:rsidRPr="009B6417">
        <w:rPr>
          <w:rFonts w:ascii="Times New Roman" w:hAnsi="Times New Roman" w:cs="Times New Roman"/>
          <w:sz w:val="24"/>
          <w:szCs w:val="24"/>
        </w:rPr>
        <w:t xml:space="preserve"> </w:t>
      </w:r>
      <w:r w:rsidR="002064BE" w:rsidRPr="009B6417">
        <w:rPr>
          <w:rFonts w:ascii="Times New Roman" w:hAnsi="Times New Roman" w:cs="Times New Roman"/>
          <w:sz w:val="24"/>
          <w:szCs w:val="24"/>
        </w:rPr>
        <w:t>Legjislacioni mbi koncesionet dhe PPP, zbatohet së pari nga autoritetet kontraktuese, të cilat konsiderohen ato organe të cilave legjislacioni u jep kompetencën për të ndërmarrë dhe zbatuar procedura për dhënien e koncesioneve dhe partneriteteve publike private. Në bazë të kuadrit ligjor ekzistues, autoritete</w:t>
      </w:r>
      <w:r w:rsidR="0022624E" w:rsidRPr="009B6417">
        <w:rPr>
          <w:rFonts w:ascii="Times New Roman" w:hAnsi="Times New Roman" w:cs="Times New Roman"/>
          <w:sz w:val="24"/>
          <w:szCs w:val="24"/>
        </w:rPr>
        <w:t>t</w:t>
      </w:r>
      <w:r w:rsidR="002064BE" w:rsidRPr="009B6417">
        <w:rPr>
          <w:rFonts w:ascii="Times New Roman" w:hAnsi="Times New Roman" w:cs="Times New Roman"/>
          <w:sz w:val="24"/>
          <w:szCs w:val="24"/>
        </w:rPr>
        <w:t xml:space="preserve"> kontraktuese konsiderohen ministritë e linjës të qeverisjes qendrore dhe njësitë e vetëqeverisjes vendore.</w:t>
      </w:r>
    </w:p>
    <w:p w14:paraId="35F2F793" w14:textId="77777777" w:rsidR="00BF27B2" w:rsidRPr="009B6417" w:rsidRDefault="002064BE" w:rsidP="0085675F">
      <w:pPr>
        <w:pStyle w:val="Heading2"/>
        <w:numPr>
          <w:ilvl w:val="1"/>
          <w:numId w:val="17"/>
        </w:numPr>
        <w:rPr>
          <w:rFonts w:ascii="Times New Roman" w:hAnsi="Times New Roman" w:cs="Times New Roman"/>
          <w:b/>
          <w:sz w:val="24"/>
          <w:szCs w:val="24"/>
        </w:rPr>
      </w:pPr>
      <w:bookmarkStart w:id="8" w:name="_Toc37196687"/>
      <w:r w:rsidRPr="009B6417">
        <w:rPr>
          <w:rFonts w:ascii="Times New Roman" w:hAnsi="Times New Roman" w:cs="Times New Roman"/>
          <w:b/>
          <w:sz w:val="24"/>
          <w:szCs w:val="24"/>
        </w:rPr>
        <w:lastRenderedPageBreak/>
        <w:t>Ecuria e projekteve Koncesion/PPP në Shqipëri.</w:t>
      </w:r>
      <w:bookmarkEnd w:id="8"/>
    </w:p>
    <w:p w14:paraId="451090DA" w14:textId="77777777" w:rsidR="0022624E" w:rsidRPr="009B6417" w:rsidRDefault="002064BE" w:rsidP="009E44FB">
      <w:pPr>
        <w:tabs>
          <w:tab w:val="left" w:pos="3553"/>
        </w:tabs>
        <w:spacing w:after="0"/>
        <w:ind w:right="-75"/>
        <w:jc w:val="both"/>
        <w:rPr>
          <w:rFonts w:ascii="Times New Roman" w:hAnsi="Times New Roman" w:cs="Times New Roman"/>
          <w:sz w:val="24"/>
          <w:szCs w:val="24"/>
        </w:rPr>
      </w:pPr>
      <w:r w:rsidRPr="009B6417">
        <w:rPr>
          <w:rFonts w:ascii="Times New Roman" w:hAnsi="Times New Roman" w:cs="Times New Roman"/>
          <w:sz w:val="24"/>
          <w:szCs w:val="24"/>
        </w:rPr>
        <w:t xml:space="preserve">Me ndryshimet politike dhe ekonomike që ndodhën në Shqipëri pas viteve 1992, </w:t>
      </w:r>
      <w:r w:rsidR="00F140B0" w:rsidRPr="009B6417">
        <w:rPr>
          <w:rFonts w:ascii="Times New Roman" w:hAnsi="Times New Roman" w:cs="Times New Roman"/>
          <w:sz w:val="24"/>
          <w:szCs w:val="24"/>
        </w:rPr>
        <w:t>p</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rdorimi i praktik</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s s</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 partneritetit publik privat </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sht</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 par</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 si metod</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 alternative e leverdisshme n</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 ofrimin e pun</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ve</w:t>
      </w:r>
      <w:r w:rsidR="009E44FB" w:rsidRPr="009B6417">
        <w:rPr>
          <w:rFonts w:ascii="Times New Roman" w:hAnsi="Times New Roman" w:cs="Times New Roman"/>
          <w:sz w:val="24"/>
          <w:szCs w:val="24"/>
        </w:rPr>
        <w:t xml:space="preserve"> dhe</w:t>
      </w:r>
      <w:r w:rsidR="00F140B0" w:rsidRPr="009B6417">
        <w:rPr>
          <w:rFonts w:ascii="Times New Roman" w:hAnsi="Times New Roman" w:cs="Times New Roman"/>
          <w:sz w:val="24"/>
          <w:szCs w:val="24"/>
        </w:rPr>
        <w:t xml:space="preserve"> sh</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rbimeve publike</w:t>
      </w:r>
      <w:r w:rsidRPr="009B6417">
        <w:rPr>
          <w:rFonts w:ascii="Times New Roman" w:hAnsi="Times New Roman" w:cs="Times New Roman"/>
          <w:sz w:val="24"/>
          <w:szCs w:val="24"/>
        </w:rPr>
        <w:t xml:space="preserve"> të cilat u trajtuan </w:t>
      </w:r>
      <w:r w:rsidR="00AF185D" w:rsidRPr="009B6417">
        <w:rPr>
          <w:rFonts w:ascii="Times New Roman" w:hAnsi="Times New Roman" w:cs="Times New Roman"/>
          <w:sz w:val="24"/>
          <w:szCs w:val="24"/>
        </w:rPr>
        <w:t xml:space="preserve">fillimisht </w:t>
      </w:r>
      <w:r w:rsidRPr="009B6417">
        <w:rPr>
          <w:rFonts w:ascii="Times New Roman" w:hAnsi="Times New Roman" w:cs="Times New Roman"/>
          <w:sz w:val="24"/>
          <w:szCs w:val="24"/>
        </w:rPr>
        <w:t xml:space="preserve">në </w:t>
      </w:r>
      <w:r w:rsidR="000F23BB" w:rsidRPr="009B6417">
        <w:rPr>
          <w:rFonts w:ascii="Times New Roman" w:hAnsi="Times New Roman" w:cs="Times New Roman"/>
          <w:sz w:val="24"/>
          <w:szCs w:val="24"/>
        </w:rPr>
        <w:t>form</w:t>
      </w:r>
      <w:r w:rsidR="00B85EB6" w:rsidRPr="009B6417">
        <w:rPr>
          <w:rFonts w:ascii="Times New Roman" w:hAnsi="Times New Roman" w:cs="Times New Roman"/>
          <w:sz w:val="24"/>
          <w:szCs w:val="24"/>
        </w:rPr>
        <w:t>ë</w:t>
      </w:r>
      <w:r w:rsidR="000F23BB" w:rsidRPr="009B6417">
        <w:rPr>
          <w:rFonts w:ascii="Times New Roman" w:hAnsi="Times New Roman" w:cs="Times New Roman"/>
          <w:sz w:val="24"/>
          <w:szCs w:val="24"/>
        </w:rPr>
        <w:t>n</w:t>
      </w:r>
      <w:r w:rsidRPr="009B6417">
        <w:rPr>
          <w:rFonts w:ascii="Times New Roman" w:hAnsi="Times New Roman" w:cs="Times New Roman"/>
          <w:sz w:val="24"/>
          <w:szCs w:val="24"/>
        </w:rPr>
        <w:t xml:space="preserve"> e koncesioneve.</w:t>
      </w:r>
      <w:r w:rsidR="009E44FB" w:rsidRPr="009B6417">
        <w:rPr>
          <w:rFonts w:ascii="Times New Roman" w:hAnsi="Times New Roman" w:cs="Times New Roman"/>
          <w:sz w:val="24"/>
          <w:szCs w:val="24"/>
        </w:rPr>
        <w:t xml:space="preserve"> Pas</w:t>
      </w:r>
      <w:r w:rsidRPr="009B6417">
        <w:rPr>
          <w:rFonts w:ascii="Times New Roman" w:hAnsi="Times New Roman" w:cs="Times New Roman"/>
          <w:sz w:val="24"/>
          <w:szCs w:val="24"/>
        </w:rPr>
        <w:t xml:space="preserve"> viteve 2000, pati një kërkesë të madhe të aplikimit të koncesioneve/PPP nga qeveria shqiptare, me qëllim financimin e inv</w:t>
      </w:r>
      <w:r w:rsidR="00314A7D" w:rsidRPr="009B6417">
        <w:rPr>
          <w:rFonts w:ascii="Times New Roman" w:hAnsi="Times New Roman" w:cs="Times New Roman"/>
          <w:sz w:val="24"/>
          <w:szCs w:val="24"/>
        </w:rPr>
        <w:t xml:space="preserve">estimeve publike dhe ndërtimin </w:t>
      </w:r>
      <w:r w:rsidRPr="009B6417">
        <w:rPr>
          <w:rFonts w:ascii="Times New Roman" w:hAnsi="Times New Roman" w:cs="Times New Roman"/>
          <w:sz w:val="24"/>
          <w:szCs w:val="24"/>
        </w:rPr>
        <w:t>e infrastruk</w:t>
      </w:r>
      <w:r w:rsidR="002A5B5F">
        <w:rPr>
          <w:rFonts w:ascii="Times New Roman" w:hAnsi="Times New Roman" w:cs="Times New Roman"/>
          <w:sz w:val="24"/>
          <w:szCs w:val="24"/>
        </w:rPr>
        <w:t>t</w:t>
      </w:r>
      <w:r w:rsidRPr="009B6417">
        <w:rPr>
          <w:rFonts w:ascii="Times New Roman" w:hAnsi="Times New Roman" w:cs="Times New Roman"/>
          <w:sz w:val="24"/>
          <w:szCs w:val="24"/>
        </w:rPr>
        <w:t>urës publike.</w:t>
      </w:r>
    </w:p>
    <w:p w14:paraId="2791DBDB" w14:textId="77777777" w:rsidR="009C5E3D" w:rsidRPr="009B6417" w:rsidRDefault="002064BE" w:rsidP="002064BE">
      <w:pPr>
        <w:tabs>
          <w:tab w:val="left" w:pos="3553"/>
        </w:tabs>
        <w:jc w:val="both"/>
        <w:rPr>
          <w:rFonts w:ascii="Times New Roman" w:hAnsi="Times New Roman" w:cs="Times New Roman"/>
          <w:sz w:val="24"/>
          <w:szCs w:val="24"/>
        </w:rPr>
      </w:pPr>
      <w:r w:rsidRPr="009B6417">
        <w:rPr>
          <w:rFonts w:ascii="Times New Roman" w:hAnsi="Times New Roman" w:cs="Times New Roman"/>
          <w:sz w:val="24"/>
          <w:szCs w:val="24"/>
        </w:rPr>
        <w:t>Në figurën 1, është paraqitur ecuria ndër vite e kontratave koncesionare/PPP të miratuara në R.</w:t>
      </w:r>
      <w:r w:rsidR="00FB62C3" w:rsidRPr="009B6417">
        <w:rPr>
          <w:rFonts w:ascii="Times New Roman" w:hAnsi="Times New Roman" w:cs="Times New Roman"/>
          <w:sz w:val="24"/>
          <w:szCs w:val="24"/>
        </w:rPr>
        <w:t>Sh</w:t>
      </w:r>
      <w:r w:rsidR="0066035E" w:rsidRPr="009B6417">
        <w:rPr>
          <w:rFonts w:ascii="Times New Roman" w:hAnsi="Times New Roman" w:cs="Times New Roman"/>
          <w:sz w:val="24"/>
          <w:szCs w:val="24"/>
        </w:rPr>
        <w:t xml:space="preserve">, që nga viti 2004. Një ndër </w:t>
      </w:r>
      <w:r w:rsidRPr="009B6417">
        <w:rPr>
          <w:rFonts w:ascii="Times New Roman" w:hAnsi="Times New Roman" w:cs="Times New Roman"/>
          <w:sz w:val="24"/>
          <w:szCs w:val="24"/>
        </w:rPr>
        <w:t xml:space="preserve">projektet më të rëndësishme </w:t>
      </w:r>
      <w:r w:rsidR="00F140B0" w:rsidRPr="009B6417">
        <w:rPr>
          <w:rFonts w:ascii="Times New Roman" w:hAnsi="Times New Roman" w:cs="Times New Roman"/>
          <w:sz w:val="24"/>
          <w:szCs w:val="24"/>
        </w:rPr>
        <w:t>me impakt t</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 gjer</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 </w:t>
      </w:r>
      <w:r w:rsidRPr="009B6417">
        <w:rPr>
          <w:rFonts w:ascii="Times New Roman" w:hAnsi="Times New Roman" w:cs="Times New Roman"/>
          <w:sz w:val="24"/>
          <w:szCs w:val="24"/>
        </w:rPr>
        <w:t>të kësaj periudhe konsiderohet projekti i koncesionit “</w:t>
      </w:r>
      <w:r w:rsidRPr="009B6417">
        <w:rPr>
          <w:rFonts w:ascii="Times New Roman" w:hAnsi="Times New Roman" w:cs="Times New Roman"/>
          <w:i/>
          <w:sz w:val="24"/>
          <w:szCs w:val="24"/>
        </w:rPr>
        <w:t>Për ndërtimin e terminalit të ri në Aeroportin ‘Nënë Tereza’</w:t>
      </w:r>
      <w:r w:rsidR="009C5E3D" w:rsidRPr="009B6417">
        <w:rPr>
          <w:rFonts w:ascii="Times New Roman" w:hAnsi="Times New Roman" w:cs="Times New Roman"/>
          <w:sz w:val="24"/>
          <w:szCs w:val="24"/>
        </w:rPr>
        <w:t xml:space="preserve">”, i miratuar në vitin 2004.   </w:t>
      </w:r>
    </w:p>
    <w:p w14:paraId="21AC202D" w14:textId="77777777" w:rsidR="0022624E" w:rsidRPr="009B6417" w:rsidRDefault="002064BE" w:rsidP="002064BE">
      <w:pPr>
        <w:tabs>
          <w:tab w:val="left" w:pos="3553"/>
        </w:tabs>
        <w:jc w:val="both"/>
        <w:rPr>
          <w:rFonts w:ascii="Times New Roman" w:hAnsi="Times New Roman" w:cs="Times New Roman"/>
          <w:sz w:val="24"/>
          <w:szCs w:val="24"/>
        </w:rPr>
      </w:pPr>
      <w:r w:rsidRPr="009B6417">
        <w:rPr>
          <w:rFonts w:ascii="Times New Roman" w:hAnsi="Times New Roman" w:cs="Times New Roman"/>
          <w:sz w:val="24"/>
          <w:szCs w:val="24"/>
        </w:rPr>
        <w:t>Më pas, gjatë viteve 2005-2013, në kuadër të privatizimit të HEC-eve vendore</w:t>
      </w:r>
      <w:r w:rsidRPr="009B6417">
        <w:rPr>
          <w:rStyle w:val="FootnoteReference"/>
          <w:rFonts w:ascii="Times New Roman" w:hAnsi="Times New Roman" w:cs="Times New Roman"/>
          <w:sz w:val="24"/>
          <w:szCs w:val="24"/>
        </w:rPr>
        <w:footnoteReference w:id="7"/>
      </w:r>
      <w:r w:rsidR="00FB62C3" w:rsidRPr="009B6417">
        <w:rPr>
          <w:rFonts w:ascii="Times New Roman" w:hAnsi="Times New Roman" w:cs="Times New Roman"/>
          <w:sz w:val="24"/>
          <w:szCs w:val="24"/>
        </w:rPr>
        <w:t>, një numër hidrocentrale</w:t>
      </w:r>
      <w:r w:rsidRPr="009B6417">
        <w:rPr>
          <w:rFonts w:ascii="Times New Roman" w:hAnsi="Times New Roman" w:cs="Times New Roman"/>
          <w:sz w:val="24"/>
          <w:szCs w:val="24"/>
        </w:rPr>
        <w:t xml:space="preserve">sh të vegjël u privatizuan dhe disa të tjerë iu dhanë kompanive të huaja dhe vendase përmes kontratave koncesionare të tipit ROT, BOT dhe BOO. </w:t>
      </w:r>
      <w:r w:rsidR="008A7F58" w:rsidRPr="009B6417">
        <w:rPr>
          <w:rFonts w:ascii="Times New Roman" w:hAnsi="Times New Roman" w:cs="Times New Roman"/>
          <w:sz w:val="24"/>
          <w:szCs w:val="24"/>
        </w:rPr>
        <w:t>K</w:t>
      </w:r>
      <w:r w:rsidR="006A445E" w:rsidRPr="009B6417">
        <w:rPr>
          <w:rFonts w:ascii="Times New Roman" w:hAnsi="Times New Roman" w:cs="Times New Roman"/>
          <w:sz w:val="24"/>
          <w:szCs w:val="24"/>
        </w:rPr>
        <w:t>ë</w:t>
      </w:r>
      <w:r w:rsidR="008A7F58" w:rsidRPr="009B6417">
        <w:rPr>
          <w:rFonts w:ascii="Times New Roman" w:hAnsi="Times New Roman" w:cs="Times New Roman"/>
          <w:sz w:val="24"/>
          <w:szCs w:val="24"/>
        </w:rPr>
        <w:t>to kontrata kan</w:t>
      </w:r>
      <w:r w:rsidR="006A445E" w:rsidRPr="009B6417">
        <w:rPr>
          <w:rFonts w:ascii="Times New Roman" w:hAnsi="Times New Roman" w:cs="Times New Roman"/>
          <w:sz w:val="24"/>
          <w:szCs w:val="24"/>
        </w:rPr>
        <w:t>ë</w:t>
      </w:r>
      <w:r w:rsidR="008A7F58" w:rsidRPr="009B6417">
        <w:rPr>
          <w:rFonts w:ascii="Times New Roman" w:hAnsi="Times New Roman" w:cs="Times New Roman"/>
          <w:sz w:val="24"/>
          <w:szCs w:val="24"/>
        </w:rPr>
        <w:t xml:space="preserve"> pasur si q</w:t>
      </w:r>
      <w:r w:rsidR="006A445E" w:rsidRPr="009B6417">
        <w:rPr>
          <w:rFonts w:ascii="Times New Roman" w:hAnsi="Times New Roman" w:cs="Times New Roman"/>
          <w:sz w:val="24"/>
          <w:szCs w:val="24"/>
        </w:rPr>
        <w:t>ë</w:t>
      </w:r>
      <w:r w:rsidR="008A7F58" w:rsidRPr="009B6417">
        <w:rPr>
          <w:rFonts w:ascii="Times New Roman" w:hAnsi="Times New Roman" w:cs="Times New Roman"/>
          <w:sz w:val="24"/>
          <w:szCs w:val="24"/>
        </w:rPr>
        <w:t>llim rehabilitimin e</w:t>
      </w:r>
      <w:r w:rsidRPr="009B6417">
        <w:rPr>
          <w:rFonts w:ascii="Times New Roman" w:hAnsi="Times New Roman" w:cs="Times New Roman"/>
          <w:sz w:val="24"/>
          <w:szCs w:val="24"/>
        </w:rPr>
        <w:t xml:space="preserve"> HEC-eve ekzistuese, operimi</w:t>
      </w:r>
      <w:r w:rsidR="008A7F58" w:rsidRPr="009B6417">
        <w:rPr>
          <w:rFonts w:ascii="Times New Roman" w:hAnsi="Times New Roman" w:cs="Times New Roman"/>
          <w:sz w:val="24"/>
          <w:szCs w:val="24"/>
        </w:rPr>
        <w:t>n</w:t>
      </w:r>
      <w:r w:rsidRPr="009B6417">
        <w:rPr>
          <w:rFonts w:ascii="Times New Roman" w:hAnsi="Times New Roman" w:cs="Times New Roman"/>
          <w:sz w:val="24"/>
          <w:szCs w:val="24"/>
        </w:rPr>
        <w:t xml:space="preserve"> </w:t>
      </w:r>
      <w:r w:rsidR="002A5B5F">
        <w:rPr>
          <w:rFonts w:ascii="Times New Roman" w:hAnsi="Times New Roman" w:cs="Times New Roman"/>
          <w:sz w:val="24"/>
          <w:szCs w:val="24"/>
        </w:rPr>
        <w:t>e</w:t>
      </w:r>
      <w:r w:rsidRPr="009B6417">
        <w:rPr>
          <w:rFonts w:ascii="Times New Roman" w:hAnsi="Times New Roman" w:cs="Times New Roman"/>
          <w:sz w:val="24"/>
          <w:szCs w:val="24"/>
        </w:rPr>
        <w:t xml:space="preserve"> tyre dhe më pas transferimi</w:t>
      </w:r>
      <w:r w:rsidR="00FB62C3" w:rsidRPr="009B6417">
        <w:rPr>
          <w:rFonts w:ascii="Times New Roman" w:hAnsi="Times New Roman" w:cs="Times New Roman"/>
          <w:sz w:val="24"/>
          <w:szCs w:val="24"/>
        </w:rPr>
        <w:t>n</w:t>
      </w:r>
      <w:r w:rsidRPr="009B6417">
        <w:rPr>
          <w:rFonts w:ascii="Times New Roman" w:hAnsi="Times New Roman" w:cs="Times New Roman"/>
          <w:sz w:val="24"/>
          <w:szCs w:val="24"/>
        </w:rPr>
        <w:t xml:space="preserve"> tek shteti. Njëkohësisht, me synim rritjen e kapacitetit prodhues energjitik të ekonomisë shqiptare janë nënshkruar një numër i konsiderueshëm kontratash për ndërtimin e HEC-eve të reja në burime hidrike të pashfrytëzuara. Pas vitit </w:t>
      </w:r>
      <w:r w:rsidR="0013520B">
        <w:rPr>
          <w:rFonts w:ascii="Times New Roman" w:hAnsi="Times New Roman" w:cs="Times New Roman"/>
          <w:sz w:val="24"/>
          <w:szCs w:val="24"/>
        </w:rPr>
        <w:t xml:space="preserve">2013, janë miratuar në total </w:t>
      </w:r>
      <w:r w:rsidR="00D949E1">
        <w:rPr>
          <w:rFonts w:ascii="Times New Roman" w:hAnsi="Times New Roman" w:cs="Times New Roman"/>
          <w:sz w:val="24"/>
          <w:szCs w:val="24"/>
        </w:rPr>
        <w:t>48</w:t>
      </w:r>
      <w:r w:rsidR="00631E0E" w:rsidRPr="009B6417">
        <w:rPr>
          <w:rFonts w:ascii="Times New Roman" w:hAnsi="Times New Roman" w:cs="Times New Roman"/>
          <w:sz w:val="24"/>
          <w:szCs w:val="24"/>
        </w:rPr>
        <w:t xml:space="preserve"> </w:t>
      </w:r>
      <w:r w:rsidRPr="009B6417">
        <w:rPr>
          <w:rFonts w:ascii="Times New Roman" w:hAnsi="Times New Roman" w:cs="Times New Roman"/>
          <w:sz w:val="24"/>
          <w:szCs w:val="24"/>
        </w:rPr>
        <w:t>kontrata koncesionare/PPP në sektorë me impakt të rëndësishëm në zhvillimin ekonomik dhe në sigurimin e rritjes së qëndrueshme ekonomike si në sektorin e arsimit, shëndetësisë, mjed</w:t>
      </w:r>
      <w:r w:rsidR="008A7F58" w:rsidRPr="009B6417">
        <w:rPr>
          <w:rFonts w:ascii="Times New Roman" w:hAnsi="Times New Roman" w:cs="Times New Roman"/>
          <w:sz w:val="24"/>
          <w:szCs w:val="24"/>
        </w:rPr>
        <w:t>isit dhe në kontrollin fiskal.</w:t>
      </w:r>
    </w:p>
    <w:p w14:paraId="635B19FD" w14:textId="77777777" w:rsidR="00F1655D" w:rsidRDefault="00157FE0" w:rsidP="006B6D4D">
      <w:pPr>
        <w:pStyle w:val="Caption"/>
      </w:pPr>
      <w:bookmarkStart w:id="9" w:name="_Toc18257827"/>
      <w:bookmarkStart w:id="10" w:name="_Toc19882532"/>
      <w:bookmarkStart w:id="11" w:name="_Toc21688310"/>
      <w:bookmarkStart w:id="12" w:name="_Toc21688325"/>
      <w:bookmarkStart w:id="13" w:name="_Toc21688369"/>
      <w:bookmarkStart w:id="14" w:name="_Toc34919488"/>
      <w:r w:rsidRPr="00F1655D">
        <w:t xml:space="preserve">Figura </w:t>
      </w:r>
      <w:r w:rsidR="00E54EC8" w:rsidRPr="00F1655D">
        <w:fldChar w:fldCharType="begin"/>
      </w:r>
      <w:r w:rsidR="00815B1B" w:rsidRPr="00F1655D">
        <w:instrText xml:space="preserve"> SEQ Figura \* ARABIC </w:instrText>
      </w:r>
      <w:r w:rsidR="00E54EC8" w:rsidRPr="00F1655D">
        <w:fldChar w:fldCharType="separate"/>
      </w:r>
      <w:r w:rsidR="00130EDE">
        <w:rPr>
          <w:noProof/>
        </w:rPr>
        <w:t>1</w:t>
      </w:r>
      <w:r w:rsidR="00E54EC8" w:rsidRPr="00F1655D">
        <w:rPr>
          <w:noProof/>
        </w:rPr>
        <w:fldChar w:fldCharType="end"/>
      </w:r>
      <w:r w:rsidR="002064BE" w:rsidRPr="00F1655D">
        <w:t xml:space="preserve">: </w:t>
      </w:r>
      <w:r w:rsidR="00EA566F" w:rsidRPr="00F1655D">
        <w:t xml:space="preserve">Trendi i </w:t>
      </w:r>
      <w:r w:rsidR="005C0E0B" w:rsidRPr="00F1655D">
        <w:t>projekteve me</w:t>
      </w:r>
      <w:r w:rsidR="002064BE" w:rsidRPr="00F1655D">
        <w:t xml:space="preserve"> Koncesioneve/PPP të miratuara ndër vite, 2004-201</w:t>
      </w:r>
      <w:r w:rsidR="002064BE" w:rsidRPr="009B6417">
        <w:t>9</w:t>
      </w:r>
      <w:bookmarkEnd w:id="9"/>
      <w:bookmarkEnd w:id="10"/>
      <w:bookmarkEnd w:id="11"/>
      <w:bookmarkEnd w:id="12"/>
      <w:bookmarkEnd w:id="13"/>
      <w:bookmarkEnd w:id="14"/>
    </w:p>
    <w:p w14:paraId="3900EF3A" w14:textId="77777777" w:rsidR="006613A3" w:rsidRPr="006613A3" w:rsidRDefault="006613A3" w:rsidP="006613A3">
      <w:r>
        <w:rPr>
          <w:noProof/>
          <w:lang w:val="en-US"/>
        </w:rPr>
        <w:drawing>
          <wp:inline distT="0" distB="0" distL="0" distR="0" wp14:anchorId="71A8E94C" wp14:editId="780B0A02">
            <wp:extent cx="6400800" cy="260032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E6689F" w14:textId="77777777" w:rsidR="00FE32C2" w:rsidRPr="00B015D5" w:rsidRDefault="0022624E" w:rsidP="006B6D4D">
      <w:pPr>
        <w:pStyle w:val="Caption"/>
      </w:pPr>
      <w:r w:rsidRPr="00B015D5">
        <w:t>Burimi:</w:t>
      </w:r>
      <w:r w:rsidR="003E4326" w:rsidRPr="00B015D5">
        <w:t xml:space="preserve"> ATRAKO</w:t>
      </w:r>
      <w:r w:rsidR="001E3A70" w:rsidRPr="00B015D5">
        <w:t xml:space="preserve"> (2020</w:t>
      </w:r>
      <w:r w:rsidRPr="00B015D5">
        <w:t>)</w:t>
      </w:r>
    </w:p>
    <w:p w14:paraId="694892D2" w14:textId="77777777" w:rsidR="0028724B" w:rsidRDefault="0028724B" w:rsidP="0028724B"/>
    <w:p w14:paraId="20357442" w14:textId="77777777" w:rsidR="00291442" w:rsidRPr="009B6417" w:rsidRDefault="00291442" w:rsidP="00FE32C2">
      <w:pPr>
        <w:rPr>
          <w:rFonts w:ascii="Times New Roman" w:hAnsi="Times New Roman" w:cs="Times New Roman"/>
          <w:sz w:val="24"/>
          <w:szCs w:val="24"/>
        </w:rPr>
      </w:pPr>
    </w:p>
    <w:p w14:paraId="3DB9C605" w14:textId="77777777" w:rsidR="00E73F6D" w:rsidRPr="009B6417" w:rsidRDefault="006E23DB" w:rsidP="002064BE">
      <w:pPr>
        <w:jc w:val="both"/>
        <w:rPr>
          <w:rFonts w:ascii="Times New Roman" w:hAnsi="Times New Roman" w:cs="Times New Roman"/>
          <w:noProof/>
          <w:sz w:val="24"/>
          <w:szCs w:val="24"/>
          <w:lang w:val="en-US"/>
        </w:rPr>
      </w:pPr>
      <w:r w:rsidRPr="009B6417">
        <w:rPr>
          <w:rFonts w:ascii="Times New Roman" w:hAnsi="Times New Roman" w:cs="Times New Roman"/>
          <w:noProof/>
          <w:sz w:val="24"/>
          <w:szCs w:val="24"/>
          <w:lang w:val="en-US"/>
        </w:rPr>
        <w:lastRenderedPageBreak/>
        <w:t xml:space="preserve">Sikurse </w:t>
      </w:r>
      <w:r w:rsidR="006505D0" w:rsidRPr="009B6417">
        <w:rPr>
          <w:rFonts w:ascii="Times New Roman" w:hAnsi="Times New Roman" w:cs="Times New Roman"/>
          <w:noProof/>
          <w:sz w:val="24"/>
          <w:szCs w:val="24"/>
          <w:lang w:val="en-US"/>
        </w:rPr>
        <w:t>ë</w:t>
      </w:r>
      <w:r w:rsidRPr="009B6417">
        <w:rPr>
          <w:rFonts w:ascii="Times New Roman" w:hAnsi="Times New Roman" w:cs="Times New Roman"/>
          <w:noProof/>
          <w:sz w:val="24"/>
          <w:szCs w:val="24"/>
          <w:lang w:val="en-US"/>
        </w:rPr>
        <w:t>sht</w:t>
      </w:r>
      <w:r w:rsidR="006505D0" w:rsidRPr="009B6417">
        <w:rPr>
          <w:rFonts w:ascii="Times New Roman" w:hAnsi="Times New Roman" w:cs="Times New Roman"/>
          <w:noProof/>
          <w:sz w:val="24"/>
          <w:szCs w:val="24"/>
          <w:lang w:val="en-US"/>
        </w:rPr>
        <w:t>ë</w:t>
      </w:r>
      <w:r w:rsidRPr="009B6417">
        <w:rPr>
          <w:rFonts w:ascii="Times New Roman" w:hAnsi="Times New Roman" w:cs="Times New Roman"/>
          <w:noProof/>
          <w:sz w:val="24"/>
          <w:szCs w:val="24"/>
          <w:lang w:val="en-US"/>
        </w:rPr>
        <w:t xml:space="preserve"> paraqitur n</w:t>
      </w:r>
      <w:r w:rsidR="006505D0" w:rsidRPr="009B6417">
        <w:rPr>
          <w:rFonts w:ascii="Times New Roman" w:hAnsi="Times New Roman" w:cs="Times New Roman"/>
          <w:noProof/>
          <w:sz w:val="24"/>
          <w:szCs w:val="24"/>
          <w:lang w:val="en-US"/>
        </w:rPr>
        <w:t>ë</w:t>
      </w:r>
      <w:r w:rsidRPr="009B6417">
        <w:rPr>
          <w:rFonts w:ascii="Times New Roman" w:hAnsi="Times New Roman" w:cs="Times New Roman"/>
          <w:noProof/>
          <w:sz w:val="24"/>
          <w:szCs w:val="24"/>
          <w:lang w:val="en-US"/>
        </w:rPr>
        <w:t xml:space="preserve"> figur</w:t>
      </w:r>
      <w:r w:rsidR="006505D0" w:rsidRPr="009B6417">
        <w:rPr>
          <w:rFonts w:ascii="Times New Roman" w:hAnsi="Times New Roman" w:cs="Times New Roman"/>
          <w:noProof/>
          <w:sz w:val="24"/>
          <w:szCs w:val="24"/>
          <w:lang w:val="en-US"/>
        </w:rPr>
        <w:t>ë</w:t>
      </w:r>
      <w:r w:rsidRPr="009B6417">
        <w:rPr>
          <w:rFonts w:ascii="Times New Roman" w:hAnsi="Times New Roman" w:cs="Times New Roman"/>
          <w:noProof/>
          <w:sz w:val="24"/>
          <w:szCs w:val="24"/>
          <w:lang w:val="en-US"/>
        </w:rPr>
        <w:t>n 2, p</w:t>
      </w:r>
      <w:r w:rsidR="005426AB" w:rsidRPr="009B6417">
        <w:rPr>
          <w:rFonts w:ascii="Times New Roman" w:hAnsi="Times New Roman" w:cs="Times New Roman"/>
          <w:noProof/>
          <w:sz w:val="24"/>
          <w:szCs w:val="24"/>
          <w:lang w:val="en-US"/>
        </w:rPr>
        <w:t xml:space="preserve">esha kumulative e </w:t>
      </w:r>
      <w:r w:rsidR="007527AA" w:rsidRPr="009B6417">
        <w:rPr>
          <w:rFonts w:ascii="Times New Roman" w:hAnsi="Times New Roman" w:cs="Times New Roman"/>
          <w:noProof/>
          <w:sz w:val="24"/>
          <w:szCs w:val="24"/>
          <w:lang w:val="en-US"/>
        </w:rPr>
        <w:t xml:space="preserve">investimit për projektet me </w:t>
      </w:r>
      <w:r w:rsidR="005426AB" w:rsidRPr="009B6417">
        <w:rPr>
          <w:rFonts w:ascii="Times New Roman" w:hAnsi="Times New Roman" w:cs="Times New Roman"/>
          <w:noProof/>
          <w:sz w:val="24"/>
          <w:szCs w:val="24"/>
          <w:lang w:val="en-US"/>
        </w:rPr>
        <w:t>koncesion/PPP ndaj PBB-s</w:t>
      </w:r>
      <w:r w:rsidR="006505D0" w:rsidRPr="009B6417">
        <w:rPr>
          <w:rFonts w:ascii="Times New Roman" w:hAnsi="Times New Roman" w:cs="Times New Roman"/>
          <w:noProof/>
          <w:sz w:val="24"/>
          <w:szCs w:val="24"/>
          <w:lang w:val="en-US"/>
        </w:rPr>
        <w:t>ë</w:t>
      </w:r>
      <w:r w:rsidR="005426AB" w:rsidRPr="009B6417">
        <w:rPr>
          <w:rFonts w:ascii="Times New Roman" w:hAnsi="Times New Roman" w:cs="Times New Roman"/>
          <w:noProof/>
          <w:sz w:val="24"/>
          <w:szCs w:val="24"/>
          <w:lang w:val="en-US"/>
        </w:rPr>
        <w:t xml:space="preserve"> ka patur tendenc</w:t>
      </w:r>
      <w:r w:rsidR="006505D0" w:rsidRPr="009B6417">
        <w:rPr>
          <w:rFonts w:ascii="Times New Roman" w:hAnsi="Times New Roman" w:cs="Times New Roman"/>
          <w:noProof/>
          <w:sz w:val="24"/>
          <w:szCs w:val="24"/>
          <w:lang w:val="en-US"/>
        </w:rPr>
        <w:t>ë</w:t>
      </w:r>
      <w:r w:rsidR="005426AB" w:rsidRPr="009B6417">
        <w:rPr>
          <w:rFonts w:ascii="Times New Roman" w:hAnsi="Times New Roman" w:cs="Times New Roman"/>
          <w:noProof/>
          <w:sz w:val="24"/>
          <w:szCs w:val="24"/>
          <w:lang w:val="en-US"/>
        </w:rPr>
        <w:t xml:space="preserve"> rrit</w:t>
      </w:r>
      <w:r w:rsidR="006505D0" w:rsidRPr="009B6417">
        <w:rPr>
          <w:rFonts w:ascii="Times New Roman" w:hAnsi="Times New Roman" w:cs="Times New Roman"/>
          <w:noProof/>
          <w:sz w:val="24"/>
          <w:szCs w:val="24"/>
          <w:lang w:val="en-US"/>
        </w:rPr>
        <w:t>ë</w:t>
      </w:r>
      <w:r w:rsidR="005426AB" w:rsidRPr="009B6417">
        <w:rPr>
          <w:rFonts w:ascii="Times New Roman" w:hAnsi="Times New Roman" w:cs="Times New Roman"/>
          <w:noProof/>
          <w:sz w:val="24"/>
          <w:szCs w:val="24"/>
          <w:lang w:val="en-US"/>
        </w:rPr>
        <w:t>se nd</w:t>
      </w:r>
      <w:r w:rsidR="006505D0" w:rsidRPr="009B6417">
        <w:rPr>
          <w:rFonts w:ascii="Times New Roman" w:hAnsi="Times New Roman" w:cs="Times New Roman"/>
          <w:noProof/>
          <w:sz w:val="24"/>
          <w:szCs w:val="24"/>
          <w:lang w:val="en-US"/>
        </w:rPr>
        <w:t>ë</w:t>
      </w:r>
      <w:r w:rsidR="005426AB" w:rsidRPr="009B6417">
        <w:rPr>
          <w:rFonts w:ascii="Times New Roman" w:hAnsi="Times New Roman" w:cs="Times New Roman"/>
          <w:noProof/>
          <w:sz w:val="24"/>
          <w:szCs w:val="24"/>
          <w:lang w:val="en-US"/>
        </w:rPr>
        <w:t>r vite, dhe aktualisht ky portof</w:t>
      </w:r>
      <w:r w:rsidRPr="009B6417">
        <w:rPr>
          <w:rFonts w:ascii="Times New Roman" w:hAnsi="Times New Roman" w:cs="Times New Roman"/>
          <w:noProof/>
          <w:sz w:val="24"/>
          <w:szCs w:val="24"/>
          <w:lang w:val="en-US"/>
        </w:rPr>
        <w:t>ol p</w:t>
      </w:r>
      <w:r w:rsidR="006505D0" w:rsidRPr="009B6417">
        <w:rPr>
          <w:rFonts w:ascii="Times New Roman" w:hAnsi="Times New Roman" w:cs="Times New Roman"/>
          <w:noProof/>
          <w:sz w:val="24"/>
          <w:szCs w:val="24"/>
          <w:lang w:val="en-US"/>
        </w:rPr>
        <w:t>ë</w:t>
      </w:r>
      <w:r w:rsidRPr="009B6417">
        <w:rPr>
          <w:rFonts w:ascii="Times New Roman" w:hAnsi="Times New Roman" w:cs="Times New Roman"/>
          <w:noProof/>
          <w:sz w:val="24"/>
          <w:szCs w:val="24"/>
          <w:lang w:val="en-US"/>
        </w:rPr>
        <w:t>rb</w:t>
      </w:r>
      <w:r w:rsidR="006505D0" w:rsidRPr="009B6417">
        <w:rPr>
          <w:rFonts w:ascii="Times New Roman" w:hAnsi="Times New Roman" w:cs="Times New Roman"/>
          <w:noProof/>
          <w:sz w:val="24"/>
          <w:szCs w:val="24"/>
          <w:lang w:val="en-US"/>
        </w:rPr>
        <w:t>ë</w:t>
      </w:r>
      <w:r w:rsidR="00D949E1">
        <w:rPr>
          <w:rFonts w:ascii="Times New Roman" w:hAnsi="Times New Roman" w:cs="Times New Roman"/>
          <w:noProof/>
          <w:sz w:val="24"/>
          <w:szCs w:val="24"/>
          <w:lang w:val="en-US"/>
        </w:rPr>
        <w:t>n rreth 31</w:t>
      </w:r>
      <w:r w:rsidRPr="009B6417">
        <w:rPr>
          <w:rFonts w:ascii="Times New Roman" w:hAnsi="Times New Roman" w:cs="Times New Roman"/>
          <w:noProof/>
          <w:sz w:val="24"/>
          <w:szCs w:val="24"/>
          <w:lang w:val="en-US"/>
        </w:rPr>
        <w:t>% t</w:t>
      </w:r>
      <w:r w:rsidR="006505D0" w:rsidRPr="009B6417">
        <w:rPr>
          <w:rFonts w:ascii="Times New Roman" w:hAnsi="Times New Roman" w:cs="Times New Roman"/>
          <w:noProof/>
          <w:sz w:val="24"/>
          <w:szCs w:val="24"/>
          <w:lang w:val="en-US"/>
        </w:rPr>
        <w:t>ë</w:t>
      </w:r>
      <w:r w:rsidRPr="009B6417">
        <w:rPr>
          <w:rFonts w:ascii="Times New Roman" w:hAnsi="Times New Roman" w:cs="Times New Roman"/>
          <w:noProof/>
          <w:sz w:val="24"/>
          <w:szCs w:val="24"/>
          <w:lang w:val="en-US"/>
        </w:rPr>
        <w:t xml:space="preserve"> PBB-s</w:t>
      </w:r>
      <w:r w:rsidR="006505D0" w:rsidRPr="009B6417">
        <w:rPr>
          <w:rFonts w:ascii="Times New Roman" w:hAnsi="Times New Roman" w:cs="Times New Roman"/>
          <w:noProof/>
          <w:sz w:val="24"/>
          <w:szCs w:val="24"/>
          <w:lang w:val="en-US"/>
        </w:rPr>
        <w:t>ë</w:t>
      </w:r>
      <w:r w:rsidRPr="009B6417">
        <w:rPr>
          <w:rFonts w:ascii="Times New Roman" w:hAnsi="Times New Roman" w:cs="Times New Roman"/>
          <w:noProof/>
          <w:sz w:val="24"/>
          <w:szCs w:val="24"/>
          <w:lang w:val="en-US"/>
        </w:rPr>
        <w:t>.</w:t>
      </w:r>
      <w:r w:rsidR="006750CB" w:rsidRPr="009B6417">
        <w:rPr>
          <w:rFonts w:ascii="Times New Roman" w:hAnsi="Times New Roman" w:cs="Times New Roman"/>
          <w:noProof/>
          <w:sz w:val="24"/>
          <w:szCs w:val="24"/>
          <w:lang w:val="en-US"/>
        </w:rPr>
        <w:t xml:space="preserve"> Disa prej k</w:t>
      </w:r>
      <w:r w:rsidR="007527AA" w:rsidRPr="009B6417">
        <w:rPr>
          <w:rFonts w:ascii="Times New Roman" w:hAnsi="Times New Roman" w:cs="Times New Roman"/>
          <w:noProof/>
          <w:sz w:val="24"/>
          <w:szCs w:val="24"/>
          <w:lang w:val="en-US"/>
        </w:rPr>
        <w:t>ë</w:t>
      </w:r>
      <w:r w:rsidR="006750CB" w:rsidRPr="009B6417">
        <w:rPr>
          <w:rFonts w:ascii="Times New Roman" w:hAnsi="Times New Roman" w:cs="Times New Roman"/>
          <w:noProof/>
          <w:sz w:val="24"/>
          <w:szCs w:val="24"/>
          <w:lang w:val="en-US"/>
        </w:rPr>
        <w:t xml:space="preserve">tyre kontratave </w:t>
      </w:r>
      <w:r w:rsidR="00E10DE7" w:rsidRPr="009B6417">
        <w:rPr>
          <w:rFonts w:ascii="Times New Roman" w:hAnsi="Times New Roman" w:cs="Times New Roman"/>
          <w:noProof/>
          <w:sz w:val="24"/>
          <w:szCs w:val="24"/>
          <w:lang w:val="en-US"/>
        </w:rPr>
        <w:t>n</w:t>
      </w:r>
      <w:r w:rsidR="007527AA" w:rsidRPr="009B6417">
        <w:rPr>
          <w:rFonts w:ascii="Times New Roman" w:hAnsi="Times New Roman" w:cs="Times New Roman"/>
          <w:noProof/>
          <w:sz w:val="24"/>
          <w:szCs w:val="24"/>
          <w:lang w:val="en-US"/>
        </w:rPr>
        <w:t>ë</w:t>
      </w:r>
      <w:r w:rsidR="00E10DE7" w:rsidRPr="009B6417">
        <w:rPr>
          <w:rFonts w:ascii="Times New Roman" w:hAnsi="Times New Roman" w:cs="Times New Roman"/>
          <w:noProof/>
          <w:sz w:val="24"/>
          <w:szCs w:val="24"/>
          <w:lang w:val="en-US"/>
        </w:rPr>
        <w:t xml:space="preserve"> sektorin e energjis</w:t>
      </w:r>
      <w:r w:rsidR="007527AA" w:rsidRPr="009B6417">
        <w:rPr>
          <w:rFonts w:ascii="Times New Roman" w:hAnsi="Times New Roman" w:cs="Times New Roman"/>
          <w:noProof/>
          <w:sz w:val="24"/>
          <w:szCs w:val="24"/>
          <w:lang w:val="en-US"/>
        </w:rPr>
        <w:t>ë</w:t>
      </w:r>
      <w:r w:rsidR="0013520B">
        <w:rPr>
          <w:rFonts w:ascii="Times New Roman" w:hAnsi="Times New Roman" w:cs="Times New Roman"/>
          <w:noProof/>
          <w:sz w:val="24"/>
          <w:szCs w:val="24"/>
          <w:lang w:val="en-US"/>
        </w:rPr>
        <w:t xml:space="preserve"> nuk kanë filluar akoma të zbatohen</w:t>
      </w:r>
      <w:r w:rsidR="007527AA" w:rsidRPr="009B6417">
        <w:rPr>
          <w:rFonts w:ascii="Times New Roman" w:hAnsi="Times New Roman" w:cs="Times New Roman"/>
          <w:noProof/>
          <w:sz w:val="24"/>
          <w:szCs w:val="24"/>
          <w:lang w:val="en-US"/>
        </w:rPr>
        <w:t>.</w:t>
      </w:r>
      <w:r w:rsidR="00521DB6" w:rsidRPr="009B6417">
        <w:rPr>
          <w:rFonts w:ascii="Times New Roman" w:hAnsi="Times New Roman" w:cs="Times New Roman"/>
          <w:noProof/>
          <w:sz w:val="24"/>
          <w:szCs w:val="24"/>
          <w:lang w:val="en-US"/>
        </w:rPr>
        <w:t xml:space="preserve"> </w:t>
      </w:r>
    </w:p>
    <w:p w14:paraId="1AEE7095" w14:textId="77777777" w:rsidR="006613A3" w:rsidRPr="006613A3" w:rsidRDefault="006613A3" w:rsidP="006B6D4D">
      <w:pPr>
        <w:pStyle w:val="Caption"/>
      </w:pPr>
      <w:bookmarkStart w:id="15" w:name="_Toc34919489"/>
      <w:r>
        <w:rPr>
          <w:noProof/>
          <w:lang w:val="en-US"/>
        </w:rPr>
        <w:drawing>
          <wp:anchor distT="0" distB="0" distL="114300" distR="114300" simplePos="0" relativeHeight="251644928" behindDoc="1" locked="0" layoutInCell="1" allowOverlap="1" wp14:anchorId="5A8BE33D" wp14:editId="43998662">
            <wp:simplePos x="0" y="0"/>
            <wp:positionH relativeFrom="margin">
              <wp:align>left</wp:align>
            </wp:positionH>
            <wp:positionV relativeFrom="paragraph">
              <wp:posOffset>282575</wp:posOffset>
            </wp:positionV>
            <wp:extent cx="6410325" cy="2628900"/>
            <wp:effectExtent l="0" t="0" r="9525" b="0"/>
            <wp:wrapTight wrapText="bothSides">
              <wp:wrapPolygon edited="0">
                <wp:start x="0" y="0"/>
                <wp:lineTo x="0" y="21443"/>
                <wp:lineTo x="21568" y="21443"/>
                <wp:lineTo x="21568" y="0"/>
                <wp:lineTo x="0" y="0"/>
              </wp:wrapPolygon>
            </wp:wrapTight>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157FE0" w:rsidRPr="006A35E3">
        <w:t xml:space="preserve">Figura </w:t>
      </w:r>
      <w:r w:rsidR="00E54EC8" w:rsidRPr="006A35E3">
        <w:fldChar w:fldCharType="begin"/>
      </w:r>
      <w:r w:rsidR="00815B1B" w:rsidRPr="006A35E3">
        <w:instrText xml:space="preserve"> SEQ Figura \* ARABIC </w:instrText>
      </w:r>
      <w:r w:rsidR="00E54EC8" w:rsidRPr="006A35E3">
        <w:fldChar w:fldCharType="separate"/>
      </w:r>
      <w:r w:rsidR="00130EDE">
        <w:rPr>
          <w:noProof/>
        </w:rPr>
        <w:t>2</w:t>
      </w:r>
      <w:r w:rsidR="00E54EC8" w:rsidRPr="006A35E3">
        <w:rPr>
          <w:noProof/>
        </w:rPr>
        <w:fldChar w:fldCharType="end"/>
      </w:r>
      <w:r w:rsidR="00157FE0" w:rsidRPr="006A35E3">
        <w:t xml:space="preserve">: </w:t>
      </w:r>
      <w:r w:rsidR="00290251" w:rsidRPr="006A35E3">
        <w:t xml:space="preserve">Pesha </w:t>
      </w:r>
      <w:r w:rsidR="00B65F24">
        <w:t>kumulative e investimit për projektet</w:t>
      </w:r>
      <w:r w:rsidR="00290251" w:rsidRPr="006A35E3">
        <w:t xml:space="preserve"> me koncesion/PPP n</w:t>
      </w:r>
      <w:r w:rsidR="00577A32" w:rsidRPr="006A35E3">
        <w:t>ë</w:t>
      </w:r>
      <w:r w:rsidR="00290251" w:rsidRPr="006A35E3">
        <w:t xml:space="preserve"> PBB, 2004-20</w:t>
      </w:r>
      <w:r>
        <w:t>19</w:t>
      </w:r>
      <w:bookmarkEnd w:id="15"/>
    </w:p>
    <w:p w14:paraId="4861B189" w14:textId="77777777" w:rsidR="00D476D5" w:rsidRPr="001E3A70" w:rsidRDefault="00E400FC" w:rsidP="00D476D5">
      <w:pPr>
        <w:spacing w:after="0"/>
        <w:jc w:val="both"/>
        <w:rPr>
          <w:rFonts w:ascii="Times New Roman" w:hAnsi="Times New Roman" w:cs="Times New Roman"/>
          <w:b/>
          <w:sz w:val="18"/>
          <w:szCs w:val="18"/>
        </w:rPr>
      </w:pPr>
      <w:r w:rsidRPr="001E3A70">
        <w:rPr>
          <w:rFonts w:ascii="Times New Roman" w:hAnsi="Times New Roman" w:cs="Times New Roman"/>
          <w:b/>
          <w:sz w:val="18"/>
          <w:szCs w:val="18"/>
        </w:rPr>
        <w:t>*P</w:t>
      </w:r>
      <w:r w:rsidR="00D476D5" w:rsidRPr="001E3A70">
        <w:rPr>
          <w:rFonts w:ascii="Times New Roman" w:hAnsi="Times New Roman" w:cs="Times New Roman"/>
          <w:b/>
          <w:sz w:val="18"/>
          <w:szCs w:val="18"/>
        </w:rPr>
        <w:t>ë</w:t>
      </w:r>
      <w:r w:rsidRPr="001E3A70">
        <w:rPr>
          <w:rFonts w:ascii="Times New Roman" w:hAnsi="Times New Roman" w:cs="Times New Roman"/>
          <w:b/>
          <w:sz w:val="18"/>
          <w:szCs w:val="18"/>
        </w:rPr>
        <w:t xml:space="preserve">r vitin 2019 </w:t>
      </w:r>
      <w:r w:rsidR="00D476D5" w:rsidRPr="001E3A70">
        <w:rPr>
          <w:rFonts w:ascii="Times New Roman" w:hAnsi="Times New Roman" w:cs="Times New Roman"/>
          <w:b/>
          <w:sz w:val="18"/>
          <w:szCs w:val="18"/>
        </w:rPr>
        <w:t>ë</w:t>
      </w:r>
      <w:r w:rsidRPr="001E3A70">
        <w:rPr>
          <w:rFonts w:ascii="Times New Roman" w:hAnsi="Times New Roman" w:cs="Times New Roman"/>
          <w:b/>
          <w:sz w:val="18"/>
          <w:szCs w:val="18"/>
        </w:rPr>
        <w:t>sht</w:t>
      </w:r>
      <w:r w:rsidR="00D476D5" w:rsidRPr="001E3A70">
        <w:rPr>
          <w:rFonts w:ascii="Times New Roman" w:hAnsi="Times New Roman" w:cs="Times New Roman"/>
          <w:b/>
          <w:sz w:val="18"/>
          <w:szCs w:val="18"/>
        </w:rPr>
        <w:t>ë</w:t>
      </w:r>
      <w:r w:rsidRPr="001E3A70">
        <w:rPr>
          <w:rFonts w:ascii="Times New Roman" w:hAnsi="Times New Roman" w:cs="Times New Roman"/>
          <w:b/>
          <w:sz w:val="18"/>
          <w:szCs w:val="18"/>
        </w:rPr>
        <w:t xml:space="preserve"> marr</w:t>
      </w:r>
      <w:r w:rsidR="00D476D5" w:rsidRPr="001E3A70">
        <w:rPr>
          <w:rFonts w:ascii="Times New Roman" w:hAnsi="Times New Roman" w:cs="Times New Roman"/>
          <w:b/>
          <w:sz w:val="18"/>
          <w:szCs w:val="18"/>
        </w:rPr>
        <w:t>ë</w:t>
      </w:r>
      <w:r w:rsidRPr="001E3A70">
        <w:rPr>
          <w:rFonts w:ascii="Times New Roman" w:hAnsi="Times New Roman" w:cs="Times New Roman"/>
          <w:b/>
          <w:sz w:val="18"/>
          <w:szCs w:val="18"/>
        </w:rPr>
        <w:t xml:space="preserve"> n</w:t>
      </w:r>
      <w:r w:rsidR="00D476D5" w:rsidRPr="001E3A70">
        <w:rPr>
          <w:rFonts w:ascii="Times New Roman" w:hAnsi="Times New Roman" w:cs="Times New Roman"/>
          <w:b/>
          <w:sz w:val="18"/>
          <w:szCs w:val="18"/>
        </w:rPr>
        <w:t>ë</w:t>
      </w:r>
      <w:r w:rsidRPr="001E3A70">
        <w:rPr>
          <w:rFonts w:ascii="Times New Roman" w:hAnsi="Times New Roman" w:cs="Times New Roman"/>
          <w:b/>
          <w:sz w:val="18"/>
          <w:szCs w:val="18"/>
        </w:rPr>
        <w:t xml:space="preserve"> konsiderat</w:t>
      </w:r>
      <w:r w:rsidR="00D476D5" w:rsidRPr="001E3A70">
        <w:rPr>
          <w:rFonts w:ascii="Times New Roman" w:hAnsi="Times New Roman" w:cs="Times New Roman"/>
          <w:b/>
          <w:sz w:val="18"/>
          <w:szCs w:val="18"/>
        </w:rPr>
        <w:t>ë</w:t>
      </w:r>
      <w:r w:rsidR="00F1655D" w:rsidRPr="001E3A70">
        <w:rPr>
          <w:rFonts w:ascii="Times New Roman" w:hAnsi="Times New Roman" w:cs="Times New Roman"/>
          <w:b/>
          <w:sz w:val="18"/>
          <w:szCs w:val="18"/>
        </w:rPr>
        <w:t xml:space="preserve"> vlera e PBB </w:t>
      </w:r>
      <w:r w:rsidRPr="001E3A70">
        <w:rPr>
          <w:rFonts w:ascii="Times New Roman" w:hAnsi="Times New Roman" w:cs="Times New Roman"/>
          <w:b/>
          <w:sz w:val="18"/>
          <w:szCs w:val="18"/>
        </w:rPr>
        <w:t xml:space="preserve">nominale </w:t>
      </w:r>
      <w:r w:rsidR="006613A3" w:rsidRPr="001E3A70">
        <w:rPr>
          <w:rFonts w:ascii="Times New Roman" w:hAnsi="Times New Roman" w:cs="Times New Roman"/>
          <w:b/>
          <w:sz w:val="18"/>
          <w:szCs w:val="18"/>
        </w:rPr>
        <w:t>vitin</w:t>
      </w:r>
      <w:r w:rsidR="00F1655D" w:rsidRPr="001E3A70">
        <w:rPr>
          <w:rFonts w:ascii="Times New Roman" w:hAnsi="Times New Roman" w:cs="Times New Roman"/>
          <w:b/>
          <w:sz w:val="18"/>
          <w:szCs w:val="18"/>
        </w:rPr>
        <w:t xml:space="preserve"> </w:t>
      </w:r>
      <w:r w:rsidRPr="001E3A70">
        <w:rPr>
          <w:rFonts w:ascii="Times New Roman" w:hAnsi="Times New Roman" w:cs="Times New Roman"/>
          <w:b/>
          <w:sz w:val="18"/>
          <w:szCs w:val="18"/>
        </w:rPr>
        <w:t>2019</w:t>
      </w:r>
      <w:r w:rsidR="00F1655D" w:rsidRPr="001E3A70">
        <w:rPr>
          <w:rFonts w:ascii="Times New Roman" w:hAnsi="Times New Roman" w:cs="Times New Roman"/>
          <w:b/>
          <w:sz w:val="18"/>
          <w:szCs w:val="18"/>
        </w:rPr>
        <w:t xml:space="preserve"> (paraprake)</w:t>
      </w:r>
    </w:p>
    <w:p w14:paraId="66E4B174" w14:textId="77777777" w:rsidR="00E400FC" w:rsidRPr="00D476D5" w:rsidRDefault="002E50A3" w:rsidP="002064BE">
      <w:pPr>
        <w:jc w:val="both"/>
        <w:rPr>
          <w:rFonts w:ascii="Times New Roman" w:hAnsi="Times New Roman" w:cs="Times New Roman"/>
          <w:sz w:val="18"/>
          <w:szCs w:val="18"/>
        </w:rPr>
      </w:pPr>
      <w:r w:rsidRPr="009B6417">
        <w:rPr>
          <w:rFonts w:ascii="Times New Roman" w:hAnsi="Times New Roman" w:cs="Times New Roman"/>
          <w:i/>
          <w:sz w:val="24"/>
          <w:szCs w:val="24"/>
        </w:rPr>
        <w:t>Burimi: Ministria e Financave dhe Ekonomisë</w:t>
      </w:r>
      <w:r w:rsidR="003E4326">
        <w:rPr>
          <w:rFonts w:ascii="Times New Roman" w:hAnsi="Times New Roman" w:cs="Times New Roman"/>
          <w:i/>
          <w:sz w:val="24"/>
          <w:szCs w:val="24"/>
        </w:rPr>
        <w:t>, ATRAKO</w:t>
      </w:r>
      <w:r w:rsidRPr="009B6417">
        <w:rPr>
          <w:rFonts w:ascii="Times New Roman" w:hAnsi="Times New Roman" w:cs="Times New Roman"/>
          <w:i/>
          <w:sz w:val="24"/>
          <w:szCs w:val="24"/>
        </w:rPr>
        <w:t xml:space="preserve"> (20</w:t>
      </w:r>
      <w:r w:rsidR="001E3A70">
        <w:rPr>
          <w:rFonts w:ascii="Times New Roman" w:hAnsi="Times New Roman" w:cs="Times New Roman"/>
          <w:i/>
          <w:sz w:val="24"/>
          <w:szCs w:val="24"/>
        </w:rPr>
        <w:t>20</w:t>
      </w:r>
      <w:r w:rsidRPr="009B6417">
        <w:rPr>
          <w:rFonts w:ascii="Times New Roman" w:hAnsi="Times New Roman" w:cs="Times New Roman"/>
          <w:i/>
          <w:sz w:val="24"/>
          <w:szCs w:val="24"/>
        </w:rPr>
        <w:t>)</w:t>
      </w:r>
    </w:p>
    <w:p w14:paraId="6E78A36D" w14:textId="77777777" w:rsidR="00AA252A" w:rsidRPr="009B6417" w:rsidRDefault="002064BE" w:rsidP="002064BE">
      <w:pPr>
        <w:jc w:val="both"/>
        <w:rPr>
          <w:rFonts w:ascii="Times New Roman" w:hAnsi="Times New Roman" w:cs="Times New Roman"/>
          <w:sz w:val="24"/>
          <w:szCs w:val="24"/>
        </w:rPr>
      </w:pPr>
      <w:r w:rsidRPr="009B6417">
        <w:rPr>
          <w:rFonts w:ascii="Times New Roman" w:hAnsi="Times New Roman" w:cs="Times New Roman"/>
          <w:sz w:val="24"/>
          <w:szCs w:val="24"/>
        </w:rPr>
        <w:t>Për</w:t>
      </w:r>
      <w:r w:rsidR="00FB62C3" w:rsidRPr="009B6417">
        <w:rPr>
          <w:rFonts w:ascii="Times New Roman" w:hAnsi="Times New Roman" w:cs="Times New Roman"/>
          <w:sz w:val="24"/>
          <w:szCs w:val="24"/>
        </w:rPr>
        <w:t xml:space="preserve"> sa i përket formës së kërkuar t</w:t>
      </w:r>
      <w:r w:rsidRPr="009B6417">
        <w:rPr>
          <w:rFonts w:ascii="Times New Roman" w:hAnsi="Times New Roman" w:cs="Times New Roman"/>
          <w:sz w:val="24"/>
          <w:szCs w:val="24"/>
        </w:rPr>
        <w:t>ë koncesi</w:t>
      </w:r>
      <w:r w:rsidR="00711560" w:rsidRPr="009B6417">
        <w:rPr>
          <w:rFonts w:ascii="Times New Roman" w:hAnsi="Times New Roman" w:cs="Times New Roman"/>
          <w:sz w:val="24"/>
          <w:szCs w:val="24"/>
        </w:rPr>
        <w:t>oneve/</w:t>
      </w:r>
      <w:r w:rsidR="00D105DE" w:rsidRPr="009B6417">
        <w:rPr>
          <w:rFonts w:ascii="Times New Roman" w:hAnsi="Times New Roman" w:cs="Times New Roman"/>
          <w:sz w:val="24"/>
          <w:szCs w:val="24"/>
        </w:rPr>
        <w:t>PPP</w:t>
      </w:r>
      <w:r w:rsidR="007527AA" w:rsidRPr="009B6417">
        <w:rPr>
          <w:rFonts w:ascii="Times New Roman" w:hAnsi="Times New Roman" w:cs="Times New Roman"/>
          <w:sz w:val="24"/>
          <w:szCs w:val="24"/>
        </w:rPr>
        <w:t xml:space="preserve"> (shih figura </w:t>
      </w:r>
      <w:r w:rsidR="00FB62C3" w:rsidRPr="009B6417">
        <w:rPr>
          <w:rFonts w:ascii="Times New Roman" w:hAnsi="Times New Roman" w:cs="Times New Roman"/>
          <w:sz w:val="24"/>
          <w:szCs w:val="24"/>
        </w:rPr>
        <w:t>3</w:t>
      </w:r>
      <w:r w:rsidR="007527AA" w:rsidRPr="009B6417">
        <w:rPr>
          <w:rFonts w:ascii="Times New Roman" w:hAnsi="Times New Roman" w:cs="Times New Roman"/>
          <w:sz w:val="24"/>
          <w:szCs w:val="24"/>
        </w:rPr>
        <w:t xml:space="preserve">), </w:t>
      </w:r>
      <w:r w:rsidR="006A35E3">
        <w:rPr>
          <w:rFonts w:ascii="Times New Roman" w:hAnsi="Times New Roman" w:cs="Times New Roman"/>
          <w:sz w:val="24"/>
          <w:szCs w:val="24"/>
        </w:rPr>
        <w:t>12.6</w:t>
      </w:r>
      <w:r w:rsidR="00CC5C49" w:rsidRPr="009B6417">
        <w:rPr>
          <w:rFonts w:ascii="Times New Roman" w:hAnsi="Times New Roman" w:cs="Times New Roman"/>
          <w:sz w:val="24"/>
          <w:szCs w:val="24"/>
        </w:rPr>
        <w:t xml:space="preserve"> përqind</w:t>
      </w:r>
      <w:r w:rsidRPr="009B6417">
        <w:rPr>
          <w:rFonts w:ascii="Times New Roman" w:hAnsi="Times New Roman" w:cs="Times New Roman"/>
          <w:sz w:val="24"/>
          <w:szCs w:val="24"/>
        </w:rPr>
        <w:t xml:space="preserve"> e kontratave të miratuara në total janë prop</w:t>
      </w:r>
      <w:r w:rsidR="00FB62C3" w:rsidRPr="009B6417">
        <w:rPr>
          <w:rFonts w:ascii="Times New Roman" w:hAnsi="Times New Roman" w:cs="Times New Roman"/>
          <w:sz w:val="24"/>
          <w:szCs w:val="24"/>
        </w:rPr>
        <w:t>ozime të kërkuara nga autoritetet</w:t>
      </w:r>
      <w:r w:rsidRPr="009B6417">
        <w:rPr>
          <w:rFonts w:ascii="Times New Roman" w:hAnsi="Times New Roman" w:cs="Times New Roman"/>
          <w:sz w:val="24"/>
          <w:szCs w:val="24"/>
        </w:rPr>
        <w:t xml:space="preserve"> kontraktues, në kuadër të një procedure përzgjedhëse konkurruese. Ndërsa pjesa tjetër e kontratave të miratuara janë propozime të pakërkuara që u janë ofruar autoriteteve kontraktuese në fusha të ndryshme me qëllim ofrimin</w:t>
      </w:r>
      <w:r w:rsidR="00FB62C3" w:rsidRPr="009B6417">
        <w:rPr>
          <w:rFonts w:ascii="Times New Roman" w:hAnsi="Times New Roman" w:cs="Times New Roman"/>
          <w:sz w:val="24"/>
          <w:szCs w:val="24"/>
        </w:rPr>
        <w:t xml:space="preserve"> e një shërbimi/</w:t>
      </w:r>
      <w:r w:rsidR="006A35E3">
        <w:rPr>
          <w:rFonts w:ascii="Times New Roman" w:hAnsi="Times New Roman" w:cs="Times New Roman"/>
          <w:sz w:val="24"/>
          <w:szCs w:val="24"/>
        </w:rPr>
        <w:t xml:space="preserve">pune  nëpërmjet një teknologjie </w:t>
      </w:r>
      <w:r w:rsidRPr="009B6417">
        <w:rPr>
          <w:rFonts w:ascii="Times New Roman" w:hAnsi="Times New Roman" w:cs="Times New Roman"/>
          <w:sz w:val="24"/>
          <w:szCs w:val="24"/>
        </w:rPr>
        <w:t xml:space="preserve">të avancuar. </w:t>
      </w:r>
    </w:p>
    <w:p w14:paraId="25228935" w14:textId="77777777" w:rsidR="00B515FD" w:rsidRPr="009B6417" w:rsidRDefault="008F4030" w:rsidP="002064BE">
      <w:pPr>
        <w:jc w:val="both"/>
        <w:rPr>
          <w:rFonts w:ascii="Times New Roman" w:hAnsi="Times New Roman" w:cs="Times New Roman"/>
          <w:sz w:val="24"/>
          <w:szCs w:val="24"/>
        </w:rPr>
      </w:pPr>
      <w:r w:rsidRPr="009B6417">
        <w:rPr>
          <w:rFonts w:ascii="Times New Roman" w:hAnsi="Times New Roman" w:cs="Times New Roman"/>
          <w:sz w:val="24"/>
          <w:szCs w:val="24"/>
        </w:rPr>
        <w:t xml:space="preserve">Megjithatë, referuar figurës </w:t>
      </w:r>
      <w:r w:rsidR="00FB62C3" w:rsidRPr="009B6417">
        <w:rPr>
          <w:rFonts w:ascii="Times New Roman" w:hAnsi="Times New Roman" w:cs="Times New Roman"/>
          <w:sz w:val="24"/>
          <w:szCs w:val="24"/>
        </w:rPr>
        <w:t>3</w:t>
      </w:r>
      <w:r w:rsidR="002064BE" w:rsidRPr="009B6417">
        <w:rPr>
          <w:rFonts w:ascii="Times New Roman" w:hAnsi="Times New Roman" w:cs="Times New Roman"/>
          <w:sz w:val="24"/>
          <w:szCs w:val="24"/>
        </w:rPr>
        <w:t>, nga viti 2013 numri i  projekteve të kërkuara nga autoritetet kontraktuese është rritur, tregues ky i fundit i rregullimit të pjesëmarrjes së sektorit privat në ofrimin e shërbimeve/punëve publike. Gjithashtu</w:t>
      </w:r>
      <w:r w:rsidR="005E605E" w:rsidRPr="009B6417">
        <w:rPr>
          <w:rFonts w:ascii="Times New Roman" w:hAnsi="Times New Roman" w:cs="Times New Roman"/>
          <w:sz w:val="24"/>
          <w:szCs w:val="24"/>
        </w:rPr>
        <w:t>, me hyrjen n</w:t>
      </w:r>
      <w:r w:rsidR="007279A8" w:rsidRPr="009B6417">
        <w:rPr>
          <w:rFonts w:ascii="Times New Roman" w:hAnsi="Times New Roman" w:cs="Times New Roman"/>
          <w:sz w:val="24"/>
          <w:szCs w:val="24"/>
        </w:rPr>
        <w:t>ë</w:t>
      </w:r>
      <w:r w:rsidR="00FB62C3" w:rsidRPr="009B6417">
        <w:rPr>
          <w:rFonts w:ascii="Times New Roman" w:hAnsi="Times New Roman" w:cs="Times New Roman"/>
          <w:sz w:val="24"/>
          <w:szCs w:val="24"/>
        </w:rPr>
        <w:t xml:space="preserve"> fuqi të</w:t>
      </w:r>
      <w:r w:rsidR="005E605E" w:rsidRPr="009B6417">
        <w:rPr>
          <w:rFonts w:ascii="Times New Roman" w:hAnsi="Times New Roman" w:cs="Times New Roman"/>
          <w:sz w:val="24"/>
          <w:szCs w:val="24"/>
        </w:rPr>
        <w:t xml:space="preserve"> </w:t>
      </w:r>
      <w:r w:rsidR="00F140B0" w:rsidRPr="009B6417">
        <w:rPr>
          <w:rFonts w:ascii="Times New Roman" w:hAnsi="Times New Roman" w:cs="Times New Roman"/>
          <w:sz w:val="24"/>
          <w:szCs w:val="24"/>
        </w:rPr>
        <w:t xml:space="preserve">Ligjit </w:t>
      </w:r>
      <w:r w:rsidR="002E50A3" w:rsidRPr="009B6417">
        <w:rPr>
          <w:rFonts w:ascii="Times New Roman" w:hAnsi="Times New Roman" w:cs="Times New Roman"/>
          <w:sz w:val="24"/>
          <w:szCs w:val="24"/>
        </w:rPr>
        <w:t xml:space="preserve">Nr. </w:t>
      </w:r>
      <w:r w:rsidR="00F140B0" w:rsidRPr="009B6417">
        <w:rPr>
          <w:rFonts w:ascii="Times New Roman" w:hAnsi="Times New Roman" w:cs="Times New Roman"/>
          <w:sz w:val="24"/>
          <w:szCs w:val="24"/>
        </w:rPr>
        <w:t xml:space="preserve">50 datë 18.07.2019  “Për disa shtesa dhe ndryshime në Ligjin </w:t>
      </w:r>
      <w:r w:rsidR="002E50A3" w:rsidRPr="009B6417">
        <w:rPr>
          <w:rFonts w:ascii="Times New Roman" w:hAnsi="Times New Roman" w:cs="Times New Roman"/>
          <w:sz w:val="24"/>
          <w:szCs w:val="24"/>
        </w:rPr>
        <w:t>Nr.</w:t>
      </w:r>
      <w:r w:rsidR="00F140B0" w:rsidRPr="009B6417">
        <w:rPr>
          <w:rFonts w:ascii="Times New Roman" w:hAnsi="Times New Roman" w:cs="Times New Roman"/>
          <w:sz w:val="24"/>
          <w:szCs w:val="24"/>
        </w:rPr>
        <w:t xml:space="preserve"> 125/2013 “</w:t>
      </w:r>
      <w:r w:rsidR="00F140B0" w:rsidRPr="009B6417">
        <w:rPr>
          <w:rFonts w:ascii="Times New Roman" w:hAnsi="Times New Roman" w:cs="Times New Roman"/>
          <w:i/>
          <w:sz w:val="24"/>
          <w:szCs w:val="24"/>
        </w:rPr>
        <w:t>Për koncesionet dhe partneritetin publik privat</w:t>
      </w:r>
      <w:r w:rsidR="00F140B0" w:rsidRPr="009B6417">
        <w:rPr>
          <w:rFonts w:ascii="Times New Roman" w:hAnsi="Times New Roman" w:cs="Times New Roman"/>
          <w:sz w:val="24"/>
          <w:szCs w:val="24"/>
        </w:rPr>
        <w:t>”</w:t>
      </w:r>
      <w:r w:rsidR="005E605E" w:rsidRPr="009B6417">
        <w:rPr>
          <w:rFonts w:ascii="Times New Roman" w:hAnsi="Times New Roman" w:cs="Times New Roman"/>
          <w:sz w:val="24"/>
          <w:szCs w:val="24"/>
        </w:rPr>
        <w:t xml:space="preserve">, </w:t>
      </w:r>
      <w:r w:rsidR="007279A8" w:rsidRPr="009B6417">
        <w:rPr>
          <w:rFonts w:ascii="Times New Roman" w:hAnsi="Times New Roman" w:cs="Times New Roman"/>
          <w:sz w:val="24"/>
          <w:szCs w:val="24"/>
        </w:rPr>
        <w:t>ë</w:t>
      </w:r>
      <w:r w:rsidR="005E605E" w:rsidRPr="009B6417">
        <w:rPr>
          <w:rFonts w:ascii="Times New Roman" w:hAnsi="Times New Roman" w:cs="Times New Roman"/>
          <w:sz w:val="24"/>
          <w:szCs w:val="24"/>
        </w:rPr>
        <w:t>sht</w:t>
      </w:r>
      <w:r w:rsidR="007279A8" w:rsidRPr="009B6417">
        <w:rPr>
          <w:rFonts w:ascii="Times New Roman" w:hAnsi="Times New Roman" w:cs="Times New Roman"/>
          <w:sz w:val="24"/>
          <w:szCs w:val="24"/>
        </w:rPr>
        <w:t>ë</w:t>
      </w:r>
      <w:r w:rsidR="005E605E" w:rsidRPr="009B6417">
        <w:rPr>
          <w:rFonts w:ascii="Times New Roman" w:hAnsi="Times New Roman" w:cs="Times New Roman"/>
          <w:sz w:val="24"/>
          <w:szCs w:val="24"/>
        </w:rPr>
        <w:t xml:space="preserve"> kufizuar pranimi i propozimeve t</w:t>
      </w:r>
      <w:r w:rsidR="007279A8" w:rsidRPr="009B6417">
        <w:rPr>
          <w:rFonts w:ascii="Times New Roman" w:hAnsi="Times New Roman" w:cs="Times New Roman"/>
          <w:sz w:val="24"/>
          <w:szCs w:val="24"/>
        </w:rPr>
        <w:t>ë</w:t>
      </w:r>
      <w:r w:rsidR="005E605E" w:rsidRPr="009B6417">
        <w:rPr>
          <w:rFonts w:ascii="Times New Roman" w:hAnsi="Times New Roman" w:cs="Times New Roman"/>
          <w:sz w:val="24"/>
          <w:szCs w:val="24"/>
        </w:rPr>
        <w:t xml:space="preserve"> pak</w:t>
      </w:r>
      <w:r w:rsidR="007279A8" w:rsidRPr="009B6417">
        <w:rPr>
          <w:rFonts w:ascii="Times New Roman" w:hAnsi="Times New Roman" w:cs="Times New Roman"/>
          <w:sz w:val="24"/>
          <w:szCs w:val="24"/>
        </w:rPr>
        <w:t>ë</w:t>
      </w:r>
      <w:r w:rsidR="005E605E" w:rsidRPr="009B6417">
        <w:rPr>
          <w:rFonts w:ascii="Times New Roman" w:hAnsi="Times New Roman" w:cs="Times New Roman"/>
          <w:sz w:val="24"/>
          <w:szCs w:val="24"/>
        </w:rPr>
        <w:t>rkuara vet</w:t>
      </w:r>
      <w:r w:rsidR="007279A8" w:rsidRPr="009B6417">
        <w:rPr>
          <w:rFonts w:ascii="Times New Roman" w:hAnsi="Times New Roman" w:cs="Times New Roman"/>
          <w:sz w:val="24"/>
          <w:szCs w:val="24"/>
        </w:rPr>
        <w:t>ë</w:t>
      </w:r>
      <w:r w:rsidR="005E605E" w:rsidRPr="009B6417">
        <w:rPr>
          <w:rFonts w:ascii="Times New Roman" w:hAnsi="Times New Roman" w:cs="Times New Roman"/>
          <w:sz w:val="24"/>
          <w:szCs w:val="24"/>
        </w:rPr>
        <w:t>m n</w:t>
      </w:r>
      <w:r w:rsidR="007279A8" w:rsidRPr="009B6417">
        <w:rPr>
          <w:rFonts w:ascii="Times New Roman" w:hAnsi="Times New Roman" w:cs="Times New Roman"/>
          <w:sz w:val="24"/>
          <w:szCs w:val="24"/>
        </w:rPr>
        <w:t>ë</w:t>
      </w:r>
      <w:r w:rsidR="005E605E" w:rsidRPr="009B6417">
        <w:rPr>
          <w:rFonts w:ascii="Times New Roman" w:hAnsi="Times New Roman" w:cs="Times New Roman"/>
          <w:sz w:val="24"/>
          <w:szCs w:val="24"/>
        </w:rPr>
        <w:t xml:space="preserve"> porte, aeroporte dhe sektorin e energjis</w:t>
      </w:r>
      <w:r w:rsidR="007279A8" w:rsidRPr="009B6417">
        <w:rPr>
          <w:rFonts w:ascii="Times New Roman" w:hAnsi="Times New Roman" w:cs="Times New Roman"/>
          <w:sz w:val="24"/>
          <w:szCs w:val="24"/>
        </w:rPr>
        <w:t>ë</w:t>
      </w:r>
      <w:r w:rsidR="005E605E" w:rsidRPr="009B6417">
        <w:rPr>
          <w:rFonts w:ascii="Times New Roman" w:hAnsi="Times New Roman" w:cs="Times New Roman"/>
          <w:sz w:val="24"/>
          <w:szCs w:val="24"/>
        </w:rPr>
        <w:t xml:space="preserve"> dhe </w:t>
      </w:r>
      <w:r w:rsidR="00F140B0" w:rsidRPr="009B6417">
        <w:rPr>
          <w:rFonts w:ascii="Times New Roman" w:hAnsi="Times New Roman" w:cs="Times New Roman"/>
          <w:sz w:val="24"/>
          <w:szCs w:val="24"/>
        </w:rPr>
        <w:t>jan</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 hequr propozimet e pak</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rkuara</w:t>
      </w:r>
      <w:r w:rsidR="002064BE" w:rsidRPr="009B6417">
        <w:rPr>
          <w:rFonts w:ascii="Times New Roman" w:hAnsi="Times New Roman" w:cs="Times New Roman"/>
          <w:sz w:val="24"/>
          <w:szCs w:val="24"/>
        </w:rPr>
        <w:t xml:space="preserve"> </w:t>
      </w:r>
      <w:r w:rsidR="005E605E" w:rsidRPr="009B6417">
        <w:rPr>
          <w:rFonts w:ascii="Times New Roman" w:hAnsi="Times New Roman" w:cs="Times New Roman"/>
          <w:sz w:val="24"/>
          <w:szCs w:val="24"/>
        </w:rPr>
        <w:t>në t</w:t>
      </w:r>
      <w:r w:rsidR="007279A8" w:rsidRPr="009B6417">
        <w:rPr>
          <w:rFonts w:ascii="Times New Roman" w:hAnsi="Times New Roman" w:cs="Times New Roman"/>
          <w:sz w:val="24"/>
          <w:szCs w:val="24"/>
        </w:rPr>
        <w:t>ë</w:t>
      </w:r>
      <w:r w:rsidR="005E605E" w:rsidRPr="009B6417">
        <w:rPr>
          <w:rFonts w:ascii="Times New Roman" w:hAnsi="Times New Roman" w:cs="Times New Roman"/>
          <w:sz w:val="24"/>
          <w:szCs w:val="24"/>
        </w:rPr>
        <w:t xml:space="preserve"> gjitha fushat e dh</w:t>
      </w:r>
      <w:r w:rsidR="007279A8" w:rsidRPr="009B6417">
        <w:rPr>
          <w:rFonts w:ascii="Times New Roman" w:hAnsi="Times New Roman" w:cs="Times New Roman"/>
          <w:sz w:val="24"/>
          <w:szCs w:val="24"/>
        </w:rPr>
        <w:t>ë</w:t>
      </w:r>
      <w:r w:rsidR="005E605E" w:rsidRPr="009B6417">
        <w:rPr>
          <w:rFonts w:ascii="Times New Roman" w:hAnsi="Times New Roman" w:cs="Times New Roman"/>
          <w:sz w:val="24"/>
          <w:szCs w:val="24"/>
        </w:rPr>
        <w:t>nies me koncesion</w:t>
      </w:r>
      <w:r w:rsidR="00FB62C3" w:rsidRPr="009B6417">
        <w:rPr>
          <w:rFonts w:ascii="Times New Roman" w:hAnsi="Times New Roman" w:cs="Times New Roman"/>
          <w:sz w:val="24"/>
          <w:szCs w:val="24"/>
        </w:rPr>
        <w:t>/PPP</w:t>
      </w:r>
      <w:r w:rsidR="005E605E" w:rsidRPr="009B6417">
        <w:rPr>
          <w:rFonts w:ascii="Times New Roman" w:hAnsi="Times New Roman" w:cs="Times New Roman"/>
          <w:sz w:val="24"/>
          <w:szCs w:val="24"/>
        </w:rPr>
        <w:t xml:space="preserve"> </w:t>
      </w:r>
      <w:r w:rsidR="00F140B0" w:rsidRPr="009B6417">
        <w:rPr>
          <w:rFonts w:ascii="Times New Roman" w:hAnsi="Times New Roman" w:cs="Times New Roman"/>
          <w:sz w:val="24"/>
          <w:szCs w:val="24"/>
        </w:rPr>
        <w:t>q</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 xml:space="preserve"> p</w:t>
      </w:r>
      <w:r w:rsidR="00B761DA" w:rsidRPr="009B6417">
        <w:rPr>
          <w:rFonts w:ascii="Times New Roman" w:hAnsi="Times New Roman" w:cs="Times New Roman"/>
          <w:sz w:val="24"/>
          <w:szCs w:val="24"/>
        </w:rPr>
        <w:t>ë</w:t>
      </w:r>
      <w:r w:rsidR="00F140B0" w:rsidRPr="009B6417">
        <w:rPr>
          <w:rFonts w:ascii="Times New Roman" w:hAnsi="Times New Roman" w:cs="Times New Roman"/>
          <w:sz w:val="24"/>
          <w:szCs w:val="24"/>
        </w:rPr>
        <w:t>rcakton</w:t>
      </w:r>
      <w:r w:rsidR="005E605E" w:rsidRPr="009B6417">
        <w:rPr>
          <w:rFonts w:ascii="Times New Roman" w:hAnsi="Times New Roman" w:cs="Times New Roman"/>
          <w:sz w:val="24"/>
          <w:szCs w:val="24"/>
        </w:rPr>
        <w:t xml:space="preserve"> </w:t>
      </w:r>
      <w:r w:rsidR="00F140B0" w:rsidRPr="009B6417">
        <w:rPr>
          <w:rFonts w:ascii="Times New Roman" w:hAnsi="Times New Roman" w:cs="Times New Roman"/>
          <w:sz w:val="24"/>
          <w:szCs w:val="24"/>
        </w:rPr>
        <w:t>L</w:t>
      </w:r>
      <w:r w:rsidR="005E605E" w:rsidRPr="009B6417">
        <w:rPr>
          <w:rFonts w:ascii="Times New Roman" w:hAnsi="Times New Roman" w:cs="Times New Roman"/>
          <w:sz w:val="24"/>
          <w:szCs w:val="24"/>
        </w:rPr>
        <w:t xml:space="preserve">igji </w:t>
      </w:r>
      <w:r w:rsidR="002E50A3" w:rsidRPr="009B6417">
        <w:rPr>
          <w:rFonts w:ascii="Times New Roman" w:hAnsi="Times New Roman" w:cs="Times New Roman"/>
          <w:sz w:val="24"/>
          <w:szCs w:val="24"/>
        </w:rPr>
        <w:t>Nr.</w:t>
      </w:r>
      <w:r w:rsidR="005E605E" w:rsidRPr="009B6417">
        <w:rPr>
          <w:rFonts w:ascii="Times New Roman" w:hAnsi="Times New Roman" w:cs="Times New Roman"/>
          <w:sz w:val="24"/>
          <w:szCs w:val="24"/>
        </w:rPr>
        <w:t xml:space="preserve"> 125/2013</w:t>
      </w:r>
      <w:r w:rsidR="002A5B5F">
        <w:rPr>
          <w:rFonts w:ascii="Times New Roman" w:hAnsi="Times New Roman" w:cs="Times New Roman"/>
          <w:sz w:val="24"/>
          <w:szCs w:val="24"/>
        </w:rPr>
        <w:t>,</w:t>
      </w:r>
      <w:r w:rsidR="005E605E" w:rsidRPr="009B6417">
        <w:rPr>
          <w:rFonts w:ascii="Times New Roman" w:hAnsi="Times New Roman" w:cs="Times New Roman"/>
          <w:sz w:val="24"/>
          <w:szCs w:val="24"/>
        </w:rPr>
        <w:t xml:space="preserve"> </w:t>
      </w:r>
      <w:r w:rsidR="00F140B0" w:rsidRPr="009B6417">
        <w:rPr>
          <w:rFonts w:ascii="Times New Roman" w:hAnsi="Times New Roman" w:cs="Times New Roman"/>
          <w:sz w:val="24"/>
          <w:szCs w:val="24"/>
        </w:rPr>
        <w:t>i</w:t>
      </w:r>
      <w:r w:rsidR="005E605E" w:rsidRPr="009B6417">
        <w:rPr>
          <w:rFonts w:ascii="Times New Roman" w:hAnsi="Times New Roman" w:cs="Times New Roman"/>
          <w:sz w:val="24"/>
          <w:szCs w:val="24"/>
        </w:rPr>
        <w:t xml:space="preserve"> ndryshuar.</w:t>
      </w:r>
    </w:p>
    <w:p w14:paraId="38F66C6E" w14:textId="77777777" w:rsidR="002E50A3" w:rsidRPr="00184E09" w:rsidRDefault="006A4324" w:rsidP="006B6D4D">
      <w:pPr>
        <w:pStyle w:val="Caption"/>
      </w:pPr>
      <w:bookmarkStart w:id="16" w:name="_Toc18257828"/>
      <w:bookmarkStart w:id="17" w:name="_Toc19882533"/>
      <w:bookmarkStart w:id="18" w:name="_Toc34919490"/>
      <w:r>
        <w:rPr>
          <w:noProof/>
          <w:lang w:val="en-US"/>
        </w:rPr>
        <w:lastRenderedPageBreak/>
        <w:drawing>
          <wp:anchor distT="0" distB="0" distL="114300" distR="114300" simplePos="0" relativeHeight="251645952" behindDoc="1" locked="0" layoutInCell="1" allowOverlap="1" wp14:anchorId="73C534AA" wp14:editId="6F826081">
            <wp:simplePos x="0" y="0"/>
            <wp:positionH relativeFrom="column">
              <wp:posOffset>9525</wp:posOffset>
            </wp:positionH>
            <wp:positionV relativeFrom="paragraph">
              <wp:posOffset>363220</wp:posOffset>
            </wp:positionV>
            <wp:extent cx="6267450" cy="2286000"/>
            <wp:effectExtent l="0" t="0" r="0" b="0"/>
            <wp:wrapTight wrapText="bothSides">
              <wp:wrapPolygon edited="0">
                <wp:start x="0" y="0"/>
                <wp:lineTo x="0" y="21420"/>
                <wp:lineTo x="21534" y="21420"/>
                <wp:lineTo x="21534"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157FE0" w:rsidRPr="009B6417">
        <w:t>F</w:t>
      </w:r>
      <w:r w:rsidR="00157FE0" w:rsidRPr="00184E09">
        <w:t xml:space="preserve">igura </w:t>
      </w:r>
      <w:r w:rsidR="00E54EC8">
        <w:fldChar w:fldCharType="begin"/>
      </w:r>
      <w:r w:rsidR="00815B1B">
        <w:instrText xml:space="preserve"> SEQ Figura \* ARABIC </w:instrText>
      </w:r>
      <w:r w:rsidR="00E54EC8">
        <w:fldChar w:fldCharType="separate"/>
      </w:r>
      <w:r w:rsidR="00130EDE">
        <w:rPr>
          <w:noProof/>
        </w:rPr>
        <w:t>3</w:t>
      </w:r>
      <w:r w:rsidR="00E54EC8">
        <w:rPr>
          <w:noProof/>
        </w:rPr>
        <w:fldChar w:fldCharType="end"/>
      </w:r>
      <w:r w:rsidR="00157FE0" w:rsidRPr="00184E09">
        <w:t xml:space="preserve">: </w:t>
      </w:r>
      <w:r w:rsidR="002064BE" w:rsidRPr="00184E09">
        <w:t>Projekte Koncesion/PPP të kërkuara dhe të pakërkuara (</w:t>
      </w:r>
      <w:r w:rsidR="002E50A3" w:rsidRPr="00184E09">
        <w:t>Nr.</w:t>
      </w:r>
      <w:r w:rsidR="002064BE" w:rsidRPr="00184E09">
        <w:t>), 2004-2019</w:t>
      </w:r>
      <w:bookmarkEnd w:id="16"/>
      <w:bookmarkEnd w:id="17"/>
      <w:bookmarkEnd w:id="18"/>
    </w:p>
    <w:p w14:paraId="60AA77F3" w14:textId="77777777" w:rsidR="002E50A3" w:rsidRPr="003C2F4F" w:rsidRDefault="002E50A3" w:rsidP="006B6D4D">
      <w:pPr>
        <w:pStyle w:val="Caption"/>
      </w:pPr>
      <w:r w:rsidRPr="006A35E3">
        <w:t xml:space="preserve">Burimi: </w:t>
      </w:r>
      <w:r w:rsidR="003E4326">
        <w:t>ATRAKO</w:t>
      </w:r>
      <w:r w:rsidR="001E3A70">
        <w:t xml:space="preserve"> (2020</w:t>
      </w:r>
      <w:r w:rsidRPr="003C2F4F">
        <w:t>)</w:t>
      </w:r>
    </w:p>
    <w:p w14:paraId="06C883C4" w14:textId="77777777" w:rsidR="00361982" w:rsidRPr="003C2F4F" w:rsidRDefault="00361982" w:rsidP="00361982">
      <w:pPr>
        <w:rPr>
          <w:rFonts w:ascii="Times New Roman" w:hAnsi="Times New Roman" w:cs="Times New Roman"/>
          <w:sz w:val="8"/>
          <w:szCs w:val="24"/>
        </w:rPr>
      </w:pPr>
    </w:p>
    <w:p w14:paraId="5573AB8D" w14:textId="77777777" w:rsidR="00FC39DC" w:rsidRPr="0073521A" w:rsidRDefault="00FC39DC" w:rsidP="00361982">
      <w:pPr>
        <w:jc w:val="both"/>
        <w:rPr>
          <w:rFonts w:ascii="Times New Roman" w:hAnsi="Times New Roman" w:cs="Times New Roman"/>
          <w:sz w:val="24"/>
          <w:szCs w:val="24"/>
        </w:rPr>
      </w:pPr>
      <w:r w:rsidRPr="0073521A">
        <w:rPr>
          <w:rFonts w:ascii="Times New Roman" w:hAnsi="Times New Roman" w:cs="Times New Roman"/>
          <w:sz w:val="24"/>
          <w:szCs w:val="24"/>
        </w:rPr>
        <w:t>Referuar figur</w:t>
      </w:r>
      <w:r w:rsidR="00361982" w:rsidRPr="0073521A">
        <w:rPr>
          <w:rFonts w:ascii="Times New Roman" w:hAnsi="Times New Roman" w:cs="Times New Roman"/>
          <w:sz w:val="24"/>
          <w:szCs w:val="24"/>
        </w:rPr>
        <w:t>ë</w:t>
      </w:r>
      <w:r w:rsidRPr="0073521A">
        <w:rPr>
          <w:rFonts w:ascii="Times New Roman" w:hAnsi="Times New Roman" w:cs="Times New Roman"/>
          <w:sz w:val="24"/>
          <w:szCs w:val="24"/>
        </w:rPr>
        <w:t>s 4, numri total i kontratave koncesionare/PPP t</w:t>
      </w:r>
      <w:r w:rsidR="00361982" w:rsidRPr="0073521A">
        <w:rPr>
          <w:rFonts w:ascii="Times New Roman" w:hAnsi="Times New Roman" w:cs="Times New Roman"/>
          <w:sz w:val="24"/>
          <w:szCs w:val="24"/>
        </w:rPr>
        <w:t>ë</w:t>
      </w:r>
      <w:r w:rsidRPr="0073521A">
        <w:rPr>
          <w:rFonts w:ascii="Times New Roman" w:hAnsi="Times New Roman" w:cs="Times New Roman"/>
          <w:sz w:val="24"/>
          <w:szCs w:val="24"/>
        </w:rPr>
        <w:t xml:space="preserve"> miratuara p</w:t>
      </w:r>
      <w:r w:rsidR="00361982" w:rsidRPr="0073521A">
        <w:rPr>
          <w:rFonts w:ascii="Times New Roman" w:hAnsi="Times New Roman" w:cs="Times New Roman"/>
          <w:sz w:val="24"/>
          <w:szCs w:val="24"/>
        </w:rPr>
        <w:t>ë</w:t>
      </w:r>
      <w:r w:rsidRPr="0073521A">
        <w:rPr>
          <w:rFonts w:ascii="Times New Roman" w:hAnsi="Times New Roman" w:cs="Times New Roman"/>
          <w:sz w:val="24"/>
          <w:szCs w:val="24"/>
        </w:rPr>
        <w:t>r periudh</w:t>
      </w:r>
      <w:r w:rsidR="00361982" w:rsidRPr="0073521A">
        <w:rPr>
          <w:rFonts w:ascii="Times New Roman" w:hAnsi="Times New Roman" w:cs="Times New Roman"/>
          <w:sz w:val="24"/>
          <w:szCs w:val="24"/>
        </w:rPr>
        <w:t>ë</w:t>
      </w:r>
      <w:r w:rsidRPr="0073521A">
        <w:rPr>
          <w:rFonts w:ascii="Times New Roman" w:hAnsi="Times New Roman" w:cs="Times New Roman"/>
          <w:sz w:val="24"/>
          <w:szCs w:val="24"/>
        </w:rPr>
        <w:t>n 2004-2013 sh</w:t>
      </w:r>
      <w:r w:rsidR="00361982" w:rsidRPr="0073521A">
        <w:rPr>
          <w:rFonts w:ascii="Times New Roman" w:hAnsi="Times New Roman" w:cs="Times New Roman"/>
          <w:sz w:val="24"/>
          <w:szCs w:val="24"/>
        </w:rPr>
        <w:t>ë</w:t>
      </w:r>
      <w:r w:rsidRPr="0073521A">
        <w:rPr>
          <w:rFonts w:ascii="Times New Roman" w:hAnsi="Times New Roman" w:cs="Times New Roman"/>
          <w:sz w:val="24"/>
          <w:szCs w:val="24"/>
        </w:rPr>
        <w:t>non vler</w:t>
      </w:r>
      <w:r w:rsidR="00361982" w:rsidRPr="0073521A">
        <w:rPr>
          <w:rFonts w:ascii="Times New Roman" w:hAnsi="Times New Roman" w:cs="Times New Roman"/>
          <w:sz w:val="24"/>
          <w:szCs w:val="24"/>
        </w:rPr>
        <w:t>ë</w:t>
      </w:r>
      <w:r w:rsidRPr="0073521A">
        <w:rPr>
          <w:rFonts w:ascii="Times New Roman" w:hAnsi="Times New Roman" w:cs="Times New Roman"/>
          <w:sz w:val="24"/>
          <w:szCs w:val="24"/>
        </w:rPr>
        <w:t>n 176 n</w:t>
      </w:r>
      <w:r w:rsidR="00361982" w:rsidRPr="0073521A">
        <w:rPr>
          <w:rFonts w:ascii="Times New Roman" w:hAnsi="Times New Roman" w:cs="Times New Roman"/>
          <w:sz w:val="24"/>
          <w:szCs w:val="24"/>
        </w:rPr>
        <w:t>ë</w:t>
      </w:r>
      <w:r w:rsidRPr="0073521A">
        <w:rPr>
          <w:rFonts w:ascii="Times New Roman" w:hAnsi="Times New Roman" w:cs="Times New Roman"/>
          <w:sz w:val="24"/>
          <w:szCs w:val="24"/>
        </w:rPr>
        <w:t xml:space="preserve"> total, nd</w:t>
      </w:r>
      <w:r w:rsidR="00361982" w:rsidRPr="0073521A">
        <w:rPr>
          <w:rFonts w:ascii="Times New Roman" w:hAnsi="Times New Roman" w:cs="Times New Roman"/>
          <w:sz w:val="24"/>
          <w:szCs w:val="24"/>
        </w:rPr>
        <w:t>ë</w:t>
      </w:r>
      <w:r w:rsidR="006570C5">
        <w:rPr>
          <w:rFonts w:ascii="Times New Roman" w:hAnsi="Times New Roman" w:cs="Times New Roman"/>
          <w:sz w:val="24"/>
          <w:szCs w:val="24"/>
        </w:rPr>
        <w:t xml:space="preserve">rsa </w:t>
      </w:r>
      <w:r w:rsidRPr="0073521A">
        <w:rPr>
          <w:rFonts w:ascii="Times New Roman" w:hAnsi="Times New Roman" w:cs="Times New Roman"/>
          <w:sz w:val="24"/>
          <w:szCs w:val="24"/>
        </w:rPr>
        <w:t>gjat</w:t>
      </w:r>
      <w:r w:rsidR="00361982" w:rsidRPr="0073521A">
        <w:rPr>
          <w:rFonts w:ascii="Times New Roman" w:hAnsi="Times New Roman" w:cs="Times New Roman"/>
          <w:sz w:val="24"/>
          <w:szCs w:val="24"/>
        </w:rPr>
        <w:t>ë</w:t>
      </w:r>
      <w:r w:rsidRPr="0073521A">
        <w:rPr>
          <w:rFonts w:ascii="Times New Roman" w:hAnsi="Times New Roman" w:cs="Times New Roman"/>
          <w:sz w:val="24"/>
          <w:szCs w:val="24"/>
        </w:rPr>
        <w:t xml:space="preserve"> periudh</w:t>
      </w:r>
      <w:r w:rsidR="00361982" w:rsidRPr="0073521A">
        <w:rPr>
          <w:rFonts w:ascii="Times New Roman" w:hAnsi="Times New Roman" w:cs="Times New Roman"/>
          <w:sz w:val="24"/>
          <w:szCs w:val="24"/>
        </w:rPr>
        <w:t>ë</w:t>
      </w:r>
      <w:r w:rsidRPr="0073521A">
        <w:rPr>
          <w:rFonts w:ascii="Times New Roman" w:hAnsi="Times New Roman" w:cs="Times New Roman"/>
          <w:sz w:val="24"/>
          <w:szCs w:val="24"/>
        </w:rPr>
        <w:t>s 2014-2019</w:t>
      </w:r>
      <w:r w:rsidR="00C305DF" w:rsidRPr="0073521A">
        <w:rPr>
          <w:rFonts w:ascii="Times New Roman" w:hAnsi="Times New Roman" w:cs="Times New Roman"/>
          <w:sz w:val="24"/>
          <w:szCs w:val="24"/>
        </w:rPr>
        <w:t xml:space="preserve"> janë miratuar </w:t>
      </w:r>
      <w:r w:rsidR="006A4324">
        <w:rPr>
          <w:rFonts w:ascii="Times New Roman" w:hAnsi="Times New Roman" w:cs="Times New Roman"/>
          <w:sz w:val="24"/>
          <w:szCs w:val="24"/>
        </w:rPr>
        <w:t xml:space="preserve">48 </w:t>
      </w:r>
      <w:r w:rsidR="00361982" w:rsidRPr="0073521A">
        <w:rPr>
          <w:rFonts w:ascii="Times New Roman" w:hAnsi="Times New Roman" w:cs="Times New Roman"/>
          <w:sz w:val="24"/>
          <w:szCs w:val="24"/>
        </w:rPr>
        <w:t>ko</w:t>
      </w:r>
      <w:r w:rsidR="006A4324">
        <w:rPr>
          <w:rFonts w:ascii="Times New Roman" w:hAnsi="Times New Roman" w:cs="Times New Roman"/>
          <w:sz w:val="24"/>
          <w:szCs w:val="24"/>
        </w:rPr>
        <w:t>ntrata koncesionare/PPP ose 73</w:t>
      </w:r>
      <w:r w:rsidR="00361982" w:rsidRPr="0073521A">
        <w:rPr>
          <w:rFonts w:ascii="Times New Roman" w:hAnsi="Times New Roman" w:cs="Times New Roman"/>
          <w:sz w:val="24"/>
          <w:szCs w:val="24"/>
        </w:rPr>
        <w:t xml:space="preserve"> përqind më pak krahasuar me periudhën 2004-2013.</w:t>
      </w:r>
    </w:p>
    <w:p w14:paraId="518926A6" w14:textId="77777777" w:rsidR="00B175F8" w:rsidRPr="00B175F8" w:rsidRDefault="006A4324" w:rsidP="006B6D4D">
      <w:pPr>
        <w:pStyle w:val="Caption"/>
      </w:pPr>
      <w:bookmarkStart w:id="19" w:name="_Toc34919491"/>
      <w:r>
        <w:rPr>
          <w:noProof/>
          <w:lang w:val="en-US"/>
        </w:rPr>
        <w:drawing>
          <wp:anchor distT="0" distB="0" distL="114300" distR="114300" simplePos="0" relativeHeight="251646976" behindDoc="1" locked="0" layoutInCell="1" allowOverlap="1" wp14:anchorId="77BD33B7" wp14:editId="3075E140">
            <wp:simplePos x="0" y="0"/>
            <wp:positionH relativeFrom="column">
              <wp:posOffset>47625</wp:posOffset>
            </wp:positionH>
            <wp:positionV relativeFrom="paragraph">
              <wp:posOffset>409575</wp:posOffset>
            </wp:positionV>
            <wp:extent cx="6219825" cy="2276475"/>
            <wp:effectExtent l="0" t="0" r="9525" b="9525"/>
            <wp:wrapTight wrapText="bothSides">
              <wp:wrapPolygon edited="0">
                <wp:start x="0" y="0"/>
                <wp:lineTo x="0" y="21510"/>
                <wp:lineTo x="21567" y="21510"/>
                <wp:lineTo x="21567" y="0"/>
                <wp:lineTo x="0" y="0"/>
              </wp:wrapPolygon>
            </wp:wrapTight>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FC39DC" w:rsidRPr="00B175F8">
        <w:t xml:space="preserve">Figura </w:t>
      </w:r>
      <w:r w:rsidR="00E54EC8" w:rsidRPr="00B175F8">
        <w:fldChar w:fldCharType="begin"/>
      </w:r>
      <w:r w:rsidR="00815B1B" w:rsidRPr="00B175F8">
        <w:instrText xml:space="preserve"> SEQ Figura \* ARABIC </w:instrText>
      </w:r>
      <w:r w:rsidR="00E54EC8" w:rsidRPr="00B175F8">
        <w:fldChar w:fldCharType="separate"/>
      </w:r>
      <w:r w:rsidR="00130EDE">
        <w:rPr>
          <w:noProof/>
        </w:rPr>
        <w:t>4</w:t>
      </w:r>
      <w:r w:rsidR="00E54EC8" w:rsidRPr="00B175F8">
        <w:rPr>
          <w:noProof/>
        </w:rPr>
        <w:fldChar w:fldCharType="end"/>
      </w:r>
      <w:r w:rsidR="00FC39DC" w:rsidRPr="00B175F8">
        <w:t>: Numri total i kontratave koncesionare/PPP t</w:t>
      </w:r>
      <w:r w:rsidR="00326626" w:rsidRPr="00B175F8">
        <w:t>ë</w:t>
      </w:r>
      <w:r w:rsidR="00FC39DC" w:rsidRPr="00B175F8">
        <w:t xml:space="preserve"> miratuara p</w:t>
      </w:r>
      <w:r w:rsidR="00326626" w:rsidRPr="00B175F8">
        <w:t>ë</w:t>
      </w:r>
      <w:r w:rsidR="00FC39DC" w:rsidRPr="00B175F8">
        <w:t>r periudhat 2004-2013 dhe 2014-2019</w:t>
      </w:r>
      <w:bookmarkEnd w:id="19"/>
    </w:p>
    <w:p w14:paraId="159C93C3" w14:textId="77777777" w:rsidR="009E1323" w:rsidRDefault="00FC39DC" w:rsidP="006B6D4D">
      <w:pPr>
        <w:pStyle w:val="Caption"/>
      </w:pPr>
      <w:r w:rsidRPr="006A35E3">
        <w:t xml:space="preserve">Burimi: </w:t>
      </w:r>
      <w:r w:rsidR="003E4326">
        <w:t>ATRAKO</w:t>
      </w:r>
      <w:r w:rsidR="001E3A70">
        <w:t xml:space="preserve"> (2020</w:t>
      </w:r>
      <w:r w:rsidRPr="003C2F4F">
        <w:t>)</w:t>
      </w:r>
    </w:p>
    <w:p w14:paraId="32DD5112" w14:textId="77777777" w:rsidR="009E1323" w:rsidRPr="009E1323" w:rsidRDefault="009E1323" w:rsidP="009E1323">
      <w:pPr>
        <w:rPr>
          <w:sz w:val="14"/>
        </w:rPr>
      </w:pPr>
    </w:p>
    <w:p w14:paraId="6F7BDFFA" w14:textId="77777777" w:rsidR="005C0E0B" w:rsidRPr="009B6417" w:rsidRDefault="00711560" w:rsidP="00711560">
      <w:pPr>
        <w:tabs>
          <w:tab w:val="left" w:pos="3553"/>
        </w:tabs>
        <w:jc w:val="both"/>
        <w:rPr>
          <w:rFonts w:ascii="Times New Roman" w:hAnsi="Times New Roman" w:cs="Times New Roman"/>
          <w:sz w:val="24"/>
          <w:szCs w:val="24"/>
        </w:rPr>
      </w:pPr>
      <w:r w:rsidRPr="009B6417">
        <w:rPr>
          <w:rFonts w:ascii="Times New Roman" w:hAnsi="Times New Roman" w:cs="Times New Roman"/>
          <w:sz w:val="24"/>
          <w:szCs w:val="24"/>
        </w:rPr>
        <w:t xml:space="preserve">Në total, numri i </w:t>
      </w:r>
      <w:r w:rsidR="005E605E" w:rsidRPr="009B6417">
        <w:rPr>
          <w:rFonts w:ascii="Times New Roman" w:hAnsi="Times New Roman" w:cs="Times New Roman"/>
          <w:sz w:val="24"/>
          <w:szCs w:val="24"/>
        </w:rPr>
        <w:t>kontratave t</w:t>
      </w:r>
      <w:r w:rsidR="007279A8" w:rsidRPr="009B6417">
        <w:rPr>
          <w:rFonts w:ascii="Times New Roman" w:hAnsi="Times New Roman" w:cs="Times New Roman"/>
          <w:sz w:val="24"/>
          <w:szCs w:val="24"/>
        </w:rPr>
        <w:t>ë</w:t>
      </w:r>
      <w:r w:rsidR="005E605E" w:rsidRPr="009B6417">
        <w:rPr>
          <w:rFonts w:ascii="Times New Roman" w:hAnsi="Times New Roman" w:cs="Times New Roman"/>
          <w:sz w:val="24"/>
          <w:szCs w:val="24"/>
        </w:rPr>
        <w:t xml:space="preserve"> dh</w:t>
      </w:r>
      <w:r w:rsidR="007279A8" w:rsidRPr="009B6417">
        <w:rPr>
          <w:rFonts w:ascii="Times New Roman" w:hAnsi="Times New Roman" w:cs="Times New Roman"/>
          <w:sz w:val="24"/>
          <w:szCs w:val="24"/>
        </w:rPr>
        <w:t>ë</w:t>
      </w:r>
      <w:r w:rsidR="005E605E" w:rsidRPr="009B6417">
        <w:rPr>
          <w:rFonts w:ascii="Times New Roman" w:hAnsi="Times New Roman" w:cs="Times New Roman"/>
          <w:sz w:val="24"/>
          <w:szCs w:val="24"/>
        </w:rPr>
        <w:t>na</w:t>
      </w:r>
      <w:r w:rsidRPr="009B6417">
        <w:rPr>
          <w:rFonts w:ascii="Times New Roman" w:hAnsi="Times New Roman" w:cs="Times New Roman"/>
          <w:sz w:val="24"/>
          <w:szCs w:val="24"/>
        </w:rPr>
        <w:t xml:space="preserve"> me koncesion/PPP në R.Sh </w:t>
      </w:r>
      <w:r w:rsidR="006C2209" w:rsidRPr="009B6417">
        <w:rPr>
          <w:rFonts w:ascii="Times New Roman" w:hAnsi="Times New Roman" w:cs="Times New Roman"/>
          <w:sz w:val="24"/>
          <w:szCs w:val="24"/>
        </w:rPr>
        <w:t>deri në</w:t>
      </w:r>
      <w:r w:rsidRPr="009B6417">
        <w:rPr>
          <w:rFonts w:ascii="Times New Roman" w:hAnsi="Times New Roman" w:cs="Times New Roman"/>
          <w:sz w:val="24"/>
          <w:szCs w:val="24"/>
        </w:rPr>
        <w:t xml:space="preserve"> vitin 2019 shënon </w:t>
      </w:r>
      <w:r w:rsidR="007428EA">
        <w:rPr>
          <w:rFonts w:ascii="Times New Roman" w:hAnsi="Times New Roman" w:cs="Times New Roman"/>
          <w:sz w:val="24"/>
          <w:szCs w:val="24"/>
        </w:rPr>
        <w:t>224</w:t>
      </w:r>
      <w:r w:rsidRPr="009B6417">
        <w:rPr>
          <w:rFonts w:ascii="Times New Roman" w:hAnsi="Times New Roman" w:cs="Times New Roman"/>
          <w:sz w:val="24"/>
          <w:szCs w:val="24"/>
        </w:rPr>
        <w:t xml:space="preserve"> </w:t>
      </w:r>
      <w:r w:rsidR="005E605E" w:rsidRPr="009B6417">
        <w:rPr>
          <w:rFonts w:ascii="Times New Roman" w:hAnsi="Times New Roman" w:cs="Times New Roman"/>
          <w:sz w:val="24"/>
          <w:szCs w:val="24"/>
        </w:rPr>
        <w:t>kontrata</w:t>
      </w:r>
      <w:r w:rsidRPr="009B6417">
        <w:rPr>
          <w:rFonts w:ascii="Times New Roman" w:hAnsi="Times New Roman" w:cs="Times New Roman"/>
          <w:sz w:val="24"/>
          <w:szCs w:val="24"/>
        </w:rPr>
        <w:t>, ku numri më i madh i tyre ka si Autoritet Kontraktues</w:t>
      </w:r>
      <w:r w:rsidR="009A3149" w:rsidRPr="009B6417">
        <w:rPr>
          <w:rFonts w:ascii="Times New Roman" w:hAnsi="Times New Roman" w:cs="Times New Roman"/>
          <w:sz w:val="24"/>
          <w:szCs w:val="24"/>
        </w:rPr>
        <w:t xml:space="preserve"> Ministrinë e Infrastrukturës dhe Energjisë</w:t>
      </w:r>
      <w:r w:rsidRPr="009B6417">
        <w:rPr>
          <w:rFonts w:ascii="Times New Roman" w:hAnsi="Times New Roman" w:cs="Times New Roman"/>
          <w:sz w:val="24"/>
          <w:szCs w:val="24"/>
        </w:rPr>
        <w:t xml:space="preserve">, </w:t>
      </w:r>
      <w:r w:rsidR="00F8474B">
        <w:rPr>
          <w:rFonts w:ascii="Times New Roman" w:hAnsi="Times New Roman" w:cs="Times New Roman"/>
          <w:sz w:val="24"/>
          <w:szCs w:val="24"/>
        </w:rPr>
        <w:t>me 206 kontrata koncesionare/PPP</w:t>
      </w:r>
      <w:r w:rsidR="00361982" w:rsidRPr="009B6417">
        <w:rPr>
          <w:rFonts w:ascii="Times New Roman" w:hAnsi="Times New Roman" w:cs="Times New Roman"/>
          <w:sz w:val="24"/>
          <w:szCs w:val="24"/>
        </w:rPr>
        <w:t xml:space="preserve"> (shih Figura 5</w:t>
      </w:r>
      <w:r w:rsidR="007E4A10" w:rsidRPr="009B6417">
        <w:rPr>
          <w:rFonts w:ascii="Times New Roman" w:hAnsi="Times New Roman" w:cs="Times New Roman"/>
          <w:sz w:val="24"/>
          <w:szCs w:val="24"/>
        </w:rPr>
        <w:t>).</w:t>
      </w:r>
      <w:r w:rsidR="00DE18A1" w:rsidRPr="009B6417">
        <w:rPr>
          <w:rFonts w:ascii="Times New Roman" w:hAnsi="Times New Roman" w:cs="Times New Roman"/>
          <w:sz w:val="24"/>
          <w:szCs w:val="24"/>
        </w:rPr>
        <w:t xml:space="preserve"> Ndërkohë, </w:t>
      </w:r>
      <w:r w:rsidR="002E50A3" w:rsidRPr="009B6417">
        <w:rPr>
          <w:rFonts w:ascii="Times New Roman" w:hAnsi="Times New Roman" w:cs="Times New Roman"/>
          <w:sz w:val="24"/>
          <w:szCs w:val="24"/>
        </w:rPr>
        <w:t>Ministria e Sh</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ndet</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sis</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 xml:space="preserve"> dhe Mbrojtjes Sociale </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sht</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 xml:space="preserve"> Autoritet Kontraktues n</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 xml:space="preserve"> 4 kontrata koncesionare</w:t>
      </w:r>
      <w:r w:rsidR="00DE18A1" w:rsidRPr="009B6417">
        <w:rPr>
          <w:rFonts w:ascii="Times New Roman" w:hAnsi="Times New Roman" w:cs="Times New Roman"/>
          <w:sz w:val="24"/>
          <w:szCs w:val="24"/>
        </w:rPr>
        <w:t xml:space="preserve"> në fushën e shëndetësisë</w:t>
      </w:r>
      <w:r w:rsidR="002E50A3" w:rsidRPr="009B6417">
        <w:rPr>
          <w:rFonts w:ascii="Times New Roman" w:hAnsi="Times New Roman" w:cs="Times New Roman"/>
          <w:sz w:val="24"/>
          <w:szCs w:val="24"/>
        </w:rPr>
        <w:t>, Ministria e Financave dhe Ekonomis</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 xml:space="preserve"> </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sht</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 xml:space="preserve"> Autoritet Kontraktues n</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 xml:space="preserve"> 6 kontrata koncesionare n</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 xml:space="preserve"> fush</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 xml:space="preserve">n e </w:t>
      </w:r>
      <w:r w:rsidR="007F7F54" w:rsidRPr="009B6417">
        <w:rPr>
          <w:rFonts w:ascii="Times New Roman" w:hAnsi="Times New Roman" w:cs="Times New Roman"/>
          <w:sz w:val="24"/>
          <w:szCs w:val="24"/>
        </w:rPr>
        <w:t>kontrollit fiskal</w:t>
      </w:r>
      <w:r w:rsidR="002E50A3" w:rsidRPr="009B6417">
        <w:rPr>
          <w:rFonts w:ascii="Times New Roman" w:hAnsi="Times New Roman" w:cs="Times New Roman"/>
          <w:sz w:val="24"/>
          <w:szCs w:val="24"/>
        </w:rPr>
        <w:t xml:space="preserve"> dhe në fush</w:t>
      </w:r>
      <w:r w:rsidR="00DE18A1" w:rsidRPr="009B6417">
        <w:rPr>
          <w:rFonts w:ascii="Times New Roman" w:hAnsi="Times New Roman" w:cs="Times New Roman"/>
          <w:sz w:val="24"/>
          <w:szCs w:val="24"/>
        </w:rPr>
        <w:t>ë</w:t>
      </w:r>
      <w:r w:rsidR="002E50A3" w:rsidRPr="009B6417">
        <w:rPr>
          <w:rFonts w:ascii="Times New Roman" w:hAnsi="Times New Roman" w:cs="Times New Roman"/>
          <w:sz w:val="24"/>
          <w:szCs w:val="24"/>
        </w:rPr>
        <w:t>n e zhvillimit ekonomik</w:t>
      </w:r>
      <w:r w:rsidR="00DE18A1" w:rsidRPr="009B6417">
        <w:rPr>
          <w:rFonts w:ascii="Times New Roman" w:hAnsi="Times New Roman" w:cs="Times New Roman"/>
          <w:sz w:val="24"/>
          <w:szCs w:val="24"/>
        </w:rPr>
        <w:t xml:space="preserve">, </w:t>
      </w:r>
      <w:r w:rsidR="00E43A6E">
        <w:rPr>
          <w:rFonts w:ascii="Times New Roman" w:hAnsi="Times New Roman" w:cs="Times New Roman"/>
          <w:sz w:val="24"/>
          <w:szCs w:val="24"/>
        </w:rPr>
        <w:t xml:space="preserve">Bashkia e Tiranës është Autoritet Kontraktues në 2 kontrata </w:t>
      </w:r>
      <w:r w:rsidR="00E43A6E">
        <w:rPr>
          <w:rFonts w:ascii="Times New Roman" w:hAnsi="Times New Roman" w:cs="Times New Roman"/>
          <w:sz w:val="24"/>
          <w:szCs w:val="24"/>
        </w:rPr>
        <w:lastRenderedPageBreak/>
        <w:t xml:space="preserve">koncesionare, </w:t>
      </w:r>
      <w:r w:rsidR="00DE18A1" w:rsidRPr="009B6417">
        <w:rPr>
          <w:rFonts w:ascii="Times New Roman" w:hAnsi="Times New Roman" w:cs="Times New Roman"/>
          <w:sz w:val="24"/>
          <w:szCs w:val="24"/>
        </w:rPr>
        <w:t>ndërsa Ministritë e tjera të linjës dhe Njësitë e Vetë</w:t>
      </w:r>
      <w:r w:rsidR="007F7F54" w:rsidRPr="009B6417">
        <w:rPr>
          <w:rFonts w:ascii="Times New Roman" w:hAnsi="Times New Roman" w:cs="Times New Roman"/>
          <w:sz w:val="24"/>
          <w:szCs w:val="24"/>
        </w:rPr>
        <w:t>qeverisjes V</w:t>
      </w:r>
      <w:r w:rsidR="00DE18A1" w:rsidRPr="009B6417">
        <w:rPr>
          <w:rFonts w:ascii="Times New Roman" w:hAnsi="Times New Roman" w:cs="Times New Roman"/>
          <w:sz w:val="24"/>
          <w:szCs w:val="24"/>
        </w:rPr>
        <w:t>endore kanë në fushën e tyre të përgjegjësisë nga 1 kontratë koncesioni/PPP respektivisht secila</w:t>
      </w:r>
      <w:r w:rsidR="004E47D8">
        <w:rPr>
          <w:rFonts w:ascii="Times New Roman" w:hAnsi="Times New Roman" w:cs="Times New Roman"/>
          <w:sz w:val="24"/>
          <w:szCs w:val="24"/>
        </w:rPr>
        <w:t xml:space="preserve">, </w:t>
      </w:r>
      <w:r w:rsidR="00544C93" w:rsidRPr="004E47D8">
        <w:rPr>
          <w:rFonts w:ascii="Times New Roman" w:hAnsi="Times New Roman" w:cs="Times New Roman"/>
          <w:sz w:val="24"/>
          <w:szCs w:val="24"/>
        </w:rPr>
        <w:t xml:space="preserve">sipas </w:t>
      </w:r>
      <w:r w:rsidR="004E47D8" w:rsidRPr="004E47D8">
        <w:rPr>
          <w:rFonts w:ascii="Times New Roman" w:hAnsi="Times New Roman" w:cs="Times New Roman"/>
          <w:sz w:val="24"/>
          <w:szCs w:val="24"/>
        </w:rPr>
        <w:t>figurës</w:t>
      </w:r>
      <w:r w:rsidR="00544C93" w:rsidRPr="004E47D8">
        <w:rPr>
          <w:rFonts w:ascii="Times New Roman" w:hAnsi="Times New Roman" w:cs="Times New Roman"/>
          <w:sz w:val="24"/>
          <w:szCs w:val="24"/>
        </w:rPr>
        <w:t xml:space="preserve"> s</w:t>
      </w:r>
      <w:r w:rsidR="00D949E1" w:rsidRPr="004E47D8">
        <w:rPr>
          <w:rFonts w:ascii="Times New Roman" w:hAnsi="Times New Roman" w:cs="Times New Roman"/>
          <w:sz w:val="24"/>
          <w:szCs w:val="24"/>
        </w:rPr>
        <w:t>ë</w:t>
      </w:r>
      <w:r w:rsidR="00544C93" w:rsidRPr="004E47D8">
        <w:rPr>
          <w:rFonts w:ascii="Times New Roman" w:hAnsi="Times New Roman" w:cs="Times New Roman"/>
          <w:sz w:val="24"/>
          <w:szCs w:val="24"/>
        </w:rPr>
        <w:t xml:space="preserve"> m</w:t>
      </w:r>
      <w:r w:rsidR="00D949E1" w:rsidRPr="004E47D8">
        <w:rPr>
          <w:rFonts w:ascii="Times New Roman" w:hAnsi="Times New Roman" w:cs="Times New Roman"/>
          <w:sz w:val="24"/>
          <w:szCs w:val="24"/>
        </w:rPr>
        <w:t>ë</w:t>
      </w:r>
      <w:r w:rsidR="00544C93" w:rsidRPr="004E47D8">
        <w:rPr>
          <w:rFonts w:ascii="Times New Roman" w:hAnsi="Times New Roman" w:cs="Times New Roman"/>
          <w:sz w:val="24"/>
          <w:szCs w:val="24"/>
        </w:rPr>
        <w:t>poshtme</w:t>
      </w:r>
      <w:r w:rsidR="00DE18A1" w:rsidRPr="004E47D8">
        <w:rPr>
          <w:rFonts w:ascii="Times New Roman" w:hAnsi="Times New Roman" w:cs="Times New Roman"/>
          <w:sz w:val="24"/>
          <w:szCs w:val="24"/>
        </w:rPr>
        <w:t>.</w:t>
      </w:r>
    </w:p>
    <w:p w14:paraId="7E4C5BC0" w14:textId="77777777" w:rsidR="009A3149" w:rsidRDefault="00711560" w:rsidP="006B6D4D">
      <w:pPr>
        <w:pStyle w:val="Caption"/>
      </w:pPr>
      <w:bookmarkStart w:id="20" w:name="_Toc18257829"/>
      <w:r w:rsidRPr="009B6417">
        <w:t xml:space="preserve"> </w:t>
      </w:r>
      <w:bookmarkStart w:id="21" w:name="_Toc19882534"/>
      <w:bookmarkStart w:id="22" w:name="_Toc34919492"/>
      <w:r w:rsidR="00157FE0" w:rsidRPr="00184E09">
        <w:t xml:space="preserve">Figura </w:t>
      </w:r>
      <w:r w:rsidR="00E54EC8">
        <w:fldChar w:fldCharType="begin"/>
      </w:r>
      <w:r w:rsidR="00815B1B">
        <w:instrText xml:space="preserve"> SEQ Figura \* ARABIC </w:instrText>
      </w:r>
      <w:r w:rsidR="00E54EC8">
        <w:fldChar w:fldCharType="separate"/>
      </w:r>
      <w:r w:rsidR="00130EDE">
        <w:rPr>
          <w:noProof/>
        </w:rPr>
        <w:t>5</w:t>
      </w:r>
      <w:r w:rsidR="00E54EC8">
        <w:rPr>
          <w:noProof/>
        </w:rPr>
        <w:fldChar w:fldCharType="end"/>
      </w:r>
      <w:r w:rsidRPr="00184E09">
        <w:t xml:space="preserve">: Numri i </w:t>
      </w:r>
      <w:r w:rsidR="00D11171" w:rsidRPr="00184E09">
        <w:t>kontratave Koncesionare/</w:t>
      </w:r>
      <w:r w:rsidRPr="00184E09">
        <w:t>PPP  sipas Autoritetit Kontraktues,</w:t>
      </w:r>
      <w:r w:rsidR="00D11171" w:rsidRPr="00184E09">
        <w:t xml:space="preserve"> </w:t>
      </w:r>
      <w:r w:rsidRPr="00184E09">
        <w:t>20</w:t>
      </w:r>
      <w:bookmarkEnd w:id="20"/>
      <w:r w:rsidRPr="00184E09">
        <w:t>19</w:t>
      </w:r>
      <w:bookmarkEnd w:id="21"/>
      <w:bookmarkEnd w:id="22"/>
    </w:p>
    <w:p w14:paraId="5268BE2C" w14:textId="77777777" w:rsidR="00736086" w:rsidRPr="00736086" w:rsidRDefault="00736086" w:rsidP="00736086">
      <w:r>
        <w:rPr>
          <w:noProof/>
          <w:lang w:val="en-US"/>
        </w:rPr>
        <w:drawing>
          <wp:inline distT="0" distB="0" distL="0" distR="0" wp14:anchorId="354F3223" wp14:editId="3A43330B">
            <wp:extent cx="6667500" cy="2280920"/>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548DB5" w14:textId="77777777" w:rsidR="00521FFB" w:rsidRPr="009B6417" w:rsidRDefault="002E50A3" w:rsidP="00361982">
      <w:pPr>
        <w:rPr>
          <w:rFonts w:ascii="Times New Roman" w:hAnsi="Times New Roman" w:cs="Times New Roman"/>
          <w:i/>
          <w:sz w:val="24"/>
          <w:szCs w:val="24"/>
        </w:rPr>
      </w:pPr>
      <w:r w:rsidRPr="009B6417">
        <w:rPr>
          <w:rFonts w:ascii="Times New Roman" w:hAnsi="Times New Roman" w:cs="Times New Roman"/>
          <w:i/>
          <w:sz w:val="24"/>
          <w:szCs w:val="24"/>
        </w:rPr>
        <w:t xml:space="preserve">Burimi: </w:t>
      </w:r>
      <w:r w:rsidR="003E4326">
        <w:rPr>
          <w:rFonts w:ascii="Times New Roman" w:hAnsi="Times New Roman" w:cs="Times New Roman"/>
          <w:i/>
          <w:sz w:val="24"/>
          <w:szCs w:val="24"/>
        </w:rPr>
        <w:t>ATRAKO</w:t>
      </w:r>
      <w:r w:rsidR="001E3A70">
        <w:rPr>
          <w:rFonts w:ascii="Times New Roman" w:hAnsi="Times New Roman" w:cs="Times New Roman"/>
          <w:i/>
          <w:sz w:val="24"/>
          <w:szCs w:val="24"/>
        </w:rPr>
        <w:t xml:space="preserve"> (2020</w:t>
      </w:r>
      <w:r w:rsidRPr="009B6417">
        <w:rPr>
          <w:rFonts w:ascii="Times New Roman" w:hAnsi="Times New Roman" w:cs="Times New Roman"/>
          <w:i/>
          <w:sz w:val="24"/>
          <w:szCs w:val="24"/>
        </w:rPr>
        <w:t>)</w:t>
      </w:r>
    </w:p>
    <w:p w14:paraId="21CD0590" w14:textId="77777777" w:rsidR="00FB0999" w:rsidRPr="009B6417" w:rsidRDefault="00361982" w:rsidP="007F7F54">
      <w:pPr>
        <w:tabs>
          <w:tab w:val="left" w:pos="3553"/>
        </w:tabs>
        <w:jc w:val="both"/>
        <w:rPr>
          <w:rFonts w:ascii="Times New Roman" w:hAnsi="Times New Roman" w:cs="Times New Roman"/>
          <w:i/>
          <w:sz w:val="24"/>
          <w:szCs w:val="24"/>
        </w:rPr>
      </w:pPr>
      <w:r w:rsidRPr="009B6417">
        <w:rPr>
          <w:rFonts w:ascii="Times New Roman" w:hAnsi="Times New Roman" w:cs="Times New Roman"/>
          <w:sz w:val="24"/>
          <w:szCs w:val="24"/>
        </w:rPr>
        <w:t>Referuar figurës 6</w:t>
      </w:r>
      <w:r w:rsidR="002064BE" w:rsidRPr="009B6417">
        <w:rPr>
          <w:rFonts w:ascii="Times New Roman" w:hAnsi="Times New Roman" w:cs="Times New Roman"/>
          <w:sz w:val="24"/>
          <w:szCs w:val="24"/>
        </w:rPr>
        <w:t>, sektori që ka peshën më të madhe të kontrata</w:t>
      </w:r>
      <w:r w:rsidR="005E605E" w:rsidRPr="009B6417">
        <w:rPr>
          <w:rFonts w:ascii="Times New Roman" w:hAnsi="Times New Roman" w:cs="Times New Roman"/>
          <w:sz w:val="24"/>
          <w:szCs w:val="24"/>
        </w:rPr>
        <w:t xml:space="preserve">ve në numër dhe në vlerë </w:t>
      </w:r>
      <w:r w:rsidR="007F7F54" w:rsidRPr="009B6417">
        <w:rPr>
          <w:rFonts w:ascii="Times New Roman" w:hAnsi="Times New Roman" w:cs="Times New Roman"/>
          <w:sz w:val="24"/>
          <w:szCs w:val="24"/>
        </w:rPr>
        <w:t>është sektori i e</w:t>
      </w:r>
      <w:r w:rsidR="002064BE" w:rsidRPr="009B6417">
        <w:rPr>
          <w:rFonts w:ascii="Times New Roman" w:hAnsi="Times New Roman" w:cs="Times New Roman"/>
          <w:sz w:val="24"/>
          <w:szCs w:val="24"/>
        </w:rPr>
        <w:t>nergjisë me 18</w:t>
      </w:r>
      <w:r w:rsidR="003E4326">
        <w:rPr>
          <w:rFonts w:ascii="Times New Roman" w:hAnsi="Times New Roman" w:cs="Times New Roman"/>
          <w:sz w:val="24"/>
          <w:szCs w:val="24"/>
        </w:rPr>
        <w:t>6</w:t>
      </w:r>
      <w:r w:rsidR="002064BE" w:rsidRPr="009B6417">
        <w:rPr>
          <w:rFonts w:ascii="Times New Roman" w:hAnsi="Times New Roman" w:cs="Times New Roman"/>
          <w:sz w:val="24"/>
          <w:szCs w:val="24"/>
        </w:rPr>
        <w:t xml:space="preserve"> kontrata, me vlerë </w:t>
      </w:r>
      <w:r w:rsidR="00544C93">
        <w:rPr>
          <w:rFonts w:ascii="Times New Roman" w:hAnsi="Times New Roman" w:cs="Times New Roman"/>
          <w:sz w:val="24"/>
          <w:szCs w:val="24"/>
        </w:rPr>
        <w:t xml:space="preserve">prej </w:t>
      </w:r>
      <w:r w:rsidR="00D11171" w:rsidRPr="009B6417">
        <w:rPr>
          <w:rFonts w:ascii="Times New Roman" w:hAnsi="Times New Roman" w:cs="Times New Roman"/>
          <w:sz w:val="24"/>
          <w:szCs w:val="24"/>
        </w:rPr>
        <w:t>41</w:t>
      </w:r>
      <w:r w:rsidR="003E4326">
        <w:rPr>
          <w:rFonts w:ascii="Times New Roman" w:hAnsi="Times New Roman" w:cs="Times New Roman"/>
          <w:sz w:val="24"/>
          <w:szCs w:val="24"/>
        </w:rPr>
        <w:t>8.5</w:t>
      </w:r>
      <w:r w:rsidR="006A35E3">
        <w:rPr>
          <w:rFonts w:ascii="Times New Roman" w:hAnsi="Times New Roman" w:cs="Times New Roman"/>
          <w:sz w:val="24"/>
          <w:szCs w:val="24"/>
        </w:rPr>
        <w:t xml:space="preserve"> </w:t>
      </w:r>
      <w:r w:rsidR="002064BE" w:rsidRPr="009B6417">
        <w:rPr>
          <w:rFonts w:ascii="Times New Roman" w:hAnsi="Times New Roman" w:cs="Times New Roman"/>
          <w:sz w:val="24"/>
          <w:szCs w:val="24"/>
        </w:rPr>
        <w:t>miliardë lekësh. Të gjitha kontratat koncesionare të këtij sek</w:t>
      </w:r>
      <w:r w:rsidR="00D105DE" w:rsidRPr="009B6417">
        <w:rPr>
          <w:rFonts w:ascii="Times New Roman" w:hAnsi="Times New Roman" w:cs="Times New Roman"/>
          <w:sz w:val="24"/>
          <w:szCs w:val="24"/>
        </w:rPr>
        <w:t>to</w:t>
      </w:r>
      <w:r w:rsidR="002064BE" w:rsidRPr="009B6417">
        <w:rPr>
          <w:rFonts w:ascii="Times New Roman" w:hAnsi="Times New Roman" w:cs="Times New Roman"/>
          <w:sz w:val="24"/>
          <w:szCs w:val="24"/>
        </w:rPr>
        <w:t>ri ja</w:t>
      </w:r>
      <w:r w:rsidR="007527AA" w:rsidRPr="009B6417">
        <w:rPr>
          <w:rFonts w:ascii="Times New Roman" w:hAnsi="Times New Roman" w:cs="Times New Roman"/>
          <w:sz w:val="24"/>
          <w:szCs w:val="24"/>
        </w:rPr>
        <w:t xml:space="preserve">në të llojit BOT, ROT dhe BOO. </w:t>
      </w:r>
      <w:r w:rsidR="002064BE" w:rsidRPr="009B6417">
        <w:rPr>
          <w:rFonts w:ascii="Times New Roman" w:hAnsi="Times New Roman" w:cs="Times New Roman"/>
          <w:sz w:val="24"/>
          <w:szCs w:val="24"/>
        </w:rPr>
        <w:t>Kontrata</w:t>
      </w:r>
      <w:r w:rsidR="00AC5FAE" w:rsidRPr="009B6417">
        <w:rPr>
          <w:rFonts w:ascii="Times New Roman" w:hAnsi="Times New Roman" w:cs="Times New Roman"/>
          <w:sz w:val="24"/>
          <w:szCs w:val="24"/>
        </w:rPr>
        <w:t>t</w:t>
      </w:r>
      <w:r w:rsidR="002064BE" w:rsidRPr="009B6417">
        <w:rPr>
          <w:rFonts w:ascii="Times New Roman" w:hAnsi="Times New Roman" w:cs="Times New Roman"/>
          <w:sz w:val="24"/>
          <w:szCs w:val="24"/>
        </w:rPr>
        <w:t xml:space="preserve"> me peshën me të madhe ndaj totalit të vlerës së këtij sektori </w:t>
      </w:r>
      <w:r w:rsidR="00AC5FAE" w:rsidRPr="009B6417">
        <w:rPr>
          <w:rFonts w:ascii="Times New Roman" w:hAnsi="Times New Roman" w:cs="Times New Roman"/>
          <w:sz w:val="24"/>
          <w:szCs w:val="24"/>
        </w:rPr>
        <w:t>jan</w:t>
      </w:r>
      <w:r w:rsidR="006A445E" w:rsidRPr="009B6417">
        <w:rPr>
          <w:rFonts w:ascii="Times New Roman" w:hAnsi="Times New Roman" w:cs="Times New Roman"/>
          <w:sz w:val="24"/>
          <w:szCs w:val="24"/>
        </w:rPr>
        <w:t>ë</w:t>
      </w:r>
      <w:r w:rsidR="002064BE" w:rsidRPr="009B6417">
        <w:rPr>
          <w:rFonts w:ascii="Times New Roman" w:hAnsi="Times New Roman" w:cs="Times New Roman"/>
          <w:sz w:val="24"/>
          <w:szCs w:val="24"/>
        </w:rPr>
        <w:t xml:space="preserve"> kontrata</w:t>
      </w:r>
      <w:r w:rsidR="00AC5FAE" w:rsidRPr="009B6417">
        <w:rPr>
          <w:rFonts w:ascii="Times New Roman" w:hAnsi="Times New Roman" w:cs="Times New Roman"/>
          <w:sz w:val="24"/>
          <w:szCs w:val="24"/>
        </w:rPr>
        <w:t>t</w:t>
      </w:r>
      <w:r w:rsidR="002064BE" w:rsidRPr="009B6417">
        <w:rPr>
          <w:rFonts w:ascii="Times New Roman" w:hAnsi="Times New Roman" w:cs="Times New Roman"/>
          <w:sz w:val="24"/>
          <w:szCs w:val="24"/>
        </w:rPr>
        <w:t xml:space="preserve"> koncesionare “</w:t>
      </w:r>
      <w:r w:rsidR="002064BE" w:rsidRPr="009B6417">
        <w:rPr>
          <w:rFonts w:ascii="Times New Roman" w:hAnsi="Times New Roman" w:cs="Times New Roman"/>
          <w:i/>
          <w:sz w:val="24"/>
          <w:szCs w:val="24"/>
        </w:rPr>
        <w:t>Për ndërtimin, operimin dhe transferimin e hidrocentralit Kaskada e Devollit</w:t>
      </w:r>
      <w:r w:rsidR="005C0E0B" w:rsidRPr="009B6417">
        <w:rPr>
          <w:rFonts w:ascii="Times New Roman" w:hAnsi="Times New Roman" w:cs="Times New Roman"/>
          <w:sz w:val="24"/>
          <w:szCs w:val="24"/>
        </w:rPr>
        <w:t xml:space="preserve">” </w:t>
      </w:r>
      <w:r w:rsidR="002064BE" w:rsidRPr="009B6417">
        <w:rPr>
          <w:rFonts w:ascii="Times New Roman" w:hAnsi="Times New Roman" w:cs="Times New Roman"/>
          <w:sz w:val="24"/>
          <w:szCs w:val="24"/>
        </w:rPr>
        <w:t>dhe “</w:t>
      </w:r>
      <w:r w:rsidR="002064BE" w:rsidRPr="009B6417">
        <w:rPr>
          <w:rFonts w:ascii="Times New Roman" w:hAnsi="Times New Roman" w:cs="Times New Roman"/>
          <w:i/>
          <w:sz w:val="24"/>
          <w:szCs w:val="24"/>
        </w:rPr>
        <w:t>Hidrocentral Ashta”</w:t>
      </w:r>
      <w:r w:rsidR="008315C4" w:rsidRPr="009B6417">
        <w:rPr>
          <w:rFonts w:ascii="Times New Roman" w:hAnsi="Times New Roman" w:cs="Times New Roman"/>
          <w:i/>
          <w:sz w:val="24"/>
          <w:szCs w:val="24"/>
        </w:rPr>
        <w:t>.</w:t>
      </w:r>
      <w:r w:rsidR="00FB62C3" w:rsidRPr="009B6417">
        <w:rPr>
          <w:rFonts w:ascii="Times New Roman" w:hAnsi="Times New Roman" w:cs="Times New Roman"/>
          <w:i/>
          <w:sz w:val="24"/>
          <w:szCs w:val="24"/>
        </w:rPr>
        <w:t xml:space="preserve"> </w:t>
      </w:r>
    </w:p>
    <w:p w14:paraId="515B309D" w14:textId="77777777" w:rsidR="007B04DA" w:rsidRPr="007B04DA" w:rsidRDefault="003E4326" w:rsidP="006B6D4D">
      <w:pPr>
        <w:pStyle w:val="Caption"/>
      </w:pPr>
      <w:bookmarkStart w:id="23" w:name="_Toc18257830"/>
      <w:bookmarkStart w:id="24" w:name="_Toc19882535"/>
      <w:bookmarkStart w:id="25" w:name="_Toc34919493"/>
      <w:r>
        <w:rPr>
          <w:noProof/>
          <w:lang w:val="en-US"/>
        </w:rPr>
        <w:drawing>
          <wp:anchor distT="0" distB="0" distL="114300" distR="114300" simplePos="0" relativeHeight="251672576" behindDoc="1" locked="0" layoutInCell="1" allowOverlap="1" wp14:anchorId="3F0A0E07" wp14:editId="7FC904FF">
            <wp:simplePos x="0" y="0"/>
            <wp:positionH relativeFrom="column">
              <wp:posOffset>0</wp:posOffset>
            </wp:positionH>
            <wp:positionV relativeFrom="paragraph">
              <wp:posOffset>406400</wp:posOffset>
            </wp:positionV>
            <wp:extent cx="6429375" cy="2733675"/>
            <wp:effectExtent l="0" t="0" r="9525" b="9525"/>
            <wp:wrapTight wrapText="bothSides">
              <wp:wrapPolygon edited="0">
                <wp:start x="0" y="0"/>
                <wp:lineTo x="0" y="21525"/>
                <wp:lineTo x="21568" y="21525"/>
                <wp:lineTo x="21568" y="0"/>
                <wp:lineTo x="0" y="0"/>
              </wp:wrapPolygon>
            </wp:wrapTight>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157FE0" w:rsidRPr="009B6417">
        <w:t xml:space="preserve">Figura </w:t>
      </w:r>
      <w:r w:rsidR="00E54EC8">
        <w:fldChar w:fldCharType="begin"/>
      </w:r>
      <w:r w:rsidR="00815B1B">
        <w:instrText xml:space="preserve"> SEQ Figura \* ARABIC </w:instrText>
      </w:r>
      <w:r w:rsidR="00E54EC8">
        <w:fldChar w:fldCharType="separate"/>
      </w:r>
      <w:r w:rsidR="00130EDE">
        <w:rPr>
          <w:noProof/>
        </w:rPr>
        <w:t>6</w:t>
      </w:r>
      <w:r w:rsidR="00E54EC8">
        <w:rPr>
          <w:noProof/>
        </w:rPr>
        <w:fldChar w:fldCharType="end"/>
      </w:r>
      <w:r w:rsidR="002064BE" w:rsidRPr="009B6417">
        <w:t xml:space="preserve">: </w:t>
      </w:r>
      <w:r w:rsidR="00D11171" w:rsidRPr="009B6417">
        <w:t>Numri dhe vlera totale e investimit (n</w:t>
      </w:r>
      <w:r w:rsidR="00B85EB6" w:rsidRPr="009B6417">
        <w:t>ë</w:t>
      </w:r>
      <w:r w:rsidR="00D11171" w:rsidRPr="009B6417">
        <w:t xml:space="preserve"> lek</w:t>
      </w:r>
      <w:r w:rsidR="00B85EB6" w:rsidRPr="009B6417">
        <w:t>ë</w:t>
      </w:r>
      <w:r w:rsidR="00D11171" w:rsidRPr="009B6417">
        <w:t>) t</w:t>
      </w:r>
      <w:r w:rsidR="00B85EB6" w:rsidRPr="009B6417">
        <w:t>ë</w:t>
      </w:r>
      <w:r w:rsidR="00D11171" w:rsidRPr="009B6417">
        <w:t xml:space="preserve"> projekteve Koncesionare</w:t>
      </w:r>
      <w:r w:rsidR="002064BE" w:rsidRPr="009B6417">
        <w:t>/PPP aktive sipas sektorëve, 2019</w:t>
      </w:r>
      <w:bookmarkEnd w:id="23"/>
      <w:bookmarkEnd w:id="24"/>
      <w:bookmarkEnd w:id="25"/>
    </w:p>
    <w:p w14:paraId="3264E5EE" w14:textId="77777777" w:rsidR="007F7F54" w:rsidRPr="009B6417" w:rsidRDefault="007F7F54" w:rsidP="007F7F54">
      <w:pPr>
        <w:tabs>
          <w:tab w:val="left" w:pos="3553"/>
        </w:tabs>
        <w:spacing w:line="360" w:lineRule="auto"/>
        <w:rPr>
          <w:rFonts w:ascii="Times New Roman" w:hAnsi="Times New Roman" w:cs="Times New Roman"/>
          <w:i/>
          <w:sz w:val="24"/>
          <w:szCs w:val="24"/>
        </w:rPr>
      </w:pPr>
      <w:r w:rsidRPr="009B6417">
        <w:rPr>
          <w:rFonts w:ascii="Times New Roman" w:hAnsi="Times New Roman" w:cs="Times New Roman"/>
          <w:i/>
          <w:sz w:val="24"/>
          <w:szCs w:val="24"/>
        </w:rPr>
        <w:t xml:space="preserve">Burimi: </w:t>
      </w:r>
      <w:r w:rsidR="003E4326">
        <w:rPr>
          <w:rFonts w:ascii="Times New Roman" w:hAnsi="Times New Roman" w:cs="Times New Roman"/>
          <w:i/>
          <w:sz w:val="24"/>
          <w:szCs w:val="24"/>
        </w:rPr>
        <w:t>ATRAKO</w:t>
      </w:r>
      <w:r w:rsidR="007B04DA">
        <w:rPr>
          <w:rFonts w:ascii="Times New Roman" w:hAnsi="Times New Roman" w:cs="Times New Roman"/>
          <w:i/>
          <w:sz w:val="24"/>
          <w:szCs w:val="24"/>
        </w:rPr>
        <w:t xml:space="preserve"> (2020</w:t>
      </w:r>
      <w:r w:rsidRPr="009B6417">
        <w:rPr>
          <w:rFonts w:ascii="Times New Roman" w:hAnsi="Times New Roman" w:cs="Times New Roman"/>
          <w:i/>
          <w:sz w:val="24"/>
          <w:szCs w:val="24"/>
        </w:rPr>
        <w:t>)</w:t>
      </w:r>
    </w:p>
    <w:p w14:paraId="63D5AEB4" w14:textId="77777777" w:rsidR="006A35E3" w:rsidRDefault="00D11171" w:rsidP="002F2F8E">
      <w:pPr>
        <w:tabs>
          <w:tab w:val="left" w:pos="3553"/>
        </w:tabs>
        <w:jc w:val="both"/>
        <w:rPr>
          <w:rFonts w:ascii="Times New Roman" w:hAnsi="Times New Roman" w:cs="Times New Roman"/>
          <w:i/>
          <w:sz w:val="24"/>
          <w:szCs w:val="24"/>
        </w:rPr>
      </w:pPr>
      <w:r w:rsidRPr="009B6417">
        <w:rPr>
          <w:rFonts w:ascii="Times New Roman" w:hAnsi="Times New Roman" w:cs="Times New Roman"/>
          <w:sz w:val="24"/>
          <w:szCs w:val="24"/>
        </w:rPr>
        <w:lastRenderedPageBreak/>
        <w:t xml:space="preserve">Sektori i dytë me peshë më të madhe përsa i përket vlerës së kontratave është </w:t>
      </w:r>
      <w:r w:rsidR="007F7F54" w:rsidRPr="009B6417">
        <w:rPr>
          <w:rFonts w:ascii="Times New Roman" w:hAnsi="Times New Roman" w:cs="Times New Roman"/>
          <w:sz w:val="24"/>
          <w:szCs w:val="24"/>
        </w:rPr>
        <w:t>sektori i t</w:t>
      </w:r>
      <w:r w:rsidRPr="009B6417">
        <w:rPr>
          <w:rFonts w:ascii="Times New Roman" w:hAnsi="Times New Roman" w:cs="Times New Roman"/>
          <w:sz w:val="24"/>
          <w:szCs w:val="24"/>
        </w:rPr>
        <w:t>ransporti</w:t>
      </w:r>
      <w:r w:rsidR="007F7F54" w:rsidRPr="009B6417">
        <w:rPr>
          <w:rFonts w:ascii="Times New Roman" w:hAnsi="Times New Roman" w:cs="Times New Roman"/>
          <w:sz w:val="24"/>
          <w:szCs w:val="24"/>
        </w:rPr>
        <w:t>t</w:t>
      </w:r>
      <w:r w:rsidR="003E4326">
        <w:rPr>
          <w:rFonts w:ascii="Times New Roman" w:hAnsi="Times New Roman" w:cs="Times New Roman"/>
          <w:sz w:val="24"/>
          <w:szCs w:val="24"/>
        </w:rPr>
        <w:t>, me 19</w:t>
      </w:r>
      <w:r w:rsidRPr="009B6417">
        <w:rPr>
          <w:rFonts w:ascii="Times New Roman" w:hAnsi="Times New Roman" w:cs="Times New Roman"/>
          <w:sz w:val="24"/>
          <w:szCs w:val="24"/>
        </w:rPr>
        <w:t xml:space="preserve"> kontrata </w:t>
      </w:r>
      <w:r w:rsidR="00544C93">
        <w:rPr>
          <w:rFonts w:ascii="Times New Roman" w:hAnsi="Times New Roman" w:cs="Times New Roman"/>
          <w:sz w:val="24"/>
          <w:szCs w:val="24"/>
        </w:rPr>
        <w:t>gjithsej</w:t>
      </w:r>
      <w:r w:rsidRPr="009B6417">
        <w:rPr>
          <w:rFonts w:ascii="Times New Roman" w:hAnsi="Times New Roman" w:cs="Times New Roman"/>
          <w:sz w:val="24"/>
          <w:szCs w:val="24"/>
        </w:rPr>
        <w:t xml:space="preserve"> me vlerë</w:t>
      </w:r>
      <w:r w:rsidR="00544C93">
        <w:rPr>
          <w:rFonts w:ascii="Times New Roman" w:hAnsi="Times New Roman" w:cs="Times New Roman"/>
          <w:sz w:val="24"/>
          <w:szCs w:val="24"/>
        </w:rPr>
        <w:t xml:space="preserve"> totale</w:t>
      </w:r>
      <w:r w:rsidRPr="009B6417">
        <w:rPr>
          <w:rFonts w:ascii="Times New Roman" w:hAnsi="Times New Roman" w:cs="Times New Roman"/>
          <w:sz w:val="24"/>
          <w:szCs w:val="24"/>
        </w:rPr>
        <w:t xml:space="preserve"> </w:t>
      </w:r>
      <w:r w:rsidR="003E4326">
        <w:rPr>
          <w:rFonts w:ascii="Times New Roman" w:hAnsi="Times New Roman" w:cs="Times New Roman"/>
          <w:sz w:val="24"/>
          <w:szCs w:val="24"/>
        </w:rPr>
        <w:t>85,5</w:t>
      </w:r>
      <w:r w:rsidRPr="009B6417">
        <w:rPr>
          <w:rFonts w:ascii="Times New Roman" w:hAnsi="Times New Roman" w:cs="Times New Roman"/>
          <w:sz w:val="24"/>
          <w:szCs w:val="24"/>
        </w:rPr>
        <w:t xml:space="preserve"> miliardë</w:t>
      </w:r>
      <w:r w:rsidR="00F21881" w:rsidRPr="009B6417">
        <w:rPr>
          <w:rFonts w:ascii="Times New Roman" w:hAnsi="Times New Roman" w:cs="Times New Roman"/>
          <w:sz w:val="24"/>
          <w:szCs w:val="24"/>
        </w:rPr>
        <w:t xml:space="preserve"> lekë. </w:t>
      </w:r>
      <w:r w:rsidRPr="009B6417">
        <w:rPr>
          <w:rFonts w:ascii="Times New Roman" w:hAnsi="Times New Roman" w:cs="Times New Roman"/>
          <w:sz w:val="24"/>
          <w:szCs w:val="24"/>
        </w:rPr>
        <w:t>Kontratat me vlerën më të lartë në këtë sektor janë “</w:t>
      </w:r>
      <w:r w:rsidRPr="009B6417">
        <w:rPr>
          <w:rFonts w:ascii="Times New Roman" w:hAnsi="Times New Roman" w:cs="Times New Roman"/>
          <w:i/>
          <w:sz w:val="24"/>
          <w:szCs w:val="24"/>
        </w:rPr>
        <w:t>Ndërtimi, Operimi dhe Transferimi i Aeroportit ‘Nënë Tereza’, “</w:t>
      </w:r>
      <w:r w:rsidR="006A35E3" w:rsidRPr="006A35E3">
        <w:rPr>
          <w:rFonts w:ascii="Times New Roman" w:hAnsi="Times New Roman" w:cs="Times New Roman"/>
          <w:i/>
          <w:sz w:val="24"/>
          <w:szCs w:val="24"/>
        </w:rPr>
        <w:t>Për ndërtimin, përmirësimin, shfrytëzimin dhe mirëmbajtjen e autostradës Milot-Morinë</w:t>
      </w:r>
      <w:r w:rsidRPr="006A35E3">
        <w:rPr>
          <w:rFonts w:ascii="Times New Roman" w:hAnsi="Times New Roman" w:cs="Times New Roman"/>
          <w:i/>
          <w:sz w:val="24"/>
          <w:szCs w:val="24"/>
        </w:rPr>
        <w:t>”</w:t>
      </w:r>
      <w:r w:rsidRPr="009B6417">
        <w:rPr>
          <w:rFonts w:ascii="Times New Roman" w:hAnsi="Times New Roman" w:cs="Times New Roman"/>
          <w:i/>
          <w:sz w:val="24"/>
          <w:szCs w:val="24"/>
        </w:rPr>
        <w:t xml:space="preserve"> dhe </w:t>
      </w:r>
      <w:r w:rsidR="006A35E3">
        <w:rPr>
          <w:rFonts w:ascii="Times New Roman" w:hAnsi="Times New Roman" w:cs="Times New Roman"/>
          <w:i/>
          <w:sz w:val="24"/>
          <w:szCs w:val="24"/>
        </w:rPr>
        <w:t>“</w:t>
      </w:r>
      <w:r w:rsidR="006A35E3" w:rsidRPr="006A35E3">
        <w:rPr>
          <w:rFonts w:ascii="Times New Roman" w:hAnsi="Times New Roman" w:cs="Times New Roman"/>
          <w:i/>
          <w:sz w:val="24"/>
          <w:szCs w:val="24"/>
        </w:rPr>
        <w:t>Për ndërtimin, përmirësimin, shfrytëzimin dhe mirëmbajtjen e Rrugës së Arbrit</w:t>
      </w:r>
    </w:p>
    <w:p w14:paraId="179C2807" w14:textId="77777777" w:rsidR="00D11171" w:rsidRPr="006A35E3" w:rsidRDefault="007F7F54" w:rsidP="00544C93">
      <w:pPr>
        <w:jc w:val="both"/>
      </w:pPr>
      <w:r w:rsidRPr="009B6417">
        <w:rPr>
          <w:rFonts w:ascii="Times New Roman" w:hAnsi="Times New Roman" w:cs="Times New Roman"/>
          <w:sz w:val="24"/>
          <w:szCs w:val="24"/>
        </w:rPr>
        <w:t>Sektori i m</w:t>
      </w:r>
      <w:r w:rsidR="00D11171" w:rsidRPr="009B6417">
        <w:rPr>
          <w:rFonts w:ascii="Times New Roman" w:hAnsi="Times New Roman" w:cs="Times New Roman"/>
          <w:sz w:val="24"/>
          <w:szCs w:val="24"/>
        </w:rPr>
        <w:t>jedisit ndërkohë ka në total 6 kontrata me vlerë 2</w:t>
      </w:r>
      <w:r w:rsidR="006A35E3">
        <w:rPr>
          <w:rFonts w:ascii="Times New Roman" w:hAnsi="Times New Roman" w:cs="Times New Roman"/>
          <w:sz w:val="24"/>
          <w:szCs w:val="24"/>
        </w:rPr>
        <w:t>5.8</w:t>
      </w:r>
      <w:r w:rsidR="00D11171" w:rsidRPr="009B6417">
        <w:rPr>
          <w:rFonts w:ascii="Times New Roman" w:hAnsi="Times New Roman" w:cs="Times New Roman"/>
          <w:sz w:val="24"/>
          <w:szCs w:val="24"/>
        </w:rPr>
        <w:t xml:space="preserve"> miliardë lekësh të cilat konsistojnë në ngritjen e sistemit të përpunimit të mbetjeve, menaxhimin e pyjeve</w:t>
      </w:r>
      <w:r w:rsidRPr="009B6417">
        <w:rPr>
          <w:rFonts w:ascii="Times New Roman" w:hAnsi="Times New Roman" w:cs="Times New Roman"/>
          <w:sz w:val="24"/>
          <w:szCs w:val="24"/>
        </w:rPr>
        <w:t>,</w:t>
      </w:r>
      <w:r w:rsidR="00D11171" w:rsidRPr="009B6417">
        <w:rPr>
          <w:rFonts w:ascii="Times New Roman" w:hAnsi="Times New Roman" w:cs="Times New Roman"/>
          <w:sz w:val="24"/>
          <w:szCs w:val="24"/>
        </w:rPr>
        <w:t xml:space="preserve"> si dhe shfrytëzim</w:t>
      </w:r>
      <w:r w:rsidRPr="009B6417">
        <w:rPr>
          <w:rFonts w:ascii="Times New Roman" w:hAnsi="Times New Roman" w:cs="Times New Roman"/>
          <w:sz w:val="24"/>
          <w:szCs w:val="24"/>
        </w:rPr>
        <w:t>in</w:t>
      </w:r>
      <w:r w:rsidR="00D11171" w:rsidRPr="009B6417">
        <w:rPr>
          <w:rFonts w:ascii="Times New Roman" w:hAnsi="Times New Roman" w:cs="Times New Roman"/>
          <w:sz w:val="24"/>
          <w:szCs w:val="24"/>
        </w:rPr>
        <w:t xml:space="preserve"> </w:t>
      </w:r>
      <w:r w:rsidRPr="009B6417">
        <w:rPr>
          <w:rFonts w:ascii="Times New Roman" w:hAnsi="Times New Roman" w:cs="Times New Roman"/>
          <w:sz w:val="24"/>
          <w:szCs w:val="24"/>
        </w:rPr>
        <w:t>e</w:t>
      </w:r>
      <w:r w:rsidR="00D11171" w:rsidRPr="009B6417">
        <w:rPr>
          <w:rFonts w:ascii="Times New Roman" w:hAnsi="Times New Roman" w:cs="Times New Roman"/>
          <w:sz w:val="24"/>
          <w:szCs w:val="24"/>
        </w:rPr>
        <w:t xml:space="preserve"> burimeve ujore. </w:t>
      </w:r>
      <w:r w:rsidR="00AC5FAE" w:rsidRPr="009B6417">
        <w:rPr>
          <w:rFonts w:ascii="Times New Roman" w:hAnsi="Times New Roman" w:cs="Times New Roman"/>
          <w:sz w:val="24"/>
          <w:szCs w:val="24"/>
        </w:rPr>
        <w:t xml:space="preserve">Kontrata me vlerën më të lartë në këtë sektor </w:t>
      </w:r>
      <w:r w:rsidR="006A445E" w:rsidRPr="009B6417">
        <w:rPr>
          <w:rFonts w:ascii="Times New Roman" w:hAnsi="Times New Roman" w:cs="Times New Roman"/>
          <w:sz w:val="24"/>
          <w:szCs w:val="24"/>
        </w:rPr>
        <w:t>ë</w:t>
      </w:r>
      <w:r w:rsidR="00AC5FAE" w:rsidRPr="009B6417">
        <w:rPr>
          <w:rFonts w:ascii="Times New Roman" w:hAnsi="Times New Roman" w:cs="Times New Roman"/>
          <w:sz w:val="24"/>
          <w:szCs w:val="24"/>
        </w:rPr>
        <w:t>sht</w:t>
      </w:r>
      <w:r w:rsidR="006A445E" w:rsidRPr="009B6417">
        <w:rPr>
          <w:rFonts w:ascii="Times New Roman" w:hAnsi="Times New Roman" w:cs="Times New Roman"/>
          <w:sz w:val="24"/>
          <w:szCs w:val="24"/>
        </w:rPr>
        <w:t>ë</w:t>
      </w:r>
      <w:r w:rsidR="00951A22">
        <w:rPr>
          <w:rFonts w:ascii="Times New Roman" w:hAnsi="Times New Roman" w:cs="Times New Roman"/>
          <w:sz w:val="24"/>
          <w:szCs w:val="24"/>
        </w:rPr>
        <w:t xml:space="preserve"> kontrata</w:t>
      </w:r>
      <w:r w:rsidR="00AC5FAE" w:rsidRPr="009B6417">
        <w:rPr>
          <w:rFonts w:ascii="Times New Roman" w:hAnsi="Times New Roman" w:cs="Times New Roman"/>
          <w:sz w:val="24"/>
          <w:szCs w:val="24"/>
        </w:rPr>
        <w:t xml:space="preserve"> “</w:t>
      </w:r>
      <w:r w:rsidR="006A35E3" w:rsidRPr="006A35E3">
        <w:rPr>
          <w:rFonts w:ascii="Times New Roman" w:eastAsia="Times New Roman" w:hAnsi="Times New Roman" w:cs="Times New Roman"/>
          <w:i/>
          <w:sz w:val="24"/>
          <w:szCs w:val="24"/>
        </w:rPr>
        <w:t>Për Ndërtimin e Landfillit, Inceneratorit dhe rehabilitimin e Venddepozitimeve ekzistuese, Tiranë</w:t>
      </w:r>
      <w:r w:rsidR="00AC5FAE" w:rsidRPr="006A35E3">
        <w:rPr>
          <w:rFonts w:ascii="Times New Roman" w:hAnsi="Times New Roman" w:cs="Times New Roman"/>
          <w:i/>
          <w:sz w:val="24"/>
          <w:szCs w:val="24"/>
        </w:rPr>
        <w:t>”</w:t>
      </w:r>
      <w:r w:rsidRPr="006A35E3">
        <w:rPr>
          <w:rFonts w:ascii="Times New Roman" w:hAnsi="Times New Roman" w:cs="Times New Roman"/>
          <w:i/>
          <w:sz w:val="24"/>
          <w:szCs w:val="24"/>
        </w:rPr>
        <w:t>.</w:t>
      </w:r>
    </w:p>
    <w:p w14:paraId="5CB858F3" w14:textId="77777777" w:rsidR="002064BE" w:rsidRPr="009B6417" w:rsidRDefault="00D11171" w:rsidP="007F7F54">
      <w:pPr>
        <w:tabs>
          <w:tab w:val="left" w:pos="3553"/>
        </w:tabs>
        <w:jc w:val="both"/>
        <w:rPr>
          <w:rFonts w:ascii="Times New Roman" w:hAnsi="Times New Roman" w:cs="Times New Roman"/>
          <w:sz w:val="24"/>
          <w:szCs w:val="24"/>
        </w:rPr>
      </w:pPr>
      <w:r w:rsidRPr="009B6417">
        <w:rPr>
          <w:rFonts w:ascii="Times New Roman" w:hAnsi="Times New Roman" w:cs="Times New Roman"/>
          <w:sz w:val="24"/>
          <w:szCs w:val="24"/>
        </w:rPr>
        <w:t>Përsa i përket Sektorit të Shëndetësisë, në total ka 4 kon</w:t>
      </w:r>
      <w:r w:rsidR="00AE055F" w:rsidRPr="009B6417">
        <w:rPr>
          <w:rFonts w:ascii="Times New Roman" w:hAnsi="Times New Roman" w:cs="Times New Roman"/>
          <w:sz w:val="24"/>
          <w:szCs w:val="24"/>
        </w:rPr>
        <w:t>trata koncesionare/PPP me vlerë</w:t>
      </w:r>
      <w:r w:rsidR="007B04DA">
        <w:rPr>
          <w:rFonts w:ascii="Times New Roman" w:hAnsi="Times New Roman" w:cs="Times New Roman"/>
          <w:sz w:val="24"/>
          <w:szCs w:val="24"/>
        </w:rPr>
        <w:t xml:space="preserve"> prej 4.2</w:t>
      </w:r>
      <w:r w:rsidRPr="009B6417">
        <w:rPr>
          <w:rFonts w:ascii="Times New Roman" w:hAnsi="Times New Roman" w:cs="Times New Roman"/>
          <w:sz w:val="24"/>
          <w:szCs w:val="24"/>
        </w:rPr>
        <w:t xml:space="preserve"> miliardë lekësh. </w:t>
      </w:r>
      <w:r w:rsidR="007F7F54" w:rsidRPr="009B6417">
        <w:rPr>
          <w:rFonts w:ascii="Times New Roman" w:hAnsi="Times New Roman" w:cs="Times New Roman"/>
          <w:sz w:val="24"/>
          <w:szCs w:val="24"/>
        </w:rPr>
        <w:t xml:space="preserve"> Kontrata me vler</w:t>
      </w:r>
      <w:r w:rsidR="002F09DD" w:rsidRPr="009B6417">
        <w:rPr>
          <w:rFonts w:ascii="Times New Roman" w:hAnsi="Times New Roman" w:cs="Times New Roman"/>
          <w:sz w:val="24"/>
          <w:szCs w:val="24"/>
        </w:rPr>
        <w:t>ë</w:t>
      </w:r>
      <w:r w:rsidR="007F7F54" w:rsidRPr="009B6417">
        <w:rPr>
          <w:rFonts w:ascii="Times New Roman" w:hAnsi="Times New Roman" w:cs="Times New Roman"/>
          <w:sz w:val="24"/>
          <w:szCs w:val="24"/>
        </w:rPr>
        <w:t>n me t</w:t>
      </w:r>
      <w:r w:rsidR="002F09DD" w:rsidRPr="009B6417">
        <w:rPr>
          <w:rFonts w:ascii="Times New Roman" w:hAnsi="Times New Roman" w:cs="Times New Roman"/>
          <w:sz w:val="24"/>
          <w:szCs w:val="24"/>
        </w:rPr>
        <w:t>ë</w:t>
      </w:r>
      <w:r w:rsidR="007F7F54" w:rsidRPr="009B6417">
        <w:rPr>
          <w:rFonts w:ascii="Times New Roman" w:hAnsi="Times New Roman" w:cs="Times New Roman"/>
          <w:sz w:val="24"/>
          <w:szCs w:val="24"/>
        </w:rPr>
        <w:t xml:space="preserve"> lart</w:t>
      </w:r>
      <w:r w:rsidR="002F09DD" w:rsidRPr="009B6417">
        <w:rPr>
          <w:rFonts w:ascii="Times New Roman" w:hAnsi="Times New Roman" w:cs="Times New Roman"/>
          <w:sz w:val="24"/>
          <w:szCs w:val="24"/>
        </w:rPr>
        <w:t>ë</w:t>
      </w:r>
      <w:r w:rsidR="007F7F54" w:rsidRPr="009B6417">
        <w:rPr>
          <w:rFonts w:ascii="Times New Roman" w:hAnsi="Times New Roman" w:cs="Times New Roman"/>
          <w:sz w:val="24"/>
          <w:szCs w:val="24"/>
        </w:rPr>
        <w:t xml:space="preserve"> n</w:t>
      </w:r>
      <w:r w:rsidR="002F09DD" w:rsidRPr="009B6417">
        <w:rPr>
          <w:rFonts w:ascii="Times New Roman" w:hAnsi="Times New Roman" w:cs="Times New Roman"/>
          <w:sz w:val="24"/>
          <w:szCs w:val="24"/>
        </w:rPr>
        <w:t>ë</w:t>
      </w:r>
      <w:r w:rsidR="007F7F54" w:rsidRPr="009B6417">
        <w:rPr>
          <w:rFonts w:ascii="Times New Roman" w:hAnsi="Times New Roman" w:cs="Times New Roman"/>
          <w:sz w:val="24"/>
          <w:szCs w:val="24"/>
        </w:rPr>
        <w:t xml:space="preserve"> k</w:t>
      </w:r>
      <w:r w:rsidR="002F09DD" w:rsidRPr="009B6417">
        <w:rPr>
          <w:rFonts w:ascii="Times New Roman" w:hAnsi="Times New Roman" w:cs="Times New Roman"/>
          <w:sz w:val="24"/>
          <w:szCs w:val="24"/>
        </w:rPr>
        <w:t>ë</w:t>
      </w:r>
      <w:r w:rsidR="007F7F54" w:rsidRPr="009B6417">
        <w:rPr>
          <w:rFonts w:ascii="Times New Roman" w:hAnsi="Times New Roman" w:cs="Times New Roman"/>
          <w:sz w:val="24"/>
          <w:szCs w:val="24"/>
        </w:rPr>
        <w:t>t</w:t>
      </w:r>
      <w:r w:rsidR="002F09DD" w:rsidRPr="009B6417">
        <w:rPr>
          <w:rFonts w:ascii="Times New Roman" w:hAnsi="Times New Roman" w:cs="Times New Roman"/>
          <w:sz w:val="24"/>
          <w:szCs w:val="24"/>
        </w:rPr>
        <w:t>ë</w:t>
      </w:r>
      <w:r w:rsidR="007F7F54" w:rsidRPr="009B6417">
        <w:rPr>
          <w:rFonts w:ascii="Times New Roman" w:hAnsi="Times New Roman" w:cs="Times New Roman"/>
          <w:sz w:val="24"/>
          <w:szCs w:val="24"/>
        </w:rPr>
        <w:t xml:space="preserve"> sektor </w:t>
      </w:r>
      <w:r w:rsidR="002F09DD" w:rsidRPr="009B6417">
        <w:rPr>
          <w:rFonts w:ascii="Times New Roman" w:hAnsi="Times New Roman" w:cs="Times New Roman"/>
          <w:sz w:val="24"/>
          <w:szCs w:val="24"/>
        </w:rPr>
        <w:t>ë</w:t>
      </w:r>
      <w:r w:rsidR="007F7F54" w:rsidRPr="009B6417">
        <w:rPr>
          <w:rFonts w:ascii="Times New Roman" w:hAnsi="Times New Roman" w:cs="Times New Roman"/>
          <w:sz w:val="24"/>
          <w:szCs w:val="24"/>
        </w:rPr>
        <w:t>sht</w:t>
      </w:r>
      <w:r w:rsidR="002F09DD" w:rsidRPr="009B6417">
        <w:rPr>
          <w:rFonts w:ascii="Times New Roman" w:hAnsi="Times New Roman" w:cs="Times New Roman"/>
          <w:sz w:val="24"/>
          <w:szCs w:val="24"/>
        </w:rPr>
        <w:t>ë</w:t>
      </w:r>
      <w:r w:rsidR="007F7F54" w:rsidRPr="009B6417">
        <w:rPr>
          <w:rFonts w:ascii="Times New Roman" w:hAnsi="Times New Roman" w:cs="Times New Roman"/>
          <w:sz w:val="24"/>
          <w:szCs w:val="24"/>
        </w:rPr>
        <w:t xml:space="preserve"> </w:t>
      </w:r>
      <w:r w:rsidR="007F7F54" w:rsidRPr="006A35E3">
        <w:rPr>
          <w:rFonts w:ascii="Times New Roman" w:hAnsi="Times New Roman" w:cs="Times New Roman"/>
          <w:sz w:val="24"/>
          <w:szCs w:val="24"/>
        </w:rPr>
        <w:t xml:space="preserve">kontrata koncesionare/PPP </w:t>
      </w:r>
      <w:r w:rsidR="007F7F54" w:rsidRPr="006A35E3">
        <w:rPr>
          <w:rFonts w:ascii="Times New Roman" w:hAnsi="Times New Roman" w:cs="Times New Roman"/>
          <w:sz w:val="24"/>
          <w:szCs w:val="24"/>
          <w:lang w:val="en-US"/>
        </w:rPr>
        <w:t>“</w:t>
      </w:r>
      <w:r w:rsidR="007F7F54" w:rsidRPr="006A35E3">
        <w:rPr>
          <w:rFonts w:ascii="Times New Roman" w:hAnsi="Times New Roman" w:cs="Times New Roman"/>
          <w:i/>
          <w:sz w:val="24"/>
          <w:szCs w:val="24"/>
          <w:lang w:val="en-US"/>
        </w:rPr>
        <w:t>Për shërbime të integruara për ofrimin e setit të përsonalizuar të instrumenteve kirurgjikal, furnizimin me material mjekësor steril njëpërdorimësh në sallat kirurgjikale, si dhe trajtimin e mbetjeve me rrezik biologjik dhe dezinfektimin e sallave kirurgjikale</w:t>
      </w:r>
      <w:r w:rsidR="007F7F54" w:rsidRPr="006A35E3">
        <w:rPr>
          <w:rFonts w:ascii="Times New Roman" w:hAnsi="Times New Roman" w:cs="Times New Roman"/>
          <w:sz w:val="24"/>
          <w:szCs w:val="24"/>
          <w:lang w:val="en-US"/>
        </w:rPr>
        <w:t>”</w:t>
      </w:r>
    </w:p>
    <w:p w14:paraId="27395C43" w14:textId="77777777" w:rsidR="00AC5FAE" w:rsidRPr="009B6417" w:rsidRDefault="002064BE" w:rsidP="007F7F54">
      <w:pPr>
        <w:tabs>
          <w:tab w:val="left" w:pos="3553"/>
        </w:tabs>
        <w:jc w:val="both"/>
        <w:rPr>
          <w:rFonts w:ascii="Times New Roman" w:hAnsi="Times New Roman" w:cs="Times New Roman"/>
          <w:color w:val="000000" w:themeColor="text1"/>
          <w:sz w:val="24"/>
          <w:szCs w:val="24"/>
        </w:rPr>
      </w:pPr>
      <w:r w:rsidRPr="009B6417">
        <w:rPr>
          <w:rFonts w:ascii="Times New Roman" w:hAnsi="Times New Roman" w:cs="Times New Roman"/>
          <w:sz w:val="24"/>
          <w:szCs w:val="24"/>
        </w:rPr>
        <w:t>Ndërsa, në kategorinë ‘</w:t>
      </w:r>
      <w:r w:rsidRPr="009B6417">
        <w:rPr>
          <w:rFonts w:ascii="Times New Roman" w:hAnsi="Times New Roman" w:cs="Times New Roman"/>
          <w:i/>
          <w:sz w:val="24"/>
          <w:szCs w:val="24"/>
        </w:rPr>
        <w:t>Të tjerë’</w:t>
      </w:r>
      <w:r w:rsidRPr="009B6417">
        <w:rPr>
          <w:rFonts w:ascii="Times New Roman" w:hAnsi="Times New Roman" w:cs="Times New Roman"/>
          <w:sz w:val="24"/>
          <w:szCs w:val="24"/>
        </w:rPr>
        <w:t xml:space="preserve">, janë përfshirë në </w:t>
      </w:r>
      <w:r w:rsidRPr="009B6417">
        <w:rPr>
          <w:rFonts w:ascii="Times New Roman" w:hAnsi="Times New Roman" w:cs="Times New Roman"/>
          <w:color w:val="000000" w:themeColor="text1"/>
          <w:sz w:val="24"/>
          <w:szCs w:val="24"/>
        </w:rPr>
        <w:t xml:space="preserve">total </w:t>
      </w:r>
      <w:r w:rsidR="003E4326">
        <w:rPr>
          <w:rFonts w:ascii="Times New Roman" w:hAnsi="Times New Roman" w:cs="Times New Roman"/>
          <w:color w:val="000000" w:themeColor="text1"/>
          <w:sz w:val="24"/>
          <w:szCs w:val="24"/>
        </w:rPr>
        <w:t xml:space="preserve">9 </w:t>
      </w:r>
      <w:r w:rsidR="00D11171" w:rsidRPr="009B6417">
        <w:rPr>
          <w:rFonts w:ascii="Times New Roman" w:hAnsi="Times New Roman" w:cs="Times New Roman"/>
          <w:color w:val="000000" w:themeColor="text1"/>
          <w:sz w:val="24"/>
          <w:szCs w:val="24"/>
        </w:rPr>
        <w:t xml:space="preserve">kontrata koncesionare me vlerë </w:t>
      </w:r>
      <w:r w:rsidR="003E4326">
        <w:rPr>
          <w:rFonts w:ascii="Times New Roman" w:hAnsi="Times New Roman" w:cs="Times New Roman"/>
          <w:color w:val="000000" w:themeColor="text1"/>
          <w:sz w:val="24"/>
          <w:szCs w:val="24"/>
        </w:rPr>
        <w:t>9,6</w:t>
      </w:r>
      <w:r w:rsidR="007B04DA">
        <w:rPr>
          <w:rFonts w:ascii="Times New Roman" w:hAnsi="Times New Roman" w:cs="Times New Roman"/>
          <w:color w:val="000000" w:themeColor="text1"/>
          <w:sz w:val="24"/>
          <w:szCs w:val="24"/>
        </w:rPr>
        <w:t xml:space="preserve"> </w:t>
      </w:r>
      <w:r w:rsidRPr="009B6417">
        <w:rPr>
          <w:rFonts w:ascii="Times New Roman" w:hAnsi="Times New Roman" w:cs="Times New Roman"/>
          <w:color w:val="000000" w:themeColor="text1"/>
          <w:sz w:val="24"/>
          <w:szCs w:val="24"/>
        </w:rPr>
        <w:t xml:space="preserve">miliardë lekë të shpërndara në sektorin e </w:t>
      </w:r>
      <w:r w:rsidR="007F7F54" w:rsidRPr="009B6417">
        <w:rPr>
          <w:rFonts w:ascii="Times New Roman" w:hAnsi="Times New Roman" w:cs="Times New Roman"/>
          <w:color w:val="000000" w:themeColor="text1"/>
          <w:sz w:val="24"/>
          <w:szCs w:val="24"/>
        </w:rPr>
        <w:t xml:space="preserve">bujqësisë, sektorin e </w:t>
      </w:r>
      <w:r w:rsidR="003E4326">
        <w:rPr>
          <w:rFonts w:ascii="Times New Roman" w:hAnsi="Times New Roman" w:cs="Times New Roman"/>
          <w:color w:val="000000" w:themeColor="text1"/>
          <w:sz w:val="24"/>
          <w:szCs w:val="24"/>
        </w:rPr>
        <w:t>kontrollit fiskal</w:t>
      </w:r>
      <w:r w:rsidR="00D11171" w:rsidRPr="009B6417">
        <w:rPr>
          <w:rFonts w:ascii="Times New Roman" w:hAnsi="Times New Roman" w:cs="Times New Roman"/>
          <w:color w:val="000000" w:themeColor="text1"/>
          <w:sz w:val="24"/>
          <w:szCs w:val="24"/>
        </w:rPr>
        <w:t>, sektor</w:t>
      </w:r>
      <w:r w:rsidR="007F7F54" w:rsidRPr="009B6417">
        <w:rPr>
          <w:rFonts w:ascii="Times New Roman" w:hAnsi="Times New Roman" w:cs="Times New Roman"/>
          <w:color w:val="000000" w:themeColor="text1"/>
          <w:sz w:val="24"/>
          <w:szCs w:val="24"/>
        </w:rPr>
        <w:t>in e zhvillimit e</w:t>
      </w:r>
      <w:r w:rsidR="00737A13">
        <w:rPr>
          <w:rFonts w:ascii="Times New Roman" w:hAnsi="Times New Roman" w:cs="Times New Roman"/>
          <w:color w:val="000000" w:themeColor="text1"/>
          <w:sz w:val="24"/>
          <w:szCs w:val="24"/>
        </w:rPr>
        <w:t>konomik</w:t>
      </w:r>
      <w:r w:rsidR="00AE055F" w:rsidRPr="009B6417">
        <w:rPr>
          <w:rFonts w:ascii="Times New Roman" w:hAnsi="Times New Roman" w:cs="Times New Roman"/>
          <w:color w:val="000000" w:themeColor="text1"/>
          <w:sz w:val="24"/>
          <w:szCs w:val="24"/>
        </w:rPr>
        <w:t xml:space="preserve"> </w:t>
      </w:r>
      <w:r w:rsidR="005E605E" w:rsidRPr="009B6417">
        <w:rPr>
          <w:rFonts w:ascii="Times New Roman" w:hAnsi="Times New Roman" w:cs="Times New Roman"/>
          <w:color w:val="000000" w:themeColor="text1"/>
          <w:sz w:val="24"/>
          <w:szCs w:val="24"/>
        </w:rPr>
        <w:t xml:space="preserve">dhe </w:t>
      </w:r>
      <w:r w:rsidR="00331E17" w:rsidRPr="009B6417">
        <w:rPr>
          <w:rFonts w:ascii="Times New Roman" w:hAnsi="Times New Roman" w:cs="Times New Roman"/>
          <w:color w:val="000000" w:themeColor="text1"/>
          <w:sz w:val="24"/>
          <w:szCs w:val="24"/>
        </w:rPr>
        <w:t>s</w:t>
      </w:r>
      <w:r w:rsidR="007F7F54" w:rsidRPr="009B6417">
        <w:rPr>
          <w:rFonts w:ascii="Times New Roman" w:hAnsi="Times New Roman" w:cs="Times New Roman"/>
          <w:color w:val="000000" w:themeColor="text1"/>
          <w:sz w:val="24"/>
          <w:szCs w:val="24"/>
        </w:rPr>
        <w:t>ektorin e arsimit.</w:t>
      </w:r>
    </w:p>
    <w:p w14:paraId="5E954517" w14:textId="77777777" w:rsidR="00D11171" w:rsidRPr="009B6417" w:rsidRDefault="00D11171" w:rsidP="00D11171">
      <w:pPr>
        <w:tabs>
          <w:tab w:val="left" w:pos="3553"/>
        </w:tabs>
        <w:jc w:val="both"/>
        <w:rPr>
          <w:rFonts w:ascii="Times New Roman" w:hAnsi="Times New Roman" w:cs="Times New Roman"/>
          <w:color w:val="FF0000"/>
          <w:sz w:val="24"/>
          <w:szCs w:val="24"/>
        </w:rPr>
      </w:pPr>
      <w:bookmarkStart w:id="26" w:name="_Toc18257831"/>
      <w:r w:rsidRPr="009B6417">
        <w:rPr>
          <w:rFonts w:ascii="Times New Roman" w:hAnsi="Times New Roman" w:cs="Times New Roman"/>
          <w:sz w:val="24"/>
          <w:szCs w:val="24"/>
        </w:rPr>
        <w:t xml:space="preserve">Përsa i përket llojit të mbështetjes financiare nga sektori publik në total janë </w:t>
      </w:r>
      <w:r w:rsidR="00545F77">
        <w:rPr>
          <w:rFonts w:ascii="Times New Roman" w:hAnsi="Times New Roman" w:cs="Times New Roman"/>
          <w:sz w:val="24"/>
          <w:szCs w:val="24"/>
        </w:rPr>
        <w:t>14</w:t>
      </w:r>
      <w:r w:rsidR="00994705" w:rsidRPr="009B6417">
        <w:rPr>
          <w:rFonts w:ascii="Times New Roman" w:hAnsi="Times New Roman" w:cs="Times New Roman"/>
          <w:sz w:val="24"/>
          <w:szCs w:val="24"/>
        </w:rPr>
        <w:t xml:space="preserve"> </w:t>
      </w:r>
      <w:r w:rsidRPr="009B6417">
        <w:rPr>
          <w:rFonts w:ascii="Times New Roman" w:hAnsi="Times New Roman" w:cs="Times New Roman"/>
          <w:sz w:val="24"/>
          <w:szCs w:val="24"/>
        </w:rPr>
        <w:t>kontrata koncesionare/</w:t>
      </w:r>
      <w:r w:rsidR="005E605E" w:rsidRPr="009B6417">
        <w:rPr>
          <w:rFonts w:ascii="Times New Roman" w:hAnsi="Times New Roman" w:cs="Times New Roman"/>
          <w:sz w:val="24"/>
          <w:szCs w:val="24"/>
        </w:rPr>
        <w:t>PPP</w:t>
      </w:r>
      <w:r w:rsidRPr="009B6417">
        <w:rPr>
          <w:rFonts w:ascii="Times New Roman" w:hAnsi="Times New Roman" w:cs="Times New Roman"/>
          <w:sz w:val="24"/>
          <w:szCs w:val="24"/>
        </w:rPr>
        <w:t xml:space="preserve"> me mbështetje buxhetore apo </w:t>
      </w:r>
      <w:r w:rsidR="006A35E3">
        <w:rPr>
          <w:rFonts w:ascii="Times New Roman" w:hAnsi="Times New Roman" w:cs="Times New Roman"/>
          <w:sz w:val="24"/>
          <w:szCs w:val="24"/>
        </w:rPr>
        <w:t xml:space="preserve"> rreth 6</w:t>
      </w:r>
      <w:r w:rsidR="00CC5C49" w:rsidRPr="009B6417">
        <w:rPr>
          <w:rFonts w:ascii="Times New Roman" w:hAnsi="Times New Roman" w:cs="Times New Roman"/>
          <w:sz w:val="24"/>
          <w:szCs w:val="24"/>
        </w:rPr>
        <w:t xml:space="preserve"> përqind</w:t>
      </w:r>
      <w:r w:rsidRPr="009B6417">
        <w:rPr>
          <w:rFonts w:ascii="Times New Roman" w:hAnsi="Times New Roman" w:cs="Times New Roman"/>
          <w:sz w:val="24"/>
          <w:szCs w:val="24"/>
        </w:rPr>
        <w:t xml:space="preserve"> e totalit të kontratave. Ndërsa kontratat pa mbështetje buxhetore janë në total </w:t>
      </w:r>
      <w:r w:rsidR="00545F77">
        <w:rPr>
          <w:rFonts w:ascii="Times New Roman" w:hAnsi="Times New Roman" w:cs="Times New Roman"/>
          <w:color w:val="000000" w:themeColor="text1"/>
          <w:sz w:val="24"/>
          <w:szCs w:val="24"/>
        </w:rPr>
        <w:t>210</w:t>
      </w:r>
      <w:r w:rsidRPr="009B6417">
        <w:rPr>
          <w:rFonts w:ascii="Times New Roman" w:hAnsi="Times New Roman" w:cs="Times New Roman"/>
          <w:color w:val="000000" w:themeColor="text1"/>
          <w:sz w:val="24"/>
          <w:szCs w:val="24"/>
        </w:rPr>
        <w:t xml:space="preserve"> të tilla</w:t>
      </w:r>
      <w:r w:rsidR="006A35E3">
        <w:rPr>
          <w:rFonts w:ascii="Times New Roman" w:hAnsi="Times New Roman" w:cs="Times New Roman"/>
          <w:sz w:val="24"/>
          <w:szCs w:val="24"/>
        </w:rPr>
        <w:t xml:space="preserve"> apo 94</w:t>
      </w:r>
      <w:r w:rsidR="00CC5C49" w:rsidRPr="009B6417">
        <w:rPr>
          <w:rFonts w:ascii="Times New Roman" w:hAnsi="Times New Roman" w:cs="Times New Roman"/>
          <w:sz w:val="24"/>
          <w:szCs w:val="24"/>
        </w:rPr>
        <w:t xml:space="preserve"> përqind</w:t>
      </w:r>
      <w:r w:rsidRPr="009B6417">
        <w:rPr>
          <w:rFonts w:ascii="Times New Roman" w:hAnsi="Times New Roman" w:cs="Times New Roman"/>
          <w:sz w:val="24"/>
          <w:szCs w:val="24"/>
        </w:rPr>
        <w:t xml:space="preserve"> e totalit të kontratave koncesionare/</w:t>
      </w:r>
      <w:r w:rsidR="00F9690B" w:rsidRPr="009B6417">
        <w:rPr>
          <w:rFonts w:ascii="Times New Roman" w:hAnsi="Times New Roman" w:cs="Times New Roman"/>
          <w:sz w:val="24"/>
          <w:szCs w:val="24"/>
        </w:rPr>
        <w:t>PPP</w:t>
      </w:r>
      <w:r w:rsidR="00AC5FAE" w:rsidRPr="009B6417">
        <w:rPr>
          <w:rFonts w:ascii="Times New Roman" w:hAnsi="Times New Roman" w:cs="Times New Roman"/>
          <w:sz w:val="24"/>
          <w:szCs w:val="24"/>
        </w:rPr>
        <w:t xml:space="preserve"> të miratuara (s</w:t>
      </w:r>
      <w:r w:rsidR="006B2373" w:rsidRPr="009B6417">
        <w:rPr>
          <w:rFonts w:ascii="Times New Roman" w:hAnsi="Times New Roman" w:cs="Times New Roman"/>
          <w:sz w:val="24"/>
          <w:szCs w:val="24"/>
        </w:rPr>
        <w:t>hih figura 7</w:t>
      </w:r>
      <w:r w:rsidRPr="009B6417">
        <w:rPr>
          <w:rFonts w:ascii="Times New Roman" w:hAnsi="Times New Roman" w:cs="Times New Roman"/>
          <w:sz w:val="24"/>
          <w:szCs w:val="24"/>
        </w:rPr>
        <w:t>).</w:t>
      </w:r>
      <w:r w:rsidR="0066035E" w:rsidRPr="009B6417">
        <w:rPr>
          <w:rFonts w:ascii="Times New Roman" w:hAnsi="Times New Roman" w:cs="Times New Roman"/>
          <w:sz w:val="24"/>
          <w:szCs w:val="24"/>
        </w:rPr>
        <w:t xml:space="preserve"> </w:t>
      </w:r>
    </w:p>
    <w:p w14:paraId="1F885986" w14:textId="77777777" w:rsidR="00EB2080" w:rsidRPr="009B6417" w:rsidRDefault="002064BE" w:rsidP="006B6D4D">
      <w:pPr>
        <w:pStyle w:val="Caption"/>
      </w:pPr>
      <w:bookmarkStart w:id="27" w:name="_Toc19882536"/>
      <w:bookmarkStart w:id="28" w:name="_Toc34919494"/>
      <w:r w:rsidRPr="009B6417">
        <w:rPr>
          <w:noProof/>
          <w:lang w:val="en-US"/>
        </w:rPr>
        <w:drawing>
          <wp:anchor distT="0" distB="0" distL="114300" distR="114300" simplePos="0" relativeHeight="251643904" behindDoc="0" locked="0" layoutInCell="1" allowOverlap="1" wp14:anchorId="5DD19E66" wp14:editId="4DB6A152">
            <wp:simplePos x="0" y="0"/>
            <wp:positionH relativeFrom="margin">
              <wp:align>left</wp:align>
            </wp:positionH>
            <wp:positionV relativeFrom="paragraph">
              <wp:posOffset>294640</wp:posOffset>
            </wp:positionV>
            <wp:extent cx="6381750" cy="2400300"/>
            <wp:effectExtent l="0" t="0" r="38100" b="152400"/>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r w:rsidRPr="009B6417">
        <w:t xml:space="preserve"> </w:t>
      </w:r>
      <w:r w:rsidR="00157FE0" w:rsidRPr="009B6417">
        <w:t xml:space="preserve">Figura </w:t>
      </w:r>
      <w:r w:rsidR="00E54EC8">
        <w:fldChar w:fldCharType="begin"/>
      </w:r>
      <w:r w:rsidR="00815B1B">
        <w:instrText xml:space="preserve"> SEQ Figura \* ARABIC </w:instrText>
      </w:r>
      <w:r w:rsidR="00E54EC8">
        <w:fldChar w:fldCharType="separate"/>
      </w:r>
      <w:r w:rsidR="00130EDE">
        <w:rPr>
          <w:noProof/>
        </w:rPr>
        <w:t>7</w:t>
      </w:r>
      <w:r w:rsidR="00E54EC8">
        <w:rPr>
          <w:noProof/>
        </w:rPr>
        <w:fldChar w:fldCharType="end"/>
      </w:r>
      <w:r w:rsidRPr="009B6417">
        <w:t xml:space="preserve">:  Projekte Koncesion/PPP me dhe pa mbështetje buxhetore (në total </w:t>
      </w:r>
      <w:r w:rsidR="002F2F8E" w:rsidRPr="009B6417">
        <w:t>n</w:t>
      </w:r>
      <w:r w:rsidR="002E50A3" w:rsidRPr="009B6417">
        <w:t>r.</w:t>
      </w:r>
      <w:r w:rsidRPr="009B6417">
        <w:t>)</w:t>
      </w:r>
      <w:bookmarkEnd w:id="26"/>
      <w:bookmarkEnd w:id="27"/>
      <w:bookmarkEnd w:id="28"/>
      <w:r w:rsidRPr="009B6417">
        <w:rPr>
          <w:noProof/>
        </w:rPr>
        <w:t xml:space="preserve"> </w:t>
      </w:r>
    </w:p>
    <w:p w14:paraId="4CDF3F2C" w14:textId="77777777" w:rsidR="002F2F8E" w:rsidRPr="009B6417" w:rsidRDefault="002F2F8E" w:rsidP="002064BE">
      <w:pPr>
        <w:tabs>
          <w:tab w:val="left" w:pos="3553"/>
        </w:tabs>
        <w:jc w:val="both"/>
        <w:rPr>
          <w:rFonts w:ascii="Times New Roman" w:hAnsi="Times New Roman" w:cs="Times New Roman"/>
          <w:i/>
          <w:sz w:val="24"/>
          <w:szCs w:val="24"/>
        </w:rPr>
      </w:pPr>
      <w:r w:rsidRPr="009B6417">
        <w:rPr>
          <w:rFonts w:ascii="Times New Roman" w:hAnsi="Times New Roman" w:cs="Times New Roman"/>
          <w:i/>
          <w:sz w:val="24"/>
          <w:szCs w:val="24"/>
        </w:rPr>
        <w:t>Burimi: Ministria</w:t>
      </w:r>
      <w:r w:rsidR="001E3A70">
        <w:rPr>
          <w:rFonts w:ascii="Times New Roman" w:hAnsi="Times New Roman" w:cs="Times New Roman"/>
          <w:i/>
          <w:sz w:val="24"/>
          <w:szCs w:val="24"/>
        </w:rPr>
        <w:t xml:space="preserve"> e Financave dhe Ekonomisë (2020</w:t>
      </w:r>
      <w:r w:rsidRPr="009B6417">
        <w:rPr>
          <w:rFonts w:ascii="Times New Roman" w:hAnsi="Times New Roman" w:cs="Times New Roman"/>
          <w:i/>
          <w:sz w:val="24"/>
          <w:szCs w:val="24"/>
        </w:rPr>
        <w:t>)</w:t>
      </w:r>
    </w:p>
    <w:p w14:paraId="2B875E7E" w14:textId="77777777" w:rsidR="00DB4070" w:rsidRDefault="00DB4070" w:rsidP="002064BE">
      <w:pPr>
        <w:tabs>
          <w:tab w:val="left" w:pos="3553"/>
        </w:tabs>
        <w:jc w:val="both"/>
        <w:rPr>
          <w:rFonts w:ascii="Times New Roman" w:hAnsi="Times New Roman" w:cs="Times New Roman"/>
          <w:sz w:val="24"/>
          <w:szCs w:val="24"/>
        </w:rPr>
      </w:pPr>
    </w:p>
    <w:p w14:paraId="0340C3A5" w14:textId="77777777" w:rsidR="00556FD8" w:rsidRPr="009B6417" w:rsidRDefault="00556FD8" w:rsidP="002064BE">
      <w:pPr>
        <w:tabs>
          <w:tab w:val="left" w:pos="3553"/>
        </w:tabs>
        <w:jc w:val="both"/>
        <w:rPr>
          <w:rFonts w:ascii="Times New Roman" w:hAnsi="Times New Roman" w:cs="Times New Roman"/>
          <w:sz w:val="24"/>
          <w:szCs w:val="24"/>
        </w:rPr>
      </w:pPr>
      <w:r w:rsidRPr="009B6417">
        <w:rPr>
          <w:rFonts w:ascii="Times New Roman" w:hAnsi="Times New Roman" w:cs="Times New Roman"/>
          <w:sz w:val="24"/>
          <w:szCs w:val="24"/>
        </w:rPr>
        <w:lastRenderedPageBreak/>
        <w:t>Referuar figur</w:t>
      </w:r>
      <w:r w:rsidR="00A625DF" w:rsidRPr="009B6417">
        <w:rPr>
          <w:rFonts w:ascii="Times New Roman" w:hAnsi="Times New Roman" w:cs="Times New Roman"/>
          <w:sz w:val="24"/>
          <w:szCs w:val="24"/>
        </w:rPr>
        <w:t>ë</w:t>
      </w:r>
      <w:r w:rsidRPr="009B6417">
        <w:rPr>
          <w:rFonts w:ascii="Times New Roman" w:hAnsi="Times New Roman" w:cs="Times New Roman"/>
          <w:sz w:val="24"/>
          <w:szCs w:val="24"/>
        </w:rPr>
        <w:t xml:space="preserve">s </w:t>
      </w:r>
      <w:r w:rsidR="006B2373" w:rsidRPr="009B6417">
        <w:rPr>
          <w:rFonts w:ascii="Times New Roman" w:hAnsi="Times New Roman" w:cs="Times New Roman"/>
          <w:sz w:val="24"/>
          <w:szCs w:val="24"/>
        </w:rPr>
        <w:t>8</w:t>
      </w:r>
      <w:r w:rsidRPr="009B6417">
        <w:rPr>
          <w:rFonts w:ascii="Times New Roman" w:hAnsi="Times New Roman" w:cs="Times New Roman"/>
          <w:sz w:val="24"/>
          <w:szCs w:val="24"/>
        </w:rPr>
        <w:t xml:space="preserve"> mbi pagesat buxhetore p</w:t>
      </w:r>
      <w:r w:rsidR="00A625DF" w:rsidRPr="009B6417">
        <w:rPr>
          <w:rFonts w:ascii="Times New Roman" w:hAnsi="Times New Roman" w:cs="Times New Roman"/>
          <w:sz w:val="24"/>
          <w:szCs w:val="24"/>
        </w:rPr>
        <w:t>ë</w:t>
      </w:r>
      <w:r w:rsidRPr="009B6417">
        <w:rPr>
          <w:rFonts w:ascii="Times New Roman" w:hAnsi="Times New Roman" w:cs="Times New Roman"/>
          <w:sz w:val="24"/>
          <w:szCs w:val="24"/>
        </w:rPr>
        <w:t>r kontratat</w:t>
      </w:r>
      <w:r w:rsidR="00DB4070">
        <w:rPr>
          <w:rFonts w:ascii="Times New Roman" w:hAnsi="Times New Roman" w:cs="Times New Roman"/>
          <w:sz w:val="24"/>
          <w:szCs w:val="24"/>
        </w:rPr>
        <w:t xml:space="preserve"> koncesionare/PPP</w:t>
      </w:r>
      <w:r w:rsidRPr="009B6417">
        <w:rPr>
          <w:rFonts w:ascii="Times New Roman" w:hAnsi="Times New Roman" w:cs="Times New Roman"/>
          <w:sz w:val="24"/>
          <w:szCs w:val="24"/>
        </w:rPr>
        <w:t xml:space="preserve"> me mb</w:t>
      </w:r>
      <w:r w:rsidR="00A625DF" w:rsidRPr="009B6417">
        <w:rPr>
          <w:rFonts w:ascii="Times New Roman" w:hAnsi="Times New Roman" w:cs="Times New Roman"/>
          <w:sz w:val="24"/>
          <w:szCs w:val="24"/>
        </w:rPr>
        <w:t>ë</w:t>
      </w:r>
      <w:r w:rsidRPr="009B6417">
        <w:rPr>
          <w:rFonts w:ascii="Times New Roman" w:hAnsi="Times New Roman" w:cs="Times New Roman"/>
          <w:sz w:val="24"/>
          <w:szCs w:val="24"/>
        </w:rPr>
        <w:t>shtetje buxhetore, n</w:t>
      </w:r>
      <w:r w:rsidR="00A625DF" w:rsidRPr="009B6417">
        <w:rPr>
          <w:rFonts w:ascii="Times New Roman" w:hAnsi="Times New Roman" w:cs="Times New Roman"/>
          <w:sz w:val="24"/>
          <w:szCs w:val="24"/>
        </w:rPr>
        <w:t>ë</w:t>
      </w:r>
      <w:r w:rsidRPr="009B6417">
        <w:rPr>
          <w:rFonts w:ascii="Times New Roman" w:hAnsi="Times New Roman" w:cs="Times New Roman"/>
          <w:sz w:val="24"/>
          <w:szCs w:val="24"/>
        </w:rPr>
        <w:t xml:space="preserve"> vitin 2018 jan</w:t>
      </w:r>
      <w:r w:rsidR="00A625DF" w:rsidRPr="009B6417">
        <w:rPr>
          <w:rFonts w:ascii="Times New Roman" w:hAnsi="Times New Roman" w:cs="Times New Roman"/>
          <w:sz w:val="24"/>
          <w:szCs w:val="24"/>
        </w:rPr>
        <w:t>ë</w:t>
      </w:r>
      <w:r w:rsidRPr="009B6417">
        <w:rPr>
          <w:rFonts w:ascii="Times New Roman" w:hAnsi="Times New Roman" w:cs="Times New Roman"/>
          <w:sz w:val="24"/>
          <w:szCs w:val="24"/>
        </w:rPr>
        <w:t xml:space="preserve"> realizuar 8.7 miliard</w:t>
      </w:r>
      <w:r w:rsidR="00A625DF" w:rsidRPr="009B6417">
        <w:rPr>
          <w:rFonts w:ascii="Times New Roman" w:hAnsi="Times New Roman" w:cs="Times New Roman"/>
          <w:sz w:val="24"/>
          <w:szCs w:val="24"/>
        </w:rPr>
        <w:t>ë</w:t>
      </w:r>
      <w:r w:rsidRPr="009B6417">
        <w:rPr>
          <w:rFonts w:ascii="Times New Roman" w:hAnsi="Times New Roman" w:cs="Times New Roman"/>
          <w:sz w:val="24"/>
          <w:szCs w:val="24"/>
        </w:rPr>
        <w:t xml:space="preserve"> l</w:t>
      </w:r>
      <w:r w:rsidR="00571237" w:rsidRPr="009B6417">
        <w:rPr>
          <w:rFonts w:ascii="Times New Roman" w:hAnsi="Times New Roman" w:cs="Times New Roman"/>
          <w:sz w:val="24"/>
          <w:szCs w:val="24"/>
        </w:rPr>
        <w:t>e</w:t>
      </w:r>
      <w:r w:rsidRPr="009B6417">
        <w:rPr>
          <w:rFonts w:ascii="Times New Roman" w:hAnsi="Times New Roman" w:cs="Times New Roman"/>
          <w:sz w:val="24"/>
          <w:szCs w:val="24"/>
        </w:rPr>
        <w:t>k</w:t>
      </w:r>
      <w:r w:rsidR="00A625DF" w:rsidRPr="009B6417">
        <w:rPr>
          <w:rFonts w:ascii="Times New Roman" w:hAnsi="Times New Roman" w:cs="Times New Roman"/>
          <w:sz w:val="24"/>
          <w:szCs w:val="24"/>
        </w:rPr>
        <w:t>ë</w:t>
      </w:r>
      <w:r w:rsidRPr="009B6417">
        <w:rPr>
          <w:rFonts w:ascii="Times New Roman" w:hAnsi="Times New Roman" w:cs="Times New Roman"/>
          <w:sz w:val="24"/>
          <w:szCs w:val="24"/>
        </w:rPr>
        <w:t xml:space="preserve">, </w:t>
      </w:r>
      <w:r w:rsidR="00571237" w:rsidRPr="009B6417">
        <w:rPr>
          <w:rFonts w:ascii="Times New Roman" w:hAnsi="Times New Roman" w:cs="Times New Roman"/>
          <w:sz w:val="24"/>
          <w:szCs w:val="24"/>
        </w:rPr>
        <w:t>me një peshë prej</w:t>
      </w:r>
      <w:r w:rsidR="00A625DF" w:rsidRPr="009B6417">
        <w:rPr>
          <w:rFonts w:ascii="Times New Roman" w:hAnsi="Times New Roman" w:cs="Times New Roman"/>
          <w:sz w:val="24"/>
          <w:szCs w:val="24"/>
        </w:rPr>
        <w:t xml:space="preserve"> 2.2 përqind të të ardhurave tatimore faktike të vitit paraardhës buxhetor.</w:t>
      </w:r>
    </w:p>
    <w:p w14:paraId="669E496F" w14:textId="77777777" w:rsidR="006B2373" w:rsidRPr="009B6417" w:rsidRDefault="002064BE" w:rsidP="002064BE">
      <w:pPr>
        <w:tabs>
          <w:tab w:val="left" w:pos="3553"/>
        </w:tabs>
        <w:jc w:val="both"/>
        <w:rPr>
          <w:rFonts w:ascii="Times New Roman" w:hAnsi="Times New Roman" w:cs="Times New Roman"/>
          <w:color w:val="000000" w:themeColor="text1"/>
          <w:sz w:val="24"/>
          <w:szCs w:val="24"/>
        </w:rPr>
      </w:pPr>
      <w:r w:rsidRPr="009B6417">
        <w:rPr>
          <w:rFonts w:ascii="Times New Roman" w:hAnsi="Times New Roman" w:cs="Times New Roman"/>
          <w:sz w:val="24"/>
          <w:szCs w:val="24"/>
        </w:rPr>
        <w:t xml:space="preserve">Kosto </w:t>
      </w:r>
      <w:r w:rsidR="00C355D5" w:rsidRPr="009B6417">
        <w:rPr>
          <w:rFonts w:ascii="Times New Roman" w:hAnsi="Times New Roman" w:cs="Times New Roman"/>
          <w:sz w:val="24"/>
          <w:szCs w:val="24"/>
        </w:rPr>
        <w:t>faktike</w:t>
      </w:r>
      <w:r w:rsidR="00D11171" w:rsidRPr="009B6417">
        <w:rPr>
          <w:rFonts w:ascii="Times New Roman" w:hAnsi="Times New Roman" w:cs="Times New Roman"/>
          <w:sz w:val="24"/>
          <w:szCs w:val="24"/>
        </w:rPr>
        <w:t xml:space="preserve"> për</w:t>
      </w:r>
      <w:r w:rsidR="00C355D5" w:rsidRPr="009B6417">
        <w:rPr>
          <w:rFonts w:ascii="Times New Roman" w:hAnsi="Times New Roman" w:cs="Times New Roman"/>
          <w:sz w:val="24"/>
          <w:szCs w:val="24"/>
        </w:rPr>
        <w:t xml:space="preserve"> </w:t>
      </w:r>
      <w:r w:rsidR="00CC746D">
        <w:rPr>
          <w:rFonts w:ascii="Times New Roman" w:hAnsi="Times New Roman" w:cs="Times New Roman"/>
          <w:sz w:val="24"/>
          <w:szCs w:val="24"/>
        </w:rPr>
        <w:t>vitin</w:t>
      </w:r>
      <w:r w:rsidR="00D11171" w:rsidRPr="009B6417">
        <w:rPr>
          <w:rFonts w:ascii="Times New Roman" w:hAnsi="Times New Roman" w:cs="Times New Roman"/>
          <w:sz w:val="24"/>
          <w:szCs w:val="24"/>
        </w:rPr>
        <w:t xml:space="preserve"> 2019 për këto 1</w:t>
      </w:r>
      <w:r w:rsidR="00AC6F9E" w:rsidRPr="009B6417">
        <w:rPr>
          <w:rFonts w:ascii="Times New Roman" w:hAnsi="Times New Roman" w:cs="Times New Roman"/>
          <w:sz w:val="24"/>
          <w:szCs w:val="24"/>
        </w:rPr>
        <w:t>4</w:t>
      </w:r>
      <w:r w:rsidRPr="009B6417">
        <w:rPr>
          <w:rFonts w:ascii="Times New Roman" w:hAnsi="Times New Roman" w:cs="Times New Roman"/>
          <w:sz w:val="24"/>
          <w:szCs w:val="24"/>
        </w:rPr>
        <w:t xml:space="preserve"> Koncesione/PPP, që f</w:t>
      </w:r>
      <w:r w:rsidR="005E605E" w:rsidRPr="009B6417">
        <w:rPr>
          <w:rFonts w:ascii="Times New Roman" w:hAnsi="Times New Roman" w:cs="Times New Roman"/>
          <w:sz w:val="24"/>
          <w:szCs w:val="24"/>
        </w:rPr>
        <w:t>inancohen nga buxheti i shtetit</w:t>
      </w:r>
      <w:r w:rsidRPr="009B6417">
        <w:rPr>
          <w:rFonts w:ascii="Times New Roman" w:hAnsi="Times New Roman" w:cs="Times New Roman"/>
          <w:sz w:val="24"/>
          <w:szCs w:val="24"/>
        </w:rPr>
        <w:t xml:space="preserve"> </w:t>
      </w:r>
      <w:r w:rsidRPr="009B6417">
        <w:rPr>
          <w:rFonts w:ascii="Times New Roman" w:hAnsi="Times New Roman" w:cs="Times New Roman"/>
          <w:color w:val="000000" w:themeColor="text1"/>
          <w:sz w:val="24"/>
          <w:szCs w:val="24"/>
        </w:rPr>
        <w:t xml:space="preserve">është </w:t>
      </w:r>
      <w:r w:rsidR="00CC746D">
        <w:rPr>
          <w:rFonts w:ascii="Times New Roman" w:hAnsi="Times New Roman" w:cs="Times New Roman"/>
          <w:color w:val="000000" w:themeColor="text1"/>
          <w:sz w:val="24"/>
          <w:szCs w:val="24"/>
        </w:rPr>
        <w:t>13.7</w:t>
      </w:r>
      <w:r w:rsidRPr="009B6417">
        <w:rPr>
          <w:rFonts w:ascii="Times New Roman" w:hAnsi="Times New Roman" w:cs="Times New Roman"/>
          <w:color w:val="000000" w:themeColor="text1"/>
          <w:sz w:val="24"/>
          <w:szCs w:val="24"/>
        </w:rPr>
        <w:t xml:space="preserve"> miliardë</w:t>
      </w:r>
      <w:r w:rsidR="00C355D5" w:rsidRPr="009B6417">
        <w:rPr>
          <w:rFonts w:ascii="Times New Roman" w:hAnsi="Times New Roman" w:cs="Times New Roman"/>
          <w:color w:val="000000" w:themeColor="text1"/>
          <w:sz w:val="24"/>
          <w:szCs w:val="24"/>
        </w:rPr>
        <w:t xml:space="preserve"> </w:t>
      </w:r>
      <w:r w:rsidR="00CC746D">
        <w:rPr>
          <w:rFonts w:ascii="Times New Roman" w:hAnsi="Times New Roman" w:cs="Times New Roman"/>
          <w:color w:val="000000" w:themeColor="text1"/>
          <w:sz w:val="24"/>
          <w:szCs w:val="24"/>
        </w:rPr>
        <w:t>lekë, pra rreth 3.3</w:t>
      </w:r>
      <w:r w:rsidR="00C355D5" w:rsidRPr="00FA0BC4">
        <w:rPr>
          <w:rFonts w:ascii="Times New Roman" w:hAnsi="Times New Roman" w:cs="Times New Roman"/>
          <w:color w:val="000000" w:themeColor="text1"/>
          <w:sz w:val="24"/>
          <w:szCs w:val="24"/>
        </w:rPr>
        <w:t xml:space="preserve"> </w:t>
      </w:r>
      <w:r w:rsidR="00CC5C49" w:rsidRPr="00FA0BC4">
        <w:rPr>
          <w:rFonts w:ascii="Times New Roman" w:hAnsi="Times New Roman" w:cs="Times New Roman"/>
          <w:color w:val="000000" w:themeColor="text1"/>
          <w:sz w:val="24"/>
          <w:szCs w:val="24"/>
        </w:rPr>
        <w:t>përqind</w:t>
      </w:r>
      <w:r w:rsidRPr="00FA0BC4">
        <w:rPr>
          <w:rFonts w:ascii="Times New Roman" w:hAnsi="Times New Roman" w:cs="Times New Roman"/>
          <w:color w:val="000000" w:themeColor="text1"/>
          <w:sz w:val="24"/>
          <w:szCs w:val="24"/>
        </w:rPr>
        <w:t xml:space="preserve"> e </w:t>
      </w:r>
      <w:r w:rsidRPr="00FA0BC4">
        <w:rPr>
          <w:rFonts w:ascii="Times New Roman" w:eastAsia="Times New Roman" w:hAnsi="Times New Roman" w:cs="Times New Roman"/>
          <w:bCs/>
          <w:color w:val="000000" w:themeColor="text1"/>
          <w:sz w:val="24"/>
          <w:szCs w:val="24"/>
          <w:lang w:eastAsia="sq-AL"/>
        </w:rPr>
        <w:t>të ardhurave tatimore faktike të vitit paraardhës buxhetor</w:t>
      </w:r>
      <w:r w:rsidRPr="00FA0BC4">
        <w:rPr>
          <w:rFonts w:ascii="Times New Roman" w:hAnsi="Times New Roman" w:cs="Times New Roman"/>
          <w:color w:val="000000" w:themeColor="text1"/>
          <w:sz w:val="24"/>
          <w:szCs w:val="24"/>
        </w:rPr>
        <w:t>, duke qëndruar kështu</w:t>
      </w:r>
      <w:r w:rsidRPr="009B6417">
        <w:rPr>
          <w:rFonts w:ascii="Times New Roman" w:hAnsi="Times New Roman" w:cs="Times New Roman"/>
          <w:color w:val="000000" w:themeColor="text1"/>
          <w:sz w:val="24"/>
          <w:szCs w:val="24"/>
        </w:rPr>
        <w:t xml:space="preserve"> brenda kufirit të rregullit fiskal maksimal prej 5</w:t>
      </w:r>
      <w:r w:rsidR="00CC5C49" w:rsidRPr="009B6417">
        <w:rPr>
          <w:rFonts w:ascii="Times New Roman" w:hAnsi="Times New Roman" w:cs="Times New Roman"/>
          <w:color w:val="000000" w:themeColor="text1"/>
          <w:sz w:val="24"/>
          <w:szCs w:val="24"/>
        </w:rPr>
        <w:t xml:space="preserve"> përqind</w:t>
      </w:r>
      <w:r w:rsidRPr="009B6417">
        <w:rPr>
          <w:rFonts w:ascii="Times New Roman" w:hAnsi="Times New Roman" w:cs="Times New Roman"/>
          <w:color w:val="000000" w:themeColor="text1"/>
          <w:sz w:val="24"/>
          <w:szCs w:val="24"/>
        </w:rPr>
        <w:t xml:space="preserve"> e </w:t>
      </w:r>
      <w:r w:rsidRPr="009B6417">
        <w:rPr>
          <w:rFonts w:ascii="Times New Roman" w:eastAsia="Times New Roman" w:hAnsi="Times New Roman" w:cs="Times New Roman"/>
          <w:bCs/>
          <w:color w:val="000000" w:themeColor="text1"/>
          <w:sz w:val="24"/>
          <w:szCs w:val="24"/>
          <w:lang w:eastAsia="sq-AL"/>
        </w:rPr>
        <w:t>të ardhurave tatimore faktike të vitit paraardhës buxhetor</w:t>
      </w:r>
      <w:r w:rsidRPr="009B6417">
        <w:rPr>
          <w:rFonts w:ascii="Times New Roman" w:hAnsi="Times New Roman" w:cs="Times New Roman"/>
          <w:color w:val="000000" w:themeColor="text1"/>
          <w:sz w:val="24"/>
          <w:szCs w:val="24"/>
        </w:rPr>
        <w:t xml:space="preserve">. </w:t>
      </w:r>
    </w:p>
    <w:p w14:paraId="617425E1" w14:textId="77777777" w:rsidR="00F05467" w:rsidRDefault="00067C25" w:rsidP="002064BE">
      <w:pPr>
        <w:tabs>
          <w:tab w:val="left" w:pos="3553"/>
        </w:tabs>
        <w:jc w:val="both"/>
        <w:rPr>
          <w:rFonts w:ascii="Times New Roman" w:hAnsi="Times New Roman" w:cs="Times New Roman"/>
          <w:b/>
          <w:i/>
          <w:sz w:val="24"/>
          <w:szCs w:val="24"/>
        </w:rPr>
      </w:pPr>
      <w:r w:rsidRPr="009B6417">
        <w:rPr>
          <w:rFonts w:ascii="Times New Roman" w:hAnsi="Times New Roman" w:cs="Times New Roman"/>
          <w:b/>
          <w:i/>
          <w:sz w:val="24"/>
          <w:szCs w:val="24"/>
        </w:rPr>
        <w:t xml:space="preserve">Figura </w:t>
      </w:r>
      <w:r w:rsidR="00E54EC8" w:rsidRPr="009B6417">
        <w:rPr>
          <w:rFonts w:ascii="Times New Roman" w:hAnsi="Times New Roman" w:cs="Times New Roman"/>
          <w:b/>
          <w:i/>
          <w:sz w:val="24"/>
          <w:szCs w:val="24"/>
        </w:rPr>
        <w:fldChar w:fldCharType="begin"/>
      </w:r>
      <w:r w:rsidRPr="009B6417">
        <w:rPr>
          <w:rFonts w:ascii="Times New Roman" w:hAnsi="Times New Roman" w:cs="Times New Roman"/>
          <w:b/>
          <w:i/>
          <w:sz w:val="24"/>
          <w:szCs w:val="24"/>
        </w:rPr>
        <w:instrText xml:space="preserve"> SEQ Figura \* ARABIC </w:instrText>
      </w:r>
      <w:r w:rsidR="00E54EC8" w:rsidRPr="009B6417">
        <w:rPr>
          <w:rFonts w:ascii="Times New Roman" w:hAnsi="Times New Roman" w:cs="Times New Roman"/>
          <w:b/>
          <w:i/>
          <w:sz w:val="24"/>
          <w:szCs w:val="24"/>
        </w:rPr>
        <w:fldChar w:fldCharType="separate"/>
      </w:r>
      <w:r w:rsidR="00130EDE">
        <w:rPr>
          <w:rFonts w:ascii="Times New Roman" w:hAnsi="Times New Roman" w:cs="Times New Roman"/>
          <w:b/>
          <w:i/>
          <w:noProof/>
          <w:sz w:val="24"/>
          <w:szCs w:val="24"/>
        </w:rPr>
        <w:t>8</w:t>
      </w:r>
      <w:r w:rsidR="00E54EC8" w:rsidRPr="009B6417">
        <w:rPr>
          <w:rFonts w:ascii="Times New Roman" w:hAnsi="Times New Roman" w:cs="Times New Roman"/>
          <w:b/>
          <w:i/>
          <w:noProof/>
          <w:sz w:val="24"/>
          <w:szCs w:val="24"/>
        </w:rPr>
        <w:fldChar w:fldCharType="end"/>
      </w:r>
      <w:r w:rsidRPr="009B6417">
        <w:rPr>
          <w:rFonts w:ascii="Times New Roman" w:hAnsi="Times New Roman" w:cs="Times New Roman"/>
          <w:b/>
          <w:i/>
          <w:sz w:val="24"/>
          <w:szCs w:val="24"/>
        </w:rPr>
        <w:t xml:space="preserve">: Pagesat buxhetore për kontratat me mbështetje buxhetore </w:t>
      </w:r>
      <w:r w:rsidR="00EF5887" w:rsidRPr="009B6417">
        <w:rPr>
          <w:rStyle w:val="FootnoteReference"/>
          <w:rFonts w:ascii="Times New Roman" w:hAnsi="Times New Roman" w:cs="Times New Roman"/>
          <w:b/>
          <w:i/>
          <w:sz w:val="24"/>
          <w:szCs w:val="24"/>
        </w:rPr>
        <w:footnoteReference w:id="8"/>
      </w:r>
    </w:p>
    <w:p w14:paraId="3FDE1190" w14:textId="77777777" w:rsidR="00CC746D" w:rsidRDefault="00CC746D" w:rsidP="002064BE">
      <w:pPr>
        <w:tabs>
          <w:tab w:val="left" w:pos="3553"/>
        </w:tabs>
        <w:jc w:val="both"/>
        <w:rPr>
          <w:rFonts w:ascii="Times New Roman" w:hAnsi="Times New Roman" w:cs="Times New Roman"/>
          <w:b/>
          <w:i/>
          <w:sz w:val="24"/>
          <w:szCs w:val="24"/>
        </w:rPr>
      </w:pPr>
      <w:r>
        <w:rPr>
          <w:noProof/>
          <w:lang w:val="en-US"/>
        </w:rPr>
        <w:drawing>
          <wp:inline distT="0" distB="0" distL="0" distR="0" wp14:anchorId="7257A0B3" wp14:editId="26BCF208">
            <wp:extent cx="6400800" cy="52292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5549F93" w14:textId="77777777" w:rsidR="006B2373" w:rsidRPr="009B6417" w:rsidRDefault="00374C96" w:rsidP="00EB2080">
      <w:pPr>
        <w:tabs>
          <w:tab w:val="left" w:pos="3553"/>
        </w:tabs>
        <w:jc w:val="both"/>
        <w:rPr>
          <w:rFonts w:ascii="Times New Roman" w:hAnsi="Times New Roman" w:cs="Times New Roman"/>
          <w:color w:val="000000" w:themeColor="text1"/>
          <w:sz w:val="24"/>
          <w:szCs w:val="24"/>
        </w:rPr>
      </w:pPr>
      <w:r w:rsidRPr="009B6417">
        <w:rPr>
          <w:rFonts w:ascii="Times New Roman" w:hAnsi="Times New Roman" w:cs="Times New Roman"/>
          <w:i/>
          <w:color w:val="000000" w:themeColor="text1"/>
          <w:sz w:val="24"/>
          <w:szCs w:val="24"/>
        </w:rPr>
        <w:t>Burimi: Ministria</w:t>
      </w:r>
      <w:r w:rsidR="00CF3857">
        <w:rPr>
          <w:rFonts w:ascii="Times New Roman" w:hAnsi="Times New Roman" w:cs="Times New Roman"/>
          <w:i/>
          <w:color w:val="000000" w:themeColor="text1"/>
          <w:sz w:val="24"/>
          <w:szCs w:val="24"/>
        </w:rPr>
        <w:t xml:space="preserve"> e Financave dhe Ekonomisë (2020</w:t>
      </w:r>
      <w:r w:rsidRPr="009B6417">
        <w:rPr>
          <w:rFonts w:ascii="Times New Roman" w:hAnsi="Times New Roman" w:cs="Times New Roman"/>
          <w:i/>
          <w:color w:val="000000" w:themeColor="text1"/>
          <w:sz w:val="24"/>
          <w:szCs w:val="24"/>
        </w:rPr>
        <w:t>)</w:t>
      </w:r>
      <w:r w:rsidR="006B2373" w:rsidRPr="009B6417">
        <w:rPr>
          <w:rFonts w:ascii="Times New Roman" w:hAnsi="Times New Roman" w:cs="Times New Roman"/>
          <w:color w:val="000000" w:themeColor="text1"/>
          <w:sz w:val="24"/>
          <w:szCs w:val="24"/>
        </w:rPr>
        <w:t xml:space="preserve"> </w:t>
      </w:r>
    </w:p>
    <w:p w14:paraId="5A7A9135" w14:textId="77777777" w:rsidR="006B2373" w:rsidRPr="009B6417" w:rsidRDefault="006B2373" w:rsidP="006B2373">
      <w:pPr>
        <w:tabs>
          <w:tab w:val="left" w:pos="3553"/>
        </w:tabs>
        <w:jc w:val="both"/>
        <w:rPr>
          <w:rFonts w:ascii="Times New Roman" w:hAnsi="Times New Roman" w:cs="Times New Roman"/>
          <w:i/>
          <w:color w:val="000000" w:themeColor="text1"/>
          <w:sz w:val="24"/>
          <w:szCs w:val="24"/>
        </w:rPr>
      </w:pPr>
      <w:r w:rsidRPr="009B6417">
        <w:rPr>
          <w:rFonts w:ascii="Times New Roman" w:hAnsi="Times New Roman" w:cs="Times New Roman"/>
          <w:color w:val="000000" w:themeColor="text1"/>
          <w:sz w:val="24"/>
          <w:szCs w:val="24"/>
        </w:rPr>
        <w:lastRenderedPageBreak/>
        <w:t xml:space="preserve">Ndërkohë, referuar figurës </w:t>
      </w:r>
      <w:r w:rsidR="00467983" w:rsidRPr="009B6417">
        <w:rPr>
          <w:rFonts w:ascii="Times New Roman" w:hAnsi="Times New Roman" w:cs="Times New Roman"/>
          <w:color w:val="000000" w:themeColor="text1"/>
          <w:sz w:val="24"/>
          <w:szCs w:val="24"/>
        </w:rPr>
        <w:t>9</w:t>
      </w:r>
      <w:r w:rsidRPr="009B6417">
        <w:rPr>
          <w:rFonts w:ascii="Times New Roman" w:hAnsi="Times New Roman" w:cs="Times New Roman"/>
          <w:color w:val="000000" w:themeColor="text1"/>
          <w:sz w:val="24"/>
          <w:szCs w:val="24"/>
        </w:rPr>
        <w:t xml:space="preserve"> </w:t>
      </w:r>
      <w:r w:rsidRPr="009B6417">
        <w:rPr>
          <w:rFonts w:ascii="Times New Roman" w:hAnsi="Times New Roman" w:cs="Times New Roman"/>
          <w:sz w:val="24"/>
          <w:szCs w:val="24"/>
          <w:lang w:val="en-US"/>
        </w:rPr>
        <w:t>përpjesa e pagesave buxhetore ndaj totalit të të ardhurave tatimore të vitit paraardhës buxhetor, ka rezultu</w:t>
      </w:r>
      <w:r w:rsidR="00CF3857">
        <w:rPr>
          <w:rFonts w:ascii="Times New Roman" w:hAnsi="Times New Roman" w:cs="Times New Roman"/>
          <w:sz w:val="24"/>
          <w:szCs w:val="24"/>
          <w:lang w:val="en-US"/>
        </w:rPr>
        <w:t xml:space="preserve">ar për vitin 2018 dhe vitin </w:t>
      </w:r>
      <w:r w:rsidRPr="009B6417">
        <w:rPr>
          <w:rFonts w:ascii="Times New Roman" w:hAnsi="Times New Roman" w:cs="Times New Roman"/>
          <w:sz w:val="24"/>
          <w:szCs w:val="24"/>
          <w:lang w:val="en-US"/>
        </w:rPr>
        <w:t>2019 nën kufirin maksimal të rregullit fiskal prej 5 përqind. Gjithashtu në bazë të pagesave buxhetore të planifikuara ky tregues parashikohet të jetë edhe për vitet në vijim nën kufirin maksimal të rregullit fiskal</w:t>
      </w:r>
      <w:r w:rsidR="007936C4">
        <w:rPr>
          <w:rFonts w:ascii="Times New Roman" w:hAnsi="Times New Roman" w:cs="Times New Roman"/>
          <w:i/>
          <w:color w:val="000000" w:themeColor="text1"/>
          <w:sz w:val="24"/>
          <w:szCs w:val="24"/>
        </w:rPr>
        <w:t>.</w:t>
      </w:r>
    </w:p>
    <w:p w14:paraId="2B21910C" w14:textId="77777777" w:rsidR="000005B1" w:rsidRDefault="006B2373" w:rsidP="006B6D4D">
      <w:pPr>
        <w:pStyle w:val="Caption"/>
        <w:rPr>
          <w:lang w:val="en-US"/>
        </w:rPr>
      </w:pPr>
      <w:bookmarkStart w:id="29" w:name="_Toc34919496"/>
      <w:r w:rsidRPr="00B52897">
        <w:t xml:space="preserve">Figura </w:t>
      </w:r>
      <w:r w:rsidR="00E54EC8">
        <w:fldChar w:fldCharType="begin"/>
      </w:r>
      <w:r w:rsidR="00815B1B">
        <w:instrText xml:space="preserve"> SEQ Figura \* ARABIC </w:instrText>
      </w:r>
      <w:r w:rsidR="00E54EC8">
        <w:fldChar w:fldCharType="separate"/>
      </w:r>
      <w:r w:rsidR="00130EDE">
        <w:rPr>
          <w:noProof/>
        </w:rPr>
        <w:t>9</w:t>
      </w:r>
      <w:r w:rsidR="00E54EC8">
        <w:rPr>
          <w:noProof/>
        </w:rPr>
        <w:fldChar w:fldCharType="end"/>
      </w:r>
      <w:r w:rsidRPr="00B52897">
        <w:t xml:space="preserve">: </w:t>
      </w:r>
      <w:r w:rsidR="00067C25" w:rsidRPr="00B52897">
        <w:rPr>
          <w:lang w:val="en-US"/>
        </w:rPr>
        <w:t xml:space="preserve">Përpjesa e pagesave </w:t>
      </w:r>
      <w:r w:rsidR="00EF5887" w:rsidRPr="00B52897">
        <w:rPr>
          <w:lang w:val="en-US"/>
        </w:rPr>
        <w:t>buxhetore</w:t>
      </w:r>
      <w:r w:rsidR="00067C25" w:rsidRPr="00B52897">
        <w:rPr>
          <w:lang w:val="en-US"/>
        </w:rPr>
        <w:t xml:space="preserve"> ndaj totalit të të ardhurave tatimore të vitit paraardhës buxhetor</w:t>
      </w:r>
      <w:r w:rsidR="00067C25" w:rsidRPr="009B6417">
        <w:rPr>
          <w:lang w:val="en-US"/>
        </w:rPr>
        <w:t xml:space="preserve"> </w:t>
      </w:r>
      <w:bookmarkEnd w:id="29"/>
    </w:p>
    <w:p w14:paraId="41C63753" w14:textId="77777777" w:rsidR="00CF3857" w:rsidRPr="00CF3857" w:rsidRDefault="00CF3857" w:rsidP="00CF3857">
      <w:pPr>
        <w:rPr>
          <w:lang w:val="en-US"/>
        </w:rPr>
      </w:pPr>
      <w:r>
        <w:rPr>
          <w:noProof/>
          <w:lang w:val="en-US"/>
        </w:rPr>
        <w:drawing>
          <wp:inline distT="0" distB="0" distL="0" distR="0" wp14:anchorId="399DF240" wp14:editId="7B6356D1">
            <wp:extent cx="6400800" cy="2506345"/>
            <wp:effectExtent l="0" t="0" r="0" b="825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C454D4E" w14:textId="77777777" w:rsidR="009C130B" w:rsidRDefault="00467983" w:rsidP="002064BE">
      <w:pPr>
        <w:tabs>
          <w:tab w:val="left" w:pos="3553"/>
        </w:tabs>
        <w:jc w:val="both"/>
        <w:rPr>
          <w:rFonts w:ascii="Times New Roman" w:hAnsi="Times New Roman" w:cs="Times New Roman"/>
          <w:i/>
          <w:sz w:val="24"/>
          <w:szCs w:val="24"/>
          <w:lang w:val="en-US"/>
        </w:rPr>
      </w:pPr>
      <w:r w:rsidRPr="009B6417">
        <w:rPr>
          <w:rFonts w:ascii="Times New Roman" w:hAnsi="Times New Roman" w:cs="Times New Roman"/>
          <w:i/>
          <w:sz w:val="24"/>
          <w:szCs w:val="24"/>
          <w:lang w:val="en-US"/>
        </w:rPr>
        <w:t xml:space="preserve"> </w:t>
      </w:r>
      <w:r w:rsidR="00374C96" w:rsidRPr="009B6417">
        <w:rPr>
          <w:rFonts w:ascii="Times New Roman" w:hAnsi="Times New Roman" w:cs="Times New Roman"/>
          <w:i/>
          <w:sz w:val="24"/>
          <w:szCs w:val="24"/>
          <w:lang w:val="en-US"/>
        </w:rPr>
        <w:t>Burimi: Ministria</w:t>
      </w:r>
      <w:r w:rsidR="00CF3857">
        <w:rPr>
          <w:rFonts w:ascii="Times New Roman" w:hAnsi="Times New Roman" w:cs="Times New Roman"/>
          <w:i/>
          <w:sz w:val="24"/>
          <w:szCs w:val="24"/>
          <w:lang w:val="en-US"/>
        </w:rPr>
        <w:t xml:space="preserve"> e Financave dhe Ekonomisë (2020</w:t>
      </w:r>
      <w:r w:rsidR="00374C96" w:rsidRPr="009B6417">
        <w:rPr>
          <w:rFonts w:ascii="Times New Roman" w:hAnsi="Times New Roman" w:cs="Times New Roman"/>
          <w:i/>
          <w:sz w:val="24"/>
          <w:szCs w:val="24"/>
          <w:lang w:val="en-US"/>
        </w:rPr>
        <w:t>)</w:t>
      </w:r>
    </w:p>
    <w:p w14:paraId="39B3A797" w14:textId="77777777" w:rsidR="00CF3857" w:rsidRPr="009B6417" w:rsidRDefault="00CF3857" w:rsidP="002064BE">
      <w:pPr>
        <w:tabs>
          <w:tab w:val="left" w:pos="3553"/>
        </w:tabs>
        <w:jc w:val="both"/>
        <w:rPr>
          <w:rFonts w:ascii="Times New Roman" w:hAnsi="Times New Roman" w:cs="Times New Roman"/>
          <w:i/>
          <w:sz w:val="24"/>
          <w:szCs w:val="24"/>
          <w:lang w:val="en-US"/>
        </w:rPr>
      </w:pPr>
    </w:p>
    <w:p w14:paraId="3C31283E" w14:textId="77777777" w:rsidR="002064BE" w:rsidRPr="009B6417" w:rsidRDefault="002064BE" w:rsidP="009E599C">
      <w:pPr>
        <w:pStyle w:val="Heading1"/>
        <w:rPr>
          <w:rFonts w:ascii="Times New Roman" w:hAnsi="Times New Roman" w:cs="Times New Roman"/>
          <w:b/>
          <w:sz w:val="24"/>
          <w:szCs w:val="24"/>
        </w:rPr>
      </w:pPr>
      <w:bookmarkStart w:id="30" w:name="_Toc37196688"/>
      <w:r w:rsidRPr="009B6417">
        <w:rPr>
          <w:rFonts w:ascii="Times New Roman" w:hAnsi="Times New Roman" w:cs="Times New Roman"/>
          <w:b/>
          <w:sz w:val="24"/>
          <w:szCs w:val="24"/>
        </w:rPr>
        <w:t>2. Prezantim i ecurisë së 10 Kontratave Koncesionare/PPP në Shqipëri</w:t>
      </w:r>
      <w:bookmarkEnd w:id="30"/>
    </w:p>
    <w:p w14:paraId="44E1AAF0" w14:textId="77777777" w:rsidR="00CF3857" w:rsidRPr="009B6417" w:rsidRDefault="002064BE" w:rsidP="002064BE">
      <w:pPr>
        <w:tabs>
          <w:tab w:val="left" w:pos="3553"/>
        </w:tabs>
        <w:jc w:val="both"/>
        <w:rPr>
          <w:rFonts w:ascii="Times New Roman" w:hAnsi="Times New Roman" w:cs="Times New Roman"/>
          <w:sz w:val="24"/>
          <w:szCs w:val="24"/>
        </w:rPr>
      </w:pPr>
      <w:r w:rsidRPr="009B6417">
        <w:rPr>
          <w:rFonts w:ascii="Times New Roman" w:hAnsi="Times New Roman" w:cs="Times New Roman"/>
          <w:sz w:val="24"/>
          <w:szCs w:val="24"/>
        </w:rPr>
        <w:t xml:space="preserve">Në total në Shqipëri deri në vitin 2019 rezultojnë </w:t>
      </w:r>
      <w:r w:rsidR="001E3A70">
        <w:rPr>
          <w:rFonts w:ascii="Times New Roman" w:hAnsi="Times New Roman" w:cs="Times New Roman"/>
          <w:sz w:val="24"/>
          <w:szCs w:val="24"/>
        </w:rPr>
        <w:t>224</w:t>
      </w:r>
      <w:r w:rsidRPr="009B6417">
        <w:rPr>
          <w:rFonts w:ascii="Times New Roman" w:hAnsi="Times New Roman" w:cs="Times New Roman"/>
          <w:sz w:val="24"/>
          <w:szCs w:val="24"/>
        </w:rPr>
        <w:t xml:space="preserve"> kontrata koncesionare, por meqënëse procesi i monitorimit të të gjitha kontratave koncesionare në R.Sh është një proces i iniciuar në vitin 2019</w:t>
      </w:r>
      <w:r w:rsidR="007F36C9" w:rsidRPr="009B6417">
        <w:rPr>
          <w:rFonts w:ascii="Times New Roman" w:hAnsi="Times New Roman" w:cs="Times New Roman"/>
          <w:sz w:val="24"/>
          <w:szCs w:val="24"/>
        </w:rPr>
        <w:t xml:space="preserve"> me miratimin e ndryshimeve të L</w:t>
      </w:r>
      <w:r w:rsidRPr="009B6417">
        <w:rPr>
          <w:rFonts w:ascii="Times New Roman" w:hAnsi="Times New Roman" w:cs="Times New Roman"/>
          <w:sz w:val="24"/>
          <w:szCs w:val="24"/>
        </w:rPr>
        <w:t>igjit</w:t>
      </w:r>
      <w:r w:rsidR="007F36C9" w:rsidRPr="009B6417">
        <w:rPr>
          <w:rFonts w:ascii="Times New Roman" w:hAnsi="Times New Roman" w:cs="Times New Roman"/>
          <w:sz w:val="24"/>
          <w:szCs w:val="24"/>
        </w:rPr>
        <w:t xml:space="preserve"> Nr.</w:t>
      </w:r>
      <w:r w:rsidRPr="009B6417">
        <w:rPr>
          <w:rFonts w:ascii="Times New Roman" w:hAnsi="Times New Roman" w:cs="Times New Roman"/>
          <w:sz w:val="24"/>
          <w:szCs w:val="24"/>
        </w:rPr>
        <w:t xml:space="preserve"> 125/2013 i ndryshuar, në këtë seksion të raportit </w:t>
      </w:r>
      <w:r w:rsidR="00612FB6">
        <w:rPr>
          <w:rFonts w:ascii="Times New Roman" w:hAnsi="Times New Roman" w:cs="Times New Roman"/>
          <w:sz w:val="24"/>
          <w:szCs w:val="24"/>
        </w:rPr>
        <w:t xml:space="preserve">i </w:t>
      </w:r>
      <w:r w:rsidR="00AB3C00">
        <w:rPr>
          <w:rFonts w:ascii="Times New Roman" w:hAnsi="Times New Roman" w:cs="Times New Roman"/>
          <w:sz w:val="24"/>
          <w:szCs w:val="24"/>
        </w:rPr>
        <w:t>ë</w:t>
      </w:r>
      <w:r w:rsidR="00612FB6">
        <w:rPr>
          <w:rFonts w:ascii="Times New Roman" w:hAnsi="Times New Roman" w:cs="Times New Roman"/>
          <w:sz w:val="24"/>
          <w:szCs w:val="24"/>
        </w:rPr>
        <w:t>sht</w:t>
      </w:r>
      <w:r w:rsidR="00AB3C00">
        <w:rPr>
          <w:rFonts w:ascii="Times New Roman" w:hAnsi="Times New Roman" w:cs="Times New Roman"/>
          <w:sz w:val="24"/>
          <w:szCs w:val="24"/>
        </w:rPr>
        <w:t>ë</w:t>
      </w:r>
      <w:r w:rsidR="00612FB6">
        <w:rPr>
          <w:rFonts w:ascii="Times New Roman" w:hAnsi="Times New Roman" w:cs="Times New Roman"/>
          <w:sz w:val="24"/>
          <w:szCs w:val="24"/>
        </w:rPr>
        <w:t xml:space="preserve"> kushtuar v</w:t>
      </w:r>
      <w:r w:rsidR="00AB3C00">
        <w:rPr>
          <w:rFonts w:ascii="Times New Roman" w:hAnsi="Times New Roman" w:cs="Times New Roman"/>
          <w:sz w:val="24"/>
          <w:szCs w:val="24"/>
        </w:rPr>
        <w:t>ë</w:t>
      </w:r>
      <w:r w:rsidR="00612FB6">
        <w:rPr>
          <w:rFonts w:ascii="Times New Roman" w:hAnsi="Times New Roman" w:cs="Times New Roman"/>
          <w:sz w:val="24"/>
          <w:szCs w:val="24"/>
        </w:rPr>
        <w:t>mendje ecuris</w:t>
      </w:r>
      <w:r w:rsidR="00AB3C00">
        <w:rPr>
          <w:rFonts w:ascii="Times New Roman" w:hAnsi="Times New Roman" w:cs="Times New Roman"/>
          <w:sz w:val="24"/>
          <w:szCs w:val="24"/>
        </w:rPr>
        <w:t>ë</w:t>
      </w:r>
      <w:r w:rsidR="00612FB6">
        <w:rPr>
          <w:rFonts w:ascii="Times New Roman" w:hAnsi="Times New Roman" w:cs="Times New Roman"/>
          <w:sz w:val="24"/>
          <w:szCs w:val="24"/>
        </w:rPr>
        <w:t xml:space="preserve"> </w:t>
      </w:r>
      <w:r w:rsidRPr="009B6417">
        <w:rPr>
          <w:rFonts w:ascii="Times New Roman" w:hAnsi="Times New Roman" w:cs="Times New Roman"/>
          <w:sz w:val="24"/>
          <w:szCs w:val="24"/>
        </w:rPr>
        <w:t xml:space="preserve">e </w:t>
      </w:r>
      <w:r w:rsidR="001E3A70">
        <w:rPr>
          <w:rFonts w:ascii="Times New Roman" w:hAnsi="Times New Roman" w:cs="Times New Roman"/>
          <w:sz w:val="24"/>
          <w:szCs w:val="24"/>
        </w:rPr>
        <w:t xml:space="preserve">kontratave koncesionare me </w:t>
      </w:r>
      <w:r w:rsidRPr="009B6417">
        <w:rPr>
          <w:rFonts w:ascii="Times New Roman" w:hAnsi="Times New Roman" w:cs="Times New Roman"/>
          <w:sz w:val="24"/>
          <w:szCs w:val="24"/>
        </w:rPr>
        <w:t xml:space="preserve"> vlerën më të lartë m</w:t>
      </w:r>
      <w:r w:rsidR="00CF3857">
        <w:rPr>
          <w:rFonts w:ascii="Times New Roman" w:hAnsi="Times New Roman" w:cs="Times New Roman"/>
          <w:sz w:val="24"/>
          <w:szCs w:val="24"/>
        </w:rPr>
        <w:t>onetare në sektorët respektivë</w:t>
      </w:r>
      <w:r w:rsidR="00612FB6">
        <w:rPr>
          <w:rFonts w:ascii="Times New Roman" w:hAnsi="Times New Roman" w:cs="Times New Roman"/>
          <w:sz w:val="24"/>
          <w:szCs w:val="24"/>
        </w:rPr>
        <w:t xml:space="preserve"> si dhe kontratave</w:t>
      </w:r>
      <w:r w:rsidR="00CF3857">
        <w:rPr>
          <w:rFonts w:ascii="Times New Roman" w:hAnsi="Times New Roman" w:cs="Times New Roman"/>
          <w:sz w:val="24"/>
          <w:szCs w:val="24"/>
        </w:rPr>
        <w:t xml:space="preserve"> </w:t>
      </w:r>
      <w:r w:rsidR="00612FB6">
        <w:rPr>
          <w:rFonts w:ascii="Times New Roman" w:hAnsi="Times New Roman" w:cs="Times New Roman"/>
          <w:sz w:val="24"/>
          <w:szCs w:val="24"/>
        </w:rPr>
        <w:t>koncesionare</w:t>
      </w:r>
      <w:r w:rsidR="00CF3857">
        <w:rPr>
          <w:rFonts w:ascii="Times New Roman" w:hAnsi="Times New Roman" w:cs="Times New Roman"/>
          <w:sz w:val="24"/>
          <w:szCs w:val="24"/>
        </w:rPr>
        <w:t xml:space="preserve"> n</w:t>
      </w:r>
      <w:r w:rsidR="001E3A70">
        <w:rPr>
          <w:rFonts w:ascii="Times New Roman" w:hAnsi="Times New Roman" w:cs="Times New Roman"/>
          <w:sz w:val="24"/>
          <w:szCs w:val="24"/>
        </w:rPr>
        <w:t>ë</w:t>
      </w:r>
      <w:r w:rsidR="00CF3857">
        <w:rPr>
          <w:rFonts w:ascii="Times New Roman" w:hAnsi="Times New Roman" w:cs="Times New Roman"/>
          <w:sz w:val="24"/>
          <w:szCs w:val="24"/>
        </w:rPr>
        <w:t xml:space="preserve"> sektorin e mjedisit.</w:t>
      </w:r>
    </w:p>
    <w:p w14:paraId="20679FEB" w14:textId="77777777" w:rsidR="002064BE" w:rsidRPr="009B6417" w:rsidRDefault="002064BE" w:rsidP="00645B95">
      <w:pPr>
        <w:pStyle w:val="ListParagraph"/>
        <w:numPr>
          <w:ilvl w:val="0"/>
          <w:numId w:val="3"/>
        </w:numPr>
        <w:tabs>
          <w:tab w:val="left" w:pos="3553"/>
        </w:tabs>
        <w:jc w:val="both"/>
        <w:rPr>
          <w:rFonts w:ascii="Times New Roman" w:hAnsi="Times New Roman" w:cs="Times New Roman"/>
          <w:b/>
          <w:color w:val="0070C0"/>
          <w:sz w:val="24"/>
          <w:szCs w:val="24"/>
        </w:rPr>
      </w:pPr>
      <w:r w:rsidRPr="009B6417">
        <w:rPr>
          <w:rFonts w:ascii="Times New Roman" w:hAnsi="Times New Roman" w:cs="Times New Roman"/>
          <w:b/>
          <w:color w:val="0070C0"/>
          <w:sz w:val="24"/>
          <w:szCs w:val="24"/>
        </w:rPr>
        <w:t>Sektori i Transportit</w:t>
      </w:r>
    </w:p>
    <w:p w14:paraId="426EAEF9" w14:textId="77777777" w:rsidR="002064BE" w:rsidRDefault="002064BE" w:rsidP="008C48B8">
      <w:pPr>
        <w:tabs>
          <w:tab w:val="num" w:pos="720"/>
        </w:tabs>
        <w:spacing w:after="0"/>
        <w:jc w:val="both"/>
        <w:rPr>
          <w:rFonts w:ascii="Times New Roman" w:hAnsi="Times New Roman" w:cs="Times New Roman"/>
          <w:sz w:val="24"/>
          <w:szCs w:val="24"/>
        </w:rPr>
      </w:pPr>
      <w:r w:rsidRPr="009B6417">
        <w:rPr>
          <w:rFonts w:ascii="Times New Roman" w:hAnsi="Times New Roman" w:cs="Times New Roman"/>
          <w:sz w:val="24"/>
          <w:szCs w:val="24"/>
        </w:rPr>
        <w:t xml:space="preserve">Me </w:t>
      </w:r>
      <w:r w:rsidR="000A6F26" w:rsidRPr="009B6417">
        <w:rPr>
          <w:rFonts w:ascii="Times New Roman" w:hAnsi="Times New Roman" w:cs="Times New Roman"/>
          <w:sz w:val="24"/>
          <w:szCs w:val="24"/>
        </w:rPr>
        <w:t>qëllim rritjen dhe zhvillimin e</w:t>
      </w:r>
      <w:r w:rsidRPr="009B6417">
        <w:rPr>
          <w:rFonts w:ascii="Times New Roman" w:hAnsi="Times New Roman" w:cs="Times New Roman"/>
          <w:sz w:val="24"/>
          <w:szCs w:val="24"/>
        </w:rPr>
        <w:t xml:space="preserve"> mëtejshëm të ekonomisë kombëtare, Qeveria e Shqipërisë në vitin 2017 ka iniciuar programin ‘</w:t>
      </w:r>
      <w:r w:rsidRPr="009B6417">
        <w:rPr>
          <w:rFonts w:ascii="Times New Roman" w:hAnsi="Times New Roman" w:cs="Times New Roman"/>
          <w:i/>
          <w:sz w:val="24"/>
          <w:szCs w:val="24"/>
        </w:rPr>
        <w:t>One Billion Project Financing Program’</w:t>
      </w:r>
      <w:r w:rsidRPr="009B6417">
        <w:rPr>
          <w:rFonts w:ascii="Times New Roman" w:hAnsi="Times New Roman" w:cs="Times New Roman"/>
          <w:sz w:val="24"/>
          <w:szCs w:val="24"/>
        </w:rPr>
        <w:t xml:space="preserve"> i cili fokusohet në implementimin e projekteve në infrastrukturë dhe turizëm me impakt të madh social dhe ekonomik. Në kuadër të këtij programi është investuar në ndërtimin e akseve rrugore me rëndësi kombëtare për zhvillimin ekonomik, nga të cilat në këtë raport janë </w:t>
      </w:r>
      <w:r w:rsidR="002A0A72" w:rsidRPr="009B6417">
        <w:rPr>
          <w:rFonts w:ascii="Times New Roman" w:hAnsi="Times New Roman" w:cs="Times New Roman"/>
          <w:sz w:val="24"/>
          <w:szCs w:val="24"/>
        </w:rPr>
        <w:t xml:space="preserve">përzgjedhur për t’u prezantuar kontratat </w:t>
      </w:r>
      <w:r w:rsidRPr="009B6417">
        <w:rPr>
          <w:rFonts w:ascii="Times New Roman" w:hAnsi="Times New Roman" w:cs="Times New Roman"/>
          <w:sz w:val="24"/>
          <w:szCs w:val="24"/>
        </w:rPr>
        <w:t xml:space="preserve"> si më poshtë:</w:t>
      </w:r>
      <w:r w:rsidR="00AC6F9E" w:rsidRPr="009B6417">
        <w:rPr>
          <w:rFonts w:ascii="Times New Roman" w:hAnsi="Times New Roman" w:cs="Times New Roman"/>
          <w:sz w:val="24"/>
          <w:szCs w:val="24"/>
        </w:rPr>
        <w:t xml:space="preserve"> </w:t>
      </w:r>
    </w:p>
    <w:p w14:paraId="2B3B4D91" w14:textId="77777777" w:rsidR="0021185F" w:rsidRDefault="0021185F" w:rsidP="008C48B8">
      <w:pPr>
        <w:tabs>
          <w:tab w:val="num" w:pos="720"/>
        </w:tabs>
        <w:spacing w:after="0"/>
        <w:jc w:val="both"/>
        <w:rPr>
          <w:rFonts w:ascii="Times New Roman" w:hAnsi="Times New Roman" w:cs="Times New Roman"/>
          <w:sz w:val="24"/>
          <w:szCs w:val="24"/>
        </w:rPr>
      </w:pPr>
    </w:p>
    <w:p w14:paraId="1D1B759D" w14:textId="77777777" w:rsidR="0021185F" w:rsidRDefault="0021185F" w:rsidP="0021185F">
      <w:pPr>
        <w:tabs>
          <w:tab w:val="num" w:pos="720"/>
        </w:tabs>
        <w:spacing w:after="0"/>
        <w:jc w:val="both"/>
        <w:rPr>
          <w:rFonts w:ascii="Times New Roman" w:hAnsi="Times New Roman" w:cs="Times New Roman"/>
          <w:sz w:val="24"/>
          <w:szCs w:val="24"/>
        </w:rPr>
      </w:pPr>
    </w:p>
    <w:p w14:paraId="417BDBE1" w14:textId="77777777" w:rsidR="0021185F" w:rsidRDefault="0021185F" w:rsidP="0021185F">
      <w:pPr>
        <w:pStyle w:val="Heading2"/>
        <w:rPr>
          <w:rFonts w:ascii="Times New Roman" w:hAnsi="Times New Roman" w:cs="Times New Roman"/>
          <w:b/>
          <w:sz w:val="24"/>
          <w:szCs w:val="24"/>
        </w:rPr>
      </w:pPr>
      <w:bookmarkStart w:id="31" w:name="_Toc37196689"/>
      <w:r>
        <w:rPr>
          <w:rFonts w:ascii="Times New Roman" w:hAnsi="Times New Roman" w:cs="Times New Roman"/>
          <w:b/>
          <w:sz w:val="24"/>
          <w:szCs w:val="24"/>
        </w:rPr>
        <w:lastRenderedPageBreak/>
        <w:t xml:space="preserve">2.1. Kontrata </w:t>
      </w:r>
      <w:bookmarkStart w:id="32" w:name="_Toc19882246"/>
      <w:bookmarkStart w:id="33" w:name="_Toc18256674"/>
      <w:r>
        <w:rPr>
          <w:rFonts w:ascii="Times New Roman" w:hAnsi="Times New Roman" w:cs="Times New Roman"/>
          <w:b/>
          <w:sz w:val="24"/>
          <w:szCs w:val="24"/>
        </w:rPr>
        <w:t>Koncesionare/PPP “</w:t>
      </w:r>
      <w:r>
        <w:rPr>
          <w:rFonts w:ascii="Times New Roman" w:hAnsi="Times New Roman" w:cs="Times New Roman"/>
          <w:b/>
          <w:i/>
          <w:sz w:val="24"/>
          <w:szCs w:val="24"/>
        </w:rPr>
        <w:t>Për ndërtimin, përmirësimin, shfrytëzimin dhe mirëmbajtjen e autostradës Milot-Morinë</w:t>
      </w:r>
      <w:r>
        <w:rPr>
          <w:rFonts w:ascii="Times New Roman" w:hAnsi="Times New Roman" w:cs="Times New Roman"/>
          <w:b/>
          <w:sz w:val="24"/>
          <w:szCs w:val="24"/>
        </w:rPr>
        <w:t>”</w:t>
      </w:r>
      <w:bookmarkEnd w:id="31"/>
    </w:p>
    <w:bookmarkEnd w:id="32"/>
    <w:bookmarkEnd w:id="33"/>
    <w:p w14:paraId="47AF2A65" w14:textId="77777777" w:rsidR="0021185F" w:rsidRDefault="0021185F" w:rsidP="0021185F">
      <w:pPr>
        <w:pStyle w:val="Heading2"/>
        <w:rPr>
          <w:rFonts w:ascii="Times New Roman" w:hAnsi="Times New Roman" w:cs="Times New Roman"/>
          <w:b/>
          <w:sz w:val="24"/>
          <w:szCs w:val="24"/>
        </w:rPr>
      </w:pPr>
    </w:p>
    <w:p w14:paraId="25FA2E7F" w14:textId="77777777" w:rsidR="0021185F" w:rsidRDefault="0021185F" w:rsidP="0021185F">
      <w:pPr>
        <w:pStyle w:val="ListParagraph"/>
        <w:numPr>
          <w:ilvl w:val="2"/>
          <w:numId w:val="31"/>
        </w:numPr>
        <w:tabs>
          <w:tab w:val="left" w:pos="3553"/>
        </w:tabs>
        <w:ind w:left="630"/>
        <w:jc w:val="both"/>
        <w:rPr>
          <w:rFonts w:ascii="Times New Roman" w:hAnsi="Times New Roman" w:cs="Times New Roman"/>
          <w:b/>
          <w:i/>
          <w:sz w:val="24"/>
          <w:szCs w:val="24"/>
        </w:rPr>
      </w:pPr>
      <w:r>
        <w:rPr>
          <w:rFonts w:ascii="Times New Roman" w:hAnsi="Times New Roman" w:cs="Times New Roman"/>
          <w:b/>
          <w:i/>
          <w:sz w:val="24"/>
          <w:szCs w:val="24"/>
        </w:rPr>
        <w:t>Përshkrim i përgjithshëm  i projektit</w:t>
      </w:r>
    </w:p>
    <w:p w14:paraId="09D694C2" w14:textId="77777777" w:rsidR="0021185F" w:rsidRDefault="0021185F" w:rsidP="0021185F">
      <w:pPr>
        <w:spacing w:after="0"/>
        <w:jc w:val="both"/>
        <w:rPr>
          <w:rFonts w:ascii="Times New Roman" w:eastAsia="Times New Roman" w:hAnsi="Times New Roman" w:cs="Times New Roman"/>
          <w:sz w:val="24"/>
          <w:szCs w:val="24"/>
        </w:rPr>
      </w:pPr>
      <w:r>
        <w:rPr>
          <w:noProof/>
          <w:lang w:val="en-US"/>
        </w:rPr>
        <mc:AlternateContent>
          <mc:Choice Requires="wps">
            <w:drawing>
              <wp:anchor distT="91440" distB="0" distL="91440" distR="320040" simplePos="0" relativeHeight="251674624" behindDoc="1" locked="0" layoutInCell="1" allowOverlap="1" wp14:anchorId="2D067A66" wp14:editId="6C92793D">
                <wp:simplePos x="0" y="0"/>
                <wp:positionH relativeFrom="margin">
                  <wp:posOffset>3086100</wp:posOffset>
                </wp:positionH>
                <wp:positionV relativeFrom="margin">
                  <wp:posOffset>1087755</wp:posOffset>
                </wp:positionV>
                <wp:extent cx="3291840" cy="1883664"/>
                <wp:effectExtent l="0" t="0" r="22860" b="21590"/>
                <wp:wrapTight wrapText="bothSides">
                  <wp:wrapPolygon edited="0">
                    <wp:start x="0" y="0"/>
                    <wp:lineTo x="0" y="21629"/>
                    <wp:lineTo x="21625" y="21629"/>
                    <wp:lineTo x="21625"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883664"/>
                        </a:xfrm>
                        <a:prstGeom prst="rect">
                          <a:avLst/>
                        </a:prstGeom>
                        <a:pattFill prst="pct50">
                          <a:fgClr>
                            <a:schemeClr val="bg2">
                              <a:lumMod val="100000"/>
                              <a:lumOff val="0"/>
                            </a:schemeClr>
                          </a:fgClr>
                          <a:bgClr>
                            <a:schemeClr val="bg1">
                              <a:lumMod val="100000"/>
                              <a:lumOff val="0"/>
                            </a:schemeClr>
                          </a:bgClr>
                        </a:pattFill>
                        <a:ln w="6350">
                          <a:solidFill>
                            <a:schemeClr val="bg2">
                              <a:lumMod val="75000"/>
                              <a:lumOff val="0"/>
                            </a:schemeClr>
                          </a:solidFill>
                          <a:miter lim="800000"/>
                          <a:headEnd/>
                          <a:tailEnd/>
                        </a:ln>
                      </wps:spPr>
                      <wps:txbx>
                        <w:txbxContent>
                          <w:p w14:paraId="7E220998" w14:textId="77777777" w:rsidR="0025668C" w:rsidRDefault="0025668C" w:rsidP="0021185F">
                            <w:pPr>
                              <w:pBdr>
                                <w:left w:val="single" w:sz="48" w:space="3" w:color="7F7F7F" w:themeColor="text1" w:themeTint="80"/>
                                <w:bottom w:val="single" w:sz="8" w:space="3" w:color="7F7F7F" w:themeColor="text1" w:themeTint="80"/>
                              </w:pBdr>
                              <w:spacing w:before="40" w:line="288" w:lineRule="auto"/>
                              <w:jc w:val="center"/>
                              <w:rPr>
                                <w:rFonts w:ascii="Times New Roman" w:hAnsi="Times New Roman" w:cs="Times New Roman"/>
                                <w:b/>
                                <w:i/>
                                <w:color w:val="4A442A" w:themeColor="background2" w:themeShade="40"/>
                                <w:sz w:val="16"/>
                                <w:szCs w:val="27"/>
                              </w:rPr>
                            </w:pPr>
                            <w:r>
                              <w:rPr>
                                <w:rFonts w:ascii="Times New Roman" w:hAnsi="Times New Roman" w:cs="Times New Roman"/>
                                <w:b/>
                                <w:color w:val="4A442A" w:themeColor="background2" w:themeShade="40"/>
                                <w:sz w:val="18"/>
                                <w:szCs w:val="28"/>
                                <w:lang w:val="en-US"/>
                              </w:rPr>
                              <w:t>Kontrata Koncesionare “</w:t>
                            </w:r>
                            <w:r>
                              <w:rPr>
                                <w:rFonts w:ascii="Times New Roman" w:hAnsi="Times New Roman" w:cs="Times New Roman"/>
                                <w:b/>
                                <w:i/>
                                <w:color w:val="4A442A" w:themeColor="background2" w:themeShade="40"/>
                                <w:sz w:val="18"/>
                                <w:szCs w:val="28"/>
                                <w:lang w:val="en-US"/>
                              </w:rPr>
                              <w:t>Për ndërtimin, përmirësimin, shfrytëzimin dhe mirëmbajtjen e autostradës Milot-Morinë</w:t>
                            </w:r>
                            <w:r>
                              <w:rPr>
                                <w:rFonts w:ascii="Times New Roman" w:hAnsi="Times New Roman" w:cs="Times New Roman"/>
                                <w:b/>
                                <w:sz w:val="18"/>
                                <w:szCs w:val="28"/>
                                <w:lang w:val="en-US"/>
                              </w:rPr>
                              <w:t>”</w:t>
                            </w:r>
                          </w:p>
                          <w:p w14:paraId="7AD718EE" w14:textId="77777777" w:rsidR="0025668C"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Autoriteti Kontraktues:</w:t>
                            </w:r>
                            <w:r>
                              <w:rPr>
                                <w:rFonts w:ascii="Times New Roman" w:hAnsi="Times New Roman" w:cs="Times New Roman"/>
                                <w:color w:val="000000" w:themeColor="text1"/>
                              </w:rPr>
                              <w:t xml:space="preserve"> Ministria e Infrastrukturës dhe Energjisë.</w:t>
                            </w:r>
                          </w:p>
                          <w:p w14:paraId="28E46776" w14:textId="77777777" w:rsidR="0025668C"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SPV:</w:t>
                            </w:r>
                            <w:r w:rsidR="008558F1">
                              <w:rPr>
                                <w:rFonts w:ascii="Times New Roman" w:hAnsi="Times New Roman" w:cs="Times New Roman"/>
                                <w:color w:val="000000" w:themeColor="text1"/>
                              </w:rPr>
                              <w:t xml:space="preserve">         “Albania Highw</w:t>
                            </w:r>
                            <w:r>
                              <w:rPr>
                                <w:rFonts w:ascii="Times New Roman" w:hAnsi="Times New Roman" w:cs="Times New Roman"/>
                                <w:color w:val="000000" w:themeColor="text1"/>
                              </w:rPr>
                              <w:t>ay Concession Company”</w:t>
                            </w:r>
                          </w:p>
                          <w:p w14:paraId="5D61DD3A" w14:textId="77777777" w:rsidR="0025668C"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w:t>
                            </w:r>
                            <w:r>
                              <w:rPr>
                                <w:rFonts w:ascii="Times New Roman" w:hAnsi="Times New Roman" w:cs="Times New Roman"/>
                                <w:sz w:val="20"/>
                                <w:szCs w:val="20"/>
                              </w:rPr>
                              <w:t xml:space="preserve">5,3 </w:t>
                            </w:r>
                            <w:r>
                              <w:rPr>
                                <w:rFonts w:ascii="Times New Roman" w:hAnsi="Times New Roman" w:cs="Times New Roman"/>
                                <w:color w:val="000000" w:themeColor="text1"/>
                              </w:rPr>
                              <w:t>miliardë Lek</w:t>
                            </w:r>
                          </w:p>
                          <w:p w14:paraId="0E70DF3A" w14:textId="77777777" w:rsidR="0025668C"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Data e fillimit të kontratës:</w:t>
                            </w:r>
                            <w:r>
                              <w:rPr>
                                <w:rFonts w:ascii="Times New Roman" w:hAnsi="Times New Roman" w:cs="Times New Roman"/>
                                <w:color w:val="000000" w:themeColor="text1"/>
                              </w:rPr>
                              <w:t xml:space="preserve"> 09 Mars 2017</w:t>
                            </w:r>
                          </w:p>
                          <w:p w14:paraId="1B306FCA" w14:textId="77777777" w:rsidR="0025668C"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Kohëzgjatja e kontratës:</w:t>
                            </w:r>
                            <w:r>
                              <w:rPr>
                                <w:rFonts w:ascii="Times New Roman" w:hAnsi="Times New Roman" w:cs="Times New Roman"/>
                                <w:color w:val="000000" w:themeColor="text1"/>
                              </w:rPr>
                              <w:t xml:space="preserve">     30 vjet</w:t>
                            </w:r>
                          </w:p>
                          <w:p w14:paraId="2C3D694F" w14:textId="77777777" w:rsidR="0025668C"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Faza aktuale e projektit:</w:t>
                            </w:r>
                            <w:r>
                              <w:rPr>
                                <w:rFonts w:ascii="Times New Roman" w:hAnsi="Times New Roman" w:cs="Times New Roman"/>
                                <w:color w:val="000000" w:themeColor="text1"/>
                              </w:rPr>
                              <w:t xml:space="preserve"> Ndërtim dhe Operim</w:t>
                            </w:r>
                          </w:p>
                          <w:p w14:paraId="4AFDB5C5" w14:textId="77777777" w:rsidR="0025668C" w:rsidRDefault="0025668C" w:rsidP="0021185F">
                            <w:pPr>
                              <w:rPr>
                                <w:color w:val="808080" w:themeColor="background1" w:themeShade="8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75AA89" id="Text Box 16" o:spid="_x0000_s1033" type="#_x0000_t202" style="position:absolute;left:0;text-align:left;margin-left:243pt;margin-top:85.65pt;width:259.2pt;height:148.3pt;z-index:-251641856;visibility:visible;mso-wrap-style:square;mso-width-percent:0;mso-height-percent:0;mso-wrap-distance-left:7.2pt;mso-wrap-distance-top:7.2pt;mso-wrap-distance-right:25.2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" fillcolor="#eeece1 [3214]" strokecolor="#c4bc96 [2414]" strokeweight=".5pt">
                <v:fill r:id="rId10" o:title="" color2="white [3212]" type="pattern"/>
                <v:textbox inset="14.4pt,0,10.8pt,0">
                  <w:txbxContent>
                    <w:p w:rsidR="0025668C" w:rsidRDefault="0025668C" w:rsidP="0021185F">
                      <w:pPr>
                        <w:pBdr>
                          <w:left w:val="single" w:sz="48" w:space="3" w:color="7F7F7F" w:themeColor="text1" w:themeTint="80"/>
                          <w:bottom w:val="single" w:sz="8" w:space="3" w:color="7F7F7F" w:themeColor="text1" w:themeTint="80"/>
                        </w:pBdr>
                        <w:spacing w:before="40" w:line="288" w:lineRule="auto"/>
                        <w:jc w:val="center"/>
                        <w:rPr>
                          <w:rFonts w:ascii="Times New Roman" w:hAnsi="Times New Roman" w:cs="Times New Roman"/>
                          <w:b/>
                          <w:i/>
                          <w:color w:val="4A442A" w:themeColor="background2" w:themeShade="40"/>
                          <w:sz w:val="16"/>
                          <w:szCs w:val="27"/>
                        </w:rPr>
                      </w:pPr>
                      <w:r>
                        <w:rPr>
                          <w:rFonts w:ascii="Times New Roman" w:hAnsi="Times New Roman" w:cs="Times New Roman"/>
                          <w:b/>
                          <w:color w:val="4A442A" w:themeColor="background2" w:themeShade="40"/>
                          <w:sz w:val="18"/>
                          <w:szCs w:val="28"/>
                          <w:lang w:val="en-US"/>
                        </w:rPr>
                        <w:t>Kontrata Koncesionare “</w:t>
                      </w:r>
                      <w:r>
                        <w:rPr>
                          <w:rFonts w:ascii="Times New Roman" w:hAnsi="Times New Roman" w:cs="Times New Roman"/>
                          <w:b/>
                          <w:i/>
                          <w:color w:val="4A442A" w:themeColor="background2" w:themeShade="40"/>
                          <w:sz w:val="18"/>
                          <w:szCs w:val="28"/>
                          <w:lang w:val="en-US"/>
                        </w:rPr>
                        <w:t>Për ndërtimin, përmirësimin, shfrytëzimin dhe mirëmbajtjen e autostradës Milot-Morinë</w:t>
                      </w:r>
                      <w:r>
                        <w:rPr>
                          <w:rFonts w:ascii="Times New Roman" w:hAnsi="Times New Roman" w:cs="Times New Roman"/>
                          <w:b/>
                          <w:sz w:val="18"/>
                          <w:szCs w:val="28"/>
                          <w:lang w:val="en-US"/>
                        </w:rPr>
                        <w:t>”</w:t>
                      </w:r>
                    </w:p>
                    <w:p w:rsidR="0025668C"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Autoriteti Kontraktues:</w:t>
                      </w:r>
                      <w:r>
                        <w:rPr>
                          <w:rFonts w:ascii="Times New Roman" w:hAnsi="Times New Roman" w:cs="Times New Roman"/>
                          <w:color w:val="000000" w:themeColor="text1"/>
                        </w:rPr>
                        <w:t xml:space="preserve"> Ministria e Infrastrukturës dhe Energjisë.</w:t>
                      </w:r>
                    </w:p>
                    <w:p w:rsidR="0025668C"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SPV:</w:t>
                      </w:r>
                      <w:r w:rsidR="008558F1">
                        <w:rPr>
                          <w:rFonts w:ascii="Times New Roman" w:hAnsi="Times New Roman" w:cs="Times New Roman"/>
                          <w:color w:val="000000" w:themeColor="text1"/>
                        </w:rPr>
                        <w:t xml:space="preserve">         “Albania Highw</w:t>
                      </w:r>
                      <w:r>
                        <w:rPr>
                          <w:rFonts w:ascii="Times New Roman" w:hAnsi="Times New Roman" w:cs="Times New Roman"/>
                          <w:color w:val="000000" w:themeColor="text1"/>
                        </w:rPr>
                        <w:t>ay Concession Company”</w:t>
                      </w:r>
                    </w:p>
                    <w:p w:rsidR="0025668C"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w:t>
                      </w:r>
                      <w:r>
                        <w:rPr>
                          <w:rFonts w:ascii="Times New Roman" w:hAnsi="Times New Roman" w:cs="Times New Roman"/>
                          <w:sz w:val="20"/>
                          <w:szCs w:val="20"/>
                        </w:rPr>
                        <w:t xml:space="preserve">5,3 </w:t>
                      </w:r>
                      <w:r>
                        <w:rPr>
                          <w:rFonts w:ascii="Times New Roman" w:hAnsi="Times New Roman" w:cs="Times New Roman"/>
                          <w:color w:val="000000" w:themeColor="text1"/>
                        </w:rPr>
                        <w:t>miliardë Lek</w:t>
                      </w:r>
                    </w:p>
                    <w:p w:rsidR="0025668C"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Data e fillimit të kontratës:</w:t>
                      </w:r>
                      <w:r>
                        <w:rPr>
                          <w:rFonts w:ascii="Times New Roman" w:hAnsi="Times New Roman" w:cs="Times New Roman"/>
                          <w:color w:val="000000" w:themeColor="text1"/>
                        </w:rPr>
                        <w:t xml:space="preserve"> 09 Mars 2017</w:t>
                      </w:r>
                    </w:p>
                    <w:p w:rsidR="0025668C"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Kohëzgjatja e kontratës:</w:t>
                      </w:r>
                      <w:r>
                        <w:rPr>
                          <w:rFonts w:ascii="Times New Roman" w:hAnsi="Times New Roman" w:cs="Times New Roman"/>
                          <w:color w:val="000000" w:themeColor="text1"/>
                        </w:rPr>
                        <w:t xml:space="preserve">     30 vjet</w:t>
                      </w:r>
                    </w:p>
                    <w:p w:rsidR="0025668C"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Faza aktuale e projektit:</w:t>
                      </w:r>
                      <w:r>
                        <w:rPr>
                          <w:rFonts w:ascii="Times New Roman" w:hAnsi="Times New Roman" w:cs="Times New Roman"/>
                          <w:color w:val="000000" w:themeColor="text1"/>
                        </w:rPr>
                        <w:t xml:space="preserve"> Ndërtim dhe Operim</w:t>
                      </w:r>
                    </w:p>
                    <w:p w:rsidR="0025668C" w:rsidRDefault="0025668C" w:rsidP="0021185F">
                      <w:pPr>
                        <w:rPr>
                          <w:color w:val="808080" w:themeColor="background1" w:themeShade="80"/>
                        </w:rPr>
                      </w:pPr>
                    </w:p>
                  </w:txbxContent>
                </v:textbox>
                <w10:wrap type="tight" anchorx="margin" anchory="margin"/>
              </v:shape>
            </w:pict>
          </mc:Fallback>
        </mc:AlternateContent>
      </w:r>
      <w:r>
        <w:rPr>
          <w:rFonts w:ascii="Times New Roman" w:eastAsia="Times New Roman" w:hAnsi="Times New Roman" w:cs="Times New Roman"/>
          <w:sz w:val="24"/>
          <w:szCs w:val="24"/>
        </w:rPr>
        <w:t xml:space="preserve"> Kjo kontratë është realizuar nga bashkëpunimi i Ministrisë së Transportit dhe Infrastrukturës në cilësinë e Autoritetit Kontraktues dhe shoqë</w:t>
      </w:r>
      <w:r w:rsidR="00A86B34">
        <w:rPr>
          <w:rFonts w:ascii="Times New Roman" w:eastAsia="Times New Roman" w:hAnsi="Times New Roman" w:cs="Times New Roman"/>
          <w:sz w:val="24"/>
          <w:szCs w:val="24"/>
        </w:rPr>
        <w:t>risë koncesionare “Albania Highw</w:t>
      </w:r>
      <w:r>
        <w:rPr>
          <w:rFonts w:ascii="Times New Roman" w:eastAsia="Times New Roman" w:hAnsi="Times New Roman" w:cs="Times New Roman"/>
          <w:sz w:val="24"/>
          <w:szCs w:val="24"/>
        </w:rPr>
        <w:t>ay Concession Company”, me një kohëzgjatje prej 30 vitesh.</w:t>
      </w:r>
    </w:p>
    <w:p w14:paraId="0815890F" w14:textId="77777777" w:rsidR="0021185F" w:rsidRDefault="0021185F" w:rsidP="0021185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Objekti i këtij projekti Koncesion/PPP është përmirësimi i Autostradës Milot-Morinë, shfrytëzimi dhe mirëmbajtja efikase e saj. Koncesionari do të përmirësojë, operojë dhe mirëmbajë Autostradën sipas një pakete të paracaktuar të standardeve të performancës për një periudhë 30 vjeçare të koncesionit. Data efektive e kontratës është data 09.09.2017.</w:t>
      </w:r>
    </w:p>
    <w:p w14:paraId="3D37A8DD" w14:textId="77777777" w:rsidR="0021185F" w:rsidRDefault="0021185F" w:rsidP="0021185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Kjo kontratë koncesionare referuar menyrës së shpërblimit të koncesionarit, realizimin e të ardhurave e ka të parashikuar: a) në formën e tarifave për kalim nga përdoruesit e rrugës ndaj koncesionarit,  b) një pjesë me subvencionim nga buxheti i shtetit, si dhe nëpërmjet garantimit nga ana e autoritetit kontraktues e një pragu të të ardhurave nga trafiku të përcaktuar në kontratë.</w:t>
      </w:r>
    </w:p>
    <w:p w14:paraId="1B560AC4" w14:textId="77777777" w:rsidR="0021185F" w:rsidRDefault="0021185F" w:rsidP="0021185F">
      <w:pPr>
        <w:pStyle w:val="ListParagraph"/>
        <w:numPr>
          <w:ilvl w:val="2"/>
          <w:numId w:val="3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Performanca e projektit dhe lloji i financimit</w:t>
      </w:r>
    </w:p>
    <w:p w14:paraId="4EE7CAEF" w14:textId="77777777" w:rsidR="0021185F" w:rsidRDefault="0021185F" w:rsidP="0021185F">
      <w:pPr>
        <w:pStyle w:val="ListParagraph"/>
        <w:spacing w:before="100" w:beforeAutospacing="1" w:after="0" w:line="240" w:lineRule="auto"/>
        <w:jc w:val="both"/>
        <w:rPr>
          <w:rFonts w:ascii="Times New Roman" w:eastAsia="Times New Roman" w:hAnsi="Times New Roman" w:cs="Times New Roman"/>
          <w:sz w:val="24"/>
          <w:szCs w:val="24"/>
        </w:rPr>
      </w:pPr>
    </w:p>
    <w:p w14:paraId="2D610279" w14:textId="77777777" w:rsidR="0021185F" w:rsidRDefault="0021185F" w:rsidP="0021185F">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Aktualisht projekti është në fazën e ndërtimit dhe të operimit. Ndërtimi për këtë projekt pritet të realizohet në katër vite (deri në vitin 2022). </w:t>
      </w:r>
      <w:r>
        <w:rPr>
          <w:rFonts w:ascii="Times New Roman" w:hAnsi="Times New Roman" w:cs="Times New Roman"/>
          <w:sz w:val="24"/>
          <w:szCs w:val="24"/>
        </w:rPr>
        <w:t>Realizimi punimeve të ndërtimit në mënyrë progresive, për vitin 2018 ka qenë 20 përqind. Theksohet se, për shkak të protestave kundër pagesës së tarifës së kalimit për përdorim të rrugës, të cilat çuan në shkatërrimin e sheshit të Pagesës (Toll Plaza) ky shesh doli për 6 muaj jashtë funksionit.</w:t>
      </w:r>
    </w:p>
    <w:p w14:paraId="7DA8B904" w14:textId="77777777" w:rsidR="0021185F" w:rsidRDefault="0021185F" w:rsidP="0021185F">
      <w:pPr>
        <w:spacing w:after="0"/>
        <w:jc w:val="both"/>
        <w:rPr>
          <w:rFonts w:ascii="Times New Roman" w:hAnsi="Times New Roman" w:cs="Times New Roman"/>
          <w:sz w:val="8"/>
          <w:szCs w:val="24"/>
        </w:rPr>
      </w:pPr>
    </w:p>
    <w:p w14:paraId="4CCEBF38" w14:textId="77777777" w:rsidR="0021185F" w:rsidRDefault="0021185F" w:rsidP="0021185F">
      <w:pPr>
        <w:spacing w:after="0"/>
        <w:jc w:val="both"/>
        <w:rPr>
          <w:rFonts w:ascii="Times New Roman" w:hAnsi="Times New Roman" w:cs="Times New Roman"/>
          <w:sz w:val="24"/>
          <w:szCs w:val="24"/>
        </w:rPr>
      </w:pPr>
      <w:r w:rsidRPr="00360F8A">
        <w:rPr>
          <w:rFonts w:ascii="Times New Roman" w:hAnsi="Times New Roman" w:cs="Times New Roman"/>
          <w:sz w:val="24"/>
          <w:szCs w:val="24"/>
        </w:rPr>
        <w:t xml:space="preserve">Deri në fund të vitit 2019 janë realizuar 48 përqind e punimeve të ndërtimit. Aktualisht </w:t>
      </w:r>
      <w:r>
        <w:rPr>
          <w:rFonts w:ascii="Times New Roman" w:hAnsi="Times New Roman" w:cs="Times New Roman"/>
          <w:sz w:val="24"/>
          <w:szCs w:val="24"/>
        </w:rPr>
        <w:t>shoqëria koncesionare</w:t>
      </w:r>
      <w:r w:rsidRPr="00360F8A">
        <w:rPr>
          <w:rFonts w:ascii="Times New Roman" w:hAnsi="Times New Roman" w:cs="Times New Roman"/>
          <w:sz w:val="24"/>
          <w:szCs w:val="24"/>
        </w:rPr>
        <w:t xml:space="preserve"> vazhdon të realizojë në mënyrë të pandërprerë punimet e mirëmbajtjes së autostradës “Milot-Morinë”, ka kryer punime përmirësuese përgjatë kësaj autostr</w:t>
      </w:r>
      <w:r>
        <w:rPr>
          <w:rFonts w:ascii="Times New Roman" w:hAnsi="Times New Roman" w:cs="Times New Roman"/>
          <w:sz w:val="24"/>
          <w:szCs w:val="24"/>
        </w:rPr>
        <w:t>ade, ka përmirësuar dhe rritur nivelin e sigurisë në Tunelin e Thirrës, ka realizuar mirëmbajtjen dimërore dhe ka rehabilituar elementë të autostradës. Gjatë zbatimit të kësaj kontrate nuk ka patur kapërcim të afateve kontraktuale nga ana e shoqërisë koncesionare dhe si rezultat nuk janë aplikuar penalitete.</w:t>
      </w:r>
    </w:p>
    <w:p w14:paraId="328AAF6C" w14:textId="77777777" w:rsidR="0021185F" w:rsidRDefault="0021185F" w:rsidP="0021185F">
      <w:pPr>
        <w:pStyle w:val="NoSpacing"/>
        <w:spacing w:line="276" w:lineRule="auto"/>
        <w:jc w:val="both"/>
        <w:rPr>
          <w:sz w:val="12"/>
          <w:szCs w:val="24"/>
          <w:lang w:val="sq-AL"/>
        </w:rPr>
      </w:pPr>
    </w:p>
    <w:p w14:paraId="0D78812D" w14:textId="77777777" w:rsidR="0021185F" w:rsidRPr="0021185F" w:rsidRDefault="0021185F" w:rsidP="0021185F">
      <w:pPr>
        <w:pStyle w:val="NoSpacing"/>
        <w:spacing w:line="276" w:lineRule="auto"/>
        <w:jc w:val="both"/>
        <w:rPr>
          <w:rFonts w:ascii="Times New Roman" w:hAnsi="Times New Roman" w:cs="Times New Roman"/>
          <w:sz w:val="24"/>
          <w:szCs w:val="24"/>
          <w:lang w:val="sq-AL"/>
        </w:rPr>
      </w:pPr>
      <w:r w:rsidRPr="0021185F">
        <w:rPr>
          <w:rFonts w:ascii="Times New Roman" w:hAnsi="Times New Roman" w:cs="Times New Roman"/>
          <w:sz w:val="24"/>
          <w:szCs w:val="24"/>
          <w:lang w:val="sq-AL"/>
        </w:rPr>
        <w:t>Meqënëse kjo kontratë koncesionare/PPP është pjesërisht me mbështetje buxhetore, në tabelën 1 janë dhënë vlerat e pagesave nga buxheti i shtetit të realizuara për vitin 2018 dhe të planifikuara për vitet 2019-2021. Për vitin 2019, financimi nga buxheti i shtetit ka qënë në vlerën 570,6 milion lekë, me një realizim prej 99.1 përqind nga plani vjetor 2019 prej 575.7 milion lekë.</w:t>
      </w:r>
    </w:p>
    <w:p w14:paraId="63006500" w14:textId="77777777" w:rsidR="0021185F" w:rsidRPr="0021185F" w:rsidRDefault="0021185F" w:rsidP="0021185F">
      <w:pPr>
        <w:pStyle w:val="NoSpacing"/>
        <w:spacing w:line="276" w:lineRule="auto"/>
        <w:jc w:val="both"/>
        <w:rPr>
          <w:rFonts w:ascii="Times New Roman" w:hAnsi="Times New Roman" w:cs="Times New Roman"/>
          <w:sz w:val="24"/>
          <w:szCs w:val="24"/>
          <w:lang w:val="sq-AL"/>
        </w:rPr>
      </w:pPr>
    </w:p>
    <w:p w14:paraId="212FA00C" w14:textId="77777777" w:rsidR="0021185F" w:rsidRDefault="0021185F" w:rsidP="006B6D4D">
      <w:pPr>
        <w:pStyle w:val="Caption"/>
      </w:pPr>
      <w:bookmarkStart w:id="34" w:name="_Toc18259187"/>
      <w:bookmarkStart w:id="35" w:name="_Toc40422385"/>
      <w:r>
        <w:lastRenderedPageBreak/>
        <w:t xml:space="preserve">Tabela </w:t>
      </w:r>
      <w:r>
        <w:fldChar w:fldCharType="begin"/>
      </w:r>
      <w:r>
        <w:instrText xml:space="preserve"> SEQ Tabela \* ARABIC </w:instrText>
      </w:r>
      <w:r>
        <w:fldChar w:fldCharType="separate"/>
      </w:r>
      <w:r>
        <w:rPr>
          <w:noProof/>
        </w:rPr>
        <w:t>1</w:t>
      </w:r>
      <w:r>
        <w:fldChar w:fldCharType="end"/>
      </w:r>
      <w:r>
        <w:t>: Pagesat buxhetore për projektin “Milot-Morinë”</w:t>
      </w:r>
      <w:bookmarkEnd w:id="34"/>
      <w:bookmarkEnd w:id="35"/>
    </w:p>
    <w:tbl>
      <w:tblPr>
        <w:tblStyle w:val="PlainTable1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98"/>
        <w:gridCol w:w="1053"/>
        <w:gridCol w:w="1127"/>
        <w:gridCol w:w="1440"/>
        <w:gridCol w:w="1350"/>
        <w:gridCol w:w="1710"/>
        <w:gridCol w:w="1687"/>
      </w:tblGrid>
      <w:tr w:rsidR="0021185F" w14:paraId="13831349" w14:textId="77777777" w:rsidTr="00A86B34">
        <w:trPr>
          <w:cnfStyle w:val="100000000000" w:firstRow="1" w:lastRow="0" w:firstColumn="0" w:lastColumn="0" w:oddVBand="0" w:evenVBand="0" w:oddHBand="0" w:evenHBand="0" w:firstRowFirstColumn="0" w:firstRowLastColumn="0" w:lastRowFirstColumn="0" w:lastRowLastColumn="0"/>
          <w:trHeight w:hRule="exact" w:val="343"/>
        </w:trPr>
        <w:tc>
          <w:tcPr>
            <w:tcW w:w="1798"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B1BA72E" w14:textId="77777777" w:rsidR="0021185F" w:rsidRDefault="0021185F" w:rsidP="00A86B34">
            <w:pPr>
              <w:pStyle w:val="NoSpacing"/>
              <w:spacing w:line="276" w:lineRule="auto"/>
              <w:jc w:val="both"/>
              <w:rPr>
                <w:i/>
                <w:sz w:val="18"/>
                <w:szCs w:val="24"/>
                <w:lang w:val="sq-AL"/>
              </w:rPr>
            </w:pPr>
            <w:r>
              <w:rPr>
                <w:i/>
                <w:sz w:val="18"/>
                <w:szCs w:val="24"/>
                <w:lang w:val="sq-AL"/>
              </w:rPr>
              <w:t>Viti</w:t>
            </w:r>
          </w:p>
        </w:tc>
        <w:tc>
          <w:tcPr>
            <w:tcW w:w="218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EE959BE" w14:textId="77777777" w:rsidR="0021185F" w:rsidRDefault="0021185F" w:rsidP="00A86B34">
            <w:pPr>
              <w:pStyle w:val="NoSpacing"/>
              <w:spacing w:line="276" w:lineRule="auto"/>
              <w:jc w:val="center"/>
              <w:rPr>
                <w:i/>
                <w:sz w:val="18"/>
                <w:szCs w:val="24"/>
                <w:lang w:val="sq-AL"/>
              </w:rPr>
            </w:pPr>
            <w:r>
              <w:rPr>
                <w:i/>
                <w:sz w:val="18"/>
                <w:szCs w:val="24"/>
                <w:lang w:val="sq-AL"/>
              </w:rPr>
              <w:t>2018</w:t>
            </w:r>
          </w:p>
        </w:tc>
        <w:tc>
          <w:tcPr>
            <w:tcW w:w="279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924932F" w14:textId="77777777" w:rsidR="0021185F" w:rsidRDefault="0021185F" w:rsidP="00A86B34">
            <w:pPr>
              <w:pStyle w:val="NoSpacing"/>
              <w:spacing w:line="276" w:lineRule="auto"/>
              <w:jc w:val="center"/>
              <w:rPr>
                <w:i/>
                <w:sz w:val="18"/>
                <w:szCs w:val="24"/>
                <w:lang w:val="sq-AL"/>
              </w:rPr>
            </w:pPr>
            <w:r>
              <w:rPr>
                <w:i/>
                <w:sz w:val="18"/>
                <w:szCs w:val="24"/>
                <w:lang w:val="sq-AL"/>
              </w:rPr>
              <w:t>2019</w:t>
            </w:r>
          </w:p>
        </w:tc>
        <w:tc>
          <w:tcPr>
            <w:tcW w:w="171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B2F3EA7" w14:textId="77777777" w:rsidR="0021185F" w:rsidRDefault="0021185F" w:rsidP="00A86B34">
            <w:pPr>
              <w:pStyle w:val="NoSpacing"/>
              <w:spacing w:line="276" w:lineRule="auto"/>
              <w:rPr>
                <w:i/>
                <w:sz w:val="18"/>
                <w:szCs w:val="24"/>
                <w:lang w:val="sq-AL"/>
              </w:rPr>
            </w:pPr>
            <w:r>
              <w:rPr>
                <w:i/>
                <w:sz w:val="18"/>
                <w:szCs w:val="24"/>
                <w:lang w:val="sq-AL"/>
              </w:rPr>
              <w:t>2020</w:t>
            </w:r>
          </w:p>
          <w:p w14:paraId="7E835891" w14:textId="77777777" w:rsidR="0021185F" w:rsidRDefault="0021185F" w:rsidP="00A86B34">
            <w:pPr>
              <w:pStyle w:val="NoSpacing"/>
              <w:spacing w:line="276" w:lineRule="auto"/>
              <w:rPr>
                <w:i/>
                <w:sz w:val="18"/>
                <w:szCs w:val="24"/>
                <w:lang w:val="sq-AL"/>
              </w:rPr>
            </w:pPr>
          </w:p>
        </w:tc>
        <w:tc>
          <w:tcPr>
            <w:tcW w:w="168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FE9B2F5" w14:textId="77777777" w:rsidR="0021185F" w:rsidRDefault="0021185F" w:rsidP="00A86B34">
            <w:pPr>
              <w:pStyle w:val="NoSpacing"/>
              <w:spacing w:line="276" w:lineRule="auto"/>
              <w:jc w:val="center"/>
              <w:rPr>
                <w:i/>
                <w:sz w:val="18"/>
                <w:szCs w:val="24"/>
                <w:lang w:val="sq-AL"/>
              </w:rPr>
            </w:pPr>
            <w:r>
              <w:rPr>
                <w:i/>
                <w:sz w:val="18"/>
                <w:szCs w:val="24"/>
                <w:lang w:val="sq-AL"/>
              </w:rPr>
              <w:t>2021</w:t>
            </w:r>
          </w:p>
        </w:tc>
      </w:tr>
      <w:tr w:rsidR="0021185F" w14:paraId="4AB71104" w14:textId="77777777" w:rsidTr="00A86B34">
        <w:trPr>
          <w:cnfStyle w:val="000000100000" w:firstRow="0" w:lastRow="0" w:firstColumn="0" w:lastColumn="0" w:oddVBand="0" w:evenVBand="0" w:oddHBand="1" w:evenHBand="0" w:firstRowFirstColumn="0" w:firstRowLastColumn="0" w:lastRowFirstColumn="0" w:lastRowLastColumn="0"/>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7866D" w14:textId="77777777" w:rsidR="0021185F" w:rsidRDefault="0021185F" w:rsidP="00A86B34">
            <w:pPr>
              <w:rPr>
                <w:rFonts w:ascii="Times New Roman" w:eastAsiaTheme="minorEastAsia" w:hAnsi="Times New Roman" w:cs="Times New Roman"/>
                <w:b/>
                <w:bCs/>
                <w:i/>
                <w:sz w:val="18"/>
                <w:szCs w:val="24"/>
                <w:lang w:eastAsia="ja-JP"/>
              </w:rPr>
            </w:pPr>
          </w:p>
        </w:tc>
        <w:tc>
          <w:tcPr>
            <w:tcW w:w="105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83CD233" w14:textId="77777777" w:rsidR="0021185F" w:rsidRDefault="0021185F" w:rsidP="00A86B34">
            <w:pPr>
              <w:pStyle w:val="NoSpacing"/>
              <w:spacing w:line="276" w:lineRule="auto"/>
              <w:jc w:val="both"/>
              <w:rPr>
                <w:b/>
                <w:i/>
                <w:sz w:val="18"/>
                <w:szCs w:val="24"/>
                <w:lang w:val="sq-AL"/>
              </w:rPr>
            </w:pPr>
            <w:r>
              <w:rPr>
                <w:b/>
                <w:i/>
                <w:sz w:val="18"/>
                <w:szCs w:val="24"/>
                <w:lang w:val="sq-AL"/>
              </w:rPr>
              <w:t>Plan</w:t>
            </w:r>
          </w:p>
        </w:tc>
        <w:tc>
          <w:tcPr>
            <w:tcW w:w="1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058B6C3" w14:textId="77777777" w:rsidR="0021185F" w:rsidRDefault="0021185F" w:rsidP="00A86B34">
            <w:pPr>
              <w:pStyle w:val="NoSpacing"/>
              <w:spacing w:line="276" w:lineRule="auto"/>
              <w:jc w:val="center"/>
              <w:rPr>
                <w:b/>
                <w:i/>
                <w:sz w:val="18"/>
                <w:szCs w:val="24"/>
                <w:lang w:val="sq-AL"/>
              </w:rPr>
            </w:pPr>
            <w:r>
              <w:rPr>
                <w:b/>
                <w:i/>
                <w:sz w:val="18"/>
                <w:szCs w:val="24"/>
                <w:lang w:val="sq-AL"/>
              </w:rPr>
              <w:t>Fakt</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6680E36" w14:textId="77777777" w:rsidR="0021185F" w:rsidRDefault="0021185F" w:rsidP="00A86B34">
            <w:pPr>
              <w:pStyle w:val="NoSpacing"/>
              <w:spacing w:line="276" w:lineRule="auto"/>
              <w:jc w:val="center"/>
              <w:rPr>
                <w:b/>
                <w:i/>
                <w:sz w:val="18"/>
                <w:szCs w:val="24"/>
                <w:lang w:val="sq-AL"/>
              </w:rPr>
            </w:pPr>
            <w:r>
              <w:rPr>
                <w:b/>
                <w:i/>
                <w:sz w:val="18"/>
                <w:szCs w:val="24"/>
                <w:lang w:val="sq-AL"/>
              </w:rPr>
              <w:t>Plan</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F6105F" w14:textId="77777777" w:rsidR="0021185F" w:rsidRDefault="0021185F" w:rsidP="00A86B34">
            <w:pPr>
              <w:pStyle w:val="NoSpacing"/>
              <w:spacing w:line="276" w:lineRule="auto"/>
              <w:jc w:val="center"/>
              <w:rPr>
                <w:b/>
                <w:i/>
                <w:sz w:val="18"/>
                <w:szCs w:val="24"/>
                <w:lang w:val="sq-AL"/>
              </w:rPr>
            </w:pPr>
            <w:r>
              <w:rPr>
                <w:b/>
                <w:i/>
                <w:sz w:val="18"/>
                <w:szCs w:val="24"/>
                <w:lang w:val="sq-AL"/>
              </w:rPr>
              <w:t xml:space="preserve">Fakt </w:t>
            </w:r>
          </w:p>
        </w:tc>
        <w:tc>
          <w:tcPr>
            <w:tcW w:w="171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DEF5CA" w14:textId="77777777" w:rsidR="0021185F" w:rsidRDefault="0021185F" w:rsidP="00A86B34">
            <w:pPr>
              <w:pStyle w:val="NoSpacing"/>
              <w:spacing w:line="276" w:lineRule="auto"/>
              <w:jc w:val="center"/>
              <w:rPr>
                <w:b/>
                <w:i/>
                <w:sz w:val="18"/>
                <w:szCs w:val="24"/>
                <w:lang w:val="sq-AL"/>
              </w:rPr>
            </w:pPr>
            <w:r>
              <w:rPr>
                <w:b/>
                <w:i/>
                <w:sz w:val="18"/>
                <w:szCs w:val="24"/>
                <w:lang w:val="sq-AL"/>
              </w:rPr>
              <w:t>Projektuar</w:t>
            </w:r>
          </w:p>
        </w:tc>
        <w:tc>
          <w:tcPr>
            <w:tcW w:w="168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68801BA" w14:textId="77777777" w:rsidR="0021185F" w:rsidRDefault="0021185F" w:rsidP="00A86B34">
            <w:pPr>
              <w:pStyle w:val="NoSpacing"/>
              <w:spacing w:line="276" w:lineRule="auto"/>
              <w:jc w:val="center"/>
              <w:rPr>
                <w:b/>
                <w:i/>
                <w:sz w:val="18"/>
                <w:szCs w:val="24"/>
                <w:lang w:val="sq-AL"/>
              </w:rPr>
            </w:pPr>
            <w:r>
              <w:rPr>
                <w:b/>
                <w:i/>
                <w:sz w:val="18"/>
                <w:szCs w:val="24"/>
                <w:lang w:val="sq-AL"/>
              </w:rPr>
              <w:t>Projektuar</w:t>
            </w:r>
          </w:p>
        </w:tc>
      </w:tr>
      <w:tr w:rsidR="0021185F" w14:paraId="5C82CD29" w14:textId="77777777" w:rsidTr="00A86B34">
        <w:trPr>
          <w:trHeight w:val="20"/>
        </w:trPr>
        <w:tc>
          <w:tcPr>
            <w:tcW w:w="179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C149520" w14:textId="77777777" w:rsidR="0021185F" w:rsidRDefault="0021185F" w:rsidP="00A86B34">
            <w:pPr>
              <w:pStyle w:val="NoSpacing"/>
              <w:spacing w:line="276" w:lineRule="auto"/>
              <w:jc w:val="both"/>
              <w:rPr>
                <w:b/>
                <w:i/>
                <w:sz w:val="18"/>
                <w:szCs w:val="24"/>
                <w:lang w:val="sq-AL"/>
              </w:rPr>
            </w:pPr>
            <w:r>
              <w:rPr>
                <w:b/>
                <w:bCs/>
                <w:i/>
                <w:sz w:val="18"/>
                <w:szCs w:val="24"/>
                <w:lang w:val="sq-AL"/>
              </w:rPr>
              <w:t>Pagesat Buxhetore (në mijë lekë)</w:t>
            </w:r>
          </w:p>
        </w:tc>
        <w:tc>
          <w:tcPr>
            <w:tcW w:w="105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CA9E22F" w14:textId="77777777" w:rsidR="0021185F" w:rsidRDefault="0021185F" w:rsidP="00A86B34">
            <w:pPr>
              <w:pStyle w:val="NoSpacing"/>
              <w:spacing w:line="276" w:lineRule="auto"/>
              <w:jc w:val="center"/>
              <w:rPr>
                <w:b/>
                <w:i/>
                <w:sz w:val="18"/>
                <w:szCs w:val="24"/>
                <w:lang w:val="sq-AL"/>
              </w:rPr>
            </w:pPr>
            <w:r>
              <w:rPr>
                <w:b/>
                <w:i/>
                <w:sz w:val="18"/>
                <w:szCs w:val="24"/>
                <w:lang w:val="sq-AL"/>
              </w:rPr>
              <w:t>310,000</w:t>
            </w:r>
          </w:p>
        </w:tc>
        <w:tc>
          <w:tcPr>
            <w:tcW w:w="112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C572520" w14:textId="77777777" w:rsidR="0021185F" w:rsidRDefault="0021185F" w:rsidP="00A86B34">
            <w:pPr>
              <w:pStyle w:val="NoSpacing"/>
              <w:spacing w:line="276" w:lineRule="auto"/>
              <w:jc w:val="center"/>
              <w:rPr>
                <w:b/>
                <w:i/>
                <w:sz w:val="18"/>
                <w:szCs w:val="24"/>
                <w:lang w:val="sq-AL"/>
              </w:rPr>
            </w:pPr>
            <w:r>
              <w:rPr>
                <w:b/>
                <w:bCs/>
                <w:i/>
                <w:sz w:val="18"/>
                <w:szCs w:val="24"/>
                <w:lang w:val="sq-AL"/>
              </w:rPr>
              <w:t>308,183</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63826CC" w14:textId="77777777" w:rsidR="0021185F" w:rsidRDefault="0021185F" w:rsidP="00A86B34">
            <w:pPr>
              <w:pStyle w:val="NoSpacing"/>
              <w:spacing w:line="276" w:lineRule="auto"/>
              <w:jc w:val="center"/>
              <w:rPr>
                <w:b/>
                <w:i/>
                <w:sz w:val="18"/>
                <w:szCs w:val="24"/>
                <w:lang w:val="sq-AL"/>
              </w:rPr>
            </w:pPr>
            <w:r>
              <w:rPr>
                <w:b/>
                <w:bCs/>
                <w:i/>
                <w:sz w:val="18"/>
                <w:szCs w:val="24"/>
                <w:lang w:val="sq-AL"/>
              </w:rPr>
              <w:t>575,753</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33548B5" w14:textId="77777777" w:rsidR="0021185F" w:rsidRDefault="0021185F" w:rsidP="00A86B34">
            <w:pPr>
              <w:pStyle w:val="NoSpacing"/>
              <w:spacing w:line="276" w:lineRule="auto"/>
              <w:jc w:val="center"/>
              <w:rPr>
                <w:b/>
                <w:i/>
                <w:sz w:val="18"/>
                <w:szCs w:val="24"/>
                <w:lang w:val="sq-AL"/>
              </w:rPr>
            </w:pPr>
            <w:r>
              <w:rPr>
                <w:b/>
                <w:i/>
                <w:sz w:val="18"/>
                <w:szCs w:val="24"/>
                <w:lang w:val="sq-AL"/>
              </w:rPr>
              <w:t>570,642</w:t>
            </w:r>
          </w:p>
        </w:tc>
        <w:tc>
          <w:tcPr>
            <w:tcW w:w="17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E333778" w14:textId="77777777" w:rsidR="0021185F" w:rsidRDefault="0021185F" w:rsidP="00A86B34">
            <w:pPr>
              <w:pStyle w:val="NoSpacing"/>
              <w:spacing w:line="276" w:lineRule="auto"/>
              <w:jc w:val="center"/>
              <w:rPr>
                <w:b/>
                <w:i/>
                <w:sz w:val="18"/>
                <w:szCs w:val="24"/>
                <w:lang w:val="sq-AL"/>
              </w:rPr>
            </w:pPr>
            <w:r>
              <w:rPr>
                <w:b/>
                <w:bCs/>
                <w:i/>
                <w:sz w:val="18"/>
                <w:szCs w:val="24"/>
                <w:lang w:val="sq-AL"/>
              </w:rPr>
              <w:t>720,000</w:t>
            </w:r>
          </w:p>
        </w:tc>
        <w:tc>
          <w:tcPr>
            <w:tcW w:w="168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DE3F033" w14:textId="77777777" w:rsidR="0021185F" w:rsidRDefault="0021185F" w:rsidP="00A86B34">
            <w:pPr>
              <w:pStyle w:val="NoSpacing"/>
              <w:spacing w:line="276" w:lineRule="auto"/>
              <w:jc w:val="center"/>
              <w:rPr>
                <w:b/>
                <w:i/>
                <w:sz w:val="18"/>
                <w:szCs w:val="24"/>
                <w:lang w:val="sq-AL"/>
              </w:rPr>
            </w:pPr>
            <w:r>
              <w:rPr>
                <w:b/>
                <w:bCs/>
                <w:i/>
                <w:sz w:val="18"/>
                <w:szCs w:val="24"/>
                <w:lang w:val="sq-AL"/>
              </w:rPr>
              <w:t>720,000</w:t>
            </w:r>
          </w:p>
        </w:tc>
      </w:tr>
    </w:tbl>
    <w:p w14:paraId="210588D2" w14:textId="77777777" w:rsidR="0021185F" w:rsidRPr="0021185F" w:rsidRDefault="0021185F" w:rsidP="0021185F">
      <w:pPr>
        <w:pStyle w:val="NoSpacing"/>
        <w:spacing w:line="276" w:lineRule="auto"/>
        <w:jc w:val="both"/>
        <w:rPr>
          <w:rFonts w:ascii="Times New Roman" w:hAnsi="Times New Roman" w:cs="Times New Roman"/>
          <w:b/>
          <w:i/>
          <w:sz w:val="24"/>
          <w:szCs w:val="24"/>
          <w:lang w:val="sq-AL"/>
        </w:rPr>
      </w:pPr>
    </w:p>
    <w:p w14:paraId="6C5E9B7B" w14:textId="77777777" w:rsidR="0021185F" w:rsidRPr="0021185F" w:rsidRDefault="0021185F" w:rsidP="0021185F">
      <w:pPr>
        <w:pStyle w:val="NoSpacing"/>
        <w:spacing w:line="276" w:lineRule="auto"/>
        <w:jc w:val="both"/>
        <w:rPr>
          <w:rFonts w:ascii="Times New Roman" w:hAnsi="Times New Roman" w:cs="Times New Roman"/>
          <w:sz w:val="24"/>
          <w:szCs w:val="24"/>
          <w:lang w:val="sq-AL"/>
        </w:rPr>
      </w:pPr>
      <w:r w:rsidRPr="0021185F">
        <w:rPr>
          <w:rFonts w:ascii="Times New Roman" w:hAnsi="Times New Roman" w:cs="Times New Roman"/>
          <w:sz w:val="24"/>
          <w:szCs w:val="24"/>
          <w:lang w:val="sq-AL"/>
        </w:rPr>
        <w:t xml:space="preserve">Ndërkohë në tabelën e mëposhtme janë paraqitur të dhëna mbi të ardhurat e realizuara nga tarifat e përdoruesve të rrugës. Për vitin 2019 janë realizuar 1,435 milionë lekë  të ardhura ose 10 përqind më shumë se sa vlera e projektuar vjetore. </w:t>
      </w:r>
    </w:p>
    <w:p w14:paraId="047FAA8F" w14:textId="77777777" w:rsidR="0021185F" w:rsidRDefault="0021185F" w:rsidP="0021185F">
      <w:pPr>
        <w:pStyle w:val="NoSpacing"/>
        <w:spacing w:line="276" w:lineRule="auto"/>
        <w:jc w:val="both"/>
        <w:rPr>
          <w:sz w:val="4"/>
          <w:szCs w:val="24"/>
          <w:lang w:val="sq-AL"/>
        </w:rPr>
      </w:pPr>
    </w:p>
    <w:p w14:paraId="30BEE094" w14:textId="77777777" w:rsidR="0021185F" w:rsidRDefault="0021185F" w:rsidP="006B6D4D">
      <w:pPr>
        <w:pStyle w:val="Caption"/>
      </w:pPr>
      <w:bookmarkStart w:id="36" w:name="_Toc18259188"/>
      <w:bookmarkStart w:id="37" w:name="_Toc40422386"/>
      <w:r>
        <w:t xml:space="preserve">Tabela </w:t>
      </w:r>
      <w:r>
        <w:fldChar w:fldCharType="begin"/>
      </w:r>
      <w:r>
        <w:instrText xml:space="preserve"> SEQ Tabela \* ARABIC </w:instrText>
      </w:r>
      <w:r>
        <w:fldChar w:fldCharType="separate"/>
      </w:r>
      <w:r>
        <w:rPr>
          <w:noProof/>
        </w:rPr>
        <w:t>2</w:t>
      </w:r>
      <w:r>
        <w:fldChar w:fldCharType="end"/>
      </w:r>
      <w:r>
        <w:t>: Të ardhurat nga tarifat e përdoruesve të rrugës “Milot-Morinë”</w:t>
      </w:r>
      <w:bookmarkEnd w:id="36"/>
      <w:bookmarkEnd w:id="37"/>
    </w:p>
    <w:tbl>
      <w:tblPr>
        <w:tblStyle w:val="PlainTable1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98"/>
        <w:gridCol w:w="1053"/>
        <w:gridCol w:w="1127"/>
        <w:gridCol w:w="1440"/>
        <w:gridCol w:w="1350"/>
        <w:gridCol w:w="1417"/>
        <w:gridCol w:w="1170"/>
      </w:tblGrid>
      <w:tr w:rsidR="0021185F" w14:paraId="3DD2D791" w14:textId="77777777" w:rsidTr="00A86B34">
        <w:trPr>
          <w:cnfStyle w:val="100000000000" w:firstRow="1" w:lastRow="0" w:firstColumn="0" w:lastColumn="0" w:oddVBand="0" w:evenVBand="0" w:oddHBand="0" w:evenHBand="0" w:firstRowFirstColumn="0" w:firstRowLastColumn="0" w:lastRowFirstColumn="0" w:lastRowLastColumn="0"/>
          <w:trHeight w:hRule="exact" w:val="343"/>
        </w:trPr>
        <w:tc>
          <w:tcPr>
            <w:tcW w:w="1798"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5BA6330" w14:textId="77777777" w:rsidR="0021185F" w:rsidRDefault="0021185F" w:rsidP="00A86B34">
            <w:pPr>
              <w:pStyle w:val="NoSpacing"/>
              <w:spacing w:line="276" w:lineRule="auto"/>
              <w:jc w:val="both"/>
              <w:rPr>
                <w:i/>
                <w:sz w:val="20"/>
                <w:szCs w:val="24"/>
                <w:lang w:val="sq-AL"/>
              </w:rPr>
            </w:pPr>
            <w:r>
              <w:rPr>
                <w:i/>
                <w:sz w:val="20"/>
                <w:szCs w:val="24"/>
                <w:lang w:val="sq-AL"/>
              </w:rPr>
              <w:t>Viti</w:t>
            </w:r>
          </w:p>
        </w:tc>
        <w:tc>
          <w:tcPr>
            <w:tcW w:w="218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7BDE9B" w14:textId="77777777" w:rsidR="0021185F" w:rsidRDefault="0021185F" w:rsidP="00A86B34">
            <w:pPr>
              <w:pStyle w:val="NoSpacing"/>
              <w:spacing w:line="276" w:lineRule="auto"/>
              <w:jc w:val="center"/>
              <w:rPr>
                <w:i/>
                <w:sz w:val="20"/>
                <w:szCs w:val="24"/>
                <w:lang w:val="sq-AL"/>
              </w:rPr>
            </w:pPr>
            <w:r>
              <w:rPr>
                <w:i/>
                <w:sz w:val="20"/>
                <w:szCs w:val="24"/>
                <w:lang w:val="sq-AL"/>
              </w:rPr>
              <w:t>2018</w:t>
            </w:r>
          </w:p>
        </w:tc>
        <w:tc>
          <w:tcPr>
            <w:tcW w:w="279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17ED05" w14:textId="77777777" w:rsidR="0021185F" w:rsidRDefault="0021185F" w:rsidP="00A86B34">
            <w:pPr>
              <w:pStyle w:val="NoSpacing"/>
              <w:spacing w:line="276" w:lineRule="auto"/>
              <w:jc w:val="center"/>
              <w:rPr>
                <w:i/>
                <w:sz w:val="20"/>
                <w:szCs w:val="24"/>
                <w:lang w:val="sq-AL"/>
              </w:rPr>
            </w:pPr>
            <w:r>
              <w:rPr>
                <w:i/>
                <w:sz w:val="20"/>
                <w:szCs w:val="24"/>
                <w:lang w:val="sq-AL"/>
              </w:rPr>
              <w:t>2019</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9ECDDD1" w14:textId="77777777" w:rsidR="0021185F" w:rsidRDefault="0021185F" w:rsidP="00A86B34">
            <w:pPr>
              <w:pStyle w:val="NoSpacing"/>
              <w:spacing w:line="276" w:lineRule="auto"/>
              <w:jc w:val="center"/>
              <w:rPr>
                <w:i/>
                <w:sz w:val="20"/>
                <w:szCs w:val="24"/>
                <w:lang w:val="sq-AL"/>
              </w:rPr>
            </w:pPr>
            <w:r>
              <w:rPr>
                <w:i/>
                <w:sz w:val="20"/>
                <w:szCs w:val="24"/>
                <w:lang w:val="sq-AL"/>
              </w:rPr>
              <w:t>2020</w:t>
            </w:r>
          </w:p>
          <w:p w14:paraId="2F065E4A" w14:textId="77777777" w:rsidR="0021185F" w:rsidRDefault="0021185F" w:rsidP="00A86B34">
            <w:pPr>
              <w:pStyle w:val="NoSpacing"/>
              <w:spacing w:line="276" w:lineRule="auto"/>
              <w:jc w:val="center"/>
              <w:rPr>
                <w:i/>
                <w:sz w:val="20"/>
                <w:szCs w:val="24"/>
                <w:lang w:val="sq-AL"/>
              </w:rPr>
            </w:pP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5BFBAD" w14:textId="77777777" w:rsidR="0021185F" w:rsidRDefault="0021185F" w:rsidP="00A86B34">
            <w:pPr>
              <w:pStyle w:val="NoSpacing"/>
              <w:spacing w:line="276" w:lineRule="auto"/>
              <w:jc w:val="center"/>
              <w:rPr>
                <w:i/>
                <w:sz w:val="20"/>
                <w:szCs w:val="24"/>
                <w:lang w:val="sq-AL"/>
              </w:rPr>
            </w:pPr>
            <w:r>
              <w:rPr>
                <w:i/>
                <w:sz w:val="20"/>
                <w:szCs w:val="24"/>
                <w:lang w:val="sq-AL"/>
              </w:rPr>
              <w:t>2021</w:t>
            </w:r>
          </w:p>
        </w:tc>
      </w:tr>
      <w:tr w:rsidR="0021185F" w14:paraId="4A9F5497" w14:textId="77777777" w:rsidTr="00A86B34">
        <w:trPr>
          <w:cnfStyle w:val="000000100000" w:firstRow="0" w:lastRow="0" w:firstColumn="0" w:lastColumn="0" w:oddVBand="0" w:evenVBand="0" w:oddHBand="1" w:evenHBand="0" w:firstRowFirstColumn="0" w:firstRowLastColumn="0" w:lastRowFirstColumn="0" w:lastRowLastColumn="0"/>
          <w:trHeight w:val="1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4A699" w14:textId="77777777" w:rsidR="0021185F" w:rsidRDefault="0021185F" w:rsidP="00A86B34">
            <w:pPr>
              <w:rPr>
                <w:rFonts w:ascii="Times New Roman" w:eastAsiaTheme="minorEastAsia" w:hAnsi="Times New Roman" w:cs="Times New Roman"/>
                <w:b/>
                <w:bCs/>
                <w:i/>
                <w:sz w:val="20"/>
                <w:szCs w:val="24"/>
                <w:lang w:eastAsia="ja-JP"/>
              </w:rPr>
            </w:pPr>
          </w:p>
        </w:tc>
        <w:tc>
          <w:tcPr>
            <w:tcW w:w="105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3981C04" w14:textId="77777777" w:rsidR="0021185F" w:rsidRDefault="0021185F" w:rsidP="00A86B34">
            <w:pPr>
              <w:pStyle w:val="NoSpacing"/>
              <w:spacing w:line="276" w:lineRule="auto"/>
              <w:jc w:val="both"/>
              <w:rPr>
                <w:b/>
                <w:i/>
                <w:sz w:val="20"/>
                <w:szCs w:val="24"/>
                <w:lang w:val="sq-AL"/>
              </w:rPr>
            </w:pPr>
            <w:r>
              <w:rPr>
                <w:b/>
                <w:i/>
                <w:sz w:val="20"/>
                <w:szCs w:val="24"/>
                <w:lang w:val="sq-AL"/>
              </w:rPr>
              <w:t>Plan</w:t>
            </w:r>
          </w:p>
        </w:tc>
        <w:tc>
          <w:tcPr>
            <w:tcW w:w="1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779686" w14:textId="77777777" w:rsidR="0021185F" w:rsidRDefault="0021185F" w:rsidP="00A86B34">
            <w:pPr>
              <w:pStyle w:val="NoSpacing"/>
              <w:spacing w:line="276" w:lineRule="auto"/>
              <w:jc w:val="center"/>
              <w:rPr>
                <w:b/>
                <w:i/>
                <w:sz w:val="20"/>
                <w:szCs w:val="24"/>
                <w:lang w:val="sq-AL"/>
              </w:rPr>
            </w:pPr>
            <w:r>
              <w:rPr>
                <w:b/>
                <w:i/>
                <w:sz w:val="20"/>
                <w:szCs w:val="24"/>
                <w:lang w:val="sq-AL"/>
              </w:rPr>
              <w:t>Fakt</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D6810D" w14:textId="77777777" w:rsidR="0021185F" w:rsidRDefault="0021185F" w:rsidP="00A86B34">
            <w:pPr>
              <w:pStyle w:val="NoSpacing"/>
              <w:spacing w:line="276" w:lineRule="auto"/>
              <w:jc w:val="center"/>
              <w:rPr>
                <w:b/>
                <w:i/>
                <w:sz w:val="20"/>
                <w:szCs w:val="24"/>
                <w:lang w:val="sq-AL"/>
              </w:rPr>
            </w:pPr>
            <w:r>
              <w:rPr>
                <w:b/>
                <w:i/>
                <w:sz w:val="20"/>
                <w:szCs w:val="24"/>
                <w:lang w:val="sq-AL"/>
              </w:rPr>
              <w:t>Plan</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32198A2" w14:textId="77777777" w:rsidR="0021185F" w:rsidRDefault="0021185F" w:rsidP="00A86B34">
            <w:pPr>
              <w:pStyle w:val="NoSpacing"/>
              <w:spacing w:line="276" w:lineRule="auto"/>
              <w:jc w:val="center"/>
              <w:rPr>
                <w:b/>
                <w:i/>
                <w:sz w:val="20"/>
                <w:szCs w:val="24"/>
                <w:lang w:val="sq-AL"/>
              </w:rPr>
            </w:pPr>
            <w:r>
              <w:rPr>
                <w:b/>
                <w:i/>
                <w:sz w:val="20"/>
                <w:szCs w:val="24"/>
                <w:lang w:val="sq-AL"/>
              </w:rPr>
              <w:t>Fakt</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E92836" w14:textId="77777777" w:rsidR="0021185F" w:rsidRDefault="0021185F" w:rsidP="00A86B34">
            <w:pPr>
              <w:pStyle w:val="NoSpacing"/>
              <w:spacing w:line="276" w:lineRule="auto"/>
              <w:jc w:val="center"/>
              <w:rPr>
                <w:b/>
                <w:i/>
                <w:sz w:val="20"/>
                <w:szCs w:val="24"/>
                <w:lang w:val="sq-AL"/>
              </w:rPr>
            </w:pPr>
            <w:r>
              <w:rPr>
                <w:b/>
                <w:i/>
                <w:sz w:val="20"/>
                <w:szCs w:val="24"/>
                <w:lang w:val="sq-AL"/>
              </w:rPr>
              <w:t>Projektuar</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B883A7" w14:textId="77777777" w:rsidR="0021185F" w:rsidRDefault="0021185F" w:rsidP="00A86B34">
            <w:pPr>
              <w:pStyle w:val="NoSpacing"/>
              <w:spacing w:line="276" w:lineRule="auto"/>
              <w:jc w:val="center"/>
              <w:rPr>
                <w:b/>
                <w:i/>
                <w:sz w:val="20"/>
                <w:szCs w:val="24"/>
                <w:lang w:val="sq-AL"/>
              </w:rPr>
            </w:pPr>
            <w:r>
              <w:rPr>
                <w:b/>
                <w:i/>
                <w:sz w:val="20"/>
                <w:szCs w:val="24"/>
                <w:lang w:val="sq-AL"/>
              </w:rPr>
              <w:t>Projektuar</w:t>
            </w:r>
          </w:p>
        </w:tc>
      </w:tr>
      <w:tr w:rsidR="0021185F" w14:paraId="5D8EAB19" w14:textId="77777777" w:rsidTr="00A86B34">
        <w:trPr>
          <w:trHeight w:val="20"/>
        </w:trPr>
        <w:tc>
          <w:tcPr>
            <w:tcW w:w="179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D7D042A" w14:textId="77777777" w:rsidR="0021185F" w:rsidRDefault="0021185F" w:rsidP="00A86B34">
            <w:pPr>
              <w:pStyle w:val="NoSpacing"/>
              <w:spacing w:line="276" w:lineRule="auto"/>
              <w:rPr>
                <w:b/>
                <w:i/>
                <w:sz w:val="20"/>
                <w:szCs w:val="24"/>
                <w:lang w:val="sq-AL"/>
              </w:rPr>
            </w:pPr>
            <w:r>
              <w:rPr>
                <w:b/>
                <w:bCs/>
                <w:i/>
                <w:sz w:val="18"/>
                <w:szCs w:val="24"/>
                <w:lang w:val="sq-AL"/>
              </w:rPr>
              <w:t>Niveli i të ardhurave  (në mijë lekë)</w:t>
            </w:r>
          </w:p>
        </w:tc>
        <w:tc>
          <w:tcPr>
            <w:tcW w:w="105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0159AE6" w14:textId="77777777" w:rsidR="0021185F" w:rsidRDefault="0021185F" w:rsidP="00A86B34">
            <w:pPr>
              <w:pStyle w:val="NoSpacing"/>
              <w:spacing w:line="276" w:lineRule="auto"/>
              <w:jc w:val="center"/>
              <w:rPr>
                <w:b/>
                <w:i/>
                <w:sz w:val="20"/>
                <w:szCs w:val="24"/>
                <w:lang w:val="sq-AL"/>
              </w:rPr>
            </w:pPr>
            <w:r>
              <w:rPr>
                <w:b/>
                <w:i/>
                <w:sz w:val="20"/>
                <w:szCs w:val="24"/>
                <w:lang w:val="sq-AL"/>
              </w:rPr>
              <w:t>1,158,554</w:t>
            </w:r>
          </w:p>
        </w:tc>
        <w:tc>
          <w:tcPr>
            <w:tcW w:w="112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7E422A6" w14:textId="77777777" w:rsidR="0021185F" w:rsidRDefault="0021185F" w:rsidP="00A86B34">
            <w:pPr>
              <w:pStyle w:val="NoSpacing"/>
              <w:spacing w:line="276" w:lineRule="auto"/>
              <w:jc w:val="center"/>
              <w:rPr>
                <w:b/>
                <w:i/>
                <w:sz w:val="20"/>
                <w:szCs w:val="24"/>
                <w:lang w:val="sq-AL"/>
              </w:rPr>
            </w:pPr>
            <w:r>
              <w:rPr>
                <w:b/>
                <w:i/>
                <w:sz w:val="20"/>
                <w:szCs w:val="24"/>
              </w:rPr>
              <w:t>402,761</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61223E2" w14:textId="77777777" w:rsidR="0021185F" w:rsidRDefault="0021185F" w:rsidP="00A86B34">
            <w:pPr>
              <w:pStyle w:val="NoSpacing"/>
              <w:spacing w:line="276" w:lineRule="auto"/>
              <w:jc w:val="center"/>
              <w:rPr>
                <w:b/>
                <w:i/>
                <w:sz w:val="20"/>
                <w:szCs w:val="24"/>
                <w:lang w:val="sq-AL"/>
              </w:rPr>
            </w:pPr>
            <w:r>
              <w:rPr>
                <w:b/>
                <w:i/>
                <w:sz w:val="20"/>
                <w:szCs w:val="24"/>
              </w:rPr>
              <w:t>1,307,315</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0F74609" w14:textId="77777777" w:rsidR="0021185F" w:rsidRDefault="0021185F" w:rsidP="00A86B34">
            <w:pPr>
              <w:pStyle w:val="NoSpacing"/>
              <w:spacing w:line="276" w:lineRule="auto"/>
              <w:jc w:val="center"/>
              <w:rPr>
                <w:b/>
                <w:i/>
                <w:sz w:val="20"/>
                <w:szCs w:val="24"/>
                <w:lang w:val="sq-AL"/>
              </w:rPr>
            </w:pPr>
            <w:r>
              <w:rPr>
                <w:b/>
                <w:i/>
                <w:sz w:val="20"/>
                <w:szCs w:val="24"/>
                <w:lang w:val="sq-AL"/>
              </w:rPr>
              <w:t>1,435,759</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9466BD6" w14:textId="77777777" w:rsidR="0021185F" w:rsidRDefault="0021185F" w:rsidP="00A86B34">
            <w:pPr>
              <w:pStyle w:val="NoSpacing"/>
              <w:spacing w:line="276" w:lineRule="auto"/>
              <w:jc w:val="center"/>
              <w:rPr>
                <w:b/>
                <w:i/>
                <w:sz w:val="20"/>
                <w:szCs w:val="24"/>
                <w:lang w:val="sq-AL"/>
              </w:rPr>
            </w:pPr>
            <w:r>
              <w:rPr>
                <w:b/>
                <w:i/>
                <w:sz w:val="20"/>
                <w:szCs w:val="24"/>
              </w:rPr>
              <w:t>1,359,988</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DA3BCCD" w14:textId="77777777" w:rsidR="0021185F" w:rsidRDefault="0021185F" w:rsidP="00A86B34">
            <w:pPr>
              <w:pStyle w:val="NoSpacing"/>
              <w:spacing w:line="276" w:lineRule="auto"/>
              <w:jc w:val="center"/>
              <w:rPr>
                <w:b/>
                <w:i/>
                <w:sz w:val="20"/>
                <w:szCs w:val="24"/>
                <w:lang w:val="sq-AL"/>
              </w:rPr>
            </w:pPr>
            <w:r>
              <w:rPr>
                <w:b/>
                <w:i/>
                <w:sz w:val="20"/>
                <w:szCs w:val="24"/>
              </w:rPr>
              <w:t>1,391,117</w:t>
            </w:r>
          </w:p>
        </w:tc>
      </w:tr>
    </w:tbl>
    <w:p w14:paraId="4546BD21" w14:textId="77777777" w:rsidR="0021185F" w:rsidRDefault="0021185F" w:rsidP="0021185F">
      <w:pPr>
        <w:rPr>
          <w:rFonts w:ascii="Times New Roman" w:hAnsi="Times New Roman" w:cs="Times New Roman"/>
          <w:sz w:val="10"/>
          <w:szCs w:val="24"/>
        </w:rPr>
      </w:pPr>
    </w:p>
    <w:p w14:paraId="45D27175" w14:textId="77777777" w:rsidR="0021185F" w:rsidRDefault="0021185F" w:rsidP="0021185F">
      <w:pPr>
        <w:jc w:val="both"/>
        <w:rPr>
          <w:rFonts w:ascii="Times New Roman" w:hAnsi="Times New Roman" w:cs="Times New Roman"/>
          <w:sz w:val="24"/>
          <w:szCs w:val="24"/>
        </w:rPr>
      </w:pPr>
      <w:r w:rsidRPr="0021185F">
        <w:rPr>
          <w:rFonts w:ascii="Times New Roman" w:hAnsi="Times New Roman" w:cs="Times New Roman"/>
          <w:sz w:val="24"/>
          <w:szCs w:val="24"/>
        </w:rPr>
        <w:t>Për vitin 2018, vlera e investimit e realizuar ka rezultuar rreth 17 përqind e vlerës së përgjithshme e investimit. Ndërsa për vitin 2019 raportohet se vlera e punimeve të kryera nga shoqëria ka qenë 48 përqind e vlerës së përgjithshme e investimit, në mënyrë progresive. Theksohet se, bazuar në Kontratën e Koncesionit shoqëria koncesionare ka detyrimin të përfundojë të gjitha punimet e marra përsipër në tërësinë e tyre, në një periudhe 4 vjeçare dhe jo sipas një grafiku të përcaktuar për secilin punim.</w:t>
      </w:r>
      <w:r>
        <w:rPr>
          <w:rFonts w:ascii="Times New Roman" w:hAnsi="Times New Roman" w:cs="Times New Roman"/>
          <w:sz w:val="24"/>
          <w:szCs w:val="24"/>
        </w:rPr>
        <w:t xml:space="preserve">  </w:t>
      </w:r>
    </w:p>
    <w:p w14:paraId="35576082" w14:textId="77777777" w:rsidR="0021185F" w:rsidRDefault="0021185F" w:rsidP="0021185F">
      <w:pPr>
        <w:pStyle w:val="ListParagraph"/>
        <w:numPr>
          <w:ilvl w:val="2"/>
          <w:numId w:val="31"/>
        </w:numPr>
        <w:spacing w:before="100" w:beforeAutospacing="1"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Risqet </w:t>
      </w:r>
    </w:p>
    <w:p w14:paraId="741E2E3F" w14:textId="77777777" w:rsidR="0021185F" w:rsidRDefault="0021185F" w:rsidP="0021185F">
      <w:pPr>
        <w:spacing w:after="0"/>
        <w:jc w:val="both"/>
        <w:rPr>
          <w:rFonts w:ascii="Times New Roman" w:hAnsi="Times New Roman" w:cs="Times New Roman"/>
          <w:sz w:val="24"/>
          <w:szCs w:val="24"/>
        </w:rPr>
      </w:pPr>
      <w:r>
        <w:rPr>
          <w:rFonts w:ascii="Times New Roman" w:hAnsi="Times New Roman" w:cs="Times New Roman"/>
          <w:sz w:val="24"/>
          <w:szCs w:val="24"/>
        </w:rPr>
        <w:t xml:space="preserve">Autoriteti ka raportuar në lidhje me risqet e kontratës sipas formatit të përcaktuar, duke specifikuar përcaktimin e palës që merr përsipër riskun, impaktin fiskal nëse është materializuar, probabilitetin e ndodhjes në të ardhmen dhe impaktin e pritshëm nëse ndodh.  Kështu nga 12 risqe të identifikuara, Autoriteti Kontraktues ka mbajtur 3 risqe: riskun politik, riskun e qeverisjes dhe riskun e ndryshimeve ligjore, ndërsa tek Partneri Privat janë transferuar risku i ndërtimit, risku i transferimit të aseteve, risku i operimit dhe performancës dhe risku i ribalancimit të ekuilibrit financiar. Ndërkohë, risku i kërkesës, risku financiar, risku i forcës madhore, risku i rinegocimit dhe risku i ndërprerjes së kontratës janë ndarë mes palës private dhe publike.  </w:t>
      </w:r>
    </w:p>
    <w:p w14:paraId="44E10A9E" w14:textId="77777777" w:rsidR="0021185F" w:rsidRDefault="0021185F" w:rsidP="0021185F">
      <w:pPr>
        <w:spacing w:after="100" w:afterAutospacing="1"/>
        <w:jc w:val="both"/>
        <w:rPr>
          <w:rFonts w:ascii="Times New Roman" w:hAnsi="Times New Roman" w:cs="Times New Roman"/>
          <w:sz w:val="24"/>
          <w:szCs w:val="24"/>
        </w:rPr>
      </w:pPr>
      <w:r>
        <w:rPr>
          <w:rFonts w:ascii="Times New Roman" w:hAnsi="Times New Roman" w:cs="Times New Roman"/>
          <w:sz w:val="24"/>
          <w:szCs w:val="24"/>
        </w:rPr>
        <w:t>Në vitin 2018, për shkak të kundërshtimeve mbi tarifën e rrugës nga përdoruesit e rrugës si dhe nga banorët e qytetit të Kukësit, Sheshi i Pagesës (Toll Plaza) qëndroi për 6 muaj jashtë funksionit. Megjithatë, për muajt operativ të ardhurat ishin më të larta se ato të parashikuara. Nga rakordimi vjetor për vitin 2018 raportohet se niveli i të ardhurave faktike ka rezultuar më i lartë se minimumi i të ardhurave të garantuara nga trafiku, si rrjedhojë në bazë të kontratës nga ky suficit i të ardhurave të realizuara Autoriteti Kontraktues ka patur përfitimin duke bërë ndarjen e këtij suficiti me shoqërinë koncesionare në raportin 60:40.</w:t>
      </w:r>
    </w:p>
    <w:p w14:paraId="08612040" w14:textId="77777777" w:rsidR="0021185F" w:rsidRPr="009B6417" w:rsidRDefault="0021185F" w:rsidP="008C48B8">
      <w:pPr>
        <w:tabs>
          <w:tab w:val="num" w:pos="720"/>
        </w:tabs>
        <w:spacing w:after="0"/>
        <w:jc w:val="both"/>
        <w:rPr>
          <w:rFonts w:ascii="Times New Roman" w:hAnsi="Times New Roman" w:cs="Times New Roman"/>
          <w:sz w:val="24"/>
          <w:szCs w:val="24"/>
        </w:rPr>
      </w:pPr>
    </w:p>
    <w:p w14:paraId="111EEA5B" w14:textId="77777777" w:rsidR="00132036" w:rsidRPr="009B6417" w:rsidRDefault="00132036" w:rsidP="008C48B8">
      <w:pPr>
        <w:tabs>
          <w:tab w:val="num" w:pos="720"/>
        </w:tabs>
        <w:spacing w:after="0"/>
        <w:jc w:val="both"/>
        <w:rPr>
          <w:rFonts w:ascii="Times New Roman" w:hAnsi="Times New Roman" w:cs="Times New Roman"/>
          <w:sz w:val="24"/>
          <w:szCs w:val="24"/>
        </w:rPr>
      </w:pPr>
    </w:p>
    <w:p w14:paraId="6A1153E3" w14:textId="77777777" w:rsidR="008C48B8" w:rsidRPr="009B6417" w:rsidRDefault="008C48B8" w:rsidP="008C48B8">
      <w:pPr>
        <w:tabs>
          <w:tab w:val="num" w:pos="720"/>
        </w:tabs>
        <w:spacing w:after="0"/>
        <w:jc w:val="both"/>
        <w:rPr>
          <w:rFonts w:ascii="Times New Roman" w:hAnsi="Times New Roman" w:cs="Times New Roman"/>
          <w:sz w:val="24"/>
          <w:szCs w:val="24"/>
        </w:rPr>
      </w:pPr>
    </w:p>
    <w:p w14:paraId="35CC1976" w14:textId="77777777" w:rsidR="001D1494" w:rsidRPr="00D6571D" w:rsidRDefault="00DC1921" w:rsidP="009E599C">
      <w:pPr>
        <w:pStyle w:val="Heading2"/>
        <w:numPr>
          <w:ilvl w:val="1"/>
          <w:numId w:val="6"/>
        </w:numPr>
        <w:ind w:left="360"/>
        <w:jc w:val="both"/>
        <w:rPr>
          <w:rFonts w:ascii="Times New Roman" w:hAnsi="Times New Roman" w:cs="Times New Roman"/>
          <w:b/>
          <w:i/>
          <w:sz w:val="24"/>
          <w:szCs w:val="24"/>
        </w:rPr>
      </w:pPr>
      <w:bookmarkStart w:id="38" w:name="_Toc37196690"/>
      <w:r w:rsidRPr="009B6417">
        <w:rPr>
          <w:rFonts w:ascii="Times New Roman" w:hAnsi="Times New Roman" w:cs="Times New Roman"/>
          <w:b/>
          <w:sz w:val="24"/>
          <w:szCs w:val="24"/>
        </w:rPr>
        <w:lastRenderedPageBreak/>
        <w:t>Kontrata Koncesionare</w:t>
      </w:r>
      <w:r>
        <w:rPr>
          <w:rFonts w:ascii="Times New Roman" w:hAnsi="Times New Roman" w:cs="Times New Roman"/>
          <w:b/>
          <w:sz w:val="24"/>
          <w:szCs w:val="24"/>
        </w:rPr>
        <w:t>/PPP</w:t>
      </w:r>
      <w:r w:rsidRPr="009B6417">
        <w:rPr>
          <w:rFonts w:ascii="Times New Roman" w:hAnsi="Times New Roman" w:cs="Times New Roman"/>
          <w:b/>
          <w:sz w:val="24"/>
          <w:szCs w:val="24"/>
        </w:rPr>
        <w:t xml:space="preserve"> </w:t>
      </w:r>
      <w:r w:rsidR="007B7937" w:rsidRPr="009B6417">
        <w:rPr>
          <w:rFonts w:ascii="Times New Roman" w:hAnsi="Times New Roman" w:cs="Times New Roman"/>
          <w:b/>
          <w:sz w:val="24"/>
          <w:szCs w:val="24"/>
        </w:rPr>
        <w:t>“</w:t>
      </w:r>
      <w:r w:rsidR="007B7937" w:rsidRPr="00D6571D">
        <w:rPr>
          <w:rFonts w:ascii="Times New Roman" w:hAnsi="Times New Roman" w:cs="Times New Roman"/>
          <w:b/>
          <w:i/>
          <w:sz w:val="24"/>
          <w:szCs w:val="24"/>
        </w:rPr>
        <w:t>Për ndërtimin, përmirësimin, shfrytëzimin dhe mirëmbajtjen e Rrugës së Arbri</w:t>
      </w:r>
      <w:r w:rsidR="009E599C" w:rsidRPr="00D6571D">
        <w:rPr>
          <w:rFonts w:ascii="Times New Roman" w:hAnsi="Times New Roman" w:cs="Times New Roman"/>
          <w:b/>
          <w:i/>
          <w:sz w:val="24"/>
          <w:szCs w:val="24"/>
        </w:rPr>
        <w:t>t</w:t>
      </w:r>
      <w:r w:rsidR="002064BE" w:rsidRPr="00D6571D">
        <w:rPr>
          <w:rFonts w:ascii="Times New Roman" w:hAnsi="Times New Roman" w:cs="Times New Roman"/>
          <w:b/>
          <w:i/>
          <w:sz w:val="24"/>
          <w:szCs w:val="24"/>
        </w:rPr>
        <w:t>”</w:t>
      </w:r>
      <w:bookmarkEnd w:id="38"/>
    </w:p>
    <w:p w14:paraId="71F99037" w14:textId="77777777" w:rsidR="00B26FA5" w:rsidRPr="00737A13" w:rsidRDefault="00B26FA5" w:rsidP="00B26FA5">
      <w:pPr>
        <w:rPr>
          <w:rFonts w:ascii="Times New Roman" w:hAnsi="Times New Roman" w:cs="Times New Roman"/>
          <w:i/>
          <w:sz w:val="2"/>
          <w:szCs w:val="24"/>
        </w:rPr>
      </w:pPr>
    </w:p>
    <w:p w14:paraId="0E1E91B5" w14:textId="77777777" w:rsidR="002064BE" w:rsidRPr="009B6417" w:rsidRDefault="002064BE" w:rsidP="002C61D2">
      <w:pPr>
        <w:pStyle w:val="ListParagraph"/>
        <w:numPr>
          <w:ilvl w:val="2"/>
          <w:numId w:val="6"/>
        </w:numPr>
        <w:spacing w:before="100" w:beforeAutospacing="1" w:after="100" w:afterAutospacing="1"/>
        <w:ind w:left="360"/>
        <w:jc w:val="both"/>
        <w:rPr>
          <w:rFonts w:ascii="Times New Roman" w:eastAsia="Times New Roman" w:hAnsi="Times New Roman" w:cs="Times New Roman"/>
          <w:b/>
          <w:i/>
          <w:sz w:val="24"/>
          <w:szCs w:val="24"/>
        </w:rPr>
      </w:pPr>
      <w:r w:rsidRPr="009B6417">
        <w:rPr>
          <w:rFonts w:ascii="Times New Roman" w:eastAsia="Times New Roman" w:hAnsi="Times New Roman" w:cs="Times New Roman"/>
          <w:b/>
          <w:i/>
          <w:sz w:val="24"/>
          <w:szCs w:val="24"/>
        </w:rPr>
        <w:t xml:space="preserve"> Prezantimi i përgjithshëm i projektit </w:t>
      </w:r>
    </w:p>
    <w:p w14:paraId="45C88CD1" w14:textId="77777777" w:rsidR="00A77021" w:rsidRPr="00784B22" w:rsidRDefault="009E7BC4" w:rsidP="005B33B9">
      <w:pPr>
        <w:spacing w:before="100" w:beforeAutospacing="1" w:after="100" w:afterAutospacing="1"/>
        <w:jc w:val="both"/>
        <w:rPr>
          <w:rFonts w:ascii="Times New Roman" w:eastAsia="Times New Roman" w:hAnsi="Times New Roman" w:cs="Times New Roman"/>
          <w:b/>
          <w:sz w:val="24"/>
          <w:szCs w:val="24"/>
        </w:rPr>
      </w:pPr>
      <w:r>
        <w:rPr>
          <w:rFonts w:ascii="Times New Roman" w:hAnsi="Times New Roman" w:cs="Times New Roman"/>
          <w:i/>
          <w:noProof/>
          <w:sz w:val="24"/>
          <w:szCs w:val="24"/>
          <w:lang w:val="en-US"/>
        </w:rPr>
        <mc:AlternateContent>
          <mc:Choice Requires="wps">
            <w:drawing>
              <wp:anchor distT="91440" distB="0" distL="91440" distR="320040" simplePos="0" relativeHeight="251651072" behindDoc="1" locked="0" layoutInCell="1" allowOverlap="1" wp14:anchorId="4A41FF5D" wp14:editId="60EE6355">
                <wp:simplePos x="0" y="0"/>
                <wp:positionH relativeFrom="margin">
                  <wp:posOffset>3161030</wp:posOffset>
                </wp:positionH>
                <wp:positionV relativeFrom="paragraph">
                  <wp:posOffset>33020</wp:posOffset>
                </wp:positionV>
                <wp:extent cx="3181985" cy="1965960"/>
                <wp:effectExtent l="8255" t="8890" r="10160" b="6350"/>
                <wp:wrapTight wrapText="bothSides">
                  <wp:wrapPolygon edited="0">
                    <wp:start x="-65" y="-105"/>
                    <wp:lineTo x="-65" y="21495"/>
                    <wp:lineTo x="21665" y="21495"/>
                    <wp:lineTo x="21665" y="-105"/>
                    <wp:lineTo x="-65" y="-105"/>
                  </wp:wrapPolygon>
                </wp:wrapTight>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1965960"/>
                        </a:xfrm>
                        <a:prstGeom prst="rect">
                          <a:avLst/>
                        </a:prstGeom>
                        <a:pattFill prst="pct50">
                          <a:fgClr>
                            <a:schemeClr val="bg2">
                              <a:lumMod val="100000"/>
                              <a:lumOff val="0"/>
                            </a:schemeClr>
                          </a:fgClr>
                          <a:bgClr>
                            <a:schemeClr val="bg1">
                              <a:lumMod val="100000"/>
                              <a:lumOff val="0"/>
                            </a:schemeClr>
                          </a:bgClr>
                        </a:pattFill>
                        <a:ln w="6350" cap="rnd">
                          <a:solidFill>
                            <a:schemeClr val="bg2">
                              <a:lumMod val="75000"/>
                              <a:lumOff val="0"/>
                            </a:schemeClr>
                          </a:solidFill>
                          <a:miter lim="800000"/>
                          <a:headEnd/>
                          <a:tailEnd/>
                        </a:ln>
                      </wps:spPr>
                      <wps:txbx>
                        <w:txbxContent>
                          <w:p w14:paraId="7D1EB695" w14:textId="77777777" w:rsidR="0025668C" w:rsidRPr="00EF5479" w:rsidRDefault="0025668C" w:rsidP="002064BE">
                            <w:pPr>
                              <w:pBdr>
                                <w:left w:val="single" w:sz="80" w:space="3" w:color="7F7F7F" w:themeColor="text1" w:themeTint="80"/>
                                <w:bottom w:val="single" w:sz="8" w:space="3" w:color="7F7F7F" w:themeColor="text1" w:themeTint="80"/>
                              </w:pBdr>
                              <w:spacing w:before="40" w:line="288" w:lineRule="auto"/>
                              <w:jc w:val="center"/>
                              <w:rPr>
                                <w:rFonts w:ascii="Times New Roman" w:hAnsi="Times New Roman" w:cs="Times New Roman"/>
                                <w:b/>
                                <w:i/>
                                <w:color w:val="4A442A" w:themeColor="background2" w:themeShade="40"/>
                                <w:sz w:val="16"/>
                                <w:szCs w:val="27"/>
                              </w:rPr>
                            </w:pPr>
                            <w:r w:rsidRPr="00EF5479">
                              <w:rPr>
                                <w:rFonts w:ascii="Times New Roman" w:hAnsi="Times New Roman" w:cs="Times New Roman"/>
                                <w:b/>
                                <w:color w:val="4A442A" w:themeColor="background2" w:themeShade="40"/>
                                <w:sz w:val="18"/>
                                <w:szCs w:val="28"/>
                                <w:lang w:val="en-US"/>
                              </w:rPr>
                              <w:t>Kontrata Koncesionare “</w:t>
                            </w:r>
                            <w:r w:rsidRPr="002A77F8">
                              <w:rPr>
                                <w:rFonts w:ascii="Times New Roman" w:hAnsi="Times New Roman" w:cs="Times New Roman"/>
                                <w:b/>
                                <w:i/>
                                <w:color w:val="4A442A" w:themeColor="background2" w:themeShade="40"/>
                                <w:sz w:val="18"/>
                                <w:szCs w:val="28"/>
                                <w:lang w:val="en-US"/>
                              </w:rPr>
                              <w:t>P</w:t>
                            </w:r>
                            <w:r>
                              <w:rPr>
                                <w:rFonts w:ascii="Times New Roman" w:hAnsi="Times New Roman" w:cs="Times New Roman"/>
                                <w:b/>
                                <w:i/>
                                <w:color w:val="4A442A" w:themeColor="background2" w:themeShade="40"/>
                                <w:sz w:val="18"/>
                                <w:szCs w:val="28"/>
                                <w:lang w:val="en-US"/>
                              </w:rPr>
                              <w:t>ë</w:t>
                            </w:r>
                            <w:r w:rsidRPr="002A77F8">
                              <w:rPr>
                                <w:rFonts w:ascii="Times New Roman" w:hAnsi="Times New Roman" w:cs="Times New Roman"/>
                                <w:b/>
                                <w:i/>
                                <w:color w:val="4A442A" w:themeColor="background2" w:themeShade="40"/>
                                <w:sz w:val="18"/>
                                <w:szCs w:val="28"/>
                                <w:lang w:val="en-US"/>
                              </w:rPr>
                              <w:t>r nd</w:t>
                            </w:r>
                            <w:r>
                              <w:rPr>
                                <w:rFonts w:ascii="Times New Roman" w:hAnsi="Times New Roman" w:cs="Times New Roman"/>
                                <w:b/>
                                <w:i/>
                                <w:color w:val="4A442A" w:themeColor="background2" w:themeShade="40"/>
                                <w:sz w:val="18"/>
                                <w:szCs w:val="28"/>
                                <w:lang w:val="en-US"/>
                              </w:rPr>
                              <w:t>ë</w:t>
                            </w:r>
                            <w:r w:rsidRPr="002A77F8">
                              <w:rPr>
                                <w:rFonts w:ascii="Times New Roman" w:hAnsi="Times New Roman" w:cs="Times New Roman"/>
                                <w:b/>
                                <w:i/>
                                <w:color w:val="4A442A" w:themeColor="background2" w:themeShade="40"/>
                                <w:sz w:val="18"/>
                                <w:szCs w:val="28"/>
                                <w:lang w:val="en-US"/>
                              </w:rPr>
                              <w:t>rtimin, p</w:t>
                            </w:r>
                            <w:r>
                              <w:rPr>
                                <w:rFonts w:ascii="Times New Roman" w:hAnsi="Times New Roman" w:cs="Times New Roman"/>
                                <w:b/>
                                <w:i/>
                                <w:color w:val="4A442A" w:themeColor="background2" w:themeShade="40"/>
                                <w:sz w:val="18"/>
                                <w:szCs w:val="28"/>
                                <w:lang w:val="en-US"/>
                              </w:rPr>
                              <w:t>ë</w:t>
                            </w:r>
                            <w:r w:rsidRPr="002A77F8">
                              <w:rPr>
                                <w:rFonts w:ascii="Times New Roman" w:hAnsi="Times New Roman" w:cs="Times New Roman"/>
                                <w:b/>
                                <w:i/>
                                <w:color w:val="4A442A" w:themeColor="background2" w:themeShade="40"/>
                                <w:sz w:val="18"/>
                                <w:szCs w:val="28"/>
                                <w:lang w:val="en-US"/>
                              </w:rPr>
                              <w:t>rmir</w:t>
                            </w:r>
                            <w:r>
                              <w:rPr>
                                <w:rFonts w:ascii="Times New Roman" w:hAnsi="Times New Roman" w:cs="Times New Roman"/>
                                <w:b/>
                                <w:i/>
                                <w:color w:val="4A442A" w:themeColor="background2" w:themeShade="40"/>
                                <w:sz w:val="18"/>
                                <w:szCs w:val="28"/>
                                <w:lang w:val="en-US"/>
                              </w:rPr>
                              <w:t>ë</w:t>
                            </w:r>
                            <w:r w:rsidRPr="002A77F8">
                              <w:rPr>
                                <w:rFonts w:ascii="Times New Roman" w:hAnsi="Times New Roman" w:cs="Times New Roman"/>
                                <w:b/>
                                <w:i/>
                                <w:color w:val="4A442A" w:themeColor="background2" w:themeShade="40"/>
                                <w:sz w:val="18"/>
                                <w:szCs w:val="28"/>
                                <w:lang w:val="en-US"/>
                              </w:rPr>
                              <w:t>simin, shfryt</w:t>
                            </w:r>
                            <w:r>
                              <w:rPr>
                                <w:rFonts w:ascii="Times New Roman" w:hAnsi="Times New Roman" w:cs="Times New Roman"/>
                                <w:b/>
                                <w:i/>
                                <w:color w:val="4A442A" w:themeColor="background2" w:themeShade="40"/>
                                <w:sz w:val="18"/>
                                <w:szCs w:val="28"/>
                                <w:lang w:val="en-US"/>
                              </w:rPr>
                              <w:t>ë</w:t>
                            </w:r>
                            <w:r w:rsidRPr="002A77F8">
                              <w:rPr>
                                <w:rFonts w:ascii="Times New Roman" w:hAnsi="Times New Roman" w:cs="Times New Roman"/>
                                <w:b/>
                                <w:i/>
                                <w:color w:val="4A442A" w:themeColor="background2" w:themeShade="40"/>
                                <w:sz w:val="18"/>
                                <w:szCs w:val="28"/>
                                <w:lang w:val="en-US"/>
                              </w:rPr>
                              <w:t>zimin dhe mir</w:t>
                            </w:r>
                            <w:r>
                              <w:rPr>
                                <w:rFonts w:ascii="Times New Roman" w:hAnsi="Times New Roman" w:cs="Times New Roman"/>
                                <w:b/>
                                <w:i/>
                                <w:color w:val="4A442A" w:themeColor="background2" w:themeShade="40"/>
                                <w:sz w:val="18"/>
                                <w:szCs w:val="28"/>
                                <w:lang w:val="en-US"/>
                              </w:rPr>
                              <w:t>ë</w:t>
                            </w:r>
                            <w:r w:rsidRPr="002A77F8">
                              <w:rPr>
                                <w:rFonts w:ascii="Times New Roman" w:hAnsi="Times New Roman" w:cs="Times New Roman"/>
                                <w:b/>
                                <w:i/>
                                <w:color w:val="4A442A" w:themeColor="background2" w:themeShade="40"/>
                                <w:sz w:val="18"/>
                                <w:szCs w:val="28"/>
                                <w:lang w:val="en-US"/>
                              </w:rPr>
                              <w:t xml:space="preserve">mbajtjen e </w:t>
                            </w:r>
                            <w:r>
                              <w:rPr>
                                <w:rFonts w:ascii="Times New Roman" w:hAnsi="Times New Roman" w:cs="Times New Roman"/>
                                <w:b/>
                                <w:i/>
                                <w:color w:val="4A442A" w:themeColor="background2" w:themeShade="40"/>
                                <w:sz w:val="18"/>
                                <w:szCs w:val="28"/>
                                <w:lang w:val="en-US"/>
                              </w:rPr>
                              <w:t>Rrugës së Arbrit</w:t>
                            </w:r>
                            <w:r w:rsidRPr="00EF5479">
                              <w:rPr>
                                <w:rFonts w:ascii="Times New Roman" w:hAnsi="Times New Roman" w:cs="Times New Roman"/>
                                <w:b/>
                                <w:sz w:val="18"/>
                                <w:szCs w:val="28"/>
                                <w:lang w:val="en-US"/>
                              </w:rPr>
                              <w:t>”</w:t>
                            </w:r>
                          </w:p>
                          <w:p w14:paraId="1E4F6154"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Pr>
                                <w:rFonts w:ascii="Times New Roman" w:hAnsi="Times New Roman" w:cs="Times New Roman"/>
                                <w:color w:val="000000" w:themeColor="text1"/>
                              </w:rPr>
                              <w:t xml:space="preserve"> Ministria e Infrastrukturës dhe Energjisë</w:t>
                            </w:r>
                          </w:p>
                          <w:p w14:paraId="66558CFC" w14:textId="77777777" w:rsidR="0025668C"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EF5479">
                              <w:rPr>
                                <w:rFonts w:ascii="Times New Roman" w:hAnsi="Times New Roman" w:cs="Times New Roman"/>
                                <w:color w:val="000000" w:themeColor="text1"/>
                              </w:rPr>
                              <w:t>“</w:t>
                            </w:r>
                            <w:r>
                              <w:rPr>
                                <w:rFonts w:ascii="Times New Roman" w:hAnsi="Times New Roman" w:cs="Times New Roman"/>
                                <w:color w:val="000000" w:themeColor="text1"/>
                              </w:rPr>
                              <w:t>Gjoka 87 sh.p.k</w:t>
                            </w:r>
                            <w:r w:rsidRPr="00EF5479">
                              <w:rPr>
                                <w:rFonts w:ascii="Times New Roman" w:hAnsi="Times New Roman" w:cs="Times New Roman"/>
                                <w:color w:val="000000" w:themeColor="text1"/>
                              </w:rPr>
                              <w:t>”</w:t>
                            </w:r>
                          </w:p>
                          <w:p w14:paraId="7B0E8599"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26.5 miliardë Lek</w:t>
                            </w:r>
                          </w:p>
                          <w:p w14:paraId="7728278E"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11 Korrik 2018</w:t>
                            </w:r>
                          </w:p>
                          <w:p w14:paraId="5A825EDB"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13</w:t>
                            </w:r>
                            <w:r w:rsidRPr="00EF5479">
                              <w:rPr>
                                <w:rFonts w:ascii="Times New Roman" w:hAnsi="Times New Roman" w:cs="Times New Roman"/>
                                <w:color w:val="000000" w:themeColor="text1"/>
                              </w:rPr>
                              <w:t xml:space="preserve"> vjet</w:t>
                            </w:r>
                          </w:p>
                          <w:p w14:paraId="567DE387"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EF5479">
                              <w:rPr>
                                <w:rFonts w:ascii="Times New Roman" w:hAnsi="Times New Roman" w:cs="Times New Roman"/>
                                <w:color w:val="000000" w:themeColor="text1"/>
                              </w:rPr>
                              <w:t xml:space="preserve"> Nd</w:t>
                            </w:r>
                            <w:r>
                              <w:rPr>
                                <w:rFonts w:ascii="Times New Roman" w:hAnsi="Times New Roman" w:cs="Times New Roman"/>
                                <w:color w:val="000000" w:themeColor="text1"/>
                              </w:rPr>
                              <w:t>ë</w:t>
                            </w:r>
                            <w:r w:rsidRPr="00EF5479">
                              <w:rPr>
                                <w:rFonts w:ascii="Times New Roman" w:hAnsi="Times New Roman" w:cs="Times New Roman"/>
                                <w:color w:val="000000" w:themeColor="text1"/>
                              </w:rPr>
                              <w:t xml:space="preserve">rtim </w:t>
                            </w:r>
                          </w:p>
                          <w:p w14:paraId="368EA86E" w14:textId="77777777" w:rsidR="0025668C" w:rsidRDefault="0025668C" w:rsidP="002064BE">
                            <w:pPr>
                              <w:rPr>
                                <w:color w:val="808080" w:themeColor="background1" w:themeShade="8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0A09C8" id="Text Box 13" o:spid="_x0000_s1034" type="#_x0000_t202" style="position:absolute;left:0;text-align:left;margin-left:248.9pt;margin-top:2.6pt;width:250.55pt;height:154.8pt;z-index:-251665408;visibility:visible;mso-wrap-style:square;mso-width-percent:0;mso-height-percent:0;mso-wrap-distance-left:7.2pt;mso-wrap-distance-top:7.2pt;mso-wrap-distance-right:25.2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" fillcolor="#eeece1 [3214]" strokecolor="#c4bc96 [2414]" strokeweight=".5pt">
                <v:fill r:id="rId10" o:title="" color2="white [3212]" type="pattern"/>
                <v:stroke endcap="round"/>
                <v:textbox inset="14.4pt,0,10.8pt,0">
                  <w:txbxContent>
                    <w:p w:rsidR="0025668C" w:rsidRPr="00EF5479" w:rsidRDefault="0025668C" w:rsidP="002064BE">
                      <w:pPr>
                        <w:pBdr>
                          <w:left w:val="single" w:sz="80" w:space="3" w:color="7F7F7F" w:themeColor="text1" w:themeTint="80"/>
                          <w:bottom w:val="single" w:sz="8" w:space="3" w:color="7F7F7F" w:themeColor="text1" w:themeTint="80"/>
                        </w:pBdr>
                        <w:spacing w:before="40" w:line="288" w:lineRule="auto"/>
                        <w:jc w:val="center"/>
                        <w:rPr>
                          <w:rFonts w:ascii="Times New Roman" w:hAnsi="Times New Roman" w:cs="Times New Roman"/>
                          <w:b/>
                          <w:i/>
                          <w:color w:val="4A442A" w:themeColor="background2" w:themeShade="40"/>
                          <w:sz w:val="16"/>
                          <w:szCs w:val="27"/>
                        </w:rPr>
                      </w:pPr>
                      <w:r w:rsidRPr="00EF5479">
                        <w:rPr>
                          <w:rFonts w:ascii="Times New Roman" w:hAnsi="Times New Roman" w:cs="Times New Roman"/>
                          <w:b/>
                          <w:color w:val="4A442A" w:themeColor="background2" w:themeShade="40"/>
                          <w:sz w:val="18"/>
                          <w:szCs w:val="28"/>
                          <w:lang w:val="en-US"/>
                        </w:rPr>
                        <w:t>Kontrata Koncesionare “</w:t>
                      </w:r>
                      <w:r w:rsidRPr="002A77F8">
                        <w:rPr>
                          <w:rFonts w:ascii="Times New Roman" w:hAnsi="Times New Roman" w:cs="Times New Roman"/>
                          <w:b/>
                          <w:i/>
                          <w:color w:val="4A442A" w:themeColor="background2" w:themeShade="40"/>
                          <w:sz w:val="18"/>
                          <w:szCs w:val="28"/>
                          <w:lang w:val="en-US"/>
                        </w:rPr>
                        <w:t>P</w:t>
                      </w:r>
                      <w:r>
                        <w:rPr>
                          <w:rFonts w:ascii="Times New Roman" w:hAnsi="Times New Roman" w:cs="Times New Roman"/>
                          <w:b/>
                          <w:i/>
                          <w:color w:val="4A442A" w:themeColor="background2" w:themeShade="40"/>
                          <w:sz w:val="18"/>
                          <w:szCs w:val="28"/>
                          <w:lang w:val="en-US"/>
                        </w:rPr>
                        <w:t>ë</w:t>
                      </w:r>
                      <w:r w:rsidRPr="002A77F8">
                        <w:rPr>
                          <w:rFonts w:ascii="Times New Roman" w:hAnsi="Times New Roman" w:cs="Times New Roman"/>
                          <w:b/>
                          <w:i/>
                          <w:color w:val="4A442A" w:themeColor="background2" w:themeShade="40"/>
                          <w:sz w:val="18"/>
                          <w:szCs w:val="28"/>
                          <w:lang w:val="en-US"/>
                        </w:rPr>
                        <w:t>r nd</w:t>
                      </w:r>
                      <w:r>
                        <w:rPr>
                          <w:rFonts w:ascii="Times New Roman" w:hAnsi="Times New Roman" w:cs="Times New Roman"/>
                          <w:b/>
                          <w:i/>
                          <w:color w:val="4A442A" w:themeColor="background2" w:themeShade="40"/>
                          <w:sz w:val="18"/>
                          <w:szCs w:val="28"/>
                          <w:lang w:val="en-US"/>
                        </w:rPr>
                        <w:t>ë</w:t>
                      </w:r>
                      <w:r w:rsidRPr="002A77F8">
                        <w:rPr>
                          <w:rFonts w:ascii="Times New Roman" w:hAnsi="Times New Roman" w:cs="Times New Roman"/>
                          <w:b/>
                          <w:i/>
                          <w:color w:val="4A442A" w:themeColor="background2" w:themeShade="40"/>
                          <w:sz w:val="18"/>
                          <w:szCs w:val="28"/>
                          <w:lang w:val="en-US"/>
                        </w:rPr>
                        <w:t>rtimin, p</w:t>
                      </w:r>
                      <w:r>
                        <w:rPr>
                          <w:rFonts w:ascii="Times New Roman" w:hAnsi="Times New Roman" w:cs="Times New Roman"/>
                          <w:b/>
                          <w:i/>
                          <w:color w:val="4A442A" w:themeColor="background2" w:themeShade="40"/>
                          <w:sz w:val="18"/>
                          <w:szCs w:val="28"/>
                          <w:lang w:val="en-US"/>
                        </w:rPr>
                        <w:t>ë</w:t>
                      </w:r>
                      <w:r w:rsidRPr="002A77F8">
                        <w:rPr>
                          <w:rFonts w:ascii="Times New Roman" w:hAnsi="Times New Roman" w:cs="Times New Roman"/>
                          <w:b/>
                          <w:i/>
                          <w:color w:val="4A442A" w:themeColor="background2" w:themeShade="40"/>
                          <w:sz w:val="18"/>
                          <w:szCs w:val="28"/>
                          <w:lang w:val="en-US"/>
                        </w:rPr>
                        <w:t>rmir</w:t>
                      </w:r>
                      <w:r>
                        <w:rPr>
                          <w:rFonts w:ascii="Times New Roman" w:hAnsi="Times New Roman" w:cs="Times New Roman"/>
                          <w:b/>
                          <w:i/>
                          <w:color w:val="4A442A" w:themeColor="background2" w:themeShade="40"/>
                          <w:sz w:val="18"/>
                          <w:szCs w:val="28"/>
                          <w:lang w:val="en-US"/>
                        </w:rPr>
                        <w:t>ë</w:t>
                      </w:r>
                      <w:r w:rsidRPr="002A77F8">
                        <w:rPr>
                          <w:rFonts w:ascii="Times New Roman" w:hAnsi="Times New Roman" w:cs="Times New Roman"/>
                          <w:b/>
                          <w:i/>
                          <w:color w:val="4A442A" w:themeColor="background2" w:themeShade="40"/>
                          <w:sz w:val="18"/>
                          <w:szCs w:val="28"/>
                          <w:lang w:val="en-US"/>
                        </w:rPr>
                        <w:t>simin, shfryt</w:t>
                      </w:r>
                      <w:r>
                        <w:rPr>
                          <w:rFonts w:ascii="Times New Roman" w:hAnsi="Times New Roman" w:cs="Times New Roman"/>
                          <w:b/>
                          <w:i/>
                          <w:color w:val="4A442A" w:themeColor="background2" w:themeShade="40"/>
                          <w:sz w:val="18"/>
                          <w:szCs w:val="28"/>
                          <w:lang w:val="en-US"/>
                        </w:rPr>
                        <w:t>ë</w:t>
                      </w:r>
                      <w:r w:rsidRPr="002A77F8">
                        <w:rPr>
                          <w:rFonts w:ascii="Times New Roman" w:hAnsi="Times New Roman" w:cs="Times New Roman"/>
                          <w:b/>
                          <w:i/>
                          <w:color w:val="4A442A" w:themeColor="background2" w:themeShade="40"/>
                          <w:sz w:val="18"/>
                          <w:szCs w:val="28"/>
                          <w:lang w:val="en-US"/>
                        </w:rPr>
                        <w:t>zimin dhe mir</w:t>
                      </w:r>
                      <w:r>
                        <w:rPr>
                          <w:rFonts w:ascii="Times New Roman" w:hAnsi="Times New Roman" w:cs="Times New Roman"/>
                          <w:b/>
                          <w:i/>
                          <w:color w:val="4A442A" w:themeColor="background2" w:themeShade="40"/>
                          <w:sz w:val="18"/>
                          <w:szCs w:val="28"/>
                          <w:lang w:val="en-US"/>
                        </w:rPr>
                        <w:t>ë</w:t>
                      </w:r>
                      <w:r w:rsidRPr="002A77F8">
                        <w:rPr>
                          <w:rFonts w:ascii="Times New Roman" w:hAnsi="Times New Roman" w:cs="Times New Roman"/>
                          <w:b/>
                          <w:i/>
                          <w:color w:val="4A442A" w:themeColor="background2" w:themeShade="40"/>
                          <w:sz w:val="18"/>
                          <w:szCs w:val="28"/>
                          <w:lang w:val="en-US"/>
                        </w:rPr>
                        <w:t xml:space="preserve">mbajtjen e </w:t>
                      </w:r>
                      <w:r>
                        <w:rPr>
                          <w:rFonts w:ascii="Times New Roman" w:hAnsi="Times New Roman" w:cs="Times New Roman"/>
                          <w:b/>
                          <w:i/>
                          <w:color w:val="4A442A" w:themeColor="background2" w:themeShade="40"/>
                          <w:sz w:val="18"/>
                          <w:szCs w:val="28"/>
                          <w:lang w:val="en-US"/>
                        </w:rPr>
                        <w:t>Rrugës së Arbrit</w:t>
                      </w:r>
                      <w:r w:rsidRPr="00EF5479">
                        <w:rPr>
                          <w:rFonts w:ascii="Times New Roman" w:hAnsi="Times New Roman" w:cs="Times New Roman"/>
                          <w:b/>
                          <w:sz w:val="18"/>
                          <w:szCs w:val="28"/>
                          <w:lang w:val="en-US"/>
                        </w:rPr>
                        <w:t>”</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Pr>
                          <w:rFonts w:ascii="Times New Roman" w:hAnsi="Times New Roman" w:cs="Times New Roman"/>
                          <w:color w:val="000000" w:themeColor="text1"/>
                        </w:rPr>
                        <w:t xml:space="preserve"> Ministria e Infrastrukturës dhe Energjisë</w:t>
                      </w:r>
                    </w:p>
                    <w:p w:rsidR="0025668C"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EF5479">
                        <w:rPr>
                          <w:rFonts w:ascii="Times New Roman" w:hAnsi="Times New Roman" w:cs="Times New Roman"/>
                          <w:color w:val="000000" w:themeColor="text1"/>
                        </w:rPr>
                        <w:t>“</w:t>
                      </w:r>
                      <w:r>
                        <w:rPr>
                          <w:rFonts w:ascii="Times New Roman" w:hAnsi="Times New Roman" w:cs="Times New Roman"/>
                          <w:color w:val="000000" w:themeColor="text1"/>
                        </w:rPr>
                        <w:t>Gjoka 87 sh.p.k</w:t>
                      </w:r>
                      <w:r w:rsidRPr="00EF5479">
                        <w:rPr>
                          <w:rFonts w:ascii="Times New Roman" w:hAnsi="Times New Roman" w:cs="Times New Roman"/>
                          <w:color w:val="000000" w:themeColor="text1"/>
                        </w:rPr>
                        <w:t>”</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26.5 miliardë Lek</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11 Korrik 2018</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13</w:t>
                      </w:r>
                      <w:r w:rsidRPr="00EF5479">
                        <w:rPr>
                          <w:rFonts w:ascii="Times New Roman" w:hAnsi="Times New Roman" w:cs="Times New Roman"/>
                          <w:color w:val="000000" w:themeColor="text1"/>
                        </w:rPr>
                        <w:t xml:space="preserve"> vjet</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EF5479">
                        <w:rPr>
                          <w:rFonts w:ascii="Times New Roman" w:hAnsi="Times New Roman" w:cs="Times New Roman"/>
                          <w:color w:val="000000" w:themeColor="text1"/>
                        </w:rPr>
                        <w:t xml:space="preserve"> Nd</w:t>
                      </w:r>
                      <w:r>
                        <w:rPr>
                          <w:rFonts w:ascii="Times New Roman" w:hAnsi="Times New Roman" w:cs="Times New Roman"/>
                          <w:color w:val="000000" w:themeColor="text1"/>
                        </w:rPr>
                        <w:t>ë</w:t>
                      </w:r>
                      <w:r w:rsidRPr="00EF5479">
                        <w:rPr>
                          <w:rFonts w:ascii="Times New Roman" w:hAnsi="Times New Roman" w:cs="Times New Roman"/>
                          <w:color w:val="000000" w:themeColor="text1"/>
                        </w:rPr>
                        <w:t xml:space="preserve">rtim </w:t>
                      </w:r>
                    </w:p>
                    <w:p w:rsidR="0025668C" w:rsidRDefault="0025668C" w:rsidP="002064BE">
                      <w:pPr>
                        <w:rPr>
                          <w:color w:val="808080" w:themeColor="background1" w:themeShade="80"/>
                        </w:rPr>
                      </w:pPr>
                    </w:p>
                  </w:txbxContent>
                </v:textbox>
                <w10:wrap type="tight" anchorx="margin"/>
              </v:shape>
            </w:pict>
          </mc:Fallback>
        </mc:AlternateContent>
      </w:r>
      <w:r w:rsidR="00612FB6">
        <w:rPr>
          <w:rFonts w:ascii="Times New Roman" w:hAnsi="Times New Roman" w:cs="Times New Roman"/>
          <w:sz w:val="24"/>
          <w:szCs w:val="24"/>
        </w:rPr>
        <w:t>Kjo kontrat</w:t>
      </w:r>
      <w:r w:rsidR="00AB3C00">
        <w:rPr>
          <w:rFonts w:ascii="Times New Roman" w:hAnsi="Times New Roman" w:cs="Times New Roman"/>
          <w:sz w:val="24"/>
          <w:szCs w:val="24"/>
        </w:rPr>
        <w:t>ë</w:t>
      </w:r>
      <w:r w:rsidR="00612FB6">
        <w:rPr>
          <w:rFonts w:ascii="Times New Roman" w:hAnsi="Times New Roman" w:cs="Times New Roman"/>
          <w:sz w:val="24"/>
          <w:szCs w:val="24"/>
        </w:rPr>
        <w:t xml:space="preserve"> koncesioni/PPP</w:t>
      </w:r>
      <w:r w:rsidR="00CE0FF5" w:rsidRPr="009B6417">
        <w:rPr>
          <w:rFonts w:ascii="Times New Roman" w:hAnsi="Times New Roman" w:cs="Times New Roman"/>
          <w:sz w:val="24"/>
          <w:szCs w:val="24"/>
        </w:rPr>
        <w:t xml:space="preserve"> </w:t>
      </w:r>
      <w:r w:rsidR="00AB3C00">
        <w:rPr>
          <w:rFonts w:ascii="Times New Roman" w:hAnsi="Times New Roman" w:cs="Times New Roman"/>
          <w:sz w:val="24"/>
          <w:szCs w:val="24"/>
        </w:rPr>
        <w:t>ë</w:t>
      </w:r>
      <w:r w:rsidR="00612FB6">
        <w:rPr>
          <w:rFonts w:ascii="Times New Roman" w:hAnsi="Times New Roman" w:cs="Times New Roman"/>
          <w:sz w:val="24"/>
          <w:szCs w:val="24"/>
        </w:rPr>
        <w:t>sht</w:t>
      </w:r>
      <w:r w:rsidR="00AB3C00">
        <w:rPr>
          <w:rFonts w:ascii="Times New Roman" w:hAnsi="Times New Roman" w:cs="Times New Roman"/>
          <w:sz w:val="24"/>
          <w:szCs w:val="24"/>
        </w:rPr>
        <w:t>ë</w:t>
      </w:r>
      <w:r w:rsidR="00612FB6">
        <w:rPr>
          <w:rFonts w:ascii="Times New Roman" w:hAnsi="Times New Roman" w:cs="Times New Roman"/>
          <w:sz w:val="24"/>
          <w:szCs w:val="24"/>
        </w:rPr>
        <w:t xml:space="preserve"> lidhur mes Ministris</w:t>
      </w:r>
      <w:r w:rsidR="00AB3C00">
        <w:rPr>
          <w:rFonts w:ascii="Times New Roman" w:hAnsi="Times New Roman" w:cs="Times New Roman"/>
          <w:sz w:val="24"/>
          <w:szCs w:val="24"/>
        </w:rPr>
        <w:t>ë</w:t>
      </w:r>
      <w:r w:rsidR="00612FB6">
        <w:rPr>
          <w:rFonts w:ascii="Times New Roman" w:hAnsi="Times New Roman" w:cs="Times New Roman"/>
          <w:sz w:val="24"/>
          <w:szCs w:val="24"/>
        </w:rPr>
        <w:t xml:space="preserve"> s</w:t>
      </w:r>
      <w:r w:rsidR="00AB3C00">
        <w:rPr>
          <w:rFonts w:ascii="Times New Roman" w:hAnsi="Times New Roman" w:cs="Times New Roman"/>
          <w:sz w:val="24"/>
          <w:szCs w:val="24"/>
        </w:rPr>
        <w:t>ë</w:t>
      </w:r>
      <w:r w:rsidR="00612FB6">
        <w:rPr>
          <w:rFonts w:ascii="Times New Roman" w:hAnsi="Times New Roman" w:cs="Times New Roman"/>
          <w:sz w:val="24"/>
          <w:szCs w:val="24"/>
        </w:rPr>
        <w:t xml:space="preserve"> Insfrastruktur</w:t>
      </w:r>
      <w:r w:rsidR="00AB3C00">
        <w:rPr>
          <w:rFonts w:ascii="Times New Roman" w:hAnsi="Times New Roman" w:cs="Times New Roman"/>
          <w:sz w:val="24"/>
          <w:szCs w:val="24"/>
        </w:rPr>
        <w:t>ë</w:t>
      </w:r>
      <w:r w:rsidR="00612FB6">
        <w:rPr>
          <w:rFonts w:ascii="Times New Roman" w:hAnsi="Times New Roman" w:cs="Times New Roman"/>
          <w:sz w:val="24"/>
          <w:szCs w:val="24"/>
        </w:rPr>
        <w:t>s dhe Energjis</w:t>
      </w:r>
      <w:r w:rsidR="00AB3C00">
        <w:rPr>
          <w:rFonts w:ascii="Times New Roman" w:hAnsi="Times New Roman" w:cs="Times New Roman"/>
          <w:sz w:val="24"/>
          <w:szCs w:val="24"/>
        </w:rPr>
        <w:t>ë</w:t>
      </w:r>
      <w:r w:rsidR="00612FB6">
        <w:rPr>
          <w:rFonts w:ascii="Times New Roman" w:hAnsi="Times New Roman" w:cs="Times New Roman"/>
          <w:sz w:val="24"/>
          <w:szCs w:val="24"/>
        </w:rPr>
        <w:t xml:space="preserve"> si Autoritet Kontraktues dhe shoq</w:t>
      </w:r>
      <w:r w:rsidR="00AB3C00">
        <w:rPr>
          <w:rFonts w:ascii="Times New Roman" w:hAnsi="Times New Roman" w:cs="Times New Roman"/>
          <w:sz w:val="24"/>
          <w:szCs w:val="24"/>
        </w:rPr>
        <w:t>ë</w:t>
      </w:r>
      <w:r w:rsidR="00612FB6">
        <w:rPr>
          <w:rFonts w:ascii="Times New Roman" w:hAnsi="Times New Roman" w:cs="Times New Roman"/>
          <w:sz w:val="24"/>
          <w:szCs w:val="24"/>
        </w:rPr>
        <w:t>ris</w:t>
      </w:r>
      <w:r w:rsidR="00AB3C00">
        <w:rPr>
          <w:rFonts w:ascii="Times New Roman" w:hAnsi="Times New Roman" w:cs="Times New Roman"/>
          <w:sz w:val="24"/>
          <w:szCs w:val="24"/>
        </w:rPr>
        <w:t>ë</w:t>
      </w:r>
      <w:r w:rsidR="00612FB6">
        <w:rPr>
          <w:rFonts w:ascii="Times New Roman" w:hAnsi="Times New Roman" w:cs="Times New Roman"/>
          <w:sz w:val="24"/>
          <w:szCs w:val="24"/>
        </w:rPr>
        <w:t xml:space="preserve"> koncesionare ‘Gjoka 87sh.p.k’</w:t>
      </w:r>
      <w:r w:rsidR="003A341A">
        <w:rPr>
          <w:rFonts w:ascii="Times New Roman" w:hAnsi="Times New Roman" w:cs="Times New Roman"/>
          <w:sz w:val="24"/>
          <w:szCs w:val="24"/>
        </w:rPr>
        <w:t xml:space="preserve">, </w:t>
      </w:r>
      <w:r w:rsidR="00321259" w:rsidRPr="009B6417">
        <w:rPr>
          <w:rFonts w:ascii="Times New Roman" w:hAnsi="Times New Roman" w:cs="Times New Roman"/>
          <w:sz w:val="24"/>
          <w:szCs w:val="24"/>
        </w:rPr>
        <w:t>ka nj</w:t>
      </w:r>
      <w:r w:rsidR="00E242B5" w:rsidRPr="009B6417">
        <w:rPr>
          <w:rFonts w:ascii="Times New Roman" w:hAnsi="Times New Roman" w:cs="Times New Roman"/>
          <w:sz w:val="24"/>
          <w:szCs w:val="24"/>
        </w:rPr>
        <w:t>ë</w:t>
      </w:r>
      <w:r w:rsidR="00321259" w:rsidRPr="009B6417">
        <w:rPr>
          <w:rFonts w:ascii="Times New Roman" w:hAnsi="Times New Roman" w:cs="Times New Roman"/>
          <w:sz w:val="24"/>
          <w:szCs w:val="24"/>
        </w:rPr>
        <w:t xml:space="preserve"> koh</w:t>
      </w:r>
      <w:r w:rsidR="00E242B5" w:rsidRPr="009B6417">
        <w:rPr>
          <w:rFonts w:ascii="Times New Roman" w:hAnsi="Times New Roman" w:cs="Times New Roman"/>
          <w:sz w:val="24"/>
          <w:szCs w:val="24"/>
        </w:rPr>
        <w:t>ë</w:t>
      </w:r>
      <w:r w:rsidR="00321259" w:rsidRPr="009B6417">
        <w:rPr>
          <w:rFonts w:ascii="Times New Roman" w:hAnsi="Times New Roman" w:cs="Times New Roman"/>
          <w:sz w:val="24"/>
          <w:szCs w:val="24"/>
        </w:rPr>
        <w:t xml:space="preserve">zgjatje prej 13 vitesh dhe data efektive e saj </w:t>
      </w:r>
      <w:r w:rsidR="00E242B5" w:rsidRPr="009B6417">
        <w:rPr>
          <w:rFonts w:ascii="Times New Roman" w:hAnsi="Times New Roman" w:cs="Times New Roman"/>
          <w:sz w:val="24"/>
          <w:szCs w:val="24"/>
        </w:rPr>
        <w:t>ë</w:t>
      </w:r>
      <w:r w:rsidR="00321259" w:rsidRPr="009B6417">
        <w:rPr>
          <w:rFonts w:ascii="Times New Roman" w:hAnsi="Times New Roman" w:cs="Times New Roman"/>
          <w:sz w:val="24"/>
          <w:szCs w:val="24"/>
        </w:rPr>
        <w:t>sht</w:t>
      </w:r>
      <w:r w:rsidR="00E242B5" w:rsidRPr="009B6417">
        <w:rPr>
          <w:rFonts w:ascii="Times New Roman" w:hAnsi="Times New Roman" w:cs="Times New Roman"/>
          <w:sz w:val="24"/>
          <w:szCs w:val="24"/>
        </w:rPr>
        <w:t>ë</w:t>
      </w:r>
      <w:r w:rsidR="00321259" w:rsidRPr="009B6417">
        <w:rPr>
          <w:rFonts w:ascii="Times New Roman" w:hAnsi="Times New Roman" w:cs="Times New Roman"/>
          <w:sz w:val="24"/>
          <w:szCs w:val="24"/>
        </w:rPr>
        <w:t xml:space="preserve"> </w:t>
      </w:r>
      <w:r w:rsidR="00E242B5" w:rsidRPr="009B6417">
        <w:rPr>
          <w:rFonts w:ascii="Times New Roman" w:hAnsi="Times New Roman" w:cs="Times New Roman"/>
          <w:sz w:val="24"/>
          <w:szCs w:val="24"/>
        </w:rPr>
        <w:t xml:space="preserve">data </w:t>
      </w:r>
      <w:r w:rsidR="00321259" w:rsidRPr="009B6417">
        <w:rPr>
          <w:rFonts w:ascii="Times New Roman" w:hAnsi="Times New Roman" w:cs="Times New Roman"/>
          <w:sz w:val="24"/>
          <w:szCs w:val="24"/>
        </w:rPr>
        <w:t>04.07.2018</w:t>
      </w:r>
      <w:r w:rsidR="00174490" w:rsidRPr="009B6417">
        <w:rPr>
          <w:rFonts w:ascii="Times New Roman" w:hAnsi="Times New Roman" w:cs="Times New Roman"/>
          <w:sz w:val="24"/>
          <w:szCs w:val="24"/>
        </w:rPr>
        <w:t>.</w:t>
      </w:r>
      <w:r w:rsidR="00784B22">
        <w:rPr>
          <w:rFonts w:ascii="Times New Roman" w:eastAsia="Times New Roman" w:hAnsi="Times New Roman" w:cs="Times New Roman"/>
          <w:b/>
          <w:sz w:val="24"/>
          <w:szCs w:val="24"/>
        </w:rPr>
        <w:t xml:space="preserve"> </w:t>
      </w:r>
      <w:r w:rsidR="002064BE" w:rsidRPr="009B6417">
        <w:rPr>
          <w:rFonts w:ascii="Times New Roman" w:hAnsi="Times New Roman" w:cs="Times New Roman"/>
          <w:sz w:val="24"/>
          <w:szCs w:val="24"/>
        </w:rPr>
        <w:t>Me ndërtimin e kësaj rrug</w:t>
      </w:r>
      <w:r w:rsidR="00AB7B3C" w:rsidRPr="009B6417">
        <w:rPr>
          <w:rFonts w:ascii="Times New Roman" w:hAnsi="Times New Roman" w:cs="Times New Roman"/>
          <w:sz w:val="24"/>
          <w:szCs w:val="24"/>
        </w:rPr>
        <w:t>e synohet</w:t>
      </w:r>
      <w:r w:rsidR="0065397F" w:rsidRPr="009B6417">
        <w:rPr>
          <w:rFonts w:ascii="Times New Roman" w:hAnsi="Times New Roman" w:cs="Times New Roman"/>
          <w:sz w:val="24"/>
          <w:szCs w:val="24"/>
        </w:rPr>
        <w:t xml:space="preserve"> të </w:t>
      </w:r>
      <w:r w:rsidR="0066035E" w:rsidRPr="009B6417">
        <w:rPr>
          <w:rFonts w:ascii="Times New Roman" w:hAnsi="Times New Roman" w:cs="Times New Roman"/>
          <w:sz w:val="24"/>
          <w:szCs w:val="24"/>
        </w:rPr>
        <w:t xml:space="preserve">përmirësohet efikasiteti i transportit, minimizimi i </w:t>
      </w:r>
      <w:r w:rsidR="002064BE" w:rsidRPr="009B6417">
        <w:rPr>
          <w:rFonts w:ascii="Times New Roman" w:hAnsi="Times New Roman" w:cs="Times New Roman"/>
          <w:sz w:val="24"/>
          <w:szCs w:val="24"/>
        </w:rPr>
        <w:t>aksidente</w:t>
      </w:r>
      <w:r w:rsidR="0066035E" w:rsidRPr="009B6417">
        <w:rPr>
          <w:rFonts w:ascii="Times New Roman" w:hAnsi="Times New Roman" w:cs="Times New Roman"/>
          <w:sz w:val="24"/>
          <w:szCs w:val="24"/>
        </w:rPr>
        <w:t>ve</w:t>
      </w:r>
      <w:r w:rsidR="002064BE" w:rsidRPr="009B6417">
        <w:rPr>
          <w:rFonts w:ascii="Times New Roman" w:hAnsi="Times New Roman" w:cs="Times New Roman"/>
          <w:sz w:val="24"/>
          <w:szCs w:val="24"/>
        </w:rPr>
        <w:t xml:space="preserve"> rrugore brenda rajonit të p</w:t>
      </w:r>
      <w:r w:rsidR="00612FB6">
        <w:rPr>
          <w:rFonts w:ascii="Times New Roman" w:hAnsi="Times New Roman" w:cs="Times New Roman"/>
          <w:sz w:val="24"/>
          <w:szCs w:val="24"/>
        </w:rPr>
        <w:t>rojektit si dhe</w:t>
      </w:r>
      <w:r w:rsidR="0066035E" w:rsidRPr="009B6417">
        <w:rPr>
          <w:rFonts w:ascii="Times New Roman" w:hAnsi="Times New Roman" w:cs="Times New Roman"/>
          <w:sz w:val="24"/>
          <w:szCs w:val="24"/>
        </w:rPr>
        <w:t xml:space="preserve"> rritja e sigurisë rrugore, perspektivës së</w:t>
      </w:r>
      <w:r w:rsidR="002064BE" w:rsidRPr="009B6417">
        <w:rPr>
          <w:rFonts w:ascii="Times New Roman" w:hAnsi="Times New Roman" w:cs="Times New Roman"/>
          <w:sz w:val="24"/>
          <w:szCs w:val="24"/>
        </w:rPr>
        <w:t xml:space="preserve"> zhvillimit tu</w:t>
      </w:r>
      <w:r w:rsidR="00CE0FF5" w:rsidRPr="009B6417">
        <w:rPr>
          <w:rFonts w:ascii="Times New Roman" w:hAnsi="Times New Roman" w:cs="Times New Roman"/>
          <w:sz w:val="24"/>
          <w:szCs w:val="24"/>
        </w:rPr>
        <w:t>ristik t</w:t>
      </w:r>
      <w:r w:rsidR="002A5B5F">
        <w:rPr>
          <w:rFonts w:ascii="Times New Roman" w:hAnsi="Times New Roman" w:cs="Times New Roman"/>
          <w:sz w:val="24"/>
          <w:szCs w:val="24"/>
        </w:rPr>
        <w:t>ë</w:t>
      </w:r>
      <w:r w:rsidR="00CE0FF5" w:rsidRPr="009B6417">
        <w:rPr>
          <w:rFonts w:ascii="Times New Roman" w:hAnsi="Times New Roman" w:cs="Times New Roman"/>
          <w:sz w:val="24"/>
          <w:szCs w:val="24"/>
        </w:rPr>
        <w:t xml:space="preserve"> zonës si dhe </w:t>
      </w:r>
      <w:r w:rsidR="00EF3305" w:rsidRPr="009B6417">
        <w:rPr>
          <w:rFonts w:ascii="Times New Roman" w:hAnsi="Times New Roman" w:cs="Times New Roman"/>
          <w:sz w:val="24"/>
          <w:szCs w:val="24"/>
        </w:rPr>
        <w:t>standardeve të</w:t>
      </w:r>
      <w:r w:rsidR="0071635C" w:rsidRPr="009B6417">
        <w:rPr>
          <w:rFonts w:ascii="Times New Roman" w:hAnsi="Times New Roman" w:cs="Times New Roman"/>
          <w:sz w:val="24"/>
          <w:szCs w:val="24"/>
        </w:rPr>
        <w:t xml:space="preserve"> jetesës në të gjithë zonën</w:t>
      </w:r>
      <w:r w:rsidR="002064BE" w:rsidRPr="009B6417">
        <w:rPr>
          <w:rFonts w:ascii="Times New Roman" w:hAnsi="Times New Roman" w:cs="Times New Roman"/>
          <w:sz w:val="24"/>
          <w:szCs w:val="24"/>
        </w:rPr>
        <w:t>.</w:t>
      </w:r>
    </w:p>
    <w:p w14:paraId="39CF1361" w14:textId="77777777" w:rsidR="002064BE" w:rsidRPr="009B6417" w:rsidRDefault="002064BE" w:rsidP="002C61D2">
      <w:pPr>
        <w:pStyle w:val="ListParagraph"/>
        <w:numPr>
          <w:ilvl w:val="2"/>
          <w:numId w:val="6"/>
        </w:numPr>
        <w:spacing w:before="100" w:beforeAutospacing="1" w:after="100" w:afterAutospacing="1" w:line="240" w:lineRule="auto"/>
        <w:ind w:left="450"/>
        <w:jc w:val="both"/>
        <w:rPr>
          <w:rFonts w:ascii="Times New Roman" w:eastAsia="Times New Roman" w:hAnsi="Times New Roman" w:cs="Times New Roman"/>
          <w:b/>
          <w:i/>
          <w:sz w:val="24"/>
          <w:szCs w:val="24"/>
        </w:rPr>
      </w:pPr>
      <w:r w:rsidRPr="009B6417">
        <w:rPr>
          <w:rFonts w:ascii="Times New Roman" w:eastAsia="Times New Roman" w:hAnsi="Times New Roman" w:cs="Times New Roman"/>
          <w:b/>
          <w:i/>
          <w:sz w:val="24"/>
          <w:szCs w:val="24"/>
        </w:rPr>
        <w:t xml:space="preserve"> Performanca e projektit dhe lloji i financimit</w:t>
      </w:r>
    </w:p>
    <w:p w14:paraId="582747D4" w14:textId="77777777" w:rsidR="002064BE" w:rsidRPr="009B6417" w:rsidRDefault="00136DE4" w:rsidP="002064BE">
      <w:pPr>
        <w:pStyle w:val="NoSpacing"/>
        <w:spacing w:line="276" w:lineRule="auto"/>
        <w:jc w:val="both"/>
        <w:rPr>
          <w:rFonts w:ascii="Times New Roman" w:eastAsia="Times New Roman" w:hAnsi="Times New Roman" w:cs="Times New Roman"/>
          <w:sz w:val="24"/>
          <w:szCs w:val="24"/>
          <w:lang w:val="sq-AL"/>
        </w:rPr>
      </w:pPr>
      <w:r w:rsidRPr="009B6417">
        <w:rPr>
          <w:rFonts w:ascii="Times New Roman" w:eastAsia="Times New Roman" w:hAnsi="Times New Roman" w:cs="Times New Roman"/>
          <w:sz w:val="24"/>
          <w:szCs w:val="24"/>
          <w:lang w:val="sq-AL"/>
        </w:rPr>
        <w:t>Sipas raportimeve, a</w:t>
      </w:r>
      <w:r w:rsidR="002064BE" w:rsidRPr="009B6417">
        <w:rPr>
          <w:rFonts w:ascii="Times New Roman" w:eastAsia="Times New Roman" w:hAnsi="Times New Roman" w:cs="Times New Roman"/>
          <w:sz w:val="24"/>
          <w:szCs w:val="24"/>
          <w:lang w:val="sq-AL"/>
        </w:rPr>
        <w:t xml:space="preserve">ktualisht projekti është në fazën e ndërtimit, i cili po realizohet me hapa më të shpejtë se sa ishte parashikuar. Ndërtimi për këtë projekt </w:t>
      </w:r>
      <w:r w:rsidR="00D42FD4" w:rsidRPr="009B6417">
        <w:rPr>
          <w:rFonts w:ascii="Times New Roman" w:eastAsia="Times New Roman" w:hAnsi="Times New Roman" w:cs="Times New Roman"/>
          <w:sz w:val="24"/>
          <w:szCs w:val="24"/>
          <w:lang w:val="sq-AL"/>
        </w:rPr>
        <w:t>është parashikuar</w:t>
      </w:r>
      <w:r w:rsidR="002064BE" w:rsidRPr="009B6417">
        <w:rPr>
          <w:rFonts w:ascii="Times New Roman" w:eastAsia="Times New Roman" w:hAnsi="Times New Roman" w:cs="Times New Roman"/>
          <w:sz w:val="24"/>
          <w:szCs w:val="24"/>
          <w:lang w:val="sq-AL"/>
        </w:rPr>
        <w:t xml:space="preserve"> të realizohet në katër vite (</w:t>
      </w:r>
      <w:r w:rsidR="002268F4" w:rsidRPr="009B6417">
        <w:rPr>
          <w:rFonts w:ascii="Times New Roman" w:eastAsia="Times New Roman" w:hAnsi="Times New Roman" w:cs="Times New Roman"/>
          <w:sz w:val="24"/>
          <w:szCs w:val="24"/>
          <w:lang w:val="sq-AL"/>
        </w:rPr>
        <w:t>2018-</w:t>
      </w:r>
      <w:r w:rsidR="002064BE" w:rsidRPr="009B6417">
        <w:rPr>
          <w:rFonts w:ascii="Times New Roman" w:eastAsia="Times New Roman" w:hAnsi="Times New Roman" w:cs="Times New Roman"/>
          <w:sz w:val="24"/>
          <w:szCs w:val="24"/>
          <w:lang w:val="sq-AL"/>
        </w:rPr>
        <w:t xml:space="preserve"> </w:t>
      </w:r>
      <w:r w:rsidR="002268F4" w:rsidRPr="009B6417">
        <w:rPr>
          <w:rFonts w:ascii="Times New Roman" w:eastAsia="Times New Roman" w:hAnsi="Times New Roman" w:cs="Times New Roman"/>
          <w:sz w:val="24"/>
          <w:szCs w:val="24"/>
          <w:lang w:val="sq-AL"/>
        </w:rPr>
        <w:t>2022). P</w:t>
      </w:r>
      <w:r w:rsidR="00C743C1" w:rsidRPr="009B6417">
        <w:rPr>
          <w:rFonts w:ascii="Times New Roman" w:eastAsia="Times New Roman" w:hAnsi="Times New Roman" w:cs="Times New Roman"/>
          <w:sz w:val="24"/>
          <w:szCs w:val="24"/>
          <w:lang w:val="sq-AL"/>
        </w:rPr>
        <w:t>ë</w:t>
      </w:r>
      <w:r w:rsidR="002268F4" w:rsidRPr="009B6417">
        <w:rPr>
          <w:rFonts w:ascii="Times New Roman" w:eastAsia="Times New Roman" w:hAnsi="Times New Roman" w:cs="Times New Roman"/>
          <w:sz w:val="24"/>
          <w:szCs w:val="24"/>
          <w:lang w:val="sq-AL"/>
        </w:rPr>
        <w:t>r vitin 2018 jan</w:t>
      </w:r>
      <w:r w:rsidR="00C743C1" w:rsidRPr="009B6417">
        <w:rPr>
          <w:rFonts w:ascii="Times New Roman" w:eastAsia="Times New Roman" w:hAnsi="Times New Roman" w:cs="Times New Roman"/>
          <w:sz w:val="24"/>
          <w:szCs w:val="24"/>
          <w:lang w:val="sq-AL"/>
        </w:rPr>
        <w:t>ë</w:t>
      </w:r>
      <w:r w:rsidR="002268F4" w:rsidRPr="009B6417">
        <w:rPr>
          <w:rFonts w:ascii="Times New Roman" w:eastAsia="Times New Roman" w:hAnsi="Times New Roman" w:cs="Times New Roman"/>
          <w:sz w:val="24"/>
          <w:szCs w:val="24"/>
          <w:lang w:val="sq-AL"/>
        </w:rPr>
        <w:t xml:space="preserve"> </w:t>
      </w:r>
      <w:r w:rsidR="003A341A">
        <w:rPr>
          <w:rFonts w:ascii="Times New Roman" w:eastAsia="Times New Roman" w:hAnsi="Times New Roman" w:cs="Times New Roman"/>
          <w:sz w:val="24"/>
          <w:szCs w:val="24"/>
          <w:lang w:val="sq-AL"/>
        </w:rPr>
        <w:t xml:space="preserve">realizuar 25 përqind </w:t>
      </w:r>
      <w:r w:rsidR="00174490" w:rsidRPr="003A341A">
        <w:rPr>
          <w:rFonts w:ascii="Times New Roman" w:eastAsia="Times New Roman" w:hAnsi="Times New Roman" w:cs="Times New Roman"/>
          <w:sz w:val="24"/>
          <w:szCs w:val="24"/>
          <w:lang w:val="sq-AL"/>
        </w:rPr>
        <w:t>e</w:t>
      </w:r>
      <w:r w:rsidR="002268F4" w:rsidRPr="003A341A">
        <w:rPr>
          <w:rFonts w:ascii="Times New Roman" w:eastAsia="Times New Roman" w:hAnsi="Times New Roman" w:cs="Times New Roman"/>
          <w:sz w:val="24"/>
          <w:szCs w:val="24"/>
          <w:lang w:val="sq-AL"/>
        </w:rPr>
        <w:t xml:space="preserve"> volumit t</w:t>
      </w:r>
      <w:r w:rsidR="00C743C1" w:rsidRPr="003A341A">
        <w:rPr>
          <w:rFonts w:ascii="Times New Roman" w:eastAsia="Times New Roman" w:hAnsi="Times New Roman" w:cs="Times New Roman"/>
          <w:sz w:val="24"/>
          <w:szCs w:val="24"/>
          <w:lang w:val="sq-AL"/>
        </w:rPr>
        <w:t>ë</w:t>
      </w:r>
      <w:r w:rsidR="002268F4" w:rsidRPr="003A341A">
        <w:rPr>
          <w:rFonts w:ascii="Times New Roman" w:eastAsia="Times New Roman" w:hAnsi="Times New Roman" w:cs="Times New Roman"/>
          <w:sz w:val="24"/>
          <w:szCs w:val="24"/>
          <w:lang w:val="sq-AL"/>
        </w:rPr>
        <w:t xml:space="preserve"> punimeve ose 11 pik</w:t>
      </w:r>
      <w:r w:rsidR="00C743C1" w:rsidRPr="003A341A">
        <w:rPr>
          <w:rFonts w:ascii="Times New Roman" w:eastAsia="Times New Roman" w:hAnsi="Times New Roman" w:cs="Times New Roman"/>
          <w:sz w:val="24"/>
          <w:szCs w:val="24"/>
          <w:lang w:val="sq-AL"/>
        </w:rPr>
        <w:t>ë</w:t>
      </w:r>
      <w:r w:rsidR="002268F4" w:rsidRPr="003A341A">
        <w:rPr>
          <w:rFonts w:ascii="Times New Roman" w:eastAsia="Times New Roman" w:hAnsi="Times New Roman" w:cs="Times New Roman"/>
          <w:sz w:val="24"/>
          <w:szCs w:val="24"/>
          <w:lang w:val="sq-AL"/>
        </w:rPr>
        <w:t xml:space="preserve"> p</w:t>
      </w:r>
      <w:r w:rsidR="00C743C1" w:rsidRPr="003A341A">
        <w:rPr>
          <w:rFonts w:ascii="Times New Roman" w:eastAsia="Times New Roman" w:hAnsi="Times New Roman" w:cs="Times New Roman"/>
          <w:sz w:val="24"/>
          <w:szCs w:val="24"/>
          <w:lang w:val="sq-AL"/>
        </w:rPr>
        <w:t>ë</w:t>
      </w:r>
      <w:r w:rsidR="002268F4" w:rsidRPr="003A341A">
        <w:rPr>
          <w:rFonts w:ascii="Times New Roman" w:eastAsia="Times New Roman" w:hAnsi="Times New Roman" w:cs="Times New Roman"/>
          <w:sz w:val="24"/>
          <w:szCs w:val="24"/>
          <w:lang w:val="sq-AL"/>
        </w:rPr>
        <w:t>rqindje m</w:t>
      </w:r>
      <w:r w:rsidR="00C743C1" w:rsidRPr="003A341A">
        <w:rPr>
          <w:rFonts w:ascii="Times New Roman" w:eastAsia="Times New Roman" w:hAnsi="Times New Roman" w:cs="Times New Roman"/>
          <w:sz w:val="24"/>
          <w:szCs w:val="24"/>
          <w:lang w:val="sq-AL"/>
        </w:rPr>
        <w:t>ë</w:t>
      </w:r>
      <w:r w:rsidR="002268F4" w:rsidRPr="003A341A">
        <w:rPr>
          <w:rFonts w:ascii="Times New Roman" w:eastAsia="Times New Roman" w:hAnsi="Times New Roman" w:cs="Times New Roman"/>
          <w:sz w:val="24"/>
          <w:szCs w:val="24"/>
          <w:lang w:val="sq-AL"/>
        </w:rPr>
        <w:t xml:space="preserve"> shum</w:t>
      </w:r>
      <w:r w:rsidR="00C743C1" w:rsidRPr="003A341A">
        <w:rPr>
          <w:rFonts w:ascii="Times New Roman" w:eastAsia="Times New Roman" w:hAnsi="Times New Roman" w:cs="Times New Roman"/>
          <w:sz w:val="24"/>
          <w:szCs w:val="24"/>
          <w:lang w:val="sq-AL"/>
        </w:rPr>
        <w:t>ë</w:t>
      </w:r>
      <w:r w:rsidR="002268F4" w:rsidRPr="003A341A">
        <w:rPr>
          <w:rFonts w:ascii="Times New Roman" w:eastAsia="Times New Roman" w:hAnsi="Times New Roman" w:cs="Times New Roman"/>
          <w:sz w:val="24"/>
          <w:szCs w:val="24"/>
          <w:lang w:val="sq-AL"/>
        </w:rPr>
        <w:t xml:space="preserve"> se sa objektivi i synuar p</w:t>
      </w:r>
      <w:r w:rsidR="00C743C1" w:rsidRPr="003A341A">
        <w:rPr>
          <w:rFonts w:ascii="Times New Roman" w:eastAsia="Times New Roman" w:hAnsi="Times New Roman" w:cs="Times New Roman"/>
          <w:sz w:val="24"/>
          <w:szCs w:val="24"/>
          <w:lang w:val="sq-AL"/>
        </w:rPr>
        <w:t>ë</w:t>
      </w:r>
      <w:r w:rsidR="002268F4" w:rsidRPr="003A341A">
        <w:rPr>
          <w:rFonts w:ascii="Times New Roman" w:eastAsia="Times New Roman" w:hAnsi="Times New Roman" w:cs="Times New Roman"/>
          <w:sz w:val="24"/>
          <w:szCs w:val="24"/>
          <w:lang w:val="sq-AL"/>
        </w:rPr>
        <w:t>r vitin 2018. Nd</w:t>
      </w:r>
      <w:r w:rsidR="00C743C1" w:rsidRPr="003A341A">
        <w:rPr>
          <w:rFonts w:ascii="Times New Roman" w:eastAsia="Times New Roman" w:hAnsi="Times New Roman" w:cs="Times New Roman"/>
          <w:sz w:val="24"/>
          <w:szCs w:val="24"/>
          <w:lang w:val="sq-AL"/>
        </w:rPr>
        <w:t>ë</w:t>
      </w:r>
      <w:r w:rsidR="002268F4" w:rsidRPr="003A341A">
        <w:rPr>
          <w:rFonts w:ascii="Times New Roman" w:eastAsia="Times New Roman" w:hAnsi="Times New Roman" w:cs="Times New Roman"/>
          <w:sz w:val="24"/>
          <w:szCs w:val="24"/>
          <w:lang w:val="sq-AL"/>
        </w:rPr>
        <w:t xml:space="preserve">rsa </w:t>
      </w:r>
      <w:r w:rsidR="003A341A" w:rsidRPr="003A341A">
        <w:rPr>
          <w:rFonts w:ascii="Times New Roman" w:eastAsia="Times New Roman" w:hAnsi="Times New Roman" w:cs="Times New Roman"/>
          <w:sz w:val="24"/>
          <w:szCs w:val="24"/>
          <w:lang w:val="sq-AL"/>
        </w:rPr>
        <w:t xml:space="preserve">në vitin </w:t>
      </w:r>
      <w:r w:rsidR="002064BE" w:rsidRPr="003A341A">
        <w:rPr>
          <w:rFonts w:ascii="Times New Roman" w:eastAsia="Times New Roman" w:hAnsi="Times New Roman" w:cs="Times New Roman"/>
          <w:sz w:val="24"/>
          <w:szCs w:val="24"/>
          <w:lang w:val="sq-AL"/>
        </w:rPr>
        <w:t>2019 është realizuar 40</w:t>
      </w:r>
      <w:r w:rsidR="00CC5C49" w:rsidRPr="003A341A">
        <w:rPr>
          <w:rFonts w:ascii="Times New Roman" w:eastAsia="Times New Roman" w:hAnsi="Times New Roman" w:cs="Times New Roman"/>
          <w:sz w:val="24"/>
          <w:szCs w:val="24"/>
          <w:lang w:val="sq-AL"/>
        </w:rPr>
        <w:t xml:space="preserve"> përqind</w:t>
      </w:r>
      <w:r w:rsidR="003A341A" w:rsidRPr="003A341A">
        <w:rPr>
          <w:rFonts w:ascii="Times New Roman" w:eastAsia="Times New Roman" w:hAnsi="Times New Roman" w:cs="Times New Roman"/>
          <w:sz w:val="24"/>
          <w:szCs w:val="24"/>
          <w:lang w:val="sq-AL"/>
        </w:rPr>
        <w:t xml:space="preserve"> e ndërtimit.</w:t>
      </w:r>
    </w:p>
    <w:p w14:paraId="75FB76D0" w14:textId="77777777" w:rsidR="00656786" w:rsidRPr="009B6417" w:rsidRDefault="00656786" w:rsidP="00656786">
      <w:pPr>
        <w:pStyle w:val="NoSpacing"/>
        <w:spacing w:line="276" w:lineRule="auto"/>
        <w:jc w:val="both"/>
        <w:rPr>
          <w:rFonts w:ascii="Times New Roman" w:hAnsi="Times New Roman" w:cs="Times New Roman"/>
          <w:sz w:val="24"/>
          <w:szCs w:val="24"/>
          <w:lang w:val="sq-AL"/>
        </w:rPr>
      </w:pPr>
      <w:r w:rsidRPr="009B6417">
        <w:rPr>
          <w:rFonts w:ascii="Times New Roman" w:eastAsia="Times New Roman" w:hAnsi="Times New Roman" w:cs="Times New Roman"/>
          <w:sz w:val="24"/>
          <w:szCs w:val="24"/>
          <w:lang w:val="sq-AL"/>
        </w:rPr>
        <w:t>Përsa i përket llojit të financimit ky projekt koncesionar/PPP është me mbështetje buxhetore, pagesat e të cilit fillo</w:t>
      </w:r>
      <w:r w:rsidR="00B26FA5" w:rsidRPr="009B6417">
        <w:rPr>
          <w:rFonts w:ascii="Times New Roman" w:eastAsia="Times New Roman" w:hAnsi="Times New Roman" w:cs="Times New Roman"/>
          <w:sz w:val="24"/>
          <w:szCs w:val="24"/>
          <w:lang w:val="sq-AL"/>
        </w:rPr>
        <w:t>jnë nga viti 2019 (shih tabela 4</w:t>
      </w:r>
      <w:r w:rsidRPr="009B6417">
        <w:rPr>
          <w:rFonts w:ascii="Times New Roman" w:eastAsia="Times New Roman" w:hAnsi="Times New Roman" w:cs="Times New Roman"/>
          <w:sz w:val="24"/>
          <w:szCs w:val="24"/>
          <w:lang w:val="sq-AL"/>
        </w:rPr>
        <w:t>).</w:t>
      </w:r>
      <w:r w:rsidRPr="009B6417">
        <w:rPr>
          <w:rFonts w:ascii="Times New Roman" w:hAnsi="Times New Roman" w:cs="Times New Roman"/>
          <w:sz w:val="24"/>
          <w:szCs w:val="24"/>
          <w:lang w:val="sq-AL"/>
        </w:rPr>
        <w:t xml:space="preserve"> </w:t>
      </w:r>
      <w:r w:rsidR="00B650B8" w:rsidRPr="009B6417">
        <w:rPr>
          <w:rFonts w:ascii="Times New Roman" w:hAnsi="Times New Roman" w:cs="Times New Roman"/>
          <w:sz w:val="24"/>
          <w:szCs w:val="24"/>
          <w:lang w:val="sq-AL"/>
        </w:rPr>
        <w:t>Autoriteti Kontraktues</w:t>
      </w:r>
      <w:r w:rsidRPr="009B6417">
        <w:rPr>
          <w:rFonts w:ascii="Times New Roman" w:hAnsi="Times New Roman" w:cs="Times New Roman"/>
          <w:sz w:val="24"/>
          <w:szCs w:val="24"/>
          <w:lang w:val="sq-AL"/>
        </w:rPr>
        <w:t xml:space="preserve"> ka përmbushur detyrimin e pagesës për realizimin e punimeve</w:t>
      </w:r>
      <w:r w:rsidR="00B26FA5" w:rsidRPr="009B6417">
        <w:rPr>
          <w:rFonts w:ascii="Times New Roman" w:hAnsi="Times New Roman" w:cs="Times New Roman"/>
          <w:sz w:val="24"/>
          <w:szCs w:val="24"/>
          <w:lang w:val="sq-AL"/>
        </w:rPr>
        <w:t xml:space="preserve"> të ndërtimit</w:t>
      </w:r>
      <w:r w:rsidRPr="009B6417">
        <w:rPr>
          <w:rFonts w:ascii="Times New Roman" w:hAnsi="Times New Roman" w:cs="Times New Roman"/>
          <w:sz w:val="24"/>
          <w:szCs w:val="24"/>
          <w:lang w:val="sq-AL"/>
        </w:rPr>
        <w:t xml:space="preserve"> mbi 25</w:t>
      </w:r>
      <w:r w:rsidR="00CC5C49" w:rsidRPr="009B6417">
        <w:rPr>
          <w:rFonts w:ascii="Times New Roman" w:hAnsi="Times New Roman" w:cs="Times New Roman"/>
          <w:sz w:val="24"/>
          <w:szCs w:val="24"/>
          <w:lang w:val="sq-AL"/>
        </w:rPr>
        <w:t xml:space="preserve"> përqind</w:t>
      </w:r>
      <w:r w:rsidRPr="009B6417">
        <w:rPr>
          <w:rFonts w:ascii="Times New Roman" w:hAnsi="Times New Roman" w:cs="Times New Roman"/>
          <w:sz w:val="24"/>
          <w:szCs w:val="24"/>
          <w:lang w:val="sq-AL"/>
        </w:rPr>
        <w:t xml:space="preserve"> të ecurisë së punimeve dhe do të kryejë pagesat </w:t>
      </w:r>
      <w:r w:rsidR="00451EF6" w:rsidRPr="009B6417">
        <w:rPr>
          <w:rFonts w:ascii="Times New Roman" w:hAnsi="Times New Roman" w:cs="Times New Roman"/>
          <w:sz w:val="24"/>
          <w:szCs w:val="24"/>
          <w:lang w:val="sq-AL"/>
        </w:rPr>
        <w:t xml:space="preserve">në vijim </w:t>
      </w:r>
      <w:r w:rsidRPr="009B6417">
        <w:rPr>
          <w:rFonts w:ascii="Times New Roman" w:hAnsi="Times New Roman" w:cs="Times New Roman"/>
          <w:sz w:val="24"/>
          <w:szCs w:val="24"/>
          <w:lang w:val="sq-AL"/>
        </w:rPr>
        <w:t>sipas modelit financiar.</w:t>
      </w:r>
    </w:p>
    <w:p w14:paraId="4B0A11DB" w14:textId="77777777" w:rsidR="006E03D2" w:rsidRDefault="00397048" w:rsidP="006E03D2">
      <w:pPr>
        <w:spacing w:after="0"/>
        <w:jc w:val="both"/>
        <w:rPr>
          <w:rFonts w:ascii="Times New Roman" w:hAnsi="Times New Roman" w:cs="Times New Roman"/>
          <w:sz w:val="24"/>
          <w:szCs w:val="24"/>
        </w:rPr>
      </w:pPr>
      <w:r w:rsidRPr="009B6417">
        <w:rPr>
          <w:rFonts w:ascii="Times New Roman" w:hAnsi="Times New Roman" w:cs="Times New Roman"/>
          <w:sz w:val="24"/>
          <w:szCs w:val="24"/>
        </w:rPr>
        <w:t xml:space="preserve">Pagesat faktike të </w:t>
      </w:r>
      <w:r w:rsidR="006E03D2">
        <w:rPr>
          <w:rFonts w:ascii="Times New Roman" w:hAnsi="Times New Roman" w:cs="Times New Roman"/>
          <w:sz w:val="24"/>
          <w:szCs w:val="24"/>
        </w:rPr>
        <w:t>vitit</w:t>
      </w:r>
      <w:r w:rsidR="00656786" w:rsidRPr="009B6417">
        <w:rPr>
          <w:rFonts w:ascii="Times New Roman" w:hAnsi="Times New Roman" w:cs="Times New Roman"/>
          <w:sz w:val="24"/>
          <w:szCs w:val="24"/>
        </w:rPr>
        <w:t xml:space="preserve"> 2019 janë në masën rreth </w:t>
      </w:r>
      <w:r w:rsidR="006E03D2">
        <w:rPr>
          <w:rFonts w:ascii="Times New Roman" w:hAnsi="Times New Roman" w:cs="Times New Roman"/>
          <w:sz w:val="24"/>
          <w:szCs w:val="24"/>
        </w:rPr>
        <w:t>3.9</w:t>
      </w:r>
      <w:r w:rsidR="00656786" w:rsidRPr="009B6417">
        <w:rPr>
          <w:rFonts w:ascii="Times New Roman" w:hAnsi="Times New Roman" w:cs="Times New Roman"/>
          <w:sz w:val="24"/>
          <w:szCs w:val="24"/>
        </w:rPr>
        <w:t xml:space="preserve"> miliard</w:t>
      </w:r>
      <w:r w:rsidR="00C743C1" w:rsidRPr="009B6417">
        <w:rPr>
          <w:rFonts w:ascii="Times New Roman" w:hAnsi="Times New Roman" w:cs="Times New Roman"/>
          <w:sz w:val="24"/>
          <w:szCs w:val="24"/>
        </w:rPr>
        <w:t>ë</w:t>
      </w:r>
      <w:r w:rsidR="00656786" w:rsidRPr="009B6417">
        <w:rPr>
          <w:rFonts w:ascii="Times New Roman" w:hAnsi="Times New Roman" w:cs="Times New Roman"/>
          <w:sz w:val="24"/>
          <w:szCs w:val="24"/>
        </w:rPr>
        <w:t xml:space="preserve"> lekë, duke rezultuar me një realizim prej 9</w:t>
      </w:r>
      <w:r w:rsidR="006E03D2">
        <w:rPr>
          <w:rFonts w:ascii="Times New Roman" w:hAnsi="Times New Roman" w:cs="Times New Roman"/>
          <w:sz w:val="24"/>
          <w:szCs w:val="24"/>
        </w:rPr>
        <w:t xml:space="preserve">9 </w:t>
      </w:r>
      <w:r w:rsidR="00CC5C49" w:rsidRPr="009B6417">
        <w:rPr>
          <w:rFonts w:ascii="Times New Roman" w:hAnsi="Times New Roman" w:cs="Times New Roman"/>
          <w:sz w:val="24"/>
          <w:szCs w:val="24"/>
        </w:rPr>
        <w:t>përqind</w:t>
      </w:r>
      <w:r w:rsidR="009D04CF">
        <w:rPr>
          <w:rFonts w:ascii="Times New Roman" w:hAnsi="Times New Roman" w:cs="Times New Roman"/>
          <w:sz w:val="24"/>
          <w:szCs w:val="24"/>
        </w:rPr>
        <w:t xml:space="preserve"> nga plani vjetor 2019, të cilat konsistojnë në </w:t>
      </w:r>
      <w:r w:rsidR="009D04CF" w:rsidRPr="009B6417">
        <w:rPr>
          <w:rFonts w:ascii="Times New Roman" w:hAnsi="Times New Roman" w:cs="Times New Roman"/>
          <w:sz w:val="24"/>
          <w:szCs w:val="24"/>
        </w:rPr>
        <w:t>“Ndërtim, Operim, Mirëmbajtje”,</w:t>
      </w:r>
      <w:r w:rsidR="009D04CF">
        <w:rPr>
          <w:rFonts w:ascii="Times New Roman" w:hAnsi="Times New Roman" w:cs="Times New Roman"/>
          <w:sz w:val="24"/>
          <w:szCs w:val="24"/>
        </w:rPr>
        <w:t xml:space="preserve"> dhe “Supervizionim Kontrate”.</w:t>
      </w:r>
    </w:p>
    <w:p w14:paraId="5C5BE7FB" w14:textId="77777777" w:rsidR="009D04CF" w:rsidRPr="009D04CF" w:rsidRDefault="009D04CF" w:rsidP="006E03D2">
      <w:pPr>
        <w:spacing w:after="0"/>
        <w:jc w:val="both"/>
        <w:rPr>
          <w:rFonts w:ascii="Times New Roman" w:hAnsi="Times New Roman" w:cs="Times New Roman"/>
          <w:sz w:val="14"/>
          <w:szCs w:val="24"/>
        </w:rPr>
      </w:pPr>
    </w:p>
    <w:p w14:paraId="4CDF77D4" w14:textId="77777777" w:rsidR="002064BE" w:rsidRPr="009B6417" w:rsidRDefault="0052775C" w:rsidP="006B6D4D">
      <w:pPr>
        <w:pStyle w:val="Caption"/>
      </w:pPr>
      <w:bookmarkStart w:id="39" w:name="_Toc18259189"/>
      <w:bookmarkStart w:id="40" w:name="_Toc40422387"/>
      <w:r w:rsidRPr="009B6417">
        <w:t xml:space="preserve">Tabela </w:t>
      </w:r>
      <w:r w:rsidR="00E54EC8">
        <w:fldChar w:fldCharType="begin"/>
      </w:r>
      <w:r w:rsidR="00815B1B">
        <w:instrText xml:space="preserve"> SEQ Tabela \* ARABIC </w:instrText>
      </w:r>
      <w:r w:rsidR="00E54EC8">
        <w:fldChar w:fldCharType="separate"/>
      </w:r>
      <w:r w:rsidR="00F20848">
        <w:rPr>
          <w:noProof/>
        </w:rPr>
        <w:t>4</w:t>
      </w:r>
      <w:r w:rsidR="00E54EC8">
        <w:rPr>
          <w:noProof/>
        </w:rPr>
        <w:fldChar w:fldCharType="end"/>
      </w:r>
      <w:r w:rsidRPr="009B6417">
        <w:t>:</w:t>
      </w:r>
      <w:r w:rsidR="0046592B" w:rsidRPr="009B6417">
        <w:t xml:space="preserve"> </w:t>
      </w:r>
      <w:r w:rsidR="002064BE" w:rsidRPr="009B6417">
        <w:t>Pagesat buxhetore  për projektin “Rruga e Arbrit”</w:t>
      </w:r>
      <w:bookmarkEnd w:id="39"/>
      <w:bookmarkEnd w:id="40"/>
    </w:p>
    <w:tbl>
      <w:tblPr>
        <w:tblStyle w:val="PlainTable1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98"/>
        <w:gridCol w:w="1053"/>
        <w:gridCol w:w="1127"/>
        <w:gridCol w:w="1440"/>
        <w:gridCol w:w="1350"/>
        <w:gridCol w:w="1417"/>
        <w:gridCol w:w="2111"/>
      </w:tblGrid>
      <w:tr w:rsidR="003914DB" w:rsidRPr="003C2F4F" w14:paraId="2D002FF4" w14:textId="77777777" w:rsidTr="00612FB6">
        <w:trPr>
          <w:cnfStyle w:val="100000000000" w:firstRow="1" w:lastRow="0" w:firstColumn="0" w:lastColumn="0" w:oddVBand="0" w:evenVBand="0" w:oddHBand="0" w:evenHBand="0" w:firstRowFirstColumn="0" w:firstRowLastColumn="0" w:lastRowFirstColumn="0" w:lastRowLastColumn="0"/>
          <w:trHeight w:hRule="exact" w:val="313"/>
        </w:trPr>
        <w:tc>
          <w:tcPr>
            <w:tcW w:w="1798" w:type="dxa"/>
            <w:vMerge w:val="restart"/>
            <w:shd w:val="clear" w:color="auto" w:fill="DDD9C3" w:themeFill="background2" w:themeFillShade="E6"/>
            <w:hideMark/>
          </w:tcPr>
          <w:p w14:paraId="3404CC38" w14:textId="77777777" w:rsidR="003914DB" w:rsidRPr="00612FB6" w:rsidRDefault="003914DB" w:rsidP="00631E0E">
            <w:pPr>
              <w:pStyle w:val="NoSpacing"/>
              <w:spacing w:line="276" w:lineRule="auto"/>
              <w:jc w:val="both"/>
              <w:rPr>
                <w:rFonts w:ascii="Times New Roman" w:hAnsi="Times New Roman" w:cs="Times New Roman"/>
                <w:i/>
                <w:sz w:val="20"/>
                <w:szCs w:val="18"/>
                <w:lang w:val="sq-AL"/>
              </w:rPr>
            </w:pPr>
            <w:r w:rsidRPr="00612FB6">
              <w:rPr>
                <w:rFonts w:ascii="Times New Roman" w:hAnsi="Times New Roman" w:cs="Times New Roman"/>
                <w:i/>
                <w:sz w:val="20"/>
                <w:szCs w:val="18"/>
                <w:lang w:val="sq-AL"/>
              </w:rPr>
              <w:t>Viti</w:t>
            </w:r>
          </w:p>
        </w:tc>
        <w:tc>
          <w:tcPr>
            <w:tcW w:w="2180" w:type="dxa"/>
            <w:gridSpan w:val="2"/>
            <w:shd w:val="clear" w:color="auto" w:fill="DDD9C3" w:themeFill="background2" w:themeFillShade="E6"/>
            <w:hideMark/>
          </w:tcPr>
          <w:p w14:paraId="371B4FC5" w14:textId="77777777" w:rsidR="003914DB" w:rsidRPr="00612FB6" w:rsidRDefault="003914DB" w:rsidP="00631E0E">
            <w:pPr>
              <w:pStyle w:val="NoSpacing"/>
              <w:spacing w:line="276" w:lineRule="auto"/>
              <w:jc w:val="center"/>
              <w:rPr>
                <w:rFonts w:ascii="Times New Roman" w:hAnsi="Times New Roman" w:cs="Times New Roman"/>
                <w:i/>
                <w:sz w:val="20"/>
                <w:szCs w:val="18"/>
                <w:lang w:val="sq-AL"/>
              </w:rPr>
            </w:pPr>
            <w:r w:rsidRPr="00612FB6">
              <w:rPr>
                <w:rFonts w:ascii="Times New Roman" w:hAnsi="Times New Roman" w:cs="Times New Roman"/>
                <w:i/>
                <w:sz w:val="20"/>
                <w:szCs w:val="18"/>
                <w:lang w:val="sq-AL"/>
              </w:rPr>
              <w:t>2018</w:t>
            </w:r>
          </w:p>
        </w:tc>
        <w:tc>
          <w:tcPr>
            <w:tcW w:w="2790" w:type="dxa"/>
            <w:gridSpan w:val="2"/>
            <w:shd w:val="clear" w:color="auto" w:fill="DDD9C3" w:themeFill="background2" w:themeFillShade="E6"/>
            <w:hideMark/>
          </w:tcPr>
          <w:p w14:paraId="2DD000B9" w14:textId="77777777" w:rsidR="003914DB" w:rsidRPr="00612FB6" w:rsidRDefault="003914DB" w:rsidP="00631E0E">
            <w:pPr>
              <w:pStyle w:val="NoSpacing"/>
              <w:spacing w:line="276" w:lineRule="auto"/>
              <w:jc w:val="center"/>
              <w:rPr>
                <w:rFonts w:ascii="Times New Roman" w:hAnsi="Times New Roman" w:cs="Times New Roman"/>
                <w:i/>
                <w:sz w:val="20"/>
                <w:szCs w:val="18"/>
                <w:lang w:val="sq-AL"/>
              </w:rPr>
            </w:pPr>
            <w:r w:rsidRPr="00612FB6">
              <w:rPr>
                <w:rFonts w:ascii="Times New Roman" w:hAnsi="Times New Roman" w:cs="Times New Roman"/>
                <w:i/>
                <w:sz w:val="20"/>
                <w:szCs w:val="18"/>
                <w:lang w:val="sq-AL"/>
              </w:rPr>
              <w:t>2019</w:t>
            </w:r>
          </w:p>
        </w:tc>
        <w:tc>
          <w:tcPr>
            <w:tcW w:w="1417" w:type="dxa"/>
            <w:shd w:val="clear" w:color="auto" w:fill="DDD9C3" w:themeFill="background2" w:themeFillShade="E6"/>
            <w:hideMark/>
          </w:tcPr>
          <w:p w14:paraId="1FB88FFA" w14:textId="77777777" w:rsidR="003914DB" w:rsidRPr="00612FB6" w:rsidRDefault="003914DB" w:rsidP="00631E0E">
            <w:pPr>
              <w:pStyle w:val="NoSpacing"/>
              <w:spacing w:line="276" w:lineRule="auto"/>
              <w:rPr>
                <w:rFonts w:ascii="Times New Roman" w:hAnsi="Times New Roman" w:cs="Times New Roman"/>
                <w:i/>
                <w:sz w:val="20"/>
                <w:szCs w:val="18"/>
                <w:lang w:val="sq-AL"/>
              </w:rPr>
            </w:pPr>
            <w:r w:rsidRPr="00612FB6">
              <w:rPr>
                <w:rFonts w:ascii="Times New Roman" w:hAnsi="Times New Roman" w:cs="Times New Roman"/>
                <w:i/>
                <w:sz w:val="20"/>
                <w:szCs w:val="18"/>
                <w:lang w:val="sq-AL"/>
              </w:rPr>
              <w:t>2020</w:t>
            </w:r>
          </w:p>
          <w:p w14:paraId="06782A56" w14:textId="77777777" w:rsidR="003914DB" w:rsidRPr="00612FB6" w:rsidRDefault="003914DB" w:rsidP="00631E0E">
            <w:pPr>
              <w:pStyle w:val="NoSpacing"/>
              <w:spacing w:line="276" w:lineRule="auto"/>
              <w:rPr>
                <w:rFonts w:ascii="Times New Roman" w:hAnsi="Times New Roman" w:cs="Times New Roman"/>
                <w:i/>
                <w:sz w:val="20"/>
                <w:szCs w:val="18"/>
                <w:lang w:val="sq-AL"/>
              </w:rPr>
            </w:pPr>
          </w:p>
          <w:p w14:paraId="4AFCE7C7" w14:textId="77777777" w:rsidR="003914DB" w:rsidRPr="00612FB6" w:rsidRDefault="003914DB" w:rsidP="00631E0E">
            <w:pPr>
              <w:pStyle w:val="NoSpacing"/>
              <w:spacing w:line="276" w:lineRule="auto"/>
              <w:jc w:val="center"/>
              <w:rPr>
                <w:rFonts w:ascii="Times New Roman" w:hAnsi="Times New Roman" w:cs="Times New Roman"/>
                <w:i/>
                <w:sz w:val="20"/>
                <w:szCs w:val="18"/>
                <w:lang w:val="sq-AL"/>
              </w:rPr>
            </w:pPr>
          </w:p>
        </w:tc>
        <w:tc>
          <w:tcPr>
            <w:tcW w:w="2111" w:type="dxa"/>
            <w:shd w:val="clear" w:color="auto" w:fill="DDD9C3" w:themeFill="background2" w:themeFillShade="E6"/>
            <w:hideMark/>
          </w:tcPr>
          <w:p w14:paraId="6354A285" w14:textId="77777777" w:rsidR="003914DB" w:rsidRPr="00612FB6" w:rsidRDefault="003914DB" w:rsidP="00631E0E">
            <w:pPr>
              <w:pStyle w:val="NoSpacing"/>
              <w:spacing w:line="276" w:lineRule="auto"/>
              <w:jc w:val="center"/>
              <w:rPr>
                <w:rFonts w:ascii="Times New Roman" w:hAnsi="Times New Roman" w:cs="Times New Roman"/>
                <w:i/>
                <w:sz w:val="20"/>
                <w:szCs w:val="18"/>
                <w:lang w:val="sq-AL"/>
              </w:rPr>
            </w:pPr>
            <w:r w:rsidRPr="00612FB6">
              <w:rPr>
                <w:rFonts w:ascii="Times New Roman" w:hAnsi="Times New Roman" w:cs="Times New Roman"/>
                <w:i/>
                <w:sz w:val="20"/>
                <w:szCs w:val="18"/>
                <w:lang w:val="sq-AL"/>
              </w:rPr>
              <w:t>2021</w:t>
            </w:r>
          </w:p>
          <w:p w14:paraId="40EBB15E" w14:textId="77777777" w:rsidR="003914DB" w:rsidRPr="00612FB6" w:rsidRDefault="003914DB" w:rsidP="00631E0E">
            <w:pPr>
              <w:pStyle w:val="NoSpacing"/>
              <w:spacing w:line="276" w:lineRule="auto"/>
              <w:jc w:val="center"/>
              <w:rPr>
                <w:rFonts w:ascii="Times New Roman" w:hAnsi="Times New Roman" w:cs="Times New Roman"/>
                <w:i/>
                <w:sz w:val="20"/>
                <w:szCs w:val="18"/>
                <w:lang w:val="sq-AL"/>
              </w:rPr>
            </w:pPr>
          </w:p>
        </w:tc>
      </w:tr>
      <w:tr w:rsidR="003914DB" w:rsidRPr="003C2F4F" w14:paraId="7EDDA99E" w14:textId="77777777" w:rsidTr="005604A0">
        <w:trPr>
          <w:cnfStyle w:val="000000100000" w:firstRow="0" w:lastRow="0" w:firstColumn="0" w:lastColumn="0" w:oddVBand="0" w:evenVBand="0" w:oddHBand="1" w:evenHBand="0" w:firstRowFirstColumn="0" w:firstRowLastColumn="0" w:lastRowFirstColumn="0" w:lastRowLastColumn="0"/>
          <w:trHeight w:val="170"/>
        </w:trPr>
        <w:tc>
          <w:tcPr>
            <w:tcW w:w="1798" w:type="dxa"/>
            <w:vMerge/>
            <w:shd w:val="clear" w:color="auto" w:fill="DDD9C3" w:themeFill="background2" w:themeFillShade="E6"/>
          </w:tcPr>
          <w:p w14:paraId="7B3C5E15" w14:textId="77777777" w:rsidR="003914DB" w:rsidRPr="00612FB6" w:rsidRDefault="003914DB" w:rsidP="00631E0E">
            <w:pPr>
              <w:pStyle w:val="NoSpacing"/>
              <w:spacing w:line="276" w:lineRule="auto"/>
              <w:jc w:val="both"/>
              <w:rPr>
                <w:rFonts w:ascii="Times New Roman" w:hAnsi="Times New Roman" w:cs="Times New Roman"/>
                <w:i/>
                <w:sz w:val="20"/>
                <w:szCs w:val="18"/>
                <w:lang w:val="sq-AL"/>
              </w:rPr>
            </w:pPr>
          </w:p>
        </w:tc>
        <w:tc>
          <w:tcPr>
            <w:tcW w:w="1053" w:type="dxa"/>
            <w:shd w:val="clear" w:color="auto" w:fill="DDD9C3" w:themeFill="background2" w:themeFillShade="E6"/>
          </w:tcPr>
          <w:p w14:paraId="55F23F8B" w14:textId="77777777" w:rsidR="003914DB" w:rsidRPr="00612FB6" w:rsidRDefault="003914DB" w:rsidP="00631E0E">
            <w:pPr>
              <w:pStyle w:val="NoSpacing"/>
              <w:spacing w:line="276" w:lineRule="auto"/>
              <w:jc w:val="both"/>
              <w:rPr>
                <w:rFonts w:ascii="Times New Roman" w:hAnsi="Times New Roman" w:cs="Times New Roman"/>
                <w:b/>
                <w:i/>
                <w:sz w:val="20"/>
                <w:szCs w:val="18"/>
                <w:lang w:val="sq-AL"/>
              </w:rPr>
            </w:pPr>
            <w:r w:rsidRPr="00612FB6">
              <w:rPr>
                <w:rFonts w:ascii="Times New Roman" w:hAnsi="Times New Roman" w:cs="Times New Roman"/>
                <w:b/>
                <w:i/>
                <w:sz w:val="20"/>
                <w:szCs w:val="18"/>
                <w:lang w:val="sq-AL"/>
              </w:rPr>
              <w:t>Plan</w:t>
            </w:r>
          </w:p>
        </w:tc>
        <w:tc>
          <w:tcPr>
            <w:tcW w:w="1127" w:type="dxa"/>
            <w:shd w:val="clear" w:color="auto" w:fill="DDD9C3" w:themeFill="background2" w:themeFillShade="E6"/>
          </w:tcPr>
          <w:p w14:paraId="497C9156" w14:textId="77777777" w:rsidR="003914DB" w:rsidRPr="00612FB6" w:rsidRDefault="003914DB" w:rsidP="00631E0E">
            <w:pPr>
              <w:pStyle w:val="NoSpacing"/>
              <w:spacing w:line="276" w:lineRule="auto"/>
              <w:jc w:val="center"/>
              <w:rPr>
                <w:rFonts w:ascii="Times New Roman" w:hAnsi="Times New Roman" w:cs="Times New Roman"/>
                <w:b/>
                <w:i/>
                <w:sz w:val="20"/>
                <w:szCs w:val="18"/>
                <w:lang w:val="sq-AL"/>
              </w:rPr>
            </w:pPr>
            <w:r w:rsidRPr="00612FB6">
              <w:rPr>
                <w:rFonts w:ascii="Times New Roman" w:hAnsi="Times New Roman" w:cs="Times New Roman"/>
                <w:b/>
                <w:i/>
                <w:sz w:val="20"/>
                <w:szCs w:val="18"/>
                <w:lang w:val="sq-AL"/>
              </w:rPr>
              <w:t>Fakt</w:t>
            </w:r>
          </w:p>
        </w:tc>
        <w:tc>
          <w:tcPr>
            <w:tcW w:w="1440" w:type="dxa"/>
            <w:shd w:val="clear" w:color="auto" w:fill="DDD9C3" w:themeFill="background2" w:themeFillShade="E6"/>
          </w:tcPr>
          <w:p w14:paraId="4AE061EA" w14:textId="77777777" w:rsidR="003914DB" w:rsidRPr="00612FB6" w:rsidRDefault="003914DB" w:rsidP="00631E0E">
            <w:pPr>
              <w:pStyle w:val="NoSpacing"/>
              <w:spacing w:line="276" w:lineRule="auto"/>
              <w:jc w:val="center"/>
              <w:rPr>
                <w:rFonts w:ascii="Times New Roman" w:hAnsi="Times New Roman" w:cs="Times New Roman"/>
                <w:b/>
                <w:i/>
                <w:sz w:val="20"/>
                <w:szCs w:val="18"/>
                <w:lang w:val="sq-AL"/>
              </w:rPr>
            </w:pPr>
            <w:r w:rsidRPr="00612FB6">
              <w:rPr>
                <w:rFonts w:ascii="Times New Roman" w:hAnsi="Times New Roman" w:cs="Times New Roman"/>
                <w:b/>
                <w:i/>
                <w:sz w:val="20"/>
                <w:szCs w:val="18"/>
                <w:lang w:val="sq-AL"/>
              </w:rPr>
              <w:t>Plan</w:t>
            </w:r>
          </w:p>
        </w:tc>
        <w:tc>
          <w:tcPr>
            <w:tcW w:w="1350" w:type="dxa"/>
            <w:shd w:val="clear" w:color="auto" w:fill="DDD9C3" w:themeFill="background2" w:themeFillShade="E6"/>
          </w:tcPr>
          <w:p w14:paraId="1D192766" w14:textId="77777777" w:rsidR="003914DB" w:rsidRPr="00612FB6" w:rsidRDefault="009D04CF" w:rsidP="009D04CF">
            <w:pPr>
              <w:pStyle w:val="NoSpacing"/>
              <w:spacing w:line="276" w:lineRule="auto"/>
              <w:jc w:val="center"/>
              <w:rPr>
                <w:rFonts w:ascii="Times New Roman" w:hAnsi="Times New Roman" w:cs="Times New Roman"/>
                <w:b/>
                <w:i/>
                <w:sz w:val="20"/>
                <w:szCs w:val="18"/>
                <w:lang w:val="sq-AL"/>
              </w:rPr>
            </w:pPr>
            <w:r w:rsidRPr="00612FB6">
              <w:rPr>
                <w:rFonts w:ascii="Times New Roman" w:hAnsi="Times New Roman" w:cs="Times New Roman"/>
                <w:b/>
                <w:i/>
                <w:sz w:val="20"/>
                <w:szCs w:val="18"/>
                <w:lang w:val="sq-AL"/>
              </w:rPr>
              <w:t>Fakt</w:t>
            </w:r>
          </w:p>
        </w:tc>
        <w:tc>
          <w:tcPr>
            <w:tcW w:w="1417" w:type="dxa"/>
            <w:shd w:val="clear" w:color="auto" w:fill="DDD9C3" w:themeFill="background2" w:themeFillShade="E6"/>
          </w:tcPr>
          <w:p w14:paraId="69094247" w14:textId="77777777" w:rsidR="003914DB" w:rsidRPr="00612FB6" w:rsidRDefault="003914DB" w:rsidP="00631E0E">
            <w:pPr>
              <w:pStyle w:val="NoSpacing"/>
              <w:spacing w:line="276" w:lineRule="auto"/>
              <w:jc w:val="center"/>
              <w:rPr>
                <w:rFonts w:ascii="Times New Roman" w:hAnsi="Times New Roman" w:cs="Times New Roman"/>
                <w:b/>
                <w:i/>
                <w:sz w:val="20"/>
                <w:szCs w:val="18"/>
                <w:lang w:val="sq-AL"/>
              </w:rPr>
            </w:pPr>
            <w:r w:rsidRPr="00612FB6">
              <w:rPr>
                <w:rFonts w:ascii="Times New Roman" w:hAnsi="Times New Roman" w:cs="Times New Roman"/>
                <w:b/>
                <w:i/>
                <w:sz w:val="20"/>
                <w:szCs w:val="18"/>
                <w:lang w:val="sq-AL"/>
              </w:rPr>
              <w:t>Projektuar</w:t>
            </w:r>
          </w:p>
        </w:tc>
        <w:tc>
          <w:tcPr>
            <w:tcW w:w="2111" w:type="dxa"/>
            <w:shd w:val="clear" w:color="auto" w:fill="DDD9C3" w:themeFill="background2" w:themeFillShade="E6"/>
          </w:tcPr>
          <w:p w14:paraId="23408FE9" w14:textId="77777777" w:rsidR="003914DB" w:rsidRPr="00612FB6" w:rsidRDefault="003914DB" w:rsidP="00631E0E">
            <w:pPr>
              <w:pStyle w:val="NoSpacing"/>
              <w:spacing w:line="276" w:lineRule="auto"/>
              <w:jc w:val="center"/>
              <w:rPr>
                <w:rFonts w:ascii="Times New Roman" w:hAnsi="Times New Roman" w:cs="Times New Roman"/>
                <w:b/>
                <w:i/>
                <w:sz w:val="20"/>
                <w:szCs w:val="18"/>
                <w:lang w:val="sq-AL"/>
              </w:rPr>
            </w:pPr>
            <w:r w:rsidRPr="00612FB6">
              <w:rPr>
                <w:rFonts w:ascii="Times New Roman" w:hAnsi="Times New Roman" w:cs="Times New Roman"/>
                <w:b/>
                <w:i/>
                <w:sz w:val="20"/>
                <w:szCs w:val="18"/>
                <w:lang w:val="sq-AL"/>
              </w:rPr>
              <w:t>Projektuar</w:t>
            </w:r>
          </w:p>
        </w:tc>
      </w:tr>
      <w:tr w:rsidR="003914DB" w:rsidRPr="003C2F4F" w14:paraId="785A78F6" w14:textId="77777777" w:rsidTr="005604A0">
        <w:trPr>
          <w:trHeight w:val="20"/>
        </w:trPr>
        <w:tc>
          <w:tcPr>
            <w:tcW w:w="1798" w:type="dxa"/>
            <w:shd w:val="clear" w:color="auto" w:fill="EEECE1" w:themeFill="background2"/>
            <w:hideMark/>
          </w:tcPr>
          <w:p w14:paraId="18C119A6" w14:textId="77777777" w:rsidR="003914DB" w:rsidRPr="00612FB6" w:rsidRDefault="003914DB" w:rsidP="00631E0E">
            <w:pPr>
              <w:pStyle w:val="NoSpacing"/>
              <w:spacing w:line="276" w:lineRule="auto"/>
              <w:jc w:val="both"/>
              <w:rPr>
                <w:rFonts w:ascii="Times New Roman" w:hAnsi="Times New Roman" w:cs="Times New Roman"/>
                <w:b/>
                <w:i/>
                <w:sz w:val="20"/>
                <w:szCs w:val="18"/>
                <w:lang w:val="sq-AL"/>
              </w:rPr>
            </w:pPr>
            <w:r w:rsidRPr="00612FB6">
              <w:rPr>
                <w:rFonts w:ascii="Times New Roman" w:hAnsi="Times New Roman" w:cs="Times New Roman"/>
                <w:b/>
                <w:bCs/>
                <w:i/>
                <w:sz w:val="20"/>
                <w:szCs w:val="18"/>
                <w:lang w:val="sq-AL"/>
              </w:rPr>
              <w:t>Pagesat Buxhetore (në mijë lekë)</w:t>
            </w:r>
          </w:p>
        </w:tc>
        <w:tc>
          <w:tcPr>
            <w:tcW w:w="1053" w:type="dxa"/>
            <w:shd w:val="clear" w:color="auto" w:fill="EEECE1" w:themeFill="background2"/>
            <w:vAlign w:val="center"/>
            <w:hideMark/>
          </w:tcPr>
          <w:p w14:paraId="4301A389" w14:textId="77777777" w:rsidR="003914DB" w:rsidRPr="00612FB6" w:rsidRDefault="003914DB" w:rsidP="00CC5C49">
            <w:pPr>
              <w:pStyle w:val="NoSpacing"/>
              <w:spacing w:line="276" w:lineRule="auto"/>
              <w:jc w:val="center"/>
              <w:rPr>
                <w:rFonts w:ascii="Times New Roman" w:hAnsi="Times New Roman" w:cs="Times New Roman"/>
                <w:b/>
                <w:i/>
                <w:sz w:val="20"/>
                <w:szCs w:val="18"/>
                <w:lang w:val="sq-AL"/>
              </w:rPr>
            </w:pPr>
            <w:r w:rsidRPr="00612FB6">
              <w:rPr>
                <w:rFonts w:ascii="Times New Roman" w:hAnsi="Times New Roman" w:cs="Times New Roman"/>
                <w:b/>
                <w:i/>
                <w:sz w:val="20"/>
                <w:szCs w:val="18"/>
                <w:lang w:val="sq-AL"/>
              </w:rPr>
              <w:t>1,000</w:t>
            </w:r>
          </w:p>
        </w:tc>
        <w:tc>
          <w:tcPr>
            <w:tcW w:w="1127" w:type="dxa"/>
            <w:shd w:val="clear" w:color="auto" w:fill="EEECE1" w:themeFill="background2"/>
            <w:vAlign w:val="center"/>
          </w:tcPr>
          <w:p w14:paraId="30EB9B62" w14:textId="77777777" w:rsidR="003914DB" w:rsidRPr="00612FB6" w:rsidRDefault="003914DB" w:rsidP="00CC5C49">
            <w:pPr>
              <w:pStyle w:val="NoSpacing"/>
              <w:spacing w:line="276" w:lineRule="auto"/>
              <w:jc w:val="center"/>
              <w:rPr>
                <w:rFonts w:ascii="Times New Roman" w:hAnsi="Times New Roman" w:cs="Times New Roman"/>
                <w:b/>
                <w:i/>
                <w:sz w:val="20"/>
                <w:szCs w:val="18"/>
                <w:lang w:val="sq-AL"/>
              </w:rPr>
            </w:pPr>
            <w:r w:rsidRPr="00612FB6">
              <w:rPr>
                <w:rFonts w:ascii="Times New Roman" w:hAnsi="Times New Roman" w:cs="Times New Roman"/>
                <w:b/>
                <w:bCs/>
                <w:i/>
                <w:sz w:val="20"/>
                <w:szCs w:val="18"/>
                <w:lang w:val="sq-AL"/>
              </w:rPr>
              <w:t>0</w:t>
            </w:r>
          </w:p>
        </w:tc>
        <w:tc>
          <w:tcPr>
            <w:tcW w:w="1440" w:type="dxa"/>
            <w:shd w:val="clear" w:color="auto" w:fill="EEECE1" w:themeFill="background2"/>
            <w:vAlign w:val="center"/>
            <w:hideMark/>
          </w:tcPr>
          <w:p w14:paraId="59B4C58F" w14:textId="77777777" w:rsidR="003914DB" w:rsidRPr="00612FB6" w:rsidRDefault="006E03D2" w:rsidP="00CC5C49">
            <w:pPr>
              <w:pStyle w:val="NoSpacing"/>
              <w:spacing w:line="276" w:lineRule="auto"/>
              <w:jc w:val="center"/>
              <w:rPr>
                <w:rFonts w:ascii="Times New Roman" w:hAnsi="Times New Roman" w:cs="Times New Roman"/>
                <w:b/>
                <w:i/>
                <w:sz w:val="20"/>
                <w:szCs w:val="18"/>
                <w:lang w:val="sq-AL"/>
              </w:rPr>
            </w:pPr>
            <w:r w:rsidRPr="00612FB6">
              <w:rPr>
                <w:rFonts w:ascii="Times New Roman" w:hAnsi="Times New Roman" w:cs="Times New Roman"/>
                <w:b/>
                <w:bCs/>
                <w:i/>
                <w:kern w:val="24"/>
                <w:sz w:val="20"/>
                <w:szCs w:val="18"/>
                <w:lang w:val="sq-AL"/>
              </w:rPr>
              <w:t>3,913,800</w:t>
            </w:r>
          </w:p>
        </w:tc>
        <w:tc>
          <w:tcPr>
            <w:tcW w:w="1350" w:type="dxa"/>
            <w:shd w:val="clear" w:color="auto" w:fill="EEECE1" w:themeFill="background2"/>
            <w:vAlign w:val="center"/>
          </w:tcPr>
          <w:p w14:paraId="070BD951" w14:textId="77777777" w:rsidR="003914DB" w:rsidRPr="00612FB6" w:rsidRDefault="006E03D2" w:rsidP="00CC5C49">
            <w:pPr>
              <w:pStyle w:val="NoSpacing"/>
              <w:spacing w:line="276" w:lineRule="auto"/>
              <w:jc w:val="center"/>
              <w:rPr>
                <w:rFonts w:ascii="Times New Roman" w:hAnsi="Times New Roman" w:cs="Times New Roman"/>
                <w:b/>
                <w:i/>
                <w:sz w:val="20"/>
                <w:szCs w:val="18"/>
                <w:lang w:val="sq-AL"/>
              </w:rPr>
            </w:pPr>
            <w:r w:rsidRPr="00612FB6">
              <w:rPr>
                <w:rFonts w:ascii="Times New Roman" w:hAnsi="Times New Roman" w:cs="Times New Roman"/>
                <w:b/>
                <w:i/>
                <w:sz w:val="20"/>
                <w:szCs w:val="18"/>
                <w:lang w:val="sq-AL"/>
              </w:rPr>
              <w:t>3,910,860</w:t>
            </w:r>
          </w:p>
        </w:tc>
        <w:tc>
          <w:tcPr>
            <w:tcW w:w="1417" w:type="dxa"/>
            <w:shd w:val="clear" w:color="auto" w:fill="EEECE1" w:themeFill="background2"/>
            <w:vAlign w:val="center"/>
            <w:hideMark/>
          </w:tcPr>
          <w:p w14:paraId="6C9CAE26" w14:textId="77777777" w:rsidR="003914DB" w:rsidRPr="00612FB6" w:rsidRDefault="005604A0" w:rsidP="00330162">
            <w:pPr>
              <w:pStyle w:val="NoSpacing"/>
              <w:spacing w:line="276" w:lineRule="auto"/>
              <w:jc w:val="center"/>
              <w:rPr>
                <w:rFonts w:ascii="Times New Roman" w:hAnsi="Times New Roman" w:cs="Times New Roman"/>
                <w:b/>
                <w:i/>
                <w:sz w:val="20"/>
                <w:szCs w:val="18"/>
                <w:lang w:val="sq-AL"/>
              </w:rPr>
            </w:pPr>
            <w:r w:rsidRPr="00612FB6">
              <w:rPr>
                <w:rFonts w:ascii="Times New Roman" w:hAnsi="Times New Roman" w:cs="Times New Roman"/>
                <w:b/>
                <w:bCs/>
                <w:i/>
                <w:kern w:val="24"/>
                <w:sz w:val="20"/>
                <w:szCs w:val="18"/>
                <w:lang w:val="sq-AL"/>
              </w:rPr>
              <w:t>3,925,000</w:t>
            </w:r>
          </w:p>
        </w:tc>
        <w:tc>
          <w:tcPr>
            <w:tcW w:w="2111" w:type="dxa"/>
            <w:shd w:val="clear" w:color="auto" w:fill="EEECE1" w:themeFill="background2"/>
            <w:vAlign w:val="center"/>
            <w:hideMark/>
          </w:tcPr>
          <w:p w14:paraId="51D1CAB6" w14:textId="77777777" w:rsidR="003914DB" w:rsidRPr="00612FB6" w:rsidRDefault="005604A0" w:rsidP="00CC5C49">
            <w:pPr>
              <w:pStyle w:val="NoSpacing"/>
              <w:spacing w:line="276" w:lineRule="auto"/>
              <w:jc w:val="center"/>
              <w:rPr>
                <w:rFonts w:ascii="Times New Roman" w:hAnsi="Times New Roman" w:cs="Times New Roman"/>
                <w:b/>
                <w:i/>
                <w:sz w:val="20"/>
                <w:szCs w:val="18"/>
                <w:lang w:val="sq-AL"/>
              </w:rPr>
            </w:pPr>
            <w:r w:rsidRPr="00612FB6">
              <w:rPr>
                <w:rFonts w:ascii="Times New Roman" w:hAnsi="Times New Roman" w:cs="Times New Roman"/>
                <w:b/>
                <w:bCs/>
                <w:i/>
                <w:kern w:val="24"/>
                <w:sz w:val="20"/>
                <w:szCs w:val="18"/>
                <w:lang w:val="sq-AL"/>
              </w:rPr>
              <w:t>3,325,000</w:t>
            </w:r>
          </w:p>
        </w:tc>
      </w:tr>
    </w:tbl>
    <w:p w14:paraId="41DF7532" w14:textId="77777777" w:rsidR="00AB7B3C" w:rsidRPr="00E0170A" w:rsidRDefault="00AB7B3C" w:rsidP="003914DB">
      <w:pPr>
        <w:pStyle w:val="NoSpacing"/>
        <w:spacing w:line="276" w:lineRule="auto"/>
        <w:jc w:val="both"/>
        <w:rPr>
          <w:rFonts w:ascii="Times New Roman" w:eastAsiaTheme="minorHAnsi" w:hAnsi="Times New Roman" w:cs="Times New Roman"/>
          <w:sz w:val="10"/>
          <w:szCs w:val="24"/>
          <w:lang w:val="sq-AL" w:eastAsia="en-US"/>
        </w:rPr>
      </w:pPr>
    </w:p>
    <w:p w14:paraId="349FD482" w14:textId="77777777" w:rsidR="003914DB" w:rsidRPr="00E202B8" w:rsidRDefault="0065397F" w:rsidP="003914DB">
      <w:pPr>
        <w:pStyle w:val="NoSpacing"/>
        <w:spacing w:line="276" w:lineRule="auto"/>
        <w:jc w:val="both"/>
        <w:rPr>
          <w:rFonts w:ascii="Times New Roman" w:eastAsia="Times New Roman" w:hAnsi="Times New Roman" w:cs="Times New Roman"/>
          <w:sz w:val="24"/>
          <w:szCs w:val="24"/>
          <w:lang w:val="sq-AL"/>
        </w:rPr>
      </w:pPr>
      <w:r w:rsidRPr="009B6417">
        <w:rPr>
          <w:rFonts w:ascii="Times New Roman" w:eastAsia="Times New Roman" w:hAnsi="Times New Roman" w:cs="Times New Roman"/>
          <w:sz w:val="24"/>
          <w:szCs w:val="24"/>
          <w:lang w:val="sq-AL"/>
        </w:rPr>
        <w:t xml:space="preserve">Ndërsa në </w:t>
      </w:r>
      <w:r w:rsidR="003914DB" w:rsidRPr="00E202B8">
        <w:rPr>
          <w:rFonts w:ascii="Times New Roman" w:eastAsia="Times New Roman" w:hAnsi="Times New Roman" w:cs="Times New Roman"/>
          <w:sz w:val="24"/>
          <w:szCs w:val="24"/>
          <w:lang w:val="sq-AL"/>
        </w:rPr>
        <w:t xml:space="preserve">tabelën </w:t>
      </w:r>
      <w:r w:rsidR="00B26FA5" w:rsidRPr="00E202B8">
        <w:rPr>
          <w:rFonts w:ascii="Times New Roman" w:eastAsia="Times New Roman" w:hAnsi="Times New Roman" w:cs="Times New Roman"/>
          <w:sz w:val="24"/>
          <w:szCs w:val="24"/>
          <w:lang w:val="sq-AL"/>
        </w:rPr>
        <w:t>5</w:t>
      </w:r>
      <w:r w:rsidR="003914DB" w:rsidRPr="00E202B8">
        <w:rPr>
          <w:rFonts w:ascii="Times New Roman" w:eastAsia="Times New Roman" w:hAnsi="Times New Roman" w:cs="Times New Roman"/>
          <w:sz w:val="24"/>
          <w:szCs w:val="24"/>
          <w:lang w:val="sq-AL"/>
        </w:rPr>
        <w:t xml:space="preserve"> janë paraqitur të dhënat mbi vlerën e investimit kapital të realizuar nga viti 2018. Shpron</w:t>
      </w:r>
      <w:r w:rsidR="00B4198B" w:rsidRPr="00E202B8">
        <w:rPr>
          <w:rFonts w:ascii="Times New Roman" w:eastAsia="Times New Roman" w:hAnsi="Times New Roman" w:cs="Times New Roman"/>
          <w:sz w:val="24"/>
          <w:szCs w:val="24"/>
          <w:lang w:val="sq-AL"/>
        </w:rPr>
        <w:t>ë</w:t>
      </w:r>
      <w:r w:rsidR="00A672E5" w:rsidRPr="00E202B8">
        <w:rPr>
          <w:rFonts w:ascii="Times New Roman" w:eastAsia="Times New Roman" w:hAnsi="Times New Roman" w:cs="Times New Roman"/>
          <w:sz w:val="24"/>
          <w:szCs w:val="24"/>
          <w:lang w:val="sq-AL"/>
        </w:rPr>
        <w:t>simet e</w:t>
      </w:r>
      <w:r w:rsidR="003914DB" w:rsidRPr="00E202B8">
        <w:rPr>
          <w:rFonts w:ascii="Times New Roman" w:eastAsia="Times New Roman" w:hAnsi="Times New Roman" w:cs="Times New Roman"/>
          <w:sz w:val="24"/>
          <w:szCs w:val="24"/>
          <w:lang w:val="sq-AL"/>
        </w:rPr>
        <w:t xml:space="preserve"> parealizuara, kushtet klim</w:t>
      </w:r>
      <w:r w:rsidR="00B4198B" w:rsidRPr="00E202B8">
        <w:rPr>
          <w:rFonts w:ascii="Times New Roman" w:eastAsia="Times New Roman" w:hAnsi="Times New Roman" w:cs="Times New Roman"/>
          <w:sz w:val="24"/>
          <w:szCs w:val="24"/>
          <w:lang w:val="sq-AL"/>
        </w:rPr>
        <w:t>a</w:t>
      </w:r>
      <w:r w:rsidR="003914DB" w:rsidRPr="00E202B8">
        <w:rPr>
          <w:rFonts w:ascii="Times New Roman" w:eastAsia="Times New Roman" w:hAnsi="Times New Roman" w:cs="Times New Roman"/>
          <w:sz w:val="24"/>
          <w:szCs w:val="24"/>
          <w:lang w:val="sq-AL"/>
        </w:rPr>
        <w:t>terike dhe problemet gjeologjike të tunelit të Murrizit, kanë qënë pengesë e realizimit me normë më të shpejtë të investimeve.</w:t>
      </w:r>
      <w:r w:rsidR="000E17F6" w:rsidRPr="00E202B8">
        <w:rPr>
          <w:rFonts w:ascii="Times New Roman" w:eastAsia="Times New Roman" w:hAnsi="Times New Roman" w:cs="Times New Roman"/>
          <w:sz w:val="24"/>
          <w:szCs w:val="24"/>
          <w:lang w:val="sq-AL"/>
        </w:rPr>
        <w:t xml:space="preserve"> P</w:t>
      </w:r>
      <w:r w:rsidR="00C743C1" w:rsidRPr="00E202B8">
        <w:rPr>
          <w:rFonts w:ascii="Times New Roman" w:eastAsia="Times New Roman" w:hAnsi="Times New Roman" w:cs="Times New Roman"/>
          <w:sz w:val="24"/>
          <w:szCs w:val="24"/>
          <w:lang w:val="sq-AL"/>
        </w:rPr>
        <w:t>ë</w:t>
      </w:r>
      <w:r w:rsidR="00174490" w:rsidRPr="00E202B8">
        <w:rPr>
          <w:rFonts w:ascii="Times New Roman" w:eastAsia="Times New Roman" w:hAnsi="Times New Roman" w:cs="Times New Roman"/>
          <w:sz w:val="24"/>
          <w:szCs w:val="24"/>
          <w:lang w:val="sq-AL"/>
        </w:rPr>
        <w:t>r vitin 2018 investimi është realizuar në vlerën</w:t>
      </w:r>
      <w:r w:rsidR="000E17F6" w:rsidRPr="00E202B8">
        <w:rPr>
          <w:rFonts w:ascii="Times New Roman" w:eastAsia="Times New Roman" w:hAnsi="Times New Roman" w:cs="Times New Roman"/>
          <w:sz w:val="24"/>
          <w:szCs w:val="24"/>
          <w:lang w:val="sq-AL"/>
        </w:rPr>
        <w:t xml:space="preserve"> 6,94 miliard</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 xml:space="preserve"> lek</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 pra 100.3% m</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 xml:space="preserve"> shum</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 xml:space="preserve"> se vlera e parashikuar p</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r t’u investuar gjat</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 xml:space="preserve"> k</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tij viti, duke b</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r</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 xml:space="preserve"> q</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 xml:space="preserve"> investimet n</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 xml:space="preserve"> nd</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rtimin e rrug</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s t</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 xml:space="preserve"> realizohen m</w:t>
      </w:r>
      <w:r w:rsidR="00C743C1" w:rsidRPr="00E202B8">
        <w:rPr>
          <w:rFonts w:ascii="Times New Roman" w:eastAsia="Times New Roman" w:hAnsi="Times New Roman" w:cs="Times New Roman"/>
          <w:sz w:val="24"/>
          <w:szCs w:val="24"/>
          <w:lang w:val="sq-AL"/>
        </w:rPr>
        <w:t>ë</w:t>
      </w:r>
      <w:r w:rsidR="000E17F6" w:rsidRPr="00E202B8">
        <w:rPr>
          <w:rFonts w:ascii="Times New Roman" w:eastAsia="Times New Roman" w:hAnsi="Times New Roman" w:cs="Times New Roman"/>
          <w:sz w:val="24"/>
          <w:szCs w:val="24"/>
          <w:lang w:val="sq-AL"/>
        </w:rPr>
        <w:t xml:space="preserve"> shpejt se sa ishte parashikuar. </w:t>
      </w:r>
    </w:p>
    <w:p w14:paraId="72A854CB" w14:textId="77777777" w:rsidR="000E17F6" w:rsidRPr="009B6417" w:rsidRDefault="000E17F6" w:rsidP="003914DB">
      <w:pPr>
        <w:pStyle w:val="NoSpacing"/>
        <w:spacing w:line="276" w:lineRule="auto"/>
        <w:jc w:val="both"/>
        <w:rPr>
          <w:rFonts w:ascii="Times New Roman" w:eastAsia="Times New Roman" w:hAnsi="Times New Roman" w:cs="Times New Roman"/>
          <w:sz w:val="24"/>
          <w:szCs w:val="24"/>
          <w:lang w:val="sq-AL"/>
        </w:rPr>
      </w:pPr>
      <w:r w:rsidRPr="00E202B8">
        <w:rPr>
          <w:rFonts w:ascii="Times New Roman" w:eastAsia="Times New Roman" w:hAnsi="Times New Roman" w:cs="Times New Roman"/>
          <w:sz w:val="24"/>
          <w:szCs w:val="24"/>
          <w:lang w:val="sq-AL"/>
        </w:rPr>
        <w:lastRenderedPageBreak/>
        <w:t>Nd</w:t>
      </w:r>
      <w:r w:rsidR="00C743C1" w:rsidRPr="00E202B8">
        <w:rPr>
          <w:rFonts w:ascii="Times New Roman" w:eastAsia="Times New Roman" w:hAnsi="Times New Roman" w:cs="Times New Roman"/>
          <w:sz w:val="24"/>
          <w:szCs w:val="24"/>
          <w:lang w:val="sq-AL"/>
        </w:rPr>
        <w:t>ë</w:t>
      </w:r>
      <w:r w:rsidRPr="00E202B8">
        <w:rPr>
          <w:rFonts w:ascii="Times New Roman" w:eastAsia="Times New Roman" w:hAnsi="Times New Roman" w:cs="Times New Roman"/>
          <w:sz w:val="24"/>
          <w:szCs w:val="24"/>
          <w:lang w:val="sq-AL"/>
        </w:rPr>
        <w:t>rkoh</w:t>
      </w:r>
      <w:r w:rsidR="00C743C1" w:rsidRPr="00E202B8">
        <w:rPr>
          <w:rFonts w:ascii="Times New Roman" w:eastAsia="Times New Roman" w:hAnsi="Times New Roman" w:cs="Times New Roman"/>
          <w:sz w:val="24"/>
          <w:szCs w:val="24"/>
          <w:lang w:val="sq-AL"/>
        </w:rPr>
        <w:t>ë</w:t>
      </w:r>
      <w:r w:rsidRPr="00E202B8">
        <w:rPr>
          <w:rFonts w:ascii="Times New Roman" w:eastAsia="Times New Roman" w:hAnsi="Times New Roman" w:cs="Times New Roman"/>
          <w:sz w:val="24"/>
          <w:szCs w:val="24"/>
          <w:lang w:val="sq-AL"/>
        </w:rPr>
        <w:t>, p</w:t>
      </w:r>
      <w:r w:rsidR="00C743C1" w:rsidRPr="00E202B8">
        <w:rPr>
          <w:rFonts w:ascii="Times New Roman" w:eastAsia="Times New Roman" w:hAnsi="Times New Roman" w:cs="Times New Roman"/>
          <w:sz w:val="24"/>
          <w:szCs w:val="24"/>
          <w:lang w:val="sq-AL"/>
        </w:rPr>
        <w:t>ë</w:t>
      </w:r>
      <w:r w:rsidR="005C0E0B" w:rsidRPr="00E202B8">
        <w:rPr>
          <w:rFonts w:ascii="Times New Roman" w:eastAsia="Times New Roman" w:hAnsi="Times New Roman" w:cs="Times New Roman"/>
          <w:sz w:val="24"/>
          <w:szCs w:val="24"/>
          <w:lang w:val="sq-AL"/>
        </w:rPr>
        <w:t xml:space="preserve">r </w:t>
      </w:r>
      <w:r w:rsidR="00E0170A">
        <w:rPr>
          <w:rFonts w:ascii="Times New Roman" w:eastAsia="Times New Roman" w:hAnsi="Times New Roman" w:cs="Times New Roman"/>
          <w:sz w:val="24"/>
          <w:szCs w:val="24"/>
          <w:lang w:val="sq-AL"/>
        </w:rPr>
        <w:t xml:space="preserve">vitin </w:t>
      </w:r>
      <w:r w:rsidRPr="00E202B8">
        <w:rPr>
          <w:rFonts w:ascii="Times New Roman" w:eastAsia="Times New Roman" w:hAnsi="Times New Roman" w:cs="Times New Roman"/>
          <w:sz w:val="24"/>
          <w:szCs w:val="24"/>
          <w:lang w:val="sq-AL"/>
        </w:rPr>
        <w:t>2019</w:t>
      </w:r>
      <w:r w:rsidR="005C78B2" w:rsidRPr="00E202B8">
        <w:rPr>
          <w:rFonts w:ascii="Times New Roman" w:eastAsia="Times New Roman" w:hAnsi="Times New Roman" w:cs="Times New Roman"/>
          <w:sz w:val="24"/>
          <w:szCs w:val="24"/>
          <w:lang w:val="sq-AL"/>
        </w:rPr>
        <w:t>,</w:t>
      </w:r>
      <w:r w:rsidRPr="00E202B8">
        <w:rPr>
          <w:rFonts w:ascii="Times New Roman" w:eastAsia="Times New Roman" w:hAnsi="Times New Roman" w:cs="Times New Roman"/>
          <w:sz w:val="24"/>
          <w:szCs w:val="24"/>
          <w:lang w:val="sq-AL"/>
        </w:rPr>
        <w:t xml:space="preserve"> vlera e </w:t>
      </w:r>
      <w:r w:rsidR="000826DD" w:rsidRPr="00E202B8">
        <w:rPr>
          <w:rFonts w:ascii="Times New Roman" w:eastAsia="Times New Roman" w:hAnsi="Times New Roman" w:cs="Times New Roman"/>
          <w:sz w:val="24"/>
          <w:szCs w:val="24"/>
          <w:lang w:val="sq-AL"/>
        </w:rPr>
        <w:t xml:space="preserve">realizuar e </w:t>
      </w:r>
      <w:r w:rsidRPr="00E202B8">
        <w:rPr>
          <w:rFonts w:ascii="Times New Roman" w:eastAsia="Times New Roman" w:hAnsi="Times New Roman" w:cs="Times New Roman"/>
          <w:sz w:val="24"/>
          <w:szCs w:val="24"/>
          <w:lang w:val="sq-AL"/>
        </w:rPr>
        <w:t xml:space="preserve">investimit </w:t>
      </w:r>
      <w:r w:rsidRPr="009B6417">
        <w:rPr>
          <w:rFonts w:ascii="Times New Roman" w:eastAsia="Times New Roman" w:hAnsi="Times New Roman" w:cs="Times New Roman"/>
          <w:sz w:val="24"/>
          <w:szCs w:val="24"/>
          <w:lang w:val="sq-AL"/>
        </w:rPr>
        <w:t>p</w:t>
      </w:r>
      <w:r w:rsidR="00C743C1" w:rsidRPr="009B6417">
        <w:rPr>
          <w:rFonts w:ascii="Times New Roman" w:eastAsia="Times New Roman" w:hAnsi="Times New Roman" w:cs="Times New Roman"/>
          <w:sz w:val="24"/>
          <w:szCs w:val="24"/>
          <w:lang w:val="sq-AL"/>
        </w:rPr>
        <w:t>ë</w:t>
      </w:r>
      <w:r w:rsidRPr="009B6417">
        <w:rPr>
          <w:rFonts w:ascii="Times New Roman" w:eastAsia="Times New Roman" w:hAnsi="Times New Roman" w:cs="Times New Roman"/>
          <w:sz w:val="24"/>
          <w:szCs w:val="24"/>
          <w:lang w:val="sq-AL"/>
        </w:rPr>
        <w:t>rb</w:t>
      </w:r>
      <w:r w:rsidR="00C743C1" w:rsidRPr="009B6417">
        <w:rPr>
          <w:rFonts w:ascii="Times New Roman" w:eastAsia="Times New Roman" w:hAnsi="Times New Roman" w:cs="Times New Roman"/>
          <w:sz w:val="24"/>
          <w:szCs w:val="24"/>
          <w:lang w:val="sq-AL"/>
        </w:rPr>
        <w:t>ë</w:t>
      </w:r>
      <w:r w:rsidRPr="009B6417">
        <w:rPr>
          <w:rFonts w:ascii="Times New Roman" w:eastAsia="Times New Roman" w:hAnsi="Times New Roman" w:cs="Times New Roman"/>
          <w:sz w:val="24"/>
          <w:szCs w:val="24"/>
          <w:lang w:val="sq-AL"/>
        </w:rPr>
        <w:t xml:space="preserve">n </w:t>
      </w:r>
      <w:r w:rsidR="00E0170A">
        <w:rPr>
          <w:rFonts w:ascii="Times New Roman" w:eastAsia="Times New Roman" w:hAnsi="Times New Roman" w:cs="Times New Roman"/>
          <w:sz w:val="24"/>
          <w:szCs w:val="24"/>
          <w:lang w:val="sq-AL"/>
        </w:rPr>
        <w:t>84.6</w:t>
      </w:r>
      <w:r w:rsidRPr="009B6417">
        <w:rPr>
          <w:rFonts w:ascii="Times New Roman" w:eastAsia="Times New Roman" w:hAnsi="Times New Roman" w:cs="Times New Roman"/>
          <w:sz w:val="24"/>
          <w:szCs w:val="24"/>
          <w:lang w:val="sq-AL"/>
        </w:rPr>
        <w:t>% t</w:t>
      </w:r>
      <w:r w:rsidR="00C743C1" w:rsidRPr="009B6417">
        <w:rPr>
          <w:rFonts w:ascii="Times New Roman" w:eastAsia="Times New Roman" w:hAnsi="Times New Roman" w:cs="Times New Roman"/>
          <w:sz w:val="24"/>
          <w:szCs w:val="24"/>
          <w:lang w:val="sq-AL"/>
        </w:rPr>
        <w:t>ë</w:t>
      </w:r>
      <w:r w:rsidRPr="009B6417">
        <w:rPr>
          <w:rFonts w:ascii="Times New Roman" w:eastAsia="Times New Roman" w:hAnsi="Times New Roman" w:cs="Times New Roman"/>
          <w:sz w:val="24"/>
          <w:szCs w:val="24"/>
          <w:lang w:val="sq-AL"/>
        </w:rPr>
        <w:t xml:space="preserve"> vler</w:t>
      </w:r>
      <w:r w:rsidR="00C743C1" w:rsidRPr="009B6417">
        <w:rPr>
          <w:rFonts w:ascii="Times New Roman" w:eastAsia="Times New Roman" w:hAnsi="Times New Roman" w:cs="Times New Roman"/>
          <w:sz w:val="24"/>
          <w:szCs w:val="24"/>
          <w:lang w:val="sq-AL"/>
        </w:rPr>
        <w:t>ë</w:t>
      </w:r>
      <w:r w:rsidR="0065397F" w:rsidRPr="009B6417">
        <w:rPr>
          <w:rFonts w:ascii="Times New Roman" w:eastAsia="Times New Roman" w:hAnsi="Times New Roman" w:cs="Times New Roman"/>
          <w:sz w:val="24"/>
          <w:szCs w:val="24"/>
          <w:lang w:val="sq-AL"/>
        </w:rPr>
        <w:t xml:space="preserve">s </w:t>
      </w:r>
      <w:r w:rsidRPr="009B6417">
        <w:rPr>
          <w:rFonts w:ascii="Times New Roman" w:eastAsia="Times New Roman" w:hAnsi="Times New Roman" w:cs="Times New Roman"/>
          <w:sz w:val="24"/>
          <w:szCs w:val="24"/>
          <w:lang w:val="sq-AL"/>
        </w:rPr>
        <w:t>totale t</w:t>
      </w:r>
      <w:r w:rsidR="00C743C1" w:rsidRPr="009B6417">
        <w:rPr>
          <w:rFonts w:ascii="Times New Roman" w:eastAsia="Times New Roman" w:hAnsi="Times New Roman" w:cs="Times New Roman"/>
          <w:sz w:val="24"/>
          <w:szCs w:val="24"/>
          <w:lang w:val="sq-AL"/>
        </w:rPr>
        <w:t>ë</w:t>
      </w:r>
      <w:r w:rsidRPr="009B6417">
        <w:rPr>
          <w:rFonts w:ascii="Times New Roman" w:eastAsia="Times New Roman" w:hAnsi="Times New Roman" w:cs="Times New Roman"/>
          <w:sz w:val="24"/>
          <w:szCs w:val="24"/>
          <w:lang w:val="sq-AL"/>
        </w:rPr>
        <w:t xml:space="preserve"> parashikuar p</w:t>
      </w:r>
      <w:r w:rsidR="00C743C1" w:rsidRPr="009B6417">
        <w:rPr>
          <w:rFonts w:ascii="Times New Roman" w:eastAsia="Times New Roman" w:hAnsi="Times New Roman" w:cs="Times New Roman"/>
          <w:sz w:val="24"/>
          <w:szCs w:val="24"/>
          <w:lang w:val="sq-AL"/>
        </w:rPr>
        <w:t>ë</w:t>
      </w:r>
      <w:r w:rsidRPr="009B6417">
        <w:rPr>
          <w:rFonts w:ascii="Times New Roman" w:eastAsia="Times New Roman" w:hAnsi="Times New Roman" w:cs="Times New Roman"/>
          <w:sz w:val="24"/>
          <w:szCs w:val="24"/>
          <w:lang w:val="sq-AL"/>
        </w:rPr>
        <w:t>r tu investuar gjat</w:t>
      </w:r>
      <w:r w:rsidR="00C743C1" w:rsidRPr="009B6417">
        <w:rPr>
          <w:rFonts w:ascii="Times New Roman" w:eastAsia="Times New Roman" w:hAnsi="Times New Roman" w:cs="Times New Roman"/>
          <w:sz w:val="24"/>
          <w:szCs w:val="24"/>
          <w:lang w:val="sq-AL"/>
        </w:rPr>
        <w:t>ë</w:t>
      </w:r>
      <w:r w:rsidRPr="009B6417">
        <w:rPr>
          <w:rFonts w:ascii="Times New Roman" w:eastAsia="Times New Roman" w:hAnsi="Times New Roman" w:cs="Times New Roman"/>
          <w:sz w:val="24"/>
          <w:szCs w:val="24"/>
          <w:lang w:val="sq-AL"/>
        </w:rPr>
        <w:t xml:space="preserve"> k</w:t>
      </w:r>
      <w:r w:rsidR="00C743C1" w:rsidRPr="009B6417">
        <w:rPr>
          <w:rFonts w:ascii="Times New Roman" w:eastAsia="Times New Roman" w:hAnsi="Times New Roman" w:cs="Times New Roman"/>
          <w:sz w:val="24"/>
          <w:szCs w:val="24"/>
          <w:lang w:val="sq-AL"/>
        </w:rPr>
        <w:t>ë</w:t>
      </w:r>
      <w:r w:rsidR="003A341A">
        <w:rPr>
          <w:rFonts w:ascii="Times New Roman" w:eastAsia="Times New Roman" w:hAnsi="Times New Roman" w:cs="Times New Roman"/>
          <w:sz w:val="24"/>
          <w:szCs w:val="24"/>
          <w:lang w:val="sq-AL"/>
        </w:rPr>
        <w:t>tij viti, për shkak të problematikës së Tunelit të Murrizit ku ritmi i punimeve u ngadalësua.</w:t>
      </w:r>
    </w:p>
    <w:p w14:paraId="3EC9DA38" w14:textId="77777777" w:rsidR="003914DB" w:rsidRPr="00E0170A" w:rsidRDefault="003914DB" w:rsidP="003914DB">
      <w:pPr>
        <w:pStyle w:val="NoSpacing"/>
        <w:spacing w:line="276" w:lineRule="auto"/>
        <w:jc w:val="both"/>
        <w:rPr>
          <w:rFonts w:ascii="Times New Roman" w:eastAsia="Times New Roman" w:hAnsi="Times New Roman" w:cs="Times New Roman"/>
          <w:sz w:val="14"/>
          <w:szCs w:val="24"/>
          <w:lang w:val="sq-AL"/>
        </w:rPr>
      </w:pPr>
    </w:p>
    <w:p w14:paraId="60C57487" w14:textId="77777777" w:rsidR="002064BE" w:rsidRPr="009B6417" w:rsidRDefault="0052775C" w:rsidP="006B6D4D">
      <w:pPr>
        <w:pStyle w:val="Caption"/>
      </w:pPr>
      <w:bookmarkStart w:id="41" w:name="_Toc40422388"/>
      <w:r w:rsidRPr="009B6417">
        <w:t xml:space="preserve">Tabela </w:t>
      </w:r>
      <w:r w:rsidR="00E54EC8">
        <w:fldChar w:fldCharType="begin"/>
      </w:r>
      <w:r w:rsidR="00815B1B">
        <w:instrText xml:space="preserve"> SEQ Tabela \* ARABIC </w:instrText>
      </w:r>
      <w:r w:rsidR="00E54EC8">
        <w:fldChar w:fldCharType="separate"/>
      </w:r>
      <w:r w:rsidR="00F20848">
        <w:rPr>
          <w:noProof/>
        </w:rPr>
        <w:t>5</w:t>
      </w:r>
      <w:r w:rsidR="00E54EC8">
        <w:rPr>
          <w:noProof/>
        </w:rPr>
        <w:fldChar w:fldCharType="end"/>
      </w:r>
      <w:r w:rsidR="002064BE" w:rsidRPr="009B6417">
        <w:t>: Vlera e investimit “Rruga e Arbrit”</w:t>
      </w:r>
      <w:bookmarkEnd w:id="41"/>
    </w:p>
    <w:tbl>
      <w:tblPr>
        <w:tblStyle w:val="PlainTable1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51"/>
        <w:gridCol w:w="1016"/>
        <w:gridCol w:w="1511"/>
        <w:gridCol w:w="1376"/>
        <w:gridCol w:w="1376"/>
        <w:gridCol w:w="1543"/>
        <w:gridCol w:w="1772"/>
      </w:tblGrid>
      <w:tr w:rsidR="005E69C9" w:rsidRPr="003C2F4F" w14:paraId="35335733" w14:textId="77777777" w:rsidTr="00612FB6">
        <w:trPr>
          <w:cnfStyle w:val="100000000000" w:firstRow="1" w:lastRow="0" w:firstColumn="0" w:lastColumn="0" w:oddVBand="0" w:evenVBand="0" w:oddHBand="0" w:evenHBand="0" w:firstRowFirstColumn="0" w:firstRowLastColumn="0" w:lastRowFirstColumn="0" w:lastRowLastColumn="0"/>
          <w:trHeight w:hRule="exact" w:val="250"/>
        </w:trPr>
        <w:tc>
          <w:tcPr>
            <w:tcW w:w="1885" w:type="dxa"/>
            <w:vMerge w:val="restart"/>
            <w:shd w:val="clear" w:color="auto" w:fill="DDD9C3" w:themeFill="background2" w:themeFillShade="E6"/>
            <w:hideMark/>
          </w:tcPr>
          <w:p w14:paraId="12144540" w14:textId="77777777" w:rsidR="00CC5C49" w:rsidRPr="003C2F4F" w:rsidRDefault="00CC5C49" w:rsidP="008C48B8">
            <w:pPr>
              <w:pStyle w:val="NoSpacing"/>
              <w:spacing w:line="276" w:lineRule="auto"/>
              <w:jc w:val="both"/>
              <w:rPr>
                <w:rFonts w:ascii="Times New Roman" w:hAnsi="Times New Roman" w:cs="Times New Roman"/>
                <w:i/>
                <w:sz w:val="20"/>
                <w:szCs w:val="24"/>
                <w:lang w:val="sq-AL"/>
              </w:rPr>
            </w:pPr>
            <w:r w:rsidRPr="003C2F4F">
              <w:rPr>
                <w:rFonts w:ascii="Times New Roman" w:hAnsi="Times New Roman" w:cs="Times New Roman"/>
                <w:i/>
                <w:sz w:val="20"/>
                <w:szCs w:val="24"/>
                <w:lang w:val="sq-AL"/>
              </w:rPr>
              <w:t>Viti</w:t>
            </w:r>
          </w:p>
        </w:tc>
        <w:tc>
          <w:tcPr>
            <w:tcW w:w="2070" w:type="dxa"/>
            <w:gridSpan w:val="2"/>
            <w:shd w:val="clear" w:color="auto" w:fill="DDD9C3" w:themeFill="background2" w:themeFillShade="E6"/>
            <w:hideMark/>
          </w:tcPr>
          <w:p w14:paraId="2EB15270" w14:textId="77777777" w:rsidR="00CC5C49" w:rsidRPr="003C2F4F" w:rsidRDefault="00CC5C49" w:rsidP="008C48B8">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2018</w:t>
            </w:r>
          </w:p>
        </w:tc>
        <w:tc>
          <w:tcPr>
            <w:tcW w:w="2880" w:type="dxa"/>
            <w:gridSpan w:val="2"/>
            <w:shd w:val="clear" w:color="auto" w:fill="DDD9C3" w:themeFill="background2" w:themeFillShade="E6"/>
            <w:hideMark/>
          </w:tcPr>
          <w:p w14:paraId="63B45047" w14:textId="77777777" w:rsidR="00CC5C49" w:rsidRPr="003C2F4F" w:rsidRDefault="00CC5C49" w:rsidP="008C48B8">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2019</w:t>
            </w:r>
          </w:p>
        </w:tc>
        <w:tc>
          <w:tcPr>
            <w:tcW w:w="1620" w:type="dxa"/>
            <w:shd w:val="clear" w:color="auto" w:fill="DDD9C3" w:themeFill="background2" w:themeFillShade="E6"/>
            <w:hideMark/>
          </w:tcPr>
          <w:p w14:paraId="17789979" w14:textId="77777777" w:rsidR="00CC5C49" w:rsidRPr="003C2F4F" w:rsidRDefault="00CC5C49" w:rsidP="008C48B8">
            <w:pPr>
              <w:pStyle w:val="NoSpacing"/>
              <w:spacing w:line="276" w:lineRule="auto"/>
              <w:rPr>
                <w:rFonts w:ascii="Times New Roman" w:hAnsi="Times New Roman" w:cs="Times New Roman"/>
                <w:i/>
                <w:sz w:val="20"/>
                <w:szCs w:val="24"/>
                <w:lang w:val="sq-AL"/>
              </w:rPr>
            </w:pPr>
            <w:r w:rsidRPr="003C2F4F">
              <w:rPr>
                <w:rFonts w:ascii="Times New Roman" w:hAnsi="Times New Roman" w:cs="Times New Roman"/>
                <w:i/>
                <w:sz w:val="20"/>
                <w:szCs w:val="24"/>
                <w:lang w:val="sq-AL"/>
              </w:rPr>
              <w:t>2020</w:t>
            </w:r>
          </w:p>
          <w:p w14:paraId="08A47D18" w14:textId="77777777" w:rsidR="00CC5C49" w:rsidRPr="003C2F4F" w:rsidRDefault="00CC5C49" w:rsidP="008C48B8">
            <w:pPr>
              <w:pStyle w:val="NoSpacing"/>
              <w:spacing w:line="276" w:lineRule="auto"/>
              <w:rPr>
                <w:rFonts w:ascii="Times New Roman" w:hAnsi="Times New Roman" w:cs="Times New Roman"/>
                <w:i/>
                <w:sz w:val="20"/>
                <w:szCs w:val="24"/>
                <w:lang w:val="sq-AL"/>
              </w:rPr>
            </w:pPr>
          </w:p>
          <w:p w14:paraId="295FB5CC" w14:textId="77777777" w:rsidR="00CC5C49" w:rsidRPr="003C2F4F" w:rsidRDefault="00CC5C49" w:rsidP="008C48B8">
            <w:pPr>
              <w:pStyle w:val="NoSpacing"/>
              <w:spacing w:line="276" w:lineRule="auto"/>
              <w:jc w:val="center"/>
              <w:rPr>
                <w:rFonts w:ascii="Times New Roman" w:hAnsi="Times New Roman" w:cs="Times New Roman"/>
                <w:i/>
                <w:sz w:val="20"/>
                <w:szCs w:val="24"/>
                <w:lang w:val="sq-AL"/>
              </w:rPr>
            </w:pPr>
          </w:p>
        </w:tc>
        <w:tc>
          <w:tcPr>
            <w:tcW w:w="1890" w:type="dxa"/>
            <w:shd w:val="clear" w:color="auto" w:fill="DDD9C3" w:themeFill="background2" w:themeFillShade="E6"/>
            <w:hideMark/>
          </w:tcPr>
          <w:p w14:paraId="57CE0FCD" w14:textId="77777777" w:rsidR="00CC5C49" w:rsidRPr="003C2F4F" w:rsidRDefault="00CC5C49" w:rsidP="008C48B8">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2021</w:t>
            </w:r>
          </w:p>
          <w:p w14:paraId="17410A42" w14:textId="77777777" w:rsidR="00CC5C49" w:rsidRPr="003C2F4F" w:rsidRDefault="00CC5C49" w:rsidP="008C48B8">
            <w:pPr>
              <w:pStyle w:val="NoSpacing"/>
              <w:spacing w:line="276" w:lineRule="auto"/>
              <w:jc w:val="center"/>
              <w:rPr>
                <w:rFonts w:ascii="Times New Roman" w:hAnsi="Times New Roman" w:cs="Times New Roman"/>
                <w:i/>
                <w:sz w:val="20"/>
                <w:szCs w:val="24"/>
                <w:lang w:val="sq-AL"/>
              </w:rPr>
            </w:pPr>
          </w:p>
        </w:tc>
      </w:tr>
      <w:tr w:rsidR="005E69C9" w:rsidRPr="003C2F4F" w14:paraId="6920241D" w14:textId="77777777" w:rsidTr="00943A16">
        <w:trPr>
          <w:cnfStyle w:val="000000100000" w:firstRow="0" w:lastRow="0" w:firstColumn="0" w:lastColumn="0" w:oddVBand="0" w:evenVBand="0" w:oddHBand="1" w:evenHBand="0" w:firstRowFirstColumn="0" w:firstRowLastColumn="0" w:lastRowFirstColumn="0" w:lastRowLastColumn="0"/>
          <w:trHeight w:val="170"/>
        </w:trPr>
        <w:tc>
          <w:tcPr>
            <w:tcW w:w="1885" w:type="dxa"/>
            <w:vMerge/>
            <w:shd w:val="clear" w:color="auto" w:fill="DDD9C3" w:themeFill="background2" w:themeFillShade="E6"/>
          </w:tcPr>
          <w:p w14:paraId="0DA51579" w14:textId="77777777" w:rsidR="00CC5C49" w:rsidRPr="003C2F4F" w:rsidRDefault="00CC5C49" w:rsidP="008C48B8">
            <w:pPr>
              <w:pStyle w:val="NoSpacing"/>
              <w:spacing w:line="276" w:lineRule="auto"/>
              <w:jc w:val="both"/>
              <w:rPr>
                <w:rFonts w:ascii="Times New Roman" w:hAnsi="Times New Roman" w:cs="Times New Roman"/>
                <w:i/>
                <w:sz w:val="20"/>
                <w:szCs w:val="24"/>
                <w:lang w:val="sq-AL"/>
              </w:rPr>
            </w:pPr>
          </w:p>
        </w:tc>
        <w:tc>
          <w:tcPr>
            <w:tcW w:w="472" w:type="dxa"/>
            <w:shd w:val="clear" w:color="auto" w:fill="DDD9C3" w:themeFill="background2" w:themeFillShade="E6"/>
          </w:tcPr>
          <w:p w14:paraId="1135838C" w14:textId="77777777" w:rsidR="00CC5C49" w:rsidRPr="003C2F4F" w:rsidRDefault="00CC5C49" w:rsidP="008C48B8">
            <w:pPr>
              <w:pStyle w:val="NoSpacing"/>
              <w:spacing w:line="276" w:lineRule="auto"/>
              <w:jc w:val="both"/>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Plan</w:t>
            </w:r>
          </w:p>
        </w:tc>
        <w:tc>
          <w:tcPr>
            <w:tcW w:w="1598" w:type="dxa"/>
            <w:shd w:val="clear" w:color="auto" w:fill="DDD9C3" w:themeFill="background2" w:themeFillShade="E6"/>
          </w:tcPr>
          <w:p w14:paraId="4D045B5D" w14:textId="77777777" w:rsidR="00CC5C49" w:rsidRPr="003C2F4F" w:rsidRDefault="00CC5C49" w:rsidP="008C48B8">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Fakt</w:t>
            </w:r>
          </w:p>
        </w:tc>
        <w:tc>
          <w:tcPr>
            <w:tcW w:w="1440" w:type="dxa"/>
            <w:shd w:val="clear" w:color="auto" w:fill="DDD9C3" w:themeFill="background2" w:themeFillShade="E6"/>
          </w:tcPr>
          <w:p w14:paraId="3B31DFE5" w14:textId="77777777" w:rsidR="00CC5C49" w:rsidRPr="003C2F4F" w:rsidRDefault="00CC5C49" w:rsidP="008C48B8">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Plan</w:t>
            </w:r>
          </w:p>
        </w:tc>
        <w:tc>
          <w:tcPr>
            <w:tcW w:w="1440" w:type="dxa"/>
            <w:shd w:val="clear" w:color="auto" w:fill="DDD9C3" w:themeFill="background2" w:themeFillShade="E6"/>
          </w:tcPr>
          <w:p w14:paraId="03671742" w14:textId="77777777" w:rsidR="00CC5C49" w:rsidRPr="003C2F4F" w:rsidRDefault="00C65BF5" w:rsidP="008C48B8">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Fakt-</w:t>
            </w:r>
            <w:r w:rsidR="002268F4" w:rsidRPr="003C2F4F">
              <w:rPr>
                <w:rFonts w:ascii="Times New Roman" w:hAnsi="Times New Roman" w:cs="Times New Roman"/>
                <w:b/>
                <w:i/>
                <w:sz w:val="20"/>
                <w:szCs w:val="24"/>
                <w:lang w:val="sq-AL"/>
              </w:rPr>
              <w:t xml:space="preserve"> </w:t>
            </w:r>
            <w:r w:rsidR="005C0E0B" w:rsidRPr="003C2F4F">
              <w:rPr>
                <w:rFonts w:ascii="Times New Roman" w:hAnsi="Times New Roman" w:cs="Times New Roman"/>
                <w:b/>
                <w:i/>
                <w:sz w:val="20"/>
                <w:szCs w:val="24"/>
                <w:lang w:val="sq-AL"/>
              </w:rPr>
              <w:t>9</w:t>
            </w:r>
            <w:r w:rsidRPr="003C2F4F">
              <w:rPr>
                <w:rFonts w:ascii="Times New Roman" w:hAnsi="Times New Roman" w:cs="Times New Roman"/>
                <w:b/>
                <w:i/>
                <w:sz w:val="20"/>
                <w:szCs w:val="24"/>
                <w:lang w:val="sq-AL"/>
              </w:rPr>
              <w:t xml:space="preserve"> </w:t>
            </w:r>
            <w:r w:rsidR="00CC5C49" w:rsidRPr="003C2F4F">
              <w:rPr>
                <w:rFonts w:ascii="Times New Roman" w:hAnsi="Times New Roman" w:cs="Times New Roman"/>
                <w:b/>
                <w:i/>
                <w:sz w:val="20"/>
                <w:szCs w:val="24"/>
                <w:lang w:val="sq-AL"/>
              </w:rPr>
              <w:t>mujor</w:t>
            </w:r>
          </w:p>
        </w:tc>
        <w:tc>
          <w:tcPr>
            <w:tcW w:w="1620" w:type="dxa"/>
            <w:shd w:val="clear" w:color="auto" w:fill="DDD9C3" w:themeFill="background2" w:themeFillShade="E6"/>
          </w:tcPr>
          <w:p w14:paraId="24F3E1E5" w14:textId="77777777" w:rsidR="00CC5C49" w:rsidRPr="003C2F4F" w:rsidRDefault="00CC5C49" w:rsidP="008C48B8">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Projektuar</w:t>
            </w:r>
          </w:p>
        </w:tc>
        <w:tc>
          <w:tcPr>
            <w:tcW w:w="1890" w:type="dxa"/>
            <w:shd w:val="clear" w:color="auto" w:fill="DDD9C3" w:themeFill="background2" w:themeFillShade="E6"/>
          </w:tcPr>
          <w:p w14:paraId="3B2DDA65" w14:textId="77777777" w:rsidR="00CC5C49" w:rsidRPr="003C2F4F" w:rsidRDefault="00CC5C49" w:rsidP="008C48B8">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Projektuar</w:t>
            </w:r>
          </w:p>
        </w:tc>
      </w:tr>
      <w:tr w:rsidR="005E69C9" w:rsidRPr="003C2F4F" w14:paraId="53F5C700" w14:textId="77777777" w:rsidTr="00943A16">
        <w:trPr>
          <w:trHeight w:val="20"/>
        </w:trPr>
        <w:tc>
          <w:tcPr>
            <w:tcW w:w="1885" w:type="dxa"/>
            <w:shd w:val="clear" w:color="auto" w:fill="EEECE1" w:themeFill="background2"/>
            <w:hideMark/>
          </w:tcPr>
          <w:p w14:paraId="11165B0F" w14:textId="77777777" w:rsidR="00CC5C49" w:rsidRPr="003C2F4F" w:rsidRDefault="00CC5C49" w:rsidP="008C48B8">
            <w:pPr>
              <w:pStyle w:val="NoSpacing"/>
              <w:spacing w:line="276" w:lineRule="auto"/>
              <w:jc w:val="both"/>
              <w:rPr>
                <w:rFonts w:ascii="Times New Roman" w:hAnsi="Times New Roman" w:cs="Times New Roman"/>
                <w:b/>
                <w:bCs/>
                <w:i/>
                <w:sz w:val="20"/>
                <w:szCs w:val="24"/>
                <w:lang w:val="sq-AL"/>
              </w:rPr>
            </w:pPr>
            <w:r w:rsidRPr="003C2F4F">
              <w:rPr>
                <w:rFonts w:ascii="Times New Roman" w:hAnsi="Times New Roman" w:cs="Times New Roman"/>
                <w:b/>
                <w:bCs/>
                <w:i/>
                <w:sz w:val="20"/>
                <w:szCs w:val="24"/>
                <w:lang w:val="sq-AL"/>
              </w:rPr>
              <w:t>Investimi Kapital</w:t>
            </w:r>
          </w:p>
          <w:p w14:paraId="21AFFEDB" w14:textId="77777777" w:rsidR="00CC5C49" w:rsidRPr="003C2F4F" w:rsidRDefault="00CC5C49" w:rsidP="008C48B8">
            <w:pPr>
              <w:pStyle w:val="NoSpacing"/>
              <w:spacing w:line="276" w:lineRule="auto"/>
              <w:jc w:val="both"/>
              <w:rPr>
                <w:rFonts w:ascii="Times New Roman" w:hAnsi="Times New Roman" w:cs="Times New Roman"/>
                <w:b/>
                <w:i/>
                <w:sz w:val="20"/>
                <w:szCs w:val="24"/>
                <w:lang w:val="sq-AL"/>
              </w:rPr>
            </w:pPr>
            <w:r w:rsidRPr="003C2F4F">
              <w:rPr>
                <w:rFonts w:ascii="Times New Roman" w:hAnsi="Times New Roman" w:cs="Times New Roman"/>
                <w:b/>
                <w:bCs/>
                <w:i/>
                <w:sz w:val="20"/>
                <w:szCs w:val="24"/>
                <w:lang w:val="sq-AL"/>
              </w:rPr>
              <w:t xml:space="preserve"> (në mijë lekë)</w:t>
            </w:r>
          </w:p>
        </w:tc>
        <w:tc>
          <w:tcPr>
            <w:tcW w:w="472" w:type="dxa"/>
            <w:shd w:val="clear" w:color="auto" w:fill="EEECE1" w:themeFill="background2"/>
            <w:vAlign w:val="center"/>
            <w:hideMark/>
          </w:tcPr>
          <w:p w14:paraId="77D0D812" w14:textId="77777777" w:rsidR="00CC5C49" w:rsidRPr="003C2F4F" w:rsidRDefault="00796AEF" w:rsidP="00CC5C49">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3,465,000</w:t>
            </w:r>
          </w:p>
        </w:tc>
        <w:tc>
          <w:tcPr>
            <w:tcW w:w="1598" w:type="dxa"/>
            <w:shd w:val="clear" w:color="auto" w:fill="EEECE1" w:themeFill="background2"/>
            <w:vAlign w:val="center"/>
          </w:tcPr>
          <w:p w14:paraId="21FE1371" w14:textId="77777777" w:rsidR="00CC5C49" w:rsidRPr="003C2F4F" w:rsidRDefault="002268F4" w:rsidP="00CC5C49">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bCs/>
                <w:i/>
                <w:kern w:val="24"/>
                <w:sz w:val="20"/>
                <w:szCs w:val="24"/>
              </w:rPr>
              <w:t>6,942,007</w:t>
            </w:r>
          </w:p>
        </w:tc>
        <w:tc>
          <w:tcPr>
            <w:tcW w:w="1440" w:type="dxa"/>
            <w:shd w:val="clear" w:color="auto" w:fill="EEECE1" w:themeFill="background2"/>
            <w:vAlign w:val="center"/>
            <w:hideMark/>
          </w:tcPr>
          <w:p w14:paraId="2B3C94EB" w14:textId="77777777" w:rsidR="00CC5C49" w:rsidRPr="003C2F4F" w:rsidRDefault="002268F4" w:rsidP="00CC5C49">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bCs/>
                <w:i/>
                <w:kern w:val="24"/>
                <w:sz w:val="20"/>
                <w:szCs w:val="24"/>
              </w:rPr>
              <w:t>7,363,123</w:t>
            </w:r>
          </w:p>
        </w:tc>
        <w:tc>
          <w:tcPr>
            <w:tcW w:w="1440" w:type="dxa"/>
            <w:shd w:val="clear" w:color="auto" w:fill="EEECE1" w:themeFill="background2"/>
            <w:vAlign w:val="center"/>
          </w:tcPr>
          <w:p w14:paraId="4E29BE0F" w14:textId="77777777" w:rsidR="00CC5C49" w:rsidRPr="003C2F4F" w:rsidRDefault="00E0170A" w:rsidP="005E69C9">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6,228,618</w:t>
            </w:r>
          </w:p>
        </w:tc>
        <w:tc>
          <w:tcPr>
            <w:tcW w:w="1620" w:type="dxa"/>
            <w:shd w:val="clear" w:color="auto" w:fill="EEECE1" w:themeFill="background2"/>
            <w:vAlign w:val="center"/>
            <w:hideMark/>
          </w:tcPr>
          <w:p w14:paraId="326D1240" w14:textId="77777777" w:rsidR="00CC5C49" w:rsidRPr="003C2F4F" w:rsidRDefault="00CC5C49" w:rsidP="00CC5C49">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bCs/>
                <w:i/>
                <w:kern w:val="24"/>
                <w:sz w:val="20"/>
                <w:szCs w:val="24"/>
              </w:rPr>
              <w:t>7,796,2</w:t>
            </w:r>
            <w:r w:rsidR="002E747C" w:rsidRPr="003C2F4F">
              <w:rPr>
                <w:rFonts w:ascii="Times New Roman" w:hAnsi="Times New Roman" w:cs="Times New Roman"/>
                <w:b/>
                <w:bCs/>
                <w:i/>
                <w:kern w:val="24"/>
                <w:sz w:val="20"/>
                <w:szCs w:val="24"/>
              </w:rPr>
              <w:t>00</w:t>
            </w:r>
          </w:p>
        </w:tc>
        <w:tc>
          <w:tcPr>
            <w:tcW w:w="1890" w:type="dxa"/>
            <w:shd w:val="clear" w:color="auto" w:fill="EEECE1" w:themeFill="background2"/>
            <w:vAlign w:val="center"/>
            <w:hideMark/>
          </w:tcPr>
          <w:p w14:paraId="1D62020F" w14:textId="77777777" w:rsidR="00CC5C49" w:rsidRPr="003C2F4F" w:rsidRDefault="00CC5C49" w:rsidP="00CC5C49">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bCs/>
                <w:i/>
                <w:kern w:val="24"/>
                <w:sz w:val="20"/>
                <w:szCs w:val="24"/>
              </w:rPr>
              <w:t>7,796,2</w:t>
            </w:r>
            <w:r w:rsidR="002E747C" w:rsidRPr="003C2F4F">
              <w:rPr>
                <w:rFonts w:ascii="Times New Roman" w:hAnsi="Times New Roman" w:cs="Times New Roman"/>
                <w:b/>
                <w:bCs/>
                <w:i/>
                <w:kern w:val="24"/>
                <w:sz w:val="20"/>
                <w:szCs w:val="24"/>
              </w:rPr>
              <w:t>00</w:t>
            </w:r>
          </w:p>
        </w:tc>
      </w:tr>
    </w:tbl>
    <w:p w14:paraId="16E024C4" w14:textId="77777777" w:rsidR="002064BE" w:rsidRPr="00E0170A" w:rsidRDefault="002064BE" w:rsidP="00297097">
      <w:pPr>
        <w:pStyle w:val="ListParagraph"/>
        <w:numPr>
          <w:ilvl w:val="2"/>
          <w:numId w:val="6"/>
        </w:numPr>
        <w:spacing w:before="100" w:beforeAutospacing="1" w:after="0"/>
        <w:jc w:val="both"/>
        <w:rPr>
          <w:rFonts w:ascii="Times New Roman" w:eastAsia="Times New Roman" w:hAnsi="Times New Roman" w:cs="Times New Roman"/>
          <w:b/>
          <w:i/>
          <w:sz w:val="24"/>
          <w:szCs w:val="24"/>
        </w:rPr>
      </w:pPr>
      <w:r w:rsidRPr="00E0170A">
        <w:rPr>
          <w:rFonts w:ascii="Times New Roman" w:eastAsia="Times New Roman" w:hAnsi="Times New Roman" w:cs="Times New Roman"/>
          <w:b/>
          <w:i/>
          <w:sz w:val="24"/>
          <w:szCs w:val="24"/>
        </w:rPr>
        <w:t xml:space="preserve"> Risqet</w:t>
      </w:r>
    </w:p>
    <w:p w14:paraId="2FEF3DE8" w14:textId="77777777" w:rsidR="00CF3857" w:rsidRDefault="00904D34" w:rsidP="00CF3857">
      <w:pPr>
        <w:spacing w:after="0"/>
        <w:jc w:val="both"/>
        <w:rPr>
          <w:rFonts w:ascii="Times New Roman" w:hAnsi="Times New Roman" w:cs="Times New Roman"/>
          <w:sz w:val="24"/>
          <w:szCs w:val="24"/>
        </w:rPr>
      </w:pPr>
      <w:r>
        <w:rPr>
          <w:rFonts w:ascii="Times New Roman" w:hAnsi="Times New Roman" w:cs="Times New Roman"/>
          <w:sz w:val="24"/>
          <w:szCs w:val="24"/>
        </w:rPr>
        <w:t xml:space="preserve">Autoriteti </w:t>
      </w:r>
      <w:r w:rsidR="003730A2" w:rsidRPr="009B6417">
        <w:rPr>
          <w:rFonts w:ascii="Times New Roman" w:hAnsi="Times New Roman" w:cs="Times New Roman"/>
          <w:sz w:val="24"/>
          <w:szCs w:val="24"/>
        </w:rPr>
        <w:t>ka raportuar në lidhje me risqet e kontratës sipas formatit të përcaktuar, duke specifikuar përcaktimin e palës që merr përsipër riskun. Raportohet se Autoriteti Kontraktues ka</w:t>
      </w:r>
      <w:r w:rsidR="002064BE" w:rsidRPr="009B6417">
        <w:rPr>
          <w:rFonts w:ascii="Times New Roman" w:hAnsi="Times New Roman" w:cs="Times New Roman"/>
          <w:sz w:val="24"/>
          <w:szCs w:val="24"/>
        </w:rPr>
        <w:t xml:space="preserve"> mbajtur 3 </w:t>
      </w:r>
      <w:r w:rsidR="00FE095D" w:rsidRPr="009B6417">
        <w:rPr>
          <w:rFonts w:ascii="Times New Roman" w:hAnsi="Times New Roman" w:cs="Times New Roman"/>
          <w:sz w:val="24"/>
          <w:szCs w:val="24"/>
        </w:rPr>
        <w:t>prej tyre</w:t>
      </w:r>
      <w:r w:rsidR="002064BE" w:rsidRPr="009B6417">
        <w:rPr>
          <w:rFonts w:ascii="Times New Roman" w:hAnsi="Times New Roman" w:cs="Times New Roman"/>
          <w:sz w:val="24"/>
          <w:szCs w:val="24"/>
        </w:rPr>
        <w:t xml:space="preserve">: riskun politik, riskun e aksesit në zonën e projektit dhe riskun e ndryshimeve ligjore, ndërsa tek Partneri Privat janë transferuar 5 risqet kryesore si: risku i projektimit, ndërtimit, disponueshmërisë, </w:t>
      </w:r>
      <w:r w:rsidR="00AF17EE" w:rsidRPr="009B6417">
        <w:rPr>
          <w:rFonts w:ascii="Times New Roman" w:hAnsi="Times New Roman" w:cs="Times New Roman"/>
          <w:sz w:val="24"/>
          <w:szCs w:val="24"/>
        </w:rPr>
        <w:t xml:space="preserve">risku i operimit dhe mirëmbajtjes, </w:t>
      </w:r>
      <w:r w:rsidR="002064BE" w:rsidRPr="009B6417">
        <w:rPr>
          <w:rFonts w:ascii="Times New Roman" w:hAnsi="Times New Roman" w:cs="Times New Roman"/>
          <w:sz w:val="24"/>
          <w:szCs w:val="24"/>
        </w:rPr>
        <w:t xml:space="preserve">risku i transferimit të aseteve dhe risku i ribalancimit të ekuilibrit financiar. </w:t>
      </w:r>
      <w:r w:rsidR="00C3460A" w:rsidRPr="009B6417">
        <w:rPr>
          <w:rFonts w:ascii="Times New Roman" w:hAnsi="Times New Roman" w:cs="Times New Roman"/>
          <w:sz w:val="24"/>
          <w:szCs w:val="24"/>
        </w:rPr>
        <w:t>Nd</w:t>
      </w:r>
      <w:r w:rsidR="00C743C1" w:rsidRPr="009B6417">
        <w:rPr>
          <w:rFonts w:ascii="Times New Roman" w:hAnsi="Times New Roman" w:cs="Times New Roman"/>
          <w:sz w:val="24"/>
          <w:szCs w:val="24"/>
        </w:rPr>
        <w:t>ë</w:t>
      </w:r>
      <w:r w:rsidR="00C3460A" w:rsidRPr="009B6417">
        <w:rPr>
          <w:rFonts w:ascii="Times New Roman" w:hAnsi="Times New Roman" w:cs="Times New Roman"/>
          <w:sz w:val="24"/>
          <w:szCs w:val="24"/>
        </w:rPr>
        <w:t>rkoh</w:t>
      </w:r>
      <w:r w:rsidR="00C743C1" w:rsidRPr="009B6417">
        <w:rPr>
          <w:rFonts w:ascii="Times New Roman" w:hAnsi="Times New Roman" w:cs="Times New Roman"/>
          <w:sz w:val="24"/>
          <w:szCs w:val="24"/>
        </w:rPr>
        <w:t>ë</w:t>
      </w:r>
      <w:r w:rsidR="002064BE" w:rsidRPr="009B6417">
        <w:rPr>
          <w:rFonts w:ascii="Times New Roman" w:hAnsi="Times New Roman" w:cs="Times New Roman"/>
          <w:sz w:val="24"/>
          <w:szCs w:val="24"/>
        </w:rPr>
        <w:t>, risku i forcës madhore, risku i rinegocimit dhe risku i ndërprerjes së kontratës janë ndarë</w:t>
      </w:r>
      <w:r w:rsidR="00CF3857">
        <w:rPr>
          <w:rFonts w:ascii="Times New Roman" w:hAnsi="Times New Roman" w:cs="Times New Roman"/>
          <w:sz w:val="24"/>
          <w:szCs w:val="24"/>
        </w:rPr>
        <w:t xml:space="preserve"> mes palës private dhe publike.</w:t>
      </w:r>
    </w:p>
    <w:p w14:paraId="0826CACC" w14:textId="77777777" w:rsidR="00E0170A" w:rsidRDefault="00043B63" w:rsidP="00297097">
      <w:pPr>
        <w:spacing w:after="0"/>
        <w:jc w:val="both"/>
        <w:rPr>
          <w:rFonts w:ascii="Times New Roman" w:hAnsi="Times New Roman" w:cs="Times New Roman"/>
          <w:sz w:val="24"/>
          <w:szCs w:val="24"/>
        </w:rPr>
      </w:pPr>
      <w:r w:rsidRPr="00A63B69">
        <w:rPr>
          <w:rFonts w:ascii="Times New Roman" w:eastAsia="Times New Roman" w:hAnsi="Times New Roman" w:cs="Times New Roman"/>
          <w:sz w:val="24"/>
          <w:szCs w:val="24"/>
        </w:rPr>
        <w:t>Gjatë zbatimit të kësaj kontrate nga Autoriteti Kontraktues nuk është raportuar materializimi i ndonjë</w:t>
      </w:r>
      <w:r w:rsidR="004C0112" w:rsidRPr="00A63B69">
        <w:rPr>
          <w:rFonts w:ascii="Times New Roman" w:eastAsia="Times New Roman" w:hAnsi="Times New Roman" w:cs="Times New Roman"/>
          <w:sz w:val="24"/>
          <w:szCs w:val="24"/>
        </w:rPr>
        <w:t xml:space="preserve"> risku, por vetëm se shpronësimet dhe procedurat administrative mund të shkaktojnë vonesa në afatet e ndërtimit dhe sipas kontratës kjo mund të përbëjë “Shkak Lehtësimi”</w:t>
      </w:r>
      <w:r w:rsidR="009B57E0" w:rsidRPr="00A63B69">
        <w:rPr>
          <w:rFonts w:ascii="Times New Roman" w:eastAsia="Times New Roman" w:hAnsi="Times New Roman" w:cs="Times New Roman"/>
          <w:sz w:val="24"/>
          <w:szCs w:val="24"/>
        </w:rPr>
        <w:t>. N</w:t>
      </w:r>
      <w:r w:rsidR="00550693" w:rsidRPr="00A63B69">
        <w:rPr>
          <w:rFonts w:ascii="Times New Roman" w:eastAsia="Times New Roman" w:hAnsi="Times New Roman" w:cs="Times New Roman"/>
          <w:sz w:val="24"/>
          <w:szCs w:val="24"/>
        </w:rPr>
        <w:t>uk është aplikuar penalitet.</w:t>
      </w:r>
    </w:p>
    <w:p w14:paraId="533E9B99" w14:textId="77777777" w:rsidR="00297097" w:rsidRPr="00297097" w:rsidRDefault="00297097" w:rsidP="00297097">
      <w:pPr>
        <w:spacing w:after="0"/>
        <w:jc w:val="both"/>
        <w:rPr>
          <w:rFonts w:ascii="Times New Roman" w:hAnsi="Times New Roman" w:cs="Times New Roman"/>
          <w:sz w:val="24"/>
          <w:szCs w:val="24"/>
        </w:rPr>
      </w:pPr>
    </w:p>
    <w:p w14:paraId="23E40BDC" w14:textId="77777777" w:rsidR="00AE5915" w:rsidRPr="00D6571D" w:rsidRDefault="00DC1921" w:rsidP="002C61D2">
      <w:pPr>
        <w:pStyle w:val="Heading2"/>
        <w:numPr>
          <w:ilvl w:val="1"/>
          <w:numId w:val="9"/>
        </w:numPr>
        <w:rPr>
          <w:rFonts w:ascii="Times New Roman" w:eastAsia="Times New Roman" w:hAnsi="Times New Roman" w:cs="Times New Roman"/>
          <w:b/>
          <w:i/>
          <w:sz w:val="24"/>
          <w:szCs w:val="24"/>
        </w:rPr>
      </w:pPr>
      <w:bookmarkStart w:id="42" w:name="_Toc37196691"/>
      <w:r w:rsidRPr="009B6417">
        <w:rPr>
          <w:rFonts w:ascii="Times New Roman" w:hAnsi="Times New Roman" w:cs="Times New Roman"/>
          <w:b/>
          <w:sz w:val="24"/>
          <w:szCs w:val="24"/>
        </w:rPr>
        <w:t>Kontrata Koncesionare</w:t>
      </w:r>
      <w:r>
        <w:rPr>
          <w:rFonts w:ascii="Times New Roman" w:hAnsi="Times New Roman" w:cs="Times New Roman"/>
          <w:b/>
          <w:sz w:val="24"/>
          <w:szCs w:val="24"/>
        </w:rPr>
        <w:t>/PPP</w:t>
      </w:r>
      <w:r w:rsidRPr="009B6417">
        <w:rPr>
          <w:rFonts w:ascii="Times New Roman" w:hAnsi="Times New Roman" w:cs="Times New Roman"/>
          <w:b/>
          <w:sz w:val="24"/>
          <w:szCs w:val="24"/>
        </w:rPr>
        <w:t xml:space="preserve"> </w:t>
      </w:r>
      <w:r w:rsidR="00B26FA5" w:rsidRPr="009B6417">
        <w:rPr>
          <w:rFonts w:ascii="Times New Roman" w:hAnsi="Times New Roman" w:cs="Times New Roman"/>
          <w:b/>
          <w:sz w:val="24"/>
          <w:szCs w:val="24"/>
        </w:rPr>
        <w:t>“</w:t>
      </w:r>
      <w:r w:rsidR="00B26FA5" w:rsidRPr="00D6571D">
        <w:rPr>
          <w:rFonts w:ascii="Times New Roman" w:hAnsi="Times New Roman" w:cs="Times New Roman"/>
          <w:b/>
          <w:i/>
          <w:sz w:val="24"/>
          <w:szCs w:val="24"/>
        </w:rPr>
        <w:t>Ndërtimi, vënia në punë, operimi dhe mirëmbajtja e aeroportit ‘Nënë Tereza’</w:t>
      </w:r>
      <w:r w:rsidR="00B26FA5" w:rsidRPr="00D6571D">
        <w:rPr>
          <w:rFonts w:ascii="Times New Roman" w:eastAsia="Times New Roman" w:hAnsi="Times New Roman" w:cs="Times New Roman"/>
          <w:b/>
          <w:i/>
          <w:sz w:val="24"/>
          <w:szCs w:val="24"/>
        </w:rPr>
        <w:t xml:space="preserve"> ”</w:t>
      </w:r>
      <w:bookmarkEnd w:id="42"/>
    </w:p>
    <w:p w14:paraId="7EA7B123" w14:textId="77777777" w:rsidR="00AE5915" w:rsidRPr="009B6417" w:rsidRDefault="00AE5915" w:rsidP="005D3EF5">
      <w:pPr>
        <w:pStyle w:val="ListParagraph"/>
        <w:numPr>
          <w:ilvl w:val="2"/>
          <w:numId w:val="10"/>
        </w:numPr>
        <w:spacing w:before="100" w:beforeAutospacing="1" w:after="100" w:afterAutospacing="1"/>
        <w:ind w:left="540"/>
        <w:jc w:val="both"/>
        <w:rPr>
          <w:rFonts w:ascii="Times New Roman" w:eastAsia="Times New Roman" w:hAnsi="Times New Roman" w:cs="Times New Roman"/>
          <w:b/>
          <w:sz w:val="24"/>
          <w:szCs w:val="24"/>
        </w:rPr>
      </w:pPr>
      <w:r w:rsidRPr="009B6417">
        <w:rPr>
          <w:rFonts w:ascii="Times New Roman" w:eastAsia="Times New Roman" w:hAnsi="Times New Roman" w:cs="Times New Roman"/>
          <w:b/>
          <w:sz w:val="24"/>
          <w:szCs w:val="24"/>
        </w:rPr>
        <w:t xml:space="preserve"> Prezantimi i përgjithshëm i projektit </w:t>
      </w:r>
    </w:p>
    <w:p w14:paraId="02439117" w14:textId="77777777" w:rsidR="00AE5915" w:rsidRPr="009B6417" w:rsidRDefault="009E7BC4" w:rsidP="005D3EF5">
      <w:pPr>
        <w:spacing w:after="0"/>
        <w:ind w:left="-9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91440" distB="91440" distL="91440" distR="320040" simplePos="0" relativeHeight="251666432" behindDoc="1" locked="0" layoutInCell="1" allowOverlap="1" wp14:anchorId="346597D6" wp14:editId="387EAC0F">
                <wp:simplePos x="0" y="0"/>
                <wp:positionH relativeFrom="margin">
                  <wp:align>right</wp:align>
                </wp:positionH>
                <wp:positionV relativeFrom="paragraph">
                  <wp:posOffset>64770</wp:posOffset>
                </wp:positionV>
                <wp:extent cx="3333750" cy="2112010"/>
                <wp:effectExtent l="12700" t="6985" r="6350" b="5080"/>
                <wp:wrapTight wrapText="bothSides">
                  <wp:wrapPolygon edited="0">
                    <wp:start x="-62" y="-97"/>
                    <wp:lineTo x="-62" y="21503"/>
                    <wp:lineTo x="21662" y="21503"/>
                    <wp:lineTo x="21662" y="-97"/>
                    <wp:lineTo x="-62" y="-97"/>
                  </wp:wrapPolygon>
                </wp:wrapTight>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112010"/>
                        </a:xfrm>
                        <a:prstGeom prst="rect">
                          <a:avLst/>
                        </a:prstGeom>
                        <a:pattFill prst="pct50">
                          <a:fgClr>
                            <a:schemeClr val="bg2">
                              <a:lumMod val="100000"/>
                              <a:lumOff val="0"/>
                            </a:schemeClr>
                          </a:fgClr>
                          <a:bgClr>
                            <a:schemeClr val="bg1">
                              <a:lumMod val="100000"/>
                              <a:lumOff val="0"/>
                            </a:schemeClr>
                          </a:bgClr>
                        </a:pattFill>
                        <a:ln w="6350" cap="rnd">
                          <a:solidFill>
                            <a:schemeClr val="bg2">
                              <a:lumMod val="75000"/>
                              <a:lumOff val="0"/>
                            </a:schemeClr>
                          </a:solidFill>
                          <a:miter lim="800000"/>
                          <a:headEnd/>
                          <a:tailEnd/>
                        </a:ln>
                      </wps:spPr>
                      <wps:txbx>
                        <w:txbxContent>
                          <w:p w14:paraId="4F6FD3A9" w14:textId="77777777" w:rsidR="0025668C" w:rsidRPr="00EF5479" w:rsidRDefault="0025668C" w:rsidP="00AE5915">
                            <w:pPr>
                              <w:pBdr>
                                <w:left w:val="single" w:sz="80" w:space="3" w:color="7F7F7F" w:themeColor="text1" w:themeTint="80"/>
                                <w:bottom w:val="single" w:sz="8" w:space="3" w:color="7F7F7F" w:themeColor="text1" w:themeTint="80"/>
                              </w:pBdr>
                              <w:spacing w:before="40" w:line="288" w:lineRule="auto"/>
                              <w:jc w:val="center"/>
                              <w:rPr>
                                <w:rFonts w:ascii="Times New Roman" w:hAnsi="Times New Roman" w:cs="Times New Roman"/>
                                <w:b/>
                                <w:i/>
                                <w:color w:val="4A442A" w:themeColor="background2" w:themeShade="40"/>
                                <w:sz w:val="16"/>
                                <w:szCs w:val="27"/>
                              </w:rPr>
                            </w:pPr>
                            <w:r w:rsidRPr="00EF5479">
                              <w:rPr>
                                <w:rFonts w:ascii="Times New Roman" w:hAnsi="Times New Roman" w:cs="Times New Roman"/>
                                <w:b/>
                                <w:color w:val="4A442A" w:themeColor="background2" w:themeShade="40"/>
                                <w:sz w:val="18"/>
                                <w:szCs w:val="28"/>
                                <w:lang w:val="en-US"/>
                              </w:rPr>
                              <w:t>Kontrata Koncesionare “</w:t>
                            </w:r>
                            <w:r>
                              <w:rPr>
                                <w:rFonts w:ascii="Times New Roman" w:hAnsi="Times New Roman" w:cs="Times New Roman"/>
                                <w:b/>
                                <w:color w:val="4A442A" w:themeColor="background2" w:themeShade="40"/>
                                <w:sz w:val="18"/>
                                <w:szCs w:val="28"/>
                                <w:lang w:val="en-US"/>
                              </w:rPr>
                              <w:t>Ndërtimi, vënia në punë, operimi dhe mirëmbajtja e aeroportit “Nënë Tereza</w:t>
                            </w:r>
                            <w:r w:rsidRPr="00EF5479">
                              <w:rPr>
                                <w:rFonts w:ascii="Times New Roman" w:hAnsi="Times New Roman" w:cs="Times New Roman"/>
                                <w:b/>
                                <w:sz w:val="18"/>
                                <w:szCs w:val="28"/>
                                <w:lang w:val="en-US"/>
                              </w:rPr>
                              <w:t>”</w:t>
                            </w:r>
                          </w:p>
                          <w:p w14:paraId="1017E445"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Pr>
                                <w:rFonts w:ascii="Times New Roman" w:hAnsi="Times New Roman" w:cs="Times New Roman"/>
                                <w:b/>
                                <w:color w:val="000000" w:themeColor="text1"/>
                              </w:rPr>
                              <w:t xml:space="preserve"> OSHA (</w:t>
                            </w:r>
                            <w:r>
                              <w:rPr>
                                <w:rFonts w:ascii="Times New Roman" w:hAnsi="Times New Roman" w:cs="Times New Roman"/>
                                <w:color w:val="000000" w:themeColor="text1"/>
                              </w:rPr>
                              <w:t>Ministria e Infrastrukturës dhe Energjisë dhe Ministria e Financave dhe Ekonomisë)</w:t>
                            </w:r>
                          </w:p>
                          <w:p w14:paraId="7F9CF7CA" w14:textId="77777777" w:rsidR="0025668C" w:rsidRPr="0085099D" w:rsidRDefault="0025668C" w:rsidP="0085099D">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Tirana International Airport sh.p.k                 </w:t>
                            </w:r>
                            <w:r w:rsidRPr="0085099D">
                              <w:rPr>
                                <w:rFonts w:ascii="Times New Roman" w:hAnsi="Times New Roman" w:cs="Times New Roman"/>
                                <w:b/>
                                <w:color w:val="000000" w:themeColor="text1"/>
                              </w:rPr>
                              <w:t>Vlera e Investimit:</w:t>
                            </w:r>
                            <w:r w:rsidRPr="0085099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Pr>
                                <w:rFonts w:ascii="Times New Roman" w:hAnsi="Times New Roman"/>
                                <w:sz w:val="24"/>
                                <w:szCs w:val="24"/>
                              </w:rPr>
                              <w:t>9.1 miliardë Lekë</w:t>
                            </w:r>
                            <w:r w:rsidRPr="0085099D">
                              <w:rPr>
                                <w:rFonts w:ascii="Times New Roman" w:hAnsi="Times New Roman" w:cs="Times New Roman"/>
                                <w:color w:val="000000" w:themeColor="text1"/>
                              </w:rPr>
                              <w:t xml:space="preserve">        </w:t>
                            </w:r>
                          </w:p>
                          <w:p w14:paraId="43DB0096"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w:t>
                            </w:r>
                            <w:r>
                              <w:rPr>
                                <w:rFonts w:ascii="Times New Roman" w:hAnsi="Times New Roman" w:cs="Times New Roman"/>
                                <w:b/>
                                <w:color w:val="000000" w:themeColor="text1"/>
                              </w:rPr>
                              <w:t>ata e fillim</w:t>
                            </w:r>
                            <w:r w:rsidRPr="00EF5479">
                              <w:rPr>
                                <w:rFonts w:ascii="Times New Roman" w:hAnsi="Times New Roman" w:cs="Times New Roman"/>
                                <w:b/>
                                <w:color w:val="000000" w:themeColor="text1"/>
                              </w:rPr>
                              <w:t>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23 Prill 2005</w:t>
                            </w:r>
                          </w:p>
                          <w:p w14:paraId="43B24C3D"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22 vite</w:t>
                            </w:r>
                          </w:p>
                          <w:p w14:paraId="2A23A085"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Operim&amp; Ndërtim</w:t>
                            </w:r>
                          </w:p>
                          <w:p w14:paraId="33D1D86C" w14:textId="77777777" w:rsidR="0025668C" w:rsidRDefault="0025668C" w:rsidP="00AE5915">
                            <w:pPr>
                              <w:rPr>
                                <w:color w:val="808080" w:themeColor="background1" w:themeShade="8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25F362" id="Text Box 44" o:spid="_x0000_s1035" type="#_x0000_t202" style="position:absolute;left:0;text-align:left;margin-left:211.3pt;margin-top:5.1pt;width:262.5pt;height:166.3pt;z-index:-251650048;visibility:visible;mso-wrap-style:square;mso-width-percent:0;mso-height-percent:0;mso-wrap-distance-left:7.2pt;mso-wrap-distance-top:7.2pt;mso-wrap-distance-right:25.2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" fillcolor="#eeece1 [3214]" strokecolor="#c4bc96 [2414]" strokeweight=".5pt">
                <v:fill r:id="rId10" o:title="" color2="white [3212]" type="pattern"/>
                <v:stroke endcap="round"/>
                <v:textbox inset="14.4pt,0,10.8pt,0">
                  <w:txbxContent>
                    <w:p w:rsidR="0025668C" w:rsidRPr="00EF5479" w:rsidRDefault="0025668C" w:rsidP="00AE5915">
                      <w:pPr>
                        <w:pBdr>
                          <w:left w:val="single" w:sz="80" w:space="3" w:color="7F7F7F" w:themeColor="text1" w:themeTint="80"/>
                          <w:bottom w:val="single" w:sz="8" w:space="3" w:color="7F7F7F" w:themeColor="text1" w:themeTint="80"/>
                        </w:pBdr>
                        <w:spacing w:before="40" w:line="288" w:lineRule="auto"/>
                        <w:jc w:val="center"/>
                        <w:rPr>
                          <w:rFonts w:ascii="Times New Roman" w:hAnsi="Times New Roman" w:cs="Times New Roman"/>
                          <w:b/>
                          <w:i/>
                          <w:color w:val="4A442A" w:themeColor="background2" w:themeShade="40"/>
                          <w:sz w:val="16"/>
                          <w:szCs w:val="27"/>
                        </w:rPr>
                      </w:pPr>
                      <w:r w:rsidRPr="00EF5479">
                        <w:rPr>
                          <w:rFonts w:ascii="Times New Roman" w:hAnsi="Times New Roman" w:cs="Times New Roman"/>
                          <w:b/>
                          <w:color w:val="4A442A" w:themeColor="background2" w:themeShade="40"/>
                          <w:sz w:val="18"/>
                          <w:szCs w:val="28"/>
                          <w:lang w:val="en-US"/>
                        </w:rPr>
                        <w:t>Kontrata Koncesionare “</w:t>
                      </w:r>
                      <w:r>
                        <w:rPr>
                          <w:rFonts w:ascii="Times New Roman" w:hAnsi="Times New Roman" w:cs="Times New Roman"/>
                          <w:b/>
                          <w:color w:val="4A442A" w:themeColor="background2" w:themeShade="40"/>
                          <w:sz w:val="18"/>
                          <w:szCs w:val="28"/>
                          <w:lang w:val="en-US"/>
                        </w:rPr>
                        <w:t>Ndërtimi, vënia në punë, operimi dhe mirëmbajtja e aeroportit “Nënë Tereza</w:t>
                      </w:r>
                      <w:r w:rsidRPr="00EF5479">
                        <w:rPr>
                          <w:rFonts w:ascii="Times New Roman" w:hAnsi="Times New Roman" w:cs="Times New Roman"/>
                          <w:b/>
                          <w:sz w:val="18"/>
                          <w:szCs w:val="28"/>
                          <w:lang w:val="en-US"/>
                        </w:rPr>
                        <w:t>”</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Pr>
                          <w:rFonts w:ascii="Times New Roman" w:hAnsi="Times New Roman" w:cs="Times New Roman"/>
                          <w:b/>
                          <w:color w:val="000000" w:themeColor="text1"/>
                        </w:rPr>
                        <w:t xml:space="preserve"> OSHA (</w:t>
                      </w:r>
                      <w:r>
                        <w:rPr>
                          <w:rFonts w:ascii="Times New Roman" w:hAnsi="Times New Roman" w:cs="Times New Roman"/>
                          <w:color w:val="000000" w:themeColor="text1"/>
                        </w:rPr>
                        <w:t>Ministria e Infrastrukturës dhe Energjisë dhe Ministria e Financave dhe Ekonomisë)</w:t>
                      </w:r>
                    </w:p>
                    <w:p w:rsidR="0025668C" w:rsidRPr="0085099D" w:rsidRDefault="0025668C" w:rsidP="0085099D">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Tirana International Airport sh.p.k                 </w:t>
                      </w:r>
                      <w:r w:rsidRPr="0085099D">
                        <w:rPr>
                          <w:rFonts w:ascii="Times New Roman" w:hAnsi="Times New Roman" w:cs="Times New Roman"/>
                          <w:b/>
                          <w:color w:val="000000" w:themeColor="text1"/>
                        </w:rPr>
                        <w:t>Vlera e Investimit:</w:t>
                      </w:r>
                      <w:r w:rsidRPr="0085099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Pr>
                          <w:rFonts w:ascii="Times New Roman" w:hAnsi="Times New Roman"/>
                          <w:sz w:val="24"/>
                          <w:szCs w:val="24"/>
                        </w:rPr>
                        <w:t>9.1 miliardë Lekë</w:t>
                      </w:r>
                      <w:r w:rsidRPr="0085099D">
                        <w:rPr>
                          <w:rFonts w:ascii="Times New Roman" w:hAnsi="Times New Roman" w:cs="Times New Roman"/>
                          <w:color w:val="000000" w:themeColor="text1"/>
                        </w:rPr>
                        <w:t xml:space="preserve">        </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w:t>
                      </w:r>
                      <w:r>
                        <w:rPr>
                          <w:rFonts w:ascii="Times New Roman" w:hAnsi="Times New Roman" w:cs="Times New Roman"/>
                          <w:b/>
                          <w:color w:val="000000" w:themeColor="text1"/>
                        </w:rPr>
                        <w:t>ata e fillim</w:t>
                      </w:r>
                      <w:r w:rsidRPr="00EF5479">
                        <w:rPr>
                          <w:rFonts w:ascii="Times New Roman" w:hAnsi="Times New Roman" w:cs="Times New Roman"/>
                          <w:b/>
                          <w:color w:val="000000" w:themeColor="text1"/>
                        </w:rPr>
                        <w:t>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23 Prill 2005</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22 vite</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Operim&amp; Ndërtim</w:t>
                      </w:r>
                    </w:p>
                    <w:p w:rsidR="0025668C" w:rsidRDefault="0025668C" w:rsidP="00AE5915">
                      <w:pPr>
                        <w:rPr>
                          <w:color w:val="808080" w:themeColor="background1" w:themeShade="80"/>
                        </w:rPr>
                      </w:pPr>
                    </w:p>
                  </w:txbxContent>
                </v:textbox>
                <w10:wrap type="tight" anchorx="margin"/>
              </v:shape>
            </w:pict>
          </mc:Fallback>
        </mc:AlternateContent>
      </w:r>
      <w:r w:rsidR="00F42715" w:rsidRPr="009B6417">
        <w:rPr>
          <w:rFonts w:ascii="Times New Roman" w:hAnsi="Times New Roman" w:cs="Times New Roman"/>
          <w:sz w:val="24"/>
          <w:szCs w:val="24"/>
        </w:rPr>
        <w:t>Aeroporti i Rinasit, sot i quajtur Tirana International Airport "Nënë Tereza" është ndërt</w:t>
      </w:r>
      <w:r w:rsidR="002A5B5F">
        <w:rPr>
          <w:rFonts w:ascii="Times New Roman" w:hAnsi="Times New Roman" w:cs="Times New Roman"/>
          <w:sz w:val="24"/>
          <w:szCs w:val="24"/>
        </w:rPr>
        <w:t>uar gjatë periudhës kohore 1955</w:t>
      </w:r>
      <w:r w:rsidR="00F42715" w:rsidRPr="009B6417">
        <w:rPr>
          <w:rFonts w:ascii="Times New Roman" w:hAnsi="Times New Roman" w:cs="Times New Roman"/>
          <w:sz w:val="24"/>
          <w:szCs w:val="24"/>
        </w:rPr>
        <w:t xml:space="preserve">-1957. </w:t>
      </w:r>
    </w:p>
    <w:p w14:paraId="7521DF1E" w14:textId="77777777" w:rsidR="008C48B8" w:rsidRPr="009B6417" w:rsidRDefault="00F42715" w:rsidP="00297097">
      <w:pPr>
        <w:spacing w:after="0"/>
        <w:ind w:left="-90"/>
        <w:jc w:val="both"/>
        <w:rPr>
          <w:rFonts w:ascii="Times New Roman" w:hAnsi="Times New Roman" w:cs="Times New Roman"/>
          <w:sz w:val="24"/>
          <w:szCs w:val="24"/>
        </w:rPr>
      </w:pPr>
      <w:r w:rsidRPr="009B6417">
        <w:rPr>
          <w:rFonts w:ascii="Times New Roman" w:hAnsi="Times New Roman" w:cs="Times New Roman"/>
          <w:sz w:val="24"/>
          <w:szCs w:val="24"/>
        </w:rPr>
        <w:t>Si rrjedhojë e ndryshimeve politike dhe sociale në Shqipëri gjatë viteve 1992 - 2000 u rrit numri i fluturimeve dhe kompanive ajrore që operonin në Shqipëri. Duke u ballafaquar me nevojat për zhvillim të mëtejshëm të Tirana International Airport "Nënë Tereza", Këshilli i Ministrave vendosi të shpallë për investitorët ndërkombëtarë ndërtimin e një terminali të ri dhe shërbimeve të tjera, si dhe operimin e aeroportit. Procedurat konkurruese u mbyllën në fund të vitit 2003 dhe në datën 23 Prill 2005 Tirana International Airport filloi operimet tek Tirana International Airport "Nënë Tereza".</w:t>
      </w:r>
      <w:r w:rsidR="003F07C3" w:rsidRPr="009B6417">
        <w:rPr>
          <w:rFonts w:ascii="Times New Roman" w:hAnsi="Times New Roman" w:cs="Times New Roman"/>
          <w:sz w:val="24"/>
          <w:szCs w:val="24"/>
        </w:rPr>
        <w:t xml:space="preserve"> Ky projekt </w:t>
      </w:r>
      <w:r w:rsidR="00B5371D" w:rsidRPr="009B6417">
        <w:rPr>
          <w:rFonts w:ascii="Times New Roman" w:hAnsi="Times New Roman" w:cs="Times New Roman"/>
          <w:sz w:val="24"/>
          <w:szCs w:val="24"/>
        </w:rPr>
        <w:t>ka nj</w:t>
      </w:r>
      <w:r w:rsidR="003B35CF" w:rsidRPr="009B6417">
        <w:rPr>
          <w:rFonts w:ascii="Times New Roman" w:hAnsi="Times New Roman" w:cs="Times New Roman"/>
          <w:sz w:val="24"/>
          <w:szCs w:val="24"/>
        </w:rPr>
        <w:t>ë</w:t>
      </w:r>
      <w:r w:rsidR="00B5371D" w:rsidRPr="009B6417">
        <w:rPr>
          <w:rFonts w:ascii="Times New Roman" w:hAnsi="Times New Roman" w:cs="Times New Roman"/>
          <w:sz w:val="24"/>
          <w:szCs w:val="24"/>
        </w:rPr>
        <w:t xml:space="preserve"> koh</w:t>
      </w:r>
      <w:r w:rsidR="003B35CF" w:rsidRPr="009B6417">
        <w:rPr>
          <w:rFonts w:ascii="Times New Roman" w:hAnsi="Times New Roman" w:cs="Times New Roman"/>
          <w:sz w:val="24"/>
          <w:szCs w:val="24"/>
        </w:rPr>
        <w:t>ë</w:t>
      </w:r>
      <w:r w:rsidR="00B5371D" w:rsidRPr="009B6417">
        <w:rPr>
          <w:rFonts w:ascii="Times New Roman" w:hAnsi="Times New Roman" w:cs="Times New Roman"/>
          <w:sz w:val="24"/>
          <w:szCs w:val="24"/>
        </w:rPr>
        <w:t>zgjatj</w:t>
      </w:r>
      <w:r w:rsidR="0000180B" w:rsidRPr="009B6417">
        <w:rPr>
          <w:rFonts w:ascii="Times New Roman" w:hAnsi="Times New Roman" w:cs="Times New Roman"/>
          <w:sz w:val="24"/>
          <w:szCs w:val="24"/>
        </w:rPr>
        <w:t>e prej 22 vite</w:t>
      </w:r>
      <w:r w:rsidR="003B109C" w:rsidRPr="009B6417">
        <w:rPr>
          <w:rFonts w:ascii="Times New Roman" w:hAnsi="Times New Roman" w:cs="Times New Roman"/>
          <w:sz w:val="24"/>
          <w:szCs w:val="24"/>
        </w:rPr>
        <w:t>sh</w:t>
      </w:r>
      <w:r w:rsidR="0000180B" w:rsidRPr="009B6417">
        <w:rPr>
          <w:rFonts w:ascii="Times New Roman" w:hAnsi="Times New Roman" w:cs="Times New Roman"/>
          <w:sz w:val="24"/>
          <w:szCs w:val="24"/>
        </w:rPr>
        <w:t>, me maksimum koh</w:t>
      </w:r>
      <w:r w:rsidR="00C743C1" w:rsidRPr="009B6417">
        <w:rPr>
          <w:rFonts w:ascii="Times New Roman" w:hAnsi="Times New Roman" w:cs="Times New Roman"/>
          <w:sz w:val="24"/>
          <w:szCs w:val="24"/>
        </w:rPr>
        <w:t>ë</w:t>
      </w:r>
      <w:r w:rsidR="00B5371D" w:rsidRPr="009B6417">
        <w:rPr>
          <w:rFonts w:ascii="Times New Roman" w:hAnsi="Times New Roman" w:cs="Times New Roman"/>
          <w:sz w:val="24"/>
          <w:szCs w:val="24"/>
        </w:rPr>
        <w:t>zgjatje 4.5 vjet n</w:t>
      </w:r>
      <w:r w:rsidR="003B35CF" w:rsidRPr="009B6417">
        <w:rPr>
          <w:rFonts w:ascii="Times New Roman" w:hAnsi="Times New Roman" w:cs="Times New Roman"/>
          <w:sz w:val="24"/>
          <w:szCs w:val="24"/>
        </w:rPr>
        <w:t>ë</w:t>
      </w:r>
      <w:r w:rsidR="00B5371D" w:rsidRPr="009B6417">
        <w:rPr>
          <w:rFonts w:ascii="Times New Roman" w:hAnsi="Times New Roman" w:cs="Times New Roman"/>
          <w:sz w:val="24"/>
          <w:szCs w:val="24"/>
        </w:rPr>
        <w:t xml:space="preserve"> var</w:t>
      </w:r>
      <w:r w:rsidR="003B35CF" w:rsidRPr="009B6417">
        <w:rPr>
          <w:rFonts w:ascii="Times New Roman" w:hAnsi="Times New Roman" w:cs="Times New Roman"/>
          <w:sz w:val="24"/>
          <w:szCs w:val="24"/>
        </w:rPr>
        <w:t>ë</w:t>
      </w:r>
      <w:r w:rsidR="00B5371D" w:rsidRPr="009B6417">
        <w:rPr>
          <w:rFonts w:ascii="Times New Roman" w:hAnsi="Times New Roman" w:cs="Times New Roman"/>
          <w:sz w:val="24"/>
          <w:szCs w:val="24"/>
        </w:rPr>
        <w:t>si t</w:t>
      </w:r>
      <w:r w:rsidR="003B35CF" w:rsidRPr="009B6417">
        <w:rPr>
          <w:rFonts w:ascii="Times New Roman" w:hAnsi="Times New Roman" w:cs="Times New Roman"/>
          <w:sz w:val="24"/>
          <w:szCs w:val="24"/>
        </w:rPr>
        <w:t>ë</w:t>
      </w:r>
      <w:r w:rsidR="00B5371D" w:rsidRPr="009B6417">
        <w:rPr>
          <w:rFonts w:ascii="Times New Roman" w:hAnsi="Times New Roman" w:cs="Times New Roman"/>
          <w:sz w:val="24"/>
          <w:szCs w:val="24"/>
        </w:rPr>
        <w:t xml:space="preserve"> operimit t</w:t>
      </w:r>
      <w:r w:rsidR="003B35CF" w:rsidRPr="009B6417">
        <w:rPr>
          <w:rFonts w:ascii="Times New Roman" w:hAnsi="Times New Roman" w:cs="Times New Roman"/>
          <w:sz w:val="24"/>
          <w:szCs w:val="24"/>
        </w:rPr>
        <w:t>ë</w:t>
      </w:r>
      <w:r w:rsidR="00B5371D" w:rsidRPr="009B6417">
        <w:rPr>
          <w:rFonts w:ascii="Times New Roman" w:hAnsi="Times New Roman" w:cs="Times New Roman"/>
          <w:sz w:val="24"/>
          <w:szCs w:val="24"/>
        </w:rPr>
        <w:t xml:space="preserve"> nj</w:t>
      </w:r>
      <w:r w:rsidR="003B35CF" w:rsidRPr="009B6417">
        <w:rPr>
          <w:rFonts w:ascii="Times New Roman" w:hAnsi="Times New Roman" w:cs="Times New Roman"/>
          <w:sz w:val="24"/>
          <w:szCs w:val="24"/>
        </w:rPr>
        <w:t>ë</w:t>
      </w:r>
      <w:r w:rsidR="00B5371D" w:rsidRPr="009B6417">
        <w:rPr>
          <w:rFonts w:ascii="Times New Roman" w:hAnsi="Times New Roman" w:cs="Times New Roman"/>
          <w:sz w:val="24"/>
          <w:szCs w:val="24"/>
        </w:rPr>
        <w:t xml:space="preserve"> aeroporti t</w:t>
      </w:r>
      <w:r w:rsidR="003B35CF" w:rsidRPr="009B6417">
        <w:rPr>
          <w:rFonts w:ascii="Times New Roman" w:hAnsi="Times New Roman" w:cs="Times New Roman"/>
          <w:sz w:val="24"/>
          <w:szCs w:val="24"/>
        </w:rPr>
        <w:t>ë</w:t>
      </w:r>
      <w:r w:rsidR="00297097">
        <w:rPr>
          <w:rFonts w:ascii="Times New Roman" w:hAnsi="Times New Roman" w:cs="Times New Roman"/>
          <w:sz w:val="24"/>
          <w:szCs w:val="24"/>
        </w:rPr>
        <w:t xml:space="preserve"> ri tregtar.</w:t>
      </w:r>
    </w:p>
    <w:p w14:paraId="2F7971D8" w14:textId="77777777" w:rsidR="000F7B0C" w:rsidRDefault="00C80269" w:rsidP="009D04CF">
      <w:pPr>
        <w:spacing w:after="0"/>
        <w:ind w:left="-90"/>
        <w:jc w:val="both"/>
        <w:rPr>
          <w:rFonts w:ascii="Times New Roman" w:hAnsi="Times New Roman" w:cs="Times New Roman"/>
          <w:sz w:val="24"/>
          <w:szCs w:val="24"/>
        </w:rPr>
      </w:pPr>
      <w:r w:rsidRPr="009B6417">
        <w:rPr>
          <w:rFonts w:ascii="Times New Roman" w:hAnsi="Times New Roman" w:cs="Times New Roman"/>
          <w:sz w:val="24"/>
          <w:szCs w:val="24"/>
        </w:rPr>
        <w:lastRenderedPageBreak/>
        <w:t>Projekti konsiston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zhvillimin e dy fazave A dhe B ku p</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rfshihet projektimi, financimi, operimi, nd</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rtimi, v</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nia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pun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mir</w:t>
      </w:r>
      <w:r w:rsidR="003B35CF" w:rsidRPr="009B6417">
        <w:rPr>
          <w:rFonts w:ascii="Times New Roman" w:hAnsi="Times New Roman" w:cs="Times New Roman"/>
          <w:sz w:val="24"/>
          <w:szCs w:val="24"/>
        </w:rPr>
        <w:t>ë</w:t>
      </w:r>
      <w:r w:rsidR="009C211E" w:rsidRPr="009B6417">
        <w:rPr>
          <w:rFonts w:ascii="Times New Roman" w:hAnsi="Times New Roman" w:cs="Times New Roman"/>
          <w:sz w:val="24"/>
          <w:szCs w:val="24"/>
        </w:rPr>
        <w:t>mbajtja dhe administrimi/</w:t>
      </w:r>
      <w:r w:rsidRPr="009B6417">
        <w:rPr>
          <w:rFonts w:ascii="Times New Roman" w:hAnsi="Times New Roman" w:cs="Times New Roman"/>
          <w:sz w:val="24"/>
          <w:szCs w:val="24"/>
        </w:rPr>
        <w:t>zhvillimi i terminalit 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ri 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aeroportit, duke lejuar zgjerimin e tij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t</w:t>
      </w:r>
      <w:r w:rsidR="003B35CF" w:rsidRPr="009B6417">
        <w:rPr>
          <w:rFonts w:ascii="Times New Roman" w:hAnsi="Times New Roman" w:cs="Times New Roman"/>
          <w:sz w:val="24"/>
          <w:szCs w:val="24"/>
        </w:rPr>
        <w:t>ë</w:t>
      </w:r>
      <w:r w:rsidR="009D04CF">
        <w:rPr>
          <w:rFonts w:ascii="Times New Roman" w:hAnsi="Times New Roman" w:cs="Times New Roman"/>
          <w:sz w:val="24"/>
          <w:szCs w:val="24"/>
        </w:rPr>
        <w:t xml:space="preserve"> ardhmen.</w:t>
      </w:r>
    </w:p>
    <w:p w14:paraId="61114442" w14:textId="77777777" w:rsidR="000F7B0C" w:rsidRPr="009B6417" w:rsidRDefault="000F7B0C" w:rsidP="005D3EF5">
      <w:pPr>
        <w:spacing w:after="0"/>
        <w:ind w:left="-90"/>
        <w:jc w:val="both"/>
        <w:rPr>
          <w:rFonts w:ascii="Times New Roman" w:hAnsi="Times New Roman" w:cs="Times New Roman"/>
          <w:sz w:val="24"/>
          <w:szCs w:val="24"/>
        </w:rPr>
      </w:pPr>
    </w:p>
    <w:p w14:paraId="6E747B2E" w14:textId="77777777" w:rsidR="00F9692A" w:rsidRPr="009B6417" w:rsidRDefault="00AE5915" w:rsidP="00297097">
      <w:pPr>
        <w:pStyle w:val="ListParagraph"/>
        <w:numPr>
          <w:ilvl w:val="2"/>
          <w:numId w:val="10"/>
        </w:numPr>
        <w:spacing w:after="0"/>
        <w:ind w:left="630"/>
        <w:jc w:val="both"/>
        <w:rPr>
          <w:rFonts w:ascii="Times New Roman" w:hAnsi="Times New Roman" w:cs="Times New Roman"/>
          <w:sz w:val="24"/>
          <w:szCs w:val="24"/>
        </w:rPr>
      </w:pPr>
      <w:r w:rsidRPr="009B6417">
        <w:rPr>
          <w:rFonts w:ascii="Times New Roman" w:eastAsia="Times New Roman" w:hAnsi="Times New Roman" w:cs="Times New Roman"/>
          <w:b/>
          <w:i/>
          <w:sz w:val="24"/>
          <w:szCs w:val="24"/>
        </w:rPr>
        <w:t xml:space="preserve"> Performanca e projektit dhe lloji i financimit</w:t>
      </w:r>
    </w:p>
    <w:p w14:paraId="05A68070" w14:textId="77777777" w:rsidR="005D3EF5" w:rsidRDefault="00C80269" w:rsidP="00297097">
      <w:pPr>
        <w:spacing w:after="0"/>
        <w:jc w:val="both"/>
        <w:rPr>
          <w:rFonts w:ascii="Times New Roman" w:hAnsi="Times New Roman" w:cs="Times New Roman"/>
          <w:sz w:val="24"/>
          <w:szCs w:val="24"/>
        </w:rPr>
      </w:pPr>
      <w:r w:rsidRPr="009B6417">
        <w:rPr>
          <w:rFonts w:ascii="Times New Roman" w:hAnsi="Times New Roman" w:cs="Times New Roman"/>
          <w:sz w:val="24"/>
          <w:szCs w:val="24"/>
        </w:rPr>
        <w:t xml:space="preserve">Aktualisht projekti </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sht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faz</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n e operimit. Shoq</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ria koncesionare TIA shp.k, ka dor</w:t>
      </w:r>
      <w:r w:rsidR="003B35CF" w:rsidRPr="009B6417">
        <w:rPr>
          <w:rFonts w:ascii="Times New Roman" w:hAnsi="Times New Roman" w:cs="Times New Roman"/>
          <w:sz w:val="24"/>
          <w:szCs w:val="24"/>
        </w:rPr>
        <w:t>ë</w:t>
      </w:r>
      <w:r w:rsidR="003B109C" w:rsidRPr="009B6417">
        <w:rPr>
          <w:rFonts w:ascii="Times New Roman" w:hAnsi="Times New Roman" w:cs="Times New Roman"/>
          <w:sz w:val="24"/>
          <w:szCs w:val="24"/>
        </w:rPr>
        <w:t>zuar  Masterp</w:t>
      </w:r>
      <w:r w:rsidRPr="009B6417">
        <w:rPr>
          <w:rFonts w:ascii="Times New Roman" w:hAnsi="Times New Roman" w:cs="Times New Roman"/>
          <w:sz w:val="24"/>
          <w:szCs w:val="24"/>
        </w:rPr>
        <w:t>lanin  e p</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rdit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suar 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Aeroportit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p</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rputhje me k</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rkesat e vendosura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Shtojc</w:t>
      </w:r>
      <w:r w:rsidR="003B35CF" w:rsidRPr="009B6417">
        <w:rPr>
          <w:rFonts w:ascii="Times New Roman" w:hAnsi="Times New Roman" w:cs="Times New Roman"/>
          <w:sz w:val="24"/>
          <w:szCs w:val="24"/>
        </w:rPr>
        <w:t>ë</w:t>
      </w:r>
      <w:r w:rsidR="00F93B99" w:rsidRPr="009B6417">
        <w:rPr>
          <w:rFonts w:ascii="Times New Roman" w:hAnsi="Times New Roman" w:cs="Times New Roman"/>
          <w:sz w:val="24"/>
          <w:szCs w:val="24"/>
        </w:rPr>
        <w:t>n 18</w:t>
      </w:r>
      <w:r w:rsidR="00B26FA5" w:rsidRPr="009B6417">
        <w:rPr>
          <w:rFonts w:ascii="Times New Roman" w:hAnsi="Times New Roman" w:cs="Times New Roman"/>
          <w:sz w:val="24"/>
          <w:szCs w:val="24"/>
        </w:rPr>
        <w:t xml:space="preserve"> të marrëveshjes koncesionare</w:t>
      </w:r>
      <w:r w:rsidR="00F93B99" w:rsidRPr="009B6417">
        <w:rPr>
          <w:rFonts w:ascii="Times New Roman" w:hAnsi="Times New Roman" w:cs="Times New Roman"/>
          <w:sz w:val="24"/>
          <w:szCs w:val="24"/>
        </w:rPr>
        <w:t xml:space="preserve"> (Master Pla</w:t>
      </w:r>
      <w:r w:rsidRPr="009B6417">
        <w:rPr>
          <w:rFonts w:ascii="Times New Roman" w:hAnsi="Times New Roman" w:cs="Times New Roman"/>
          <w:sz w:val="24"/>
          <w:szCs w:val="24"/>
        </w:rPr>
        <w:t>ni</w:t>
      </w:r>
      <w:r w:rsidR="005B60A3" w:rsidRPr="009B6417">
        <w:rPr>
          <w:rFonts w:ascii="Times New Roman" w:hAnsi="Times New Roman" w:cs="Times New Roman"/>
          <w:sz w:val="24"/>
          <w:szCs w:val="24"/>
        </w:rPr>
        <w:t xml:space="preserve"> dhe Planifikimi i Mjediseve). </w:t>
      </w:r>
      <w:r w:rsidRPr="009B6417">
        <w:rPr>
          <w:rFonts w:ascii="Times New Roman" w:hAnsi="Times New Roman" w:cs="Times New Roman"/>
          <w:sz w:val="24"/>
          <w:szCs w:val="24"/>
        </w:rPr>
        <w:t>P</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rgjat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dy fazave </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sht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realizuar rip</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ritja, v</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nia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pun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dhe mir</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mbajtja e terminalit ekzistues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p</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rputhje me k</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rkesat e vendosura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Shtojc</w:t>
      </w:r>
      <w:r w:rsidR="003B35CF" w:rsidRPr="009B6417">
        <w:rPr>
          <w:rFonts w:ascii="Times New Roman" w:hAnsi="Times New Roman" w:cs="Times New Roman"/>
          <w:sz w:val="24"/>
          <w:szCs w:val="24"/>
        </w:rPr>
        <w:t>ë</w:t>
      </w:r>
      <w:r w:rsidR="008F71F2" w:rsidRPr="009B6417">
        <w:rPr>
          <w:rFonts w:ascii="Times New Roman" w:hAnsi="Times New Roman" w:cs="Times New Roman"/>
          <w:sz w:val="24"/>
          <w:szCs w:val="24"/>
        </w:rPr>
        <w:t>n 21 t</w:t>
      </w:r>
      <w:r w:rsidR="006A445E" w:rsidRPr="009B6417">
        <w:rPr>
          <w:rFonts w:ascii="Times New Roman" w:hAnsi="Times New Roman" w:cs="Times New Roman"/>
          <w:sz w:val="24"/>
          <w:szCs w:val="24"/>
        </w:rPr>
        <w:t>ë</w:t>
      </w:r>
      <w:r w:rsidR="008F71F2" w:rsidRPr="009B6417">
        <w:rPr>
          <w:rFonts w:ascii="Times New Roman" w:hAnsi="Times New Roman" w:cs="Times New Roman"/>
          <w:sz w:val="24"/>
          <w:szCs w:val="24"/>
        </w:rPr>
        <w:t xml:space="preserve"> marr</w:t>
      </w:r>
      <w:r w:rsidR="006A445E" w:rsidRPr="009B6417">
        <w:rPr>
          <w:rFonts w:ascii="Times New Roman" w:hAnsi="Times New Roman" w:cs="Times New Roman"/>
          <w:sz w:val="24"/>
          <w:szCs w:val="24"/>
        </w:rPr>
        <w:t>ë</w:t>
      </w:r>
      <w:r w:rsidR="008F71F2" w:rsidRPr="009B6417">
        <w:rPr>
          <w:rFonts w:ascii="Times New Roman" w:hAnsi="Times New Roman" w:cs="Times New Roman"/>
          <w:sz w:val="24"/>
          <w:szCs w:val="24"/>
        </w:rPr>
        <w:t xml:space="preserve">veshjes koncesionare </w:t>
      </w:r>
      <w:r w:rsidRPr="009B6417">
        <w:rPr>
          <w:rFonts w:ascii="Times New Roman" w:hAnsi="Times New Roman" w:cs="Times New Roman"/>
          <w:sz w:val="24"/>
          <w:szCs w:val="24"/>
        </w:rPr>
        <w:t>(Terminali Ekzistues), si dhe ka p</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rfunduar nd</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rtimi dhe v</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nia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pun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e </w:t>
      </w:r>
      <w:r w:rsidR="003B109C" w:rsidRPr="009B6417">
        <w:rPr>
          <w:rFonts w:ascii="Times New Roman" w:hAnsi="Times New Roman" w:cs="Times New Roman"/>
          <w:sz w:val="24"/>
          <w:szCs w:val="24"/>
        </w:rPr>
        <w:t>qe</w:t>
      </w:r>
      <w:r w:rsidRPr="009B6417">
        <w:rPr>
          <w:rFonts w:ascii="Times New Roman" w:hAnsi="Times New Roman" w:cs="Times New Roman"/>
          <w:sz w:val="24"/>
          <w:szCs w:val="24"/>
        </w:rPr>
        <w:t>ndr</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s s</w:t>
      </w:r>
      <w:r w:rsidR="003B35CF" w:rsidRPr="009B6417">
        <w:rPr>
          <w:rFonts w:ascii="Times New Roman" w:hAnsi="Times New Roman" w:cs="Times New Roman"/>
          <w:sz w:val="24"/>
          <w:szCs w:val="24"/>
        </w:rPr>
        <w:t>ë</w:t>
      </w:r>
      <w:r w:rsidR="003B109C" w:rsidRPr="009B6417">
        <w:rPr>
          <w:rFonts w:ascii="Times New Roman" w:hAnsi="Times New Roman" w:cs="Times New Roman"/>
          <w:sz w:val="24"/>
          <w:szCs w:val="24"/>
        </w:rPr>
        <w:t xml:space="preserve"> r</w:t>
      </w:r>
      <w:r w:rsidRPr="009B6417">
        <w:rPr>
          <w:rFonts w:ascii="Times New Roman" w:hAnsi="Times New Roman" w:cs="Times New Roman"/>
          <w:sz w:val="24"/>
          <w:szCs w:val="24"/>
        </w:rPr>
        <w:t>e 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kargos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p</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rputhje me k</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rkesat e vendosura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Shtojc</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n 22</w:t>
      </w:r>
      <w:r w:rsidR="008F71F2" w:rsidRPr="009B6417">
        <w:rPr>
          <w:rFonts w:ascii="Times New Roman" w:hAnsi="Times New Roman" w:cs="Times New Roman"/>
          <w:sz w:val="24"/>
          <w:szCs w:val="24"/>
        </w:rPr>
        <w:t xml:space="preserve"> t</w:t>
      </w:r>
      <w:r w:rsidR="006A445E" w:rsidRPr="009B6417">
        <w:rPr>
          <w:rFonts w:ascii="Times New Roman" w:hAnsi="Times New Roman" w:cs="Times New Roman"/>
          <w:sz w:val="24"/>
          <w:szCs w:val="24"/>
        </w:rPr>
        <w:t>ë</w:t>
      </w:r>
      <w:r w:rsidR="008F71F2" w:rsidRPr="009B6417">
        <w:rPr>
          <w:rFonts w:ascii="Times New Roman" w:hAnsi="Times New Roman" w:cs="Times New Roman"/>
          <w:sz w:val="24"/>
          <w:szCs w:val="24"/>
        </w:rPr>
        <w:t xml:space="preserve"> marr</w:t>
      </w:r>
      <w:r w:rsidR="006A445E" w:rsidRPr="009B6417">
        <w:rPr>
          <w:rFonts w:ascii="Times New Roman" w:hAnsi="Times New Roman" w:cs="Times New Roman"/>
          <w:sz w:val="24"/>
          <w:szCs w:val="24"/>
        </w:rPr>
        <w:t>ë</w:t>
      </w:r>
      <w:r w:rsidR="008F71F2" w:rsidRPr="009B6417">
        <w:rPr>
          <w:rFonts w:ascii="Times New Roman" w:hAnsi="Times New Roman" w:cs="Times New Roman"/>
          <w:sz w:val="24"/>
          <w:szCs w:val="24"/>
        </w:rPr>
        <w:t>veshjes koncesionare</w:t>
      </w:r>
      <w:r w:rsidRPr="009B6417">
        <w:rPr>
          <w:rFonts w:ascii="Times New Roman" w:hAnsi="Times New Roman" w:cs="Times New Roman"/>
          <w:sz w:val="24"/>
          <w:szCs w:val="24"/>
        </w:rPr>
        <w:t xml:space="preserve"> (Faza A e Q</w:t>
      </w:r>
      <w:r w:rsidR="00B4198B" w:rsidRPr="009B6417">
        <w:rPr>
          <w:rFonts w:ascii="Times New Roman" w:hAnsi="Times New Roman" w:cs="Times New Roman"/>
          <w:sz w:val="24"/>
          <w:szCs w:val="24"/>
        </w:rPr>
        <w:t>e</w:t>
      </w:r>
      <w:r w:rsidRPr="009B6417">
        <w:rPr>
          <w:rFonts w:ascii="Times New Roman" w:hAnsi="Times New Roman" w:cs="Times New Roman"/>
          <w:sz w:val="24"/>
          <w:szCs w:val="24"/>
        </w:rPr>
        <w:t>ndr</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s s</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Re 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Kargos). Jan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p</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rmir</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suar rrug</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t lidh</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se 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pist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s, vendq</w:t>
      </w:r>
      <w:r w:rsidR="003B109C" w:rsidRPr="009B6417">
        <w:rPr>
          <w:rFonts w:ascii="Times New Roman" w:hAnsi="Times New Roman" w:cs="Times New Roman"/>
          <w:sz w:val="24"/>
          <w:szCs w:val="24"/>
        </w:rPr>
        <w:t>e</w:t>
      </w:r>
      <w:r w:rsidRPr="009B6417">
        <w:rPr>
          <w:rFonts w:ascii="Times New Roman" w:hAnsi="Times New Roman" w:cs="Times New Roman"/>
          <w:sz w:val="24"/>
          <w:szCs w:val="24"/>
        </w:rPr>
        <w:t>ndrimet e avion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ve  dhe rrug</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t lidh</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se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p</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rputhje me k</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rkesat e vendosura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Shtojc</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n 23</w:t>
      </w:r>
      <w:r w:rsidR="008F71F2" w:rsidRPr="009B6417">
        <w:rPr>
          <w:rFonts w:ascii="Times New Roman" w:hAnsi="Times New Roman" w:cs="Times New Roman"/>
          <w:sz w:val="24"/>
          <w:szCs w:val="24"/>
        </w:rPr>
        <w:t xml:space="preserve"> t</w:t>
      </w:r>
      <w:r w:rsidR="006A445E" w:rsidRPr="009B6417">
        <w:rPr>
          <w:rFonts w:ascii="Times New Roman" w:hAnsi="Times New Roman" w:cs="Times New Roman"/>
          <w:sz w:val="24"/>
          <w:szCs w:val="24"/>
        </w:rPr>
        <w:t>ë</w:t>
      </w:r>
      <w:r w:rsidR="008F71F2" w:rsidRPr="009B6417">
        <w:rPr>
          <w:rFonts w:ascii="Times New Roman" w:hAnsi="Times New Roman" w:cs="Times New Roman"/>
          <w:sz w:val="24"/>
          <w:szCs w:val="24"/>
        </w:rPr>
        <w:t xml:space="preserve"> marr</w:t>
      </w:r>
      <w:r w:rsidR="006A445E" w:rsidRPr="009B6417">
        <w:rPr>
          <w:rFonts w:ascii="Times New Roman" w:hAnsi="Times New Roman" w:cs="Times New Roman"/>
          <w:sz w:val="24"/>
          <w:szCs w:val="24"/>
        </w:rPr>
        <w:t>ë</w:t>
      </w:r>
      <w:r w:rsidR="008F71F2" w:rsidRPr="009B6417">
        <w:rPr>
          <w:rFonts w:ascii="Times New Roman" w:hAnsi="Times New Roman" w:cs="Times New Roman"/>
          <w:sz w:val="24"/>
          <w:szCs w:val="24"/>
        </w:rPr>
        <w:t>veshjes koncesionare</w:t>
      </w:r>
      <w:r w:rsidR="008C48B8" w:rsidRPr="009B6417">
        <w:rPr>
          <w:rFonts w:ascii="Times New Roman" w:hAnsi="Times New Roman" w:cs="Times New Roman"/>
          <w:sz w:val="24"/>
          <w:szCs w:val="24"/>
        </w:rPr>
        <w:t xml:space="preserve"> </w:t>
      </w:r>
      <w:r w:rsidRPr="009B6417">
        <w:rPr>
          <w:rFonts w:ascii="Times New Roman" w:hAnsi="Times New Roman" w:cs="Times New Roman"/>
          <w:sz w:val="24"/>
          <w:szCs w:val="24"/>
        </w:rPr>
        <w:t>(Infrastruktura e An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s Ajrore)</w:t>
      </w:r>
      <w:r w:rsidR="003B35CF" w:rsidRPr="009B6417">
        <w:rPr>
          <w:rFonts w:ascii="Times New Roman" w:hAnsi="Times New Roman" w:cs="Times New Roman"/>
          <w:sz w:val="24"/>
          <w:szCs w:val="24"/>
        </w:rPr>
        <w:t>.</w:t>
      </w:r>
      <w:r w:rsidRPr="009B6417">
        <w:rPr>
          <w:rFonts w:ascii="Times New Roman" w:hAnsi="Times New Roman" w:cs="Times New Roman"/>
          <w:sz w:val="24"/>
          <w:szCs w:val="24"/>
        </w:rPr>
        <w:t xml:space="preserve"> </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sht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p</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rfunduar dhe mir</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mbajtur Perimetri i Rrethimit 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Siguris</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s</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Aeroportit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p</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rputhje me k</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rkesat e vendosura n</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kontrat</w:t>
      </w:r>
      <w:r w:rsidR="003B35CF" w:rsidRPr="009B6417">
        <w:rPr>
          <w:rFonts w:ascii="Times New Roman" w:hAnsi="Times New Roman" w:cs="Times New Roman"/>
          <w:sz w:val="24"/>
          <w:szCs w:val="24"/>
        </w:rPr>
        <w:t>ë</w:t>
      </w:r>
      <w:r w:rsidRPr="009B6417">
        <w:rPr>
          <w:rFonts w:ascii="Times New Roman" w:hAnsi="Times New Roman" w:cs="Times New Roman"/>
          <w:sz w:val="24"/>
          <w:szCs w:val="24"/>
        </w:rPr>
        <w:t xml:space="preserve">. </w:t>
      </w:r>
      <w:r w:rsidR="003B35CF" w:rsidRPr="009B6417">
        <w:rPr>
          <w:rFonts w:ascii="Times New Roman" w:hAnsi="Times New Roman" w:cs="Times New Roman"/>
          <w:sz w:val="24"/>
          <w:szCs w:val="24"/>
        </w:rPr>
        <w:t>Autoriteti ka raportuar në lidhje me realizueshmërinë e indikatorëve të performa</w:t>
      </w:r>
      <w:r w:rsidR="002D5245" w:rsidRPr="009B6417">
        <w:rPr>
          <w:rFonts w:ascii="Times New Roman" w:hAnsi="Times New Roman" w:cs="Times New Roman"/>
          <w:sz w:val="24"/>
          <w:szCs w:val="24"/>
        </w:rPr>
        <w:t>n</w:t>
      </w:r>
      <w:r w:rsidR="005D3EF5" w:rsidRPr="009B6417">
        <w:rPr>
          <w:rFonts w:ascii="Times New Roman" w:hAnsi="Times New Roman" w:cs="Times New Roman"/>
          <w:sz w:val="24"/>
          <w:szCs w:val="24"/>
        </w:rPr>
        <w:t>cës si më poshtë:</w:t>
      </w:r>
    </w:p>
    <w:p w14:paraId="5F99EB61" w14:textId="77777777" w:rsidR="009D04CF" w:rsidRPr="009B6417" w:rsidRDefault="009D04CF" w:rsidP="00297097">
      <w:pPr>
        <w:spacing w:after="0"/>
        <w:jc w:val="both"/>
        <w:rPr>
          <w:rFonts w:ascii="Times New Roman" w:hAnsi="Times New Roman" w:cs="Times New Roman"/>
          <w:sz w:val="24"/>
          <w:szCs w:val="24"/>
        </w:rPr>
      </w:pPr>
    </w:p>
    <w:tbl>
      <w:tblPr>
        <w:tblStyle w:val="LightShading-Accent3"/>
        <w:tblW w:w="10080" w:type="dxa"/>
        <w:tblInd w:w="-5" w:type="dxa"/>
        <w:tblLook w:val="04A0" w:firstRow="1" w:lastRow="0" w:firstColumn="1" w:lastColumn="0" w:noHBand="0" w:noVBand="1"/>
      </w:tblPr>
      <w:tblGrid>
        <w:gridCol w:w="7133"/>
        <w:gridCol w:w="309"/>
        <w:gridCol w:w="2638"/>
      </w:tblGrid>
      <w:tr w:rsidR="003B35CF" w:rsidRPr="003C2F4F" w14:paraId="6D07CB00" w14:textId="77777777" w:rsidTr="005D3EF5">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7133" w:type="dxa"/>
            <w:tcBorders>
              <w:top w:val="single" w:sz="4" w:space="0" w:color="auto"/>
              <w:left w:val="single" w:sz="4" w:space="0" w:color="auto"/>
            </w:tcBorders>
          </w:tcPr>
          <w:p w14:paraId="2EE7C5E6" w14:textId="77777777" w:rsidR="003B35CF" w:rsidRPr="003C2F4F" w:rsidRDefault="003B35CF" w:rsidP="000F3207">
            <w:pPr>
              <w:spacing w:after="160"/>
              <w:jc w:val="both"/>
              <w:rPr>
                <w:rFonts w:ascii="Times New Roman" w:hAnsi="Times New Roman" w:cs="Times New Roman"/>
                <w:b w:val="0"/>
                <w:color w:val="000000" w:themeColor="text1"/>
                <w:sz w:val="20"/>
                <w:szCs w:val="24"/>
              </w:rPr>
            </w:pPr>
            <w:r w:rsidRPr="003C2F4F">
              <w:rPr>
                <w:rFonts w:ascii="Times New Roman" w:hAnsi="Times New Roman" w:cs="Times New Roman"/>
                <w:color w:val="000000" w:themeColor="text1"/>
                <w:sz w:val="20"/>
                <w:szCs w:val="24"/>
              </w:rPr>
              <w:t>Indikatorët kryesorë të performancës</w:t>
            </w:r>
          </w:p>
        </w:tc>
        <w:tc>
          <w:tcPr>
            <w:tcW w:w="2947" w:type="dxa"/>
            <w:gridSpan w:val="2"/>
            <w:tcBorders>
              <w:top w:val="single" w:sz="4" w:space="0" w:color="auto"/>
              <w:right w:val="single" w:sz="4" w:space="0" w:color="auto"/>
            </w:tcBorders>
          </w:tcPr>
          <w:p w14:paraId="0C9FE458" w14:textId="77777777" w:rsidR="003B35CF" w:rsidRPr="003C2F4F" w:rsidRDefault="003B35CF" w:rsidP="003B35CF">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4"/>
              </w:rPr>
            </w:pPr>
            <w:r w:rsidRPr="003C2F4F">
              <w:rPr>
                <w:rFonts w:ascii="Times New Roman" w:hAnsi="Times New Roman" w:cs="Times New Roman"/>
                <w:color w:val="000000" w:themeColor="text1"/>
                <w:sz w:val="20"/>
                <w:szCs w:val="24"/>
              </w:rPr>
              <w:t xml:space="preserve">Realizueshmëria </w:t>
            </w:r>
          </w:p>
        </w:tc>
      </w:tr>
      <w:tr w:rsidR="003B35CF" w:rsidRPr="003C2F4F" w14:paraId="666B859E" w14:textId="77777777" w:rsidTr="005D3EF5">
        <w:trPr>
          <w:cnfStyle w:val="000000100000" w:firstRow="0" w:lastRow="0" w:firstColumn="0" w:lastColumn="0" w:oddVBand="0" w:evenVBand="0" w:oddHBand="1" w:evenHBand="0" w:firstRowFirstColumn="0" w:firstRowLastColumn="0" w:lastRowFirstColumn="0" w:lastRowLastColumn="0"/>
          <w:trHeight w:hRule="exact" w:val="614"/>
        </w:trPr>
        <w:tc>
          <w:tcPr>
            <w:cnfStyle w:val="001000000000" w:firstRow="0" w:lastRow="0" w:firstColumn="1" w:lastColumn="0" w:oddVBand="0" w:evenVBand="0" w:oddHBand="0" w:evenHBand="0" w:firstRowFirstColumn="0" w:firstRowLastColumn="0" w:lastRowFirstColumn="0" w:lastRowLastColumn="0"/>
            <w:tcW w:w="7442" w:type="dxa"/>
            <w:gridSpan w:val="2"/>
            <w:tcBorders>
              <w:left w:val="single" w:sz="4" w:space="0" w:color="auto"/>
            </w:tcBorders>
            <w:shd w:val="clear" w:color="auto" w:fill="EEECE1" w:themeFill="background2"/>
          </w:tcPr>
          <w:p w14:paraId="5F03A055" w14:textId="77777777" w:rsidR="003B35CF" w:rsidRPr="003C2F4F" w:rsidRDefault="003B35CF" w:rsidP="000F3207">
            <w:pPr>
              <w:spacing w:after="160"/>
              <w:rPr>
                <w:rFonts w:ascii="Times New Roman" w:hAnsi="Times New Roman" w:cs="Times New Roman"/>
                <w:color w:val="auto"/>
                <w:sz w:val="20"/>
                <w:szCs w:val="24"/>
              </w:rPr>
            </w:pPr>
            <w:r w:rsidRPr="003C2F4F">
              <w:rPr>
                <w:rFonts w:ascii="Times New Roman" w:hAnsi="Times New Roman" w:cs="Times New Roman"/>
                <w:color w:val="auto"/>
                <w:sz w:val="20"/>
                <w:szCs w:val="24"/>
              </w:rPr>
              <w:t>Kriteret e Përmbushjes së performancës në zbatim të shtojcës 36 të Marrëveshjes së Koncesionit</w:t>
            </w:r>
          </w:p>
        </w:tc>
        <w:tc>
          <w:tcPr>
            <w:tcW w:w="2638" w:type="dxa"/>
            <w:tcBorders>
              <w:right w:val="single" w:sz="4" w:space="0" w:color="auto"/>
            </w:tcBorders>
            <w:shd w:val="clear" w:color="auto" w:fill="EEECE1" w:themeFill="background2"/>
          </w:tcPr>
          <w:p w14:paraId="292AB4EC" w14:textId="77777777" w:rsidR="003B35CF" w:rsidRPr="003C2F4F" w:rsidRDefault="0064180B" w:rsidP="000F3207">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Pr>
                <w:rFonts w:ascii="Times New Roman" w:hAnsi="Times New Roman" w:cs="Times New Roman"/>
                <w:color w:val="auto"/>
                <w:sz w:val="20"/>
                <w:szCs w:val="24"/>
              </w:rPr>
              <w:t>85</w:t>
            </w:r>
            <w:r w:rsidR="00CC5C49" w:rsidRPr="003C2F4F">
              <w:rPr>
                <w:rFonts w:ascii="Times New Roman" w:hAnsi="Times New Roman" w:cs="Times New Roman"/>
                <w:color w:val="auto"/>
                <w:sz w:val="20"/>
                <w:szCs w:val="24"/>
              </w:rPr>
              <w:t xml:space="preserve"> përqind</w:t>
            </w:r>
          </w:p>
        </w:tc>
      </w:tr>
      <w:tr w:rsidR="003B35CF" w:rsidRPr="003C2F4F" w14:paraId="3FA35210" w14:textId="77777777" w:rsidTr="005D3EF5">
        <w:trPr>
          <w:trHeight w:hRule="exact" w:val="315"/>
        </w:trPr>
        <w:tc>
          <w:tcPr>
            <w:cnfStyle w:val="001000000000" w:firstRow="0" w:lastRow="0" w:firstColumn="1" w:lastColumn="0" w:oddVBand="0" w:evenVBand="0" w:oddHBand="0" w:evenHBand="0" w:firstRowFirstColumn="0" w:firstRowLastColumn="0" w:lastRowFirstColumn="0" w:lastRowLastColumn="0"/>
            <w:tcW w:w="7442" w:type="dxa"/>
            <w:gridSpan w:val="2"/>
            <w:tcBorders>
              <w:left w:val="single" w:sz="4" w:space="0" w:color="auto"/>
            </w:tcBorders>
          </w:tcPr>
          <w:p w14:paraId="45F1EDF7" w14:textId="77777777" w:rsidR="003B35CF" w:rsidRPr="003C2F4F" w:rsidRDefault="003B35CF" w:rsidP="000F3207">
            <w:pPr>
              <w:spacing w:after="160"/>
              <w:ind w:left="-18"/>
              <w:jc w:val="both"/>
              <w:rPr>
                <w:rFonts w:ascii="Times New Roman" w:hAnsi="Times New Roman" w:cs="Times New Roman"/>
                <w:color w:val="auto"/>
                <w:sz w:val="20"/>
                <w:szCs w:val="24"/>
              </w:rPr>
            </w:pPr>
            <w:r w:rsidRPr="003C2F4F">
              <w:rPr>
                <w:rFonts w:ascii="Times New Roman" w:hAnsi="Times New Roman" w:cs="Times New Roman"/>
                <w:color w:val="auto"/>
                <w:sz w:val="20"/>
                <w:szCs w:val="24"/>
              </w:rPr>
              <w:t xml:space="preserve"> Infrastruktura nga ana e aerodromit, zgjerimi i rrugëve lidhëse</w:t>
            </w:r>
          </w:p>
        </w:tc>
        <w:tc>
          <w:tcPr>
            <w:tcW w:w="2638" w:type="dxa"/>
            <w:tcBorders>
              <w:right w:val="single" w:sz="4" w:space="0" w:color="auto"/>
            </w:tcBorders>
          </w:tcPr>
          <w:p w14:paraId="6D430853" w14:textId="77777777" w:rsidR="003B35CF" w:rsidRPr="003C2F4F" w:rsidRDefault="003B35CF" w:rsidP="000F3207">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3C2F4F">
              <w:rPr>
                <w:rFonts w:ascii="Times New Roman" w:hAnsi="Times New Roman" w:cs="Times New Roman"/>
                <w:color w:val="auto"/>
                <w:sz w:val="20"/>
                <w:szCs w:val="24"/>
              </w:rPr>
              <w:t>100</w:t>
            </w:r>
            <w:r w:rsidR="00CC5C49" w:rsidRPr="003C2F4F">
              <w:rPr>
                <w:rFonts w:ascii="Times New Roman" w:hAnsi="Times New Roman" w:cs="Times New Roman"/>
                <w:color w:val="auto"/>
                <w:sz w:val="20"/>
                <w:szCs w:val="24"/>
              </w:rPr>
              <w:t xml:space="preserve"> përqind</w:t>
            </w:r>
          </w:p>
        </w:tc>
      </w:tr>
      <w:tr w:rsidR="003B35CF" w:rsidRPr="003C2F4F" w14:paraId="21A22663" w14:textId="77777777" w:rsidTr="005D3EF5">
        <w:trPr>
          <w:cnfStyle w:val="000000100000" w:firstRow="0" w:lastRow="0" w:firstColumn="0" w:lastColumn="0" w:oddVBand="0" w:evenVBand="0" w:oddHBand="1" w:evenHBand="0" w:firstRowFirstColumn="0" w:firstRowLastColumn="0" w:lastRowFirstColumn="0" w:lastRowLastColumn="0"/>
          <w:trHeight w:hRule="exact" w:val="378"/>
        </w:trPr>
        <w:tc>
          <w:tcPr>
            <w:cnfStyle w:val="001000000000" w:firstRow="0" w:lastRow="0" w:firstColumn="1" w:lastColumn="0" w:oddVBand="0" w:evenVBand="0" w:oddHBand="0" w:evenHBand="0" w:firstRowFirstColumn="0" w:firstRowLastColumn="0" w:lastRowFirstColumn="0" w:lastRowLastColumn="0"/>
            <w:tcW w:w="7442" w:type="dxa"/>
            <w:gridSpan w:val="2"/>
            <w:tcBorders>
              <w:left w:val="single" w:sz="4" w:space="0" w:color="auto"/>
            </w:tcBorders>
            <w:shd w:val="clear" w:color="auto" w:fill="EEECE1" w:themeFill="background2"/>
          </w:tcPr>
          <w:p w14:paraId="778FF7AA" w14:textId="77777777" w:rsidR="003B35CF" w:rsidRPr="003C2F4F" w:rsidRDefault="003B35CF" w:rsidP="009A1E1E">
            <w:pPr>
              <w:spacing w:after="160"/>
              <w:ind w:left="-18"/>
              <w:jc w:val="both"/>
              <w:rPr>
                <w:rFonts w:ascii="Times New Roman" w:hAnsi="Times New Roman" w:cs="Times New Roman"/>
                <w:color w:val="auto"/>
                <w:sz w:val="20"/>
                <w:szCs w:val="24"/>
              </w:rPr>
            </w:pPr>
            <w:r w:rsidRPr="003C2F4F">
              <w:rPr>
                <w:rFonts w:ascii="Times New Roman" w:hAnsi="Times New Roman" w:cs="Times New Roman"/>
                <w:color w:val="auto"/>
                <w:sz w:val="20"/>
                <w:szCs w:val="24"/>
              </w:rPr>
              <w:t>Pajisjet e Aerodromit, funksionimi dhe mirëmbajtja e pasjisjeve</w:t>
            </w:r>
          </w:p>
        </w:tc>
        <w:tc>
          <w:tcPr>
            <w:tcW w:w="2638" w:type="dxa"/>
            <w:tcBorders>
              <w:right w:val="single" w:sz="4" w:space="0" w:color="auto"/>
            </w:tcBorders>
            <w:shd w:val="clear" w:color="auto" w:fill="EEECE1" w:themeFill="background2"/>
          </w:tcPr>
          <w:p w14:paraId="691D3C60" w14:textId="77777777" w:rsidR="003B35CF" w:rsidRPr="003C2F4F" w:rsidRDefault="008C48B8" w:rsidP="000F3207">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3C2F4F">
              <w:rPr>
                <w:rFonts w:ascii="Times New Roman" w:hAnsi="Times New Roman" w:cs="Times New Roman"/>
                <w:color w:val="auto"/>
                <w:sz w:val="20"/>
                <w:szCs w:val="24"/>
              </w:rPr>
              <w:t xml:space="preserve">     </w:t>
            </w:r>
            <w:r w:rsidR="004C63E8" w:rsidRPr="003C2F4F">
              <w:rPr>
                <w:rFonts w:ascii="Times New Roman" w:hAnsi="Times New Roman" w:cs="Times New Roman"/>
                <w:color w:val="auto"/>
                <w:sz w:val="20"/>
                <w:szCs w:val="24"/>
              </w:rPr>
              <w:t xml:space="preserve">       </w:t>
            </w:r>
            <w:r w:rsidRPr="003C2F4F">
              <w:rPr>
                <w:rFonts w:ascii="Times New Roman" w:hAnsi="Times New Roman" w:cs="Times New Roman"/>
                <w:color w:val="auto"/>
                <w:sz w:val="20"/>
                <w:szCs w:val="24"/>
              </w:rPr>
              <w:t xml:space="preserve">  </w:t>
            </w:r>
            <w:r w:rsidR="003B35CF" w:rsidRPr="003C2F4F">
              <w:rPr>
                <w:rFonts w:ascii="Times New Roman" w:hAnsi="Times New Roman" w:cs="Times New Roman"/>
                <w:color w:val="auto"/>
                <w:sz w:val="20"/>
                <w:szCs w:val="24"/>
              </w:rPr>
              <w:t>100</w:t>
            </w:r>
            <w:r w:rsidR="00CC5C49" w:rsidRPr="003C2F4F">
              <w:rPr>
                <w:rFonts w:ascii="Times New Roman" w:hAnsi="Times New Roman" w:cs="Times New Roman"/>
                <w:color w:val="auto"/>
                <w:sz w:val="20"/>
                <w:szCs w:val="24"/>
              </w:rPr>
              <w:t xml:space="preserve"> përqind</w:t>
            </w:r>
          </w:p>
        </w:tc>
      </w:tr>
      <w:tr w:rsidR="003B35CF" w:rsidRPr="003C2F4F" w14:paraId="72076F78" w14:textId="77777777" w:rsidTr="005D3EF5">
        <w:trPr>
          <w:trHeight w:hRule="exact" w:val="288"/>
        </w:trPr>
        <w:tc>
          <w:tcPr>
            <w:cnfStyle w:val="001000000000" w:firstRow="0" w:lastRow="0" w:firstColumn="1" w:lastColumn="0" w:oddVBand="0" w:evenVBand="0" w:oddHBand="0" w:evenHBand="0" w:firstRowFirstColumn="0" w:firstRowLastColumn="0" w:lastRowFirstColumn="0" w:lastRowLastColumn="0"/>
            <w:tcW w:w="7442" w:type="dxa"/>
            <w:gridSpan w:val="2"/>
            <w:tcBorders>
              <w:left w:val="single" w:sz="4" w:space="0" w:color="auto"/>
            </w:tcBorders>
          </w:tcPr>
          <w:p w14:paraId="64A772F0" w14:textId="77777777" w:rsidR="003B35CF" w:rsidRPr="003C2F4F" w:rsidRDefault="003B35CF" w:rsidP="000F3207">
            <w:pPr>
              <w:spacing w:after="160"/>
              <w:ind w:left="-18"/>
              <w:jc w:val="both"/>
              <w:rPr>
                <w:rFonts w:ascii="Times New Roman" w:hAnsi="Times New Roman" w:cs="Times New Roman"/>
                <w:color w:val="auto"/>
                <w:sz w:val="20"/>
                <w:szCs w:val="24"/>
              </w:rPr>
            </w:pPr>
            <w:r w:rsidRPr="003C2F4F">
              <w:rPr>
                <w:rFonts w:ascii="Times New Roman" w:hAnsi="Times New Roman" w:cs="Times New Roman"/>
                <w:color w:val="auto"/>
                <w:sz w:val="20"/>
                <w:szCs w:val="24"/>
              </w:rPr>
              <w:t>Ndriçimi tokësor i Aerodromit</w:t>
            </w:r>
          </w:p>
        </w:tc>
        <w:tc>
          <w:tcPr>
            <w:tcW w:w="2638" w:type="dxa"/>
            <w:tcBorders>
              <w:right w:val="single" w:sz="4" w:space="0" w:color="auto"/>
            </w:tcBorders>
          </w:tcPr>
          <w:p w14:paraId="06F14C44" w14:textId="77777777" w:rsidR="003B35CF" w:rsidRPr="003C2F4F" w:rsidRDefault="0064180B" w:rsidP="000F3207">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Pr>
                <w:rFonts w:ascii="Times New Roman" w:hAnsi="Times New Roman" w:cs="Times New Roman"/>
                <w:color w:val="auto"/>
                <w:sz w:val="20"/>
                <w:szCs w:val="24"/>
              </w:rPr>
              <w:t>95</w:t>
            </w:r>
            <w:r w:rsidR="00CC5C49" w:rsidRPr="003C2F4F">
              <w:rPr>
                <w:rFonts w:ascii="Times New Roman" w:hAnsi="Times New Roman" w:cs="Times New Roman"/>
                <w:color w:val="auto"/>
                <w:sz w:val="20"/>
                <w:szCs w:val="24"/>
              </w:rPr>
              <w:t xml:space="preserve"> përqind</w:t>
            </w:r>
          </w:p>
        </w:tc>
      </w:tr>
      <w:tr w:rsidR="003B35CF" w:rsidRPr="003C2F4F" w14:paraId="5AE9AF27" w14:textId="77777777" w:rsidTr="005D3EF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7442" w:type="dxa"/>
            <w:gridSpan w:val="2"/>
            <w:tcBorders>
              <w:left w:val="single" w:sz="4" w:space="0" w:color="auto"/>
            </w:tcBorders>
            <w:shd w:val="clear" w:color="auto" w:fill="EEECE1" w:themeFill="background2"/>
          </w:tcPr>
          <w:p w14:paraId="224C3339" w14:textId="77777777" w:rsidR="003B35CF" w:rsidRPr="003C2F4F" w:rsidRDefault="003B35CF" w:rsidP="000F3207">
            <w:pPr>
              <w:spacing w:after="160"/>
              <w:ind w:left="-18"/>
              <w:jc w:val="both"/>
              <w:rPr>
                <w:rFonts w:ascii="Times New Roman" w:hAnsi="Times New Roman" w:cs="Times New Roman"/>
                <w:color w:val="auto"/>
                <w:sz w:val="20"/>
                <w:szCs w:val="24"/>
              </w:rPr>
            </w:pPr>
            <w:r w:rsidRPr="003C2F4F">
              <w:rPr>
                <w:rFonts w:ascii="Times New Roman" w:hAnsi="Times New Roman" w:cs="Times New Roman"/>
                <w:color w:val="auto"/>
                <w:sz w:val="20"/>
                <w:szCs w:val="24"/>
              </w:rPr>
              <w:t>Mjetet kundra zjarrit, shpëtimit dhe kontrollet përkatëse</w:t>
            </w:r>
          </w:p>
        </w:tc>
        <w:tc>
          <w:tcPr>
            <w:tcW w:w="2638" w:type="dxa"/>
            <w:tcBorders>
              <w:right w:val="single" w:sz="4" w:space="0" w:color="auto"/>
            </w:tcBorders>
            <w:shd w:val="clear" w:color="auto" w:fill="EEECE1" w:themeFill="background2"/>
          </w:tcPr>
          <w:p w14:paraId="6055E972" w14:textId="77777777" w:rsidR="003B35CF" w:rsidRPr="003C2F4F" w:rsidRDefault="0064180B" w:rsidP="00043B63">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Pr>
                <w:rFonts w:ascii="Times New Roman" w:hAnsi="Times New Roman" w:cs="Times New Roman"/>
                <w:color w:val="auto"/>
                <w:sz w:val="20"/>
                <w:szCs w:val="24"/>
              </w:rPr>
              <w:t>87.5</w:t>
            </w:r>
            <w:r w:rsidR="00CC5C49" w:rsidRPr="003C2F4F">
              <w:rPr>
                <w:rFonts w:ascii="Times New Roman" w:hAnsi="Times New Roman" w:cs="Times New Roman"/>
                <w:color w:val="auto"/>
                <w:sz w:val="20"/>
                <w:szCs w:val="24"/>
              </w:rPr>
              <w:t xml:space="preserve"> përqind</w:t>
            </w:r>
          </w:p>
        </w:tc>
      </w:tr>
      <w:tr w:rsidR="00DF606E" w:rsidRPr="003C2F4F" w14:paraId="762761A9" w14:textId="77777777" w:rsidTr="005D3EF5">
        <w:trPr>
          <w:trHeight w:hRule="exact" w:val="288"/>
        </w:trPr>
        <w:tc>
          <w:tcPr>
            <w:cnfStyle w:val="001000000000" w:firstRow="0" w:lastRow="0" w:firstColumn="1" w:lastColumn="0" w:oddVBand="0" w:evenVBand="0" w:oddHBand="0" w:evenHBand="0" w:firstRowFirstColumn="0" w:firstRowLastColumn="0" w:lastRowFirstColumn="0" w:lastRowLastColumn="0"/>
            <w:tcW w:w="7442" w:type="dxa"/>
            <w:gridSpan w:val="2"/>
            <w:tcBorders>
              <w:left w:val="single" w:sz="4" w:space="0" w:color="auto"/>
            </w:tcBorders>
          </w:tcPr>
          <w:p w14:paraId="51F144DB" w14:textId="77777777" w:rsidR="00DF606E" w:rsidRPr="003C2F4F" w:rsidRDefault="00DF606E" w:rsidP="00DF606E">
            <w:pPr>
              <w:spacing w:after="160"/>
              <w:ind w:left="-18"/>
              <w:jc w:val="both"/>
              <w:rPr>
                <w:rFonts w:ascii="Times New Roman" w:hAnsi="Times New Roman" w:cs="Times New Roman"/>
                <w:color w:val="auto"/>
                <w:sz w:val="20"/>
                <w:szCs w:val="24"/>
              </w:rPr>
            </w:pPr>
            <w:r w:rsidRPr="003C2F4F">
              <w:rPr>
                <w:rFonts w:ascii="Times New Roman" w:hAnsi="Times New Roman" w:cs="Times New Roman"/>
                <w:color w:val="auto"/>
                <w:sz w:val="20"/>
                <w:szCs w:val="24"/>
              </w:rPr>
              <w:t>Manuali Operacional i Aeroportit</w:t>
            </w:r>
          </w:p>
        </w:tc>
        <w:tc>
          <w:tcPr>
            <w:tcW w:w="2638" w:type="dxa"/>
            <w:tcBorders>
              <w:right w:val="single" w:sz="4" w:space="0" w:color="auto"/>
            </w:tcBorders>
          </w:tcPr>
          <w:p w14:paraId="2FEB6FA9" w14:textId="77777777" w:rsidR="00DF606E" w:rsidRPr="003C2F4F" w:rsidRDefault="0064180B" w:rsidP="00DF606E">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Pr>
                <w:rFonts w:ascii="Times New Roman" w:hAnsi="Times New Roman" w:cs="Times New Roman"/>
                <w:color w:val="auto"/>
                <w:sz w:val="20"/>
                <w:szCs w:val="24"/>
              </w:rPr>
              <w:t>95</w:t>
            </w:r>
            <w:r w:rsidR="00DF606E" w:rsidRPr="003C2F4F">
              <w:rPr>
                <w:rFonts w:ascii="Times New Roman" w:hAnsi="Times New Roman" w:cs="Times New Roman"/>
                <w:color w:val="auto"/>
                <w:sz w:val="20"/>
                <w:szCs w:val="24"/>
              </w:rPr>
              <w:t xml:space="preserve"> përqind</w:t>
            </w:r>
          </w:p>
        </w:tc>
      </w:tr>
      <w:tr w:rsidR="00DF606E" w:rsidRPr="003C2F4F" w14:paraId="40FB89C9" w14:textId="77777777" w:rsidTr="005D3EF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7442" w:type="dxa"/>
            <w:gridSpan w:val="2"/>
            <w:tcBorders>
              <w:left w:val="single" w:sz="4" w:space="0" w:color="auto"/>
            </w:tcBorders>
            <w:shd w:val="clear" w:color="auto" w:fill="EEECE1" w:themeFill="background2"/>
          </w:tcPr>
          <w:p w14:paraId="5FDA843B" w14:textId="77777777" w:rsidR="00DF606E" w:rsidRPr="003C2F4F" w:rsidRDefault="00DF606E" w:rsidP="00DF606E">
            <w:pPr>
              <w:spacing w:after="160"/>
              <w:ind w:left="-18"/>
              <w:jc w:val="both"/>
              <w:rPr>
                <w:rFonts w:ascii="Times New Roman" w:hAnsi="Times New Roman" w:cs="Times New Roman"/>
                <w:color w:val="auto"/>
                <w:sz w:val="20"/>
                <w:szCs w:val="24"/>
              </w:rPr>
            </w:pPr>
            <w:r w:rsidRPr="003C2F4F">
              <w:rPr>
                <w:rFonts w:ascii="Times New Roman" w:hAnsi="Times New Roman" w:cs="Times New Roman"/>
                <w:color w:val="auto"/>
                <w:sz w:val="20"/>
                <w:szCs w:val="24"/>
              </w:rPr>
              <w:t>Implementimi i plotë i sistemit të Menaxhimit të Sigurisë nga koncesionari</w:t>
            </w:r>
          </w:p>
        </w:tc>
        <w:tc>
          <w:tcPr>
            <w:tcW w:w="2638" w:type="dxa"/>
            <w:tcBorders>
              <w:right w:val="single" w:sz="4" w:space="0" w:color="auto"/>
            </w:tcBorders>
            <w:shd w:val="clear" w:color="auto" w:fill="EEECE1" w:themeFill="background2"/>
          </w:tcPr>
          <w:p w14:paraId="5D0FC4BE" w14:textId="77777777" w:rsidR="00DF606E" w:rsidRPr="003C2F4F" w:rsidRDefault="0064180B" w:rsidP="00DF606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Pr>
                <w:rFonts w:ascii="Times New Roman" w:hAnsi="Times New Roman" w:cs="Times New Roman"/>
                <w:color w:val="auto"/>
                <w:sz w:val="20"/>
                <w:szCs w:val="24"/>
              </w:rPr>
              <w:t xml:space="preserve"> 65</w:t>
            </w:r>
            <w:r w:rsidR="00DF606E" w:rsidRPr="003C2F4F">
              <w:rPr>
                <w:rFonts w:ascii="Times New Roman" w:hAnsi="Times New Roman" w:cs="Times New Roman"/>
                <w:color w:val="auto"/>
                <w:sz w:val="20"/>
                <w:szCs w:val="24"/>
              </w:rPr>
              <w:t xml:space="preserve">  përqind</w:t>
            </w:r>
          </w:p>
        </w:tc>
      </w:tr>
      <w:tr w:rsidR="00DF606E" w:rsidRPr="003C2F4F" w14:paraId="213ABDD4" w14:textId="77777777" w:rsidTr="005D3EF5">
        <w:trPr>
          <w:trHeight w:hRule="exact" w:val="288"/>
        </w:trPr>
        <w:tc>
          <w:tcPr>
            <w:cnfStyle w:val="001000000000" w:firstRow="0" w:lastRow="0" w:firstColumn="1" w:lastColumn="0" w:oddVBand="0" w:evenVBand="0" w:oddHBand="0" w:evenHBand="0" w:firstRowFirstColumn="0" w:firstRowLastColumn="0" w:lastRowFirstColumn="0" w:lastRowLastColumn="0"/>
            <w:tcW w:w="7442" w:type="dxa"/>
            <w:gridSpan w:val="2"/>
            <w:tcBorders>
              <w:left w:val="single" w:sz="4" w:space="0" w:color="auto"/>
            </w:tcBorders>
          </w:tcPr>
          <w:p w14:paraId="0CE1B8EB" w14:textId="77777777" w:rsidR="00DF606E" w:rsidRPr="003C2F4F" w:rsidRDefault="003B109C" w:rsidP="00DF606E">
            <w:pPr>
              <w:spacing w:after="160"/>
              <w:ind w:left="-18"/>
              <w:jc w:val="both"/>
              <w:rPr>
                <w:rFonts w:ascii="Times New Roman" w:hAnsi="Times New Roman" w:cs="Times New Roman"/>
                <w:color w:val="auto"/>
                <w:sz w:val="20"/>
                <w:szCs w:val="24"/>
              </w:rPr>
            </w:pPr>
            <w:r w:rsidRPr="003C2F4F">
              <w:rPr>
                <w:rFonts w:ascii="Times New Roman" w:hAnsi="Times New Roman" w:cs="Times New Roman"/>
                <w:color w:val="auto"/>
                <w:sz w:val="20"/>
                <w:szCs w:val="24"/>
              </w:rPr>
              <w:t>Mirë</w:t>
            </w:r>
            <w:r w:rsidR="00DF606E" w:rsidRPr="003C2F4F">
              <w:rPr>
                <w:rFonts w:ascii="Times New Roman" w:hAnsi="Times New Roman" w:cs="Times New Roman"/>
                <w:color w:val="auto"/>
                <w:sz w:val="20"/>
                <w:szCs w:val="24"/>
              </w:rPr>
              <w:t xml:space="preserve">mbajtja e Aerodromit  </w:t>
            </w:r>
          </w:p>
        </w:tc>
        <w:tc>
          <w:tcPr>
            <w:tcW w:w="2638" w:type="dxa"/>
            <w:tcBorders>
              <w:right w:val="single" w:sz="4" w:space="0" w:color="auto"/>
            </w:tcBorders>
          </w:tcPr>
          <w:p w14:paraId="4A7FBB21" w14:textId="77777777" w:rsidR="00DF606E" w:rsidRPr="003C2F4F" w:rsidRDefault="00DF606E" w:rsidP="0064180B">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3C2F4F">
              <w:rPr>
                <w:rFonts w:ascii="Times New Roman" w:hAnsi="Times New Roman" w:cs="Times New Roman"/>
                <w:color w:val="auto"/>
                <w:sz w:val="20"/>
                <w:szCs w:val="24"/>
              </w:rPr>
              <w:t xml:space="preserve">           </w:t>
            </w:r>
            <w:r w:rsidR="008E713C">
              <w:rPr>
                <w:rFonts w:ascii="Times New Roman" w:hAnsi="Times New Roman" w:cs="Times New Roman"/>
                <w:color w:val="auto"/>
                <w:sz w:val="20"/>
                <w:szCs w:val="24"/>
              </w:rPr>
              <w:t xml:space="preserve">  </w:t>
            </w:r>
            <w:r w:rsidRPr="003C2F4F">
              <w:rPr>
                <w:rFonts w:ascii="Times New Roman" w:hAnsi="Times New Roman" w:cs="Times New Roman"/>
                <w:color w:val="auto"/>
                <w:sz w:val="20"/>
                <w:szCs w:val="24"/>
              </w:rPr>
              <w:t xml:space="preserve"> </w:t>
            </w:r>
            <w:r w:rsidR="0064180B">
              <w:rPr>
                <w:rFonts w:ascii="Times New Roman" w:hAnsi="Times New Roman" w:cs="Times New Roman"/>
                <w:color w:val="auto"/>
                <w:sz w:val="20"/>
                <w:szCs w:val="24"/>
              </w:rPr>
              <w:t xml:space="preserve">82.5 </w:t>
            </w:r>
            <w:r w:rsidRPr="003C2F4F">
              <w:rPr>
                <w:rFonts w:ascii="Times New Roman" w:hAnsi="Times New Roman" w:cs="Times New Roman"/>
                <w:color w:val="auto"/>
                <w:sz w:val="20"/>
                <w:szCs w:val="24"/>
              </w:rPr>
              <w:t>përqind</w:t>
            </w:r>
          </w:p>
        </w:tc>
      </w:tr>
      <w:tr w:rsidR="00DF606E" w:rsidRPr="003C2F4F" w14:paraId="4EF109DA" w14:textId="77777777" w:rsidTr="005D3EF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7442" w:type="dxa"/>
            <w:gridSpan w:val="2"/>
            <w:tcBorders>
              <w:left w:val="single" w:sz="4" w:space="0" w:color="auto"/>
            </w:tcBorders>
            <w:shd w:val="clear" w:color="auto" w:fill="EEECE1" w:themeFill="background2"/>
          </w:tcPr>
          <w:p w14:paraId="65912383" w14:textId="77777777" w:rsidR="00DF606E" w:rsidRPr="003C2F4F" w:rsidRDefault="00DF606E" w:rsidP="00DF606E">
            <w:pPr>
              <w:spacing w:after="160"/>
              <w:ind w:left="-18"/>
              <w:jc w:val="both"/>
              <w:rPr>
                <w:rFonts w:ascii="Times New Roman" w:hAnsi="Times New Roman" w:cs="Times New Roman"/>
                <w:color w:val="auto"/>
                <w:sz w:val="20"/>
                <w:szCs w:val="24"/>
              </w:rPr>
            </w:pPr>
            <w:r w:rsidRPr="003C2F4F">
              <w:rPr>
                <w:rFonts w:ascii="Times New Roman" w:hAnsi="Times New Roman" w:cs="Times New Roman"/>
                <w:color w:val="auto"/>
                <w:sz w:val="20"/>
                <w:szCs w:val="24"/>
              </w:rPr>
              <w:t>Administrimi Mjedisor</w:t>
            </w:r>
          </w:p>
        </w:tc>
        <w:tc>
          <w:tcPr>
            <w:tcW w:w="2638" w:type="dxa"/>
            <w:tcBorders>
              <w:right w:val="single" w:sz="4" w:space="0" w:color="auto"/>
            </w:tcBorders>
            <w:shd w:val="clear" w:color="auto" w:fill="EEECE1" w:themeFill="background2"/>
          </w:tcPr>
          <w:p w14:paraId="0C0C4CF5" w14:textId="77777777" w:rsidR="00DF606E" w:rsidRPr="003C2F4F" w:rsidRDefault="00DF606E" w:rsidP="00DF606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3C2F4F">
              <w:rPr>
                <w:rFonts w:ascii="Times New Roman" w:hAnsi="Times New Roman" w:cs="Times New Roman"/>
                <w:color w:val="auto"/>
                <w:sz w:val="20"/>
                <w:szCs w:val="24"/>
              </w:rPr>
              <w:t>100 përqind</w:t>
            </w:r>
          </w:p>
        </w:tc>
      </w:tr>
      <w:tr w:rsidR="00DF606E" w:rsidRPr="003C2F4F" w14:paraId="5DBD8D20" w14:textId="77777777" w:rsidTr="005D3EF5">
        <w:trPr>
          <w:trHeight w:hRule="exact" w:val="324"/>
        </w:trPr>
        <w:tc>
          <w:tcPr>
            <w:cnfStyle w:val="001000000000" w:firstRow="0" w:lastRow="0" w:firstColumn="1" w:lastColumn="0" w:oddVBand="0" w:evenVBand="0" w:oddHBand="0" w:evenHBand="0" w:firstRowFirstColumn="0" w:firstRowLastColumn="0" w:lastRowFirstColumn="0" w:lastRowLastColumn="0"/>
            <w:tcW w:w="7442" w:type="dxa"/>
            <w:gridSpan w:val="2"/>
            <w:tcBorders>
              <w:left w:val="single" w:sz="4" w:space="0" w:color="auto"/>
            </w:tcBorders>
          </w:tcPr>
          <w:p w14:paraId="1013C88A" w14:textId="77777777" w:rsidR="00DF606E" w:rsidRPr="003C2F4F" w:rsidRDefault="00DF606E" w:rsidP="00DF606E">
            <w:pPr>
              <w:spacing w:after="160"/>
              <w:ind w:left="-18"/>
              <w:jc w:val="both"/>
              <w:rPr>
                <w:rFonts w:ascii="Times New Roman" w:hAnsi="Times New Roman" w:cs="Times New Roman"/>
                <w:color w:val="auto"/>
                <w:sz w:val="20"/>
                <w:szCs w:val="24"/>
              </w:rPr>
            </w:pPr>
            <w:r w:rsidRPr="003C2F4F">
              <w:rPr>
                <w:rFonts w:ascii="Times New Roman" w:hAnsi="Times New Roman" w:cs="Times New Roman"/>
                <w:color w:val="auto"/>
                <w:sz w:val="20"/>
                <w:szCs w:val="24"/>
              </w:rPr>
              <w:t>Impianti i ri i karburantit</w:t>
            </w:r>
          </w:p>
        </w:tc>
        <w:tc>
          <w:tcPr>
            <w:tcW w:w="2638" w:type="dxa"/>
            <w:tcBorders>
              <w:right w:val="single" w:sz="4" w:space="0" w:color="auto"/>
            </w:tcBorders>
          </w:tcPr>
          <w:p w14:paraId="62010F87" w14:textId="77777777" w:rsidR="00DF606E" w:rsidRPr="003C2F4F" w:rsidRDefault="00DF606E" w:rsidP="00DF606E">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4"/>
              </w:rPr>
            </w:pPr>
            <w:r w:rsidRPr="003C2F4F">
              <w:rPr>
                <w:rFonts w:ascii="Times New Roman" w:hAnsi="Times New Roman" w:cs="Times New Roman"/>
                <w:color w:val="auto"/>
                <w:sz w:val="20"/>
                <w:szCs w:val="24"/>
              </w:rPr>
              <w:t>100 përqind</w:t>
            </w:r>
          </w:p>
        </w:tc>
      </w:tr>
      <w:tr w:rsidR="00DF606E" w:rsidRPr="003C2F4F" w14:paraId="3B2D6135" w14:textId="77777777" w:rsidTr="005D3EF5">
        <w:trPr>
          <w:cnfStyle w:val="000000100000" w:firstRow="0" w:lastRow="0" w:firstColumn="0" w:lastColumn="0" w:oddVBand="0" w:evenVBand="0" w:oddHBand="1"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7442" w:type="dxa"/>
            <w:gridSpan w:val="2"/>
            <w:tcBorders>
              <w:left w:val="single" w:sz="4" w:space="0" w:color="auto"/>
            </w:tcBorders>
            <w:shd w:val="clear" w:color="auto" w:fill="EEECE1" w:themeFill="background2"/>
          </w:tcPr>
          <w:p w14:paraId="4BDBF1B8" w14:textId="77777777" w:rsidR="00DF606E" w:rsidRPr="003C2F4F" w:rsidRDefault="00DF606E" w:rsidP="00DF606E">
            <w:pPr>
              <w:spacing w:after="160"/>
              <w:ind w:left="-18"/>
              <w:jc w:val="both"/>
              <w:rPr>
                <w:rFonts w:ascii="Times New Roman" w:hAnsi="Times New Roman" w:cs="Times New Roman"/>
                <w:color w:val="auto"/>
                <w:sz w:val="20"/>
                <w:szCs w:val="24"/>
              </w:rPr>
            </w:pPr>
            <w:r w:rsidRPr="003C2F4F">
              <w:rPr>
                <w:rFonts w:ascii="Times New Roman" w:hAnsi="Times New Roman" w:cs="Times New Roman"/>
                <w:color w:val="auto"/>
                <w:sz w:val="20"/>
                <w:szCs w:val="24"/>
              </w:rPr>
              <w:t>Siguria dhe Siguria Teknike</w:t>
            </w:r>
          </w:p>
        </w:tc>
        <w:tc>
          <w:tcPr>
            <w:tcW w:w="2638" w:type="dxa"/>
            <w:tcBorders>
              <w:right w:val="single" w:sz="4" w:space="0" w:color="auto"/>
            </w:tcBorders>
            <w:shd w:val="clear" w:color="auto" w:fill="EEECE1" w:themeFill="background2"/>
          </w:tcPr>
          <w:p w14:paraId="4FD50BAA" w14:textId="77777777" w:rsidR="00DF606E" w:rsidRPr="003C2F4F" w:rsidRDefault="00DF606E" w:rsidP="00DF606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4"/>
              </w:rPr>
            </w:pPr>
            <w:r w:rsidRPr="003C2F4F">
              <w:rPr>
                <w:rFonts w:ascii="Times New Roman" w:hAnsi="Times New Roman" w:cs="Times New Roman"/>
                <w:color w:val="auto"/>
                <w:sz w:val="20"/>
                <w:szCs w:val="24"/>
              </w:rPr>
              <w:t>80 përqind</w:t>
            </w:r>
          </w:p>
        </w:tc>
      </w:tr>
    </w:tbl>
    <w:p w14:paraId="56F71009" w14:textId="77777777" w:rsidR="003C2F4F" w:rsidRDefault="00B17999" w:rsidP="005D3EF5">
      <w:pPr>
        <w:spacing w:before="100" w:beforeAutospacing="1" w:after="0"/>
        <w:jc w:val="both"/>
        <w:rPr>
          <w:rFonts w:ascii="Times New Roman" w:hAnsi="Times New Roman" w:cs="Times New Roman"/>
          <w:sz w:val="24"/>
          <w:szCs w:val="24"/>
        </w:rPr>
      </w:pPr>
      <w:r w:rsidRPr="009B6417">
        <w:rPr>
          <w:rFonts w:ascii="Times New Roman" w:hAnsi="Times New Roman" w:cs="Times New Roman"/>
          <w:sz w:val="24"/>
          <w:szCs w:val="24"/>
        </w:rPr>
        <w:t>Nj</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 xml:space="preserve"> tjet</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r tregues i performanc</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s s</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 xml:space="preserve"> k</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 xml:space="preserve">tij projekti </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sht</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 xml:space="preserve"> trendi n</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 xml:space="preserve"> rritje nd</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r vite i numrit t</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 xml:space="preserve"> pasagjer</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ve q</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 xml:space="preserve"> kan</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 xml:space="preserve"> p</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rdorur sh</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rbimin e ofruar nga ky koncesion. Statistikat q</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 xml:space="preserve"> nga viti 2012 </w:t>
      </w:r>
      <w:r w:rsidR="005513BB" w:rsidRPr="009B6417">
        <w:rPr>
          <w:rFonts w:ascii="Times New Roman" w:hAnsi="Times New Roman" w:cs="Times New Roman"/>
          <w:sz w:val="24"/>
          <w:szCs w:val="24"/>
        </w:rPr>
        <w:t>jan</w:t>
      </w:r>
      <w:r w:rsidR="00C743C1" w:rsidRPr="009B6417">
        <w:rPr>
          <w:rFonts w:ascii="Times New Roman" w:hAnsi="Times New Roman" w:cs="Times New Roman"/>
          <w:sz w:val="24"/>
          <w:szCs w:val="24"/>
        </w:rPr>
        <w:t>ë</w:t>
      </w:r>
      <w:r w:rsidR="005513BB" w:rsidRPr="009B6417">
        <w:rPr>
          <w:rFonts w:ascii="Times New Roman" w:hAnsi="Times New Roman" w:cs="Times New Roman"/>
          <w:sz w:val="24"/>
          <w:szCs w:val="24"/>
        </w:rPr>
        <w:t xml:space="preserve"> t</w:t>
      </w:r>
      <w:r w:rsidR="00C743C1" w:rsidRPr="009B6417">
        <w:rPr>
          <w:rFonts w:ascii="Times New Roman" w:hAnsi="Times New Roman" w:cs="Times New Roman"/>
          <w:sz w:val="24"/>
          <w:szCs w:val="24"/>
        </w:rPr>
        <w:t>ë</w:t>
      </w:r>
      <w:r w:rsidR="005513BB" w:rsidRPr="009B6417">
        <w:rPr>
          <w:rFonts w:ascii="Times New Roman" w:hAnsi="Times New Roman" w:cs="Times New Roman"/>
          <w:sz w:val="24"/>
          <w:szCs w:val="24"/>
        </w:rPr>
        <w:t xml:space="preserve"> paraqitura n</w:t>
      </w:r>
      <w:r w:rsidR="00C743C1" w:rsidRPr="009B6417">
        <w:rPr>
          <w:rFonts w:ascii="Times New Roman" w:hAnsi="Times New Roman" w:cs="Times New Roman"/>
          <w:sz w:val="24"/>
          <w:szCs w:val="24"/>
        </w:rPr>
        <w:t>ë</w:t>
      </w:r>
      <w:r w:rsidR="005513BB" w:rsidRPr="009B6417">
        <w:rPr>
          <w:rFonts w:ascii="Times New Roman" w:hAnsi="Times New Roman" w:cs="Times New Roman"/>
          <w:sz w:val="24"/>
          <w:szCs w:val="24"/>
        </w:rPr>
        <w:t xml:space="preserve"> tabel</w:t>
      </w:r>
      <w:r w:rsidR="00C743C1" w:rsidRPr="009B6417">
        <w:rPr>
          <w:rFonts w:ascii="Times New Roman" w:hAnsi="Times New Roman" w:cs="Times New Roman"/>
          <w:sz w:val="24"/>
          <w:szCs w:val="24"/>
        </w:rPr>
        <w:t>ë</w:t>
      </w:r>
      <w:r w:rsidR="005513BB" w:rsidRPr="009B6417">
        <w:rPr>
          <w:rFonts w:ascii="Times New Roman" w:hAnsi="Times New Roman" w:cs="Times New Roman"/>
          <w:sz w:val="24"/>
          <w:szCs w:val="24"/>
        </w:rPr>
        <w:t>n e m</w:t>
      </w:r>
      <w:r w:rsidR="00C743C1" w:rsidRPr="009B6417">
        <w:rPr>
          <w:rFonts w:ascii="Times New Roman" w:hAnsi="Times New Roman" w:cs="Times New Roman"/>
          <w:sz w:val="24"/>
          <w:szCs w:val="24"/>
        </w:rPr>
        <w:t>ë</w:t>
      </w:r>
      <w:r w:rsidR="005513BB" w:rsidRPr="009B6417">
        <w:rPr>
          <w:rFonts w:ascii="Times New Roman" w:hAnsi="Times New Roman" w:cs="Times New Roman"/>
          <w:sz w:val="24"/>
          <w:szCs w:val="24"/>
        </w:rPr>
        <w:t>poshtme:</w:t>
      </w:r>
    </w:p>
    <w:p w14:paraId="5F2F04AE" w14:textId="77777777" w:rsidR="0045447A" w:rsidRPr="003C2F4F" w:rsidRDefault="0052775C" w:rsidP="006B6D4D">
      <w:pPr>
        <w:pStyle w:val="Caption"/>
      </w:pPr>
      <w:bookmarkStart w:id="43" w:name="_Toc40422389"/>
      <w:r w:rsidRPr="003C2F4F">
        <w:t xml:space="preserve">Tabela </w:t>
      </w:r>
      <w:r w:rsidR="00E54EC8">
        <w:fldChar w:fldCharType="begin"/>
      </w:r>
      <w:r w:rsidR="00815B1B">
        <w:instrText xml:space="preserve"> SEQ Tabela \* ARABIC </w:instrText>
      </w:r>
      <w:r w:rsidR="00E54EC8">
        <w:fldChar w:fldCharType="separate"/>
      </w:r>
      <w:r w:rsidR="00F20848">
        <w:rPr>
          <w:noProof/>
        </w:rPr>
        <w:t>6</w:t>
      </w:r>
      <w:r w:rsidR="00E54EC8">
        <w:rPr>
          <w:noProof/>
        </w:rPr>
        <w:fldChar w:fldCharType="end"/>
      </w:r>
      <w:r w:rsidRPr="003C2F4F">
        <w:t xml:space="preserve">: </w:t>
      </w:r>
      <w:r w:rsidR="0045447A" w:rsidRPr="003C2F4F">
        <w:t>Numri i pasagjer</w:t>
      </w:r>
      <w:r w:rsidR="00577A32" w:rsidRPr="003C2F4F">
        <w:t>ë</w:t>
      </w:r>
      <w:r w:rsidR="0045447A" w:rsidRPr="003C2F4F">
        <w:t>ve nd</w:t>
      </w:r>
      <w:r w:rsidR="00577A32" w:rsidRPr="003C2F4F">
        <w:t>ë</w:t>
      </w:r>
      <w:r w:rsidR="0045447A" w:rsidRPr="003C2F4F">
        <w:t>r vite</w:t>
      </w:r>
      <w:bookmarkEnd w:id="43"/>
      <w:r w:rsidR="0045447A" w:rsidRPr="003C2F4F">
        <w:t xml:space="preserve"> </w:t>
      </w: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1294"/>
        <w:gridCol w:w="1016"/>
        <w:gridCol w:w="1083"/>
        <w:gridCol w:w="1083"/>
        <w:gridCol w:w="1083"/>
        <w:gridCol w:w="1083"/>
        <w:gridCol w:w="1083"/>
        <w:gridCol w:w="1083"/>
        <w:gridCol w:w="1267"/>
      </w:tblGrid>
      <w:tr w:rsidR="005513BB" w:rsidRPr="003C2F4F" w14:paraId="1AB57287" w14:textId="77777777" w:rsidTr="00651A4A">
        <w:trPr>
          <w:trHeight w:hRule="exact" w:val="424"/>
        </w:trPr>
        <w:tc>
          <w:tcPr>
            <w:tcW w:w="1291" w:type="dxa"/>
            <w:shd w:val="clear" w:color="auto" w:fill="DDD9C3" w:themeFill="background2" w:themeFillShade="E6"/>
            <w:noWrap/>
            <w:vAlign w:val="bottom"/>
            <w:hideMark/>
          </w:tcPr>
          <w:p w14:paraId="29D37821" w14:textId="77777777" w:rsidR="005513BB" w:rsidRPr="003C2F4F" w:rsidRDefault="005513BB" w:rsidP="005513BB">
            <w:pPr>
              <w:pStyle w:val="NoSpacing"/>
              <w:spacing w:line="276" w:lineRule="auto"/>
              <w:jc w:val="both"/>
              <w:rPr>
                <w:rFonts w:ascii="Times New Roman" w:hAnsi="Times New Roman" w:cs="Times New Roman"/>
                <w:i/>
                <w:sz w:val="20"/>
                <w:szCs w:val="24"/>
                <w:lang w:val="sq-AL"/>
              </w:rPr>
            </w:pPr>
            <w:r w:rsidRPr="003C2F4F">
              <w:rPr>
                <w:rFonts w:ascii="Times New Roman" w:hAnsi="Times New Roman" w:cs="Times New Roman"/>
                <w:i/>
                <w:sz w:val="20"/>
                <w:szCs w:val="24"/>
                <w:lang w:val="sq-AL"/>
              </w:rPr>
              <w:t> Viti</w:t>
            </w:r>
          </w:p>
        </w:tc>
        <w:tc>
          <w:tcPr>
            <w:tcW w:w="1013" w:type="dxa"/>
            <w:shd w:val="clear" w:color="auto" w:fill="DDD9C3" w:themeFill="background2" w:themeFillShade="E6"/>
            <w:vAlign w:val="center"/>
          </w:tcPr>
          <w:p w14:paraId="30B45990"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2012</w:t>
            </w:r>
          </w:p>
        </w:tc>
        <w:tc>
          <w:tcPr>
            <w:tcW w:w="1083" w:type="dxa"/>
            <w:shd w:val="clear" w:color="auto" w:fill="DDD9C3" w:themeFill="background2" w:themeFillShade="E6"/>
            <w:noWrap/>
            <w:vAlign w:val="center"/>
            <w:hideMark/>
          </w:tcPr>
          <w:p w14:paraId="11DCBF69"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2013</w:t>
            </w:r>
          </w:p>
        </w:tc>
        <w:tc>
          <w:tcPr>
            <w:tcW w:w="1084" w:type="dxa"/>
            <w:shd w:val="clear" w:color="auto" w:fill="DDD9C3" w:themeFill="background2" w:themeFillShade="E6"/>
            <w:noWrap/>
            <w:vAlign w:val="center"/>
            <w:hideMark/>
          </w:tcPr>
          <w:p w14:paraId="5CA7C74E"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2014</w:t>
            </w:r>
          </w:p>
        </w:tc>
        <w:tc>
          <w:tcPr>
            <w:tcW w:w="1084" w:type="dxa"/>
            <w:shd w:val="clear" w:color="auto" w:fill="DDD9C3" w:themeFill="background2" w:themeFillShade="E6"/>
            <w:noWrap/>
            <w:vAlign w:val="center"/>
            <w:hideMark/>
          </w:tcPr>
          <w:p w14:paraId="2B95E2F7"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2015</w:t>
            </w:r>
          </w:p>
        </w:tc>
        <w:tc>
          <w:tcPr>
            <w:tcW w:w="1084" w:type="dxa"/>
            <w:shd w:val="clear" w:color="auto" w:fill="DDD9C3" w:themeFill="background2" w:themeFillShade="E6"/>
            <w:noWrap/>
            <w:vAlign w:val="center"/>
            <w:hideMark/>
          </w:tcPr>
          <w:p w14:paraId="3030D93A"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2016</w:t>
            </w:r>
          </w:p>
        </w:tc>
        <w:tc>
          <w:tcPr>
            <w:tcW w:w="1084" w:type="dxa"/>
            <w:shd w:val="clear" w:color="auto" w:fill="DDD9C3" w:themeFill="background2" w:themeFillShade="E6"/>
            <w:noWrap/>
            <w:vAlign w:val="center"/>
            <w:hideMark/>
          </w:tcPr>
          <w:p w14:paraId="5D0A4216"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2017</w:t>
            </w:r>
          </w:p>
        </w:tc>
        <w:tc>
          <w:tcPr>
            <w:tcW w:w="1084" w:type="dxa"/>
            <w:shd w:val="clear" w:color="auto" w:fill="DDD9C3" w:themeFill="background2" w:themeFillShade="E6"/>
            <w:noWrap/>
            <w:vAlign w:val="center"/>
            <w:hideMark/>
          </w:tcPr>
          <w:p w14:paraId="6D9632C9"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2018</w:t>
            </w:r>
          </w:p>
        </w:tc>
        <w:tc>
          <w:tcPr>
            <w:tcW w:w="1268" w:type="dxa"/>
            <w:shd w:val="clear" w:color="auto" w:fill="DDD9C3" w:themeFill="background2" w:themeFillShade="E6"/>
            <w:noWrap/>
            <w:vAlign w:val="center"/>
            <w:hideMark/>
          </w:tcPr>
          <w:p w14:paraId="36273F55" w14:textId="77777777" w:rsidR="005513BB" w:rsidRPr="003C2F4F" w:rsidRDefault="0064180B" w:rsidP="005513BB">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2019</w:t>
            </w:r>
          </w:p>
        </w:tc>
      </w:tr>
      <w:tr w:rsidR="005513BB" w:rsidRPr="003C2F4F" w14:paraId="2D9A7EB8" w14:textId="77777777" w:rsidTr="00651A4A">
        <w:trPr>
          <w:trHeight w:hRule="exact" w:val="487"/>
        </w:trPr>
        <w:tc>
          <w:tcPr>
            <w:tcW w:w="1291" w:type="dxa"/>
            <w:shd w:val="clear" w:color="auto" w:fill="EEECE1" w:themeFill="background2"/>
            <w:noWrap/>
            <w:vAlign w:val="bottom"/>
            <w:hideMark/>
          </w:tcPr>
          <w:p w14:paraId="3DF765EE" w14:textId="77777777" w:rsidR="005513BB" w:rsidRPr="003C2F4F" w:rsidRDefault="002E50A3" w:rsidP="005513BB">
            <w:pPr>
              <w:pStyle w:val="NoSpacing"/>
              <w:spacing w:line="276" w:lineRule="auto"/>
              <w:jc w:val="both"/>
              <w:rPr>
                <w:rFonts w:ascii="Times New Roman" w:hAnsi="Times New Roman" w:cs="Times New Roman"/>
                <w:i/>
                <w:sz w:val="20"/>
                <w:szCs w:val="24"/>
                <w:lang w:val="sq-AL"/>
              </w:rPr>
            </w:pPr>
            <w:r w:rsidRPr="003C2F4F">
              <w:rPr>
                <w:rFonts w:ascii="Times New Roman" w:hAnsi="Times New Roman" w:cs="Times New Roman"/>
                <w:i/>
                <w:sz w:val="20"/>
                <w:szCs w:val="24"/>
                <w:lang w:val="sq-AL"/>
              </w:rPr>
              <w:t>Nr.</w:t>
            </w:r>
            <w:r w:rsidR="005513BB" w:rsidRPr="003C2F4F">
              <w:rPr>
                <w:rFonts w:ascii="Times New Roman" w:hAnsi="Times New Roman" w:cs="Times New Roman"/>
                <w:i/>
                <w:sz w:val="20"/>
                <w:szCs w:val="24"/>
                <w:lang w:val="sq-AL"/>
              </w:rPr>
              <w:t>i Pasagjer</w:t>
            </w:r>
            <w:r w:rsidR="00C743C1" w:rsidRPr="003C2F4F">
              <w:rPr>
                <w:rFonts w:ascii="Times New Roman" w:hAnsi="Times New Roman" w:cs="Times New Roman"/>
                <w:i/>
                <w:sz w:val="20"/>
                <w:szCs w:val="24"/>
                <w:lang w:val="sq-AL"/>
              </w:rPr>
              <w:t>ë</w:t>
            </w:r>
            <w:r w:rsidR="005513BB" w:rsidRPr="003C2F4F">
              <w:rPr>
                <w:rFonts w:ascii="Times New Roman" w:hAnsi="Times New Roman" w:cs="Times New Roman"/>
                <w:i/>
                <w:sz w:val="20"/>
                <w:szCs w:val="24"/>
                <w:lang w:val="sq-AL"/>
              </w:rPr>
              <w:t>v</w:t>
            </w:r>
            <w:r w:rsidR="003C2F4F">
              <w:rPr>
                <w:rFonts w:ascii="Times New Roman" w:hAnsi="Times New Roman" w:cs="Times New Roman"/>
                <w:i/>
                <w:sz w:val="20"/>
                <w:szCs w:val="24"/>
                <w:lang w:val="sq-AL"/>
              </w:rPr>
              <w:t>e</w:t>
            </w:r>
            <w:r w:rsidR="005513BB" w:rsidRPr="003C2F4F">
              <w:rPr>
                <w:rFonts w:ascii="Times New Roman" w:hAnsi="Times New Roman" w:cs="Times New Roman"/>
                <w:i/>
                <w:sz w:val="20"/>
                <w:szCs w:val="24"/>
                <w:lang w:val="sq-AL"/>
              </w:rPr>
              <w:t>e</w:t>
            </w:r>
          </w:p>
        </w:tc>
        <w:tc>
          <w:tcPr>
            <w:tcW w:w="1013" w:type="dxa"/>
            <w:shd w:val="clear" w:color="auto" w:fill="EEECE1" w:themeFill="background2"/>
            <w:vAlign w:val="center"/>
          </w:tcPr>
          <w:p w14:paraId="570E40D6"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1,665,331</w:t>
            </w:r>
          </w:p>
        </w:tc>
        <w:tc>
          <w:tcPr>
            <w:tcW w:w="1083" w:type="dxa"/>
            <w:shd w:val="clear" w:color="auto" w:fill="EEECE1" w:themeFill="background2"/>
            <w:noWrap/>
            <w:vAlign w:val="center"/>
            <w:hideMark/>
          </w:tcPr>
          <w:p w14:paraId="58DA48BA"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1,757,342</w:t>
            </w:r>
          </w:p>
        </w:tc>
        <w:tc>
          <w:tcPr>
            <w:tcW w:w="1084" w:type="dxa"/>
            <w:shd w:val="clear" w:color="auto" w:fill="EEECE1" w:themeFill="background2"/>
            <w:noWrap/>
            <w:vAlign w:val="center"/>
            <w:hideMark/>
          </w:tcPr>
          <w:p w14:paraId="4924F27E"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1,810,305</w:t>
            </w:r>
          </w:p>
        </w:tc>
        <w:tc>
          <w:tcPr>
            <w:tcW w:w="1084" w:type="dxa"/>
            <w:shd w:val="clear" w:color="auto" w:fill="EEECE1" w:themeFill="background2"/>
            <w:noWrap/>
            <w:vAlign w:val="center"/>
            <w:hideMark/>
          </w:tcPr>
          <w:p w14:paraId="2977AD55"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1,977,044</w:t>
            </w:r>
          </w:p>
        </w:tc>
        <w:tc>
          <w:tcPr>
            <w:tcW w:w="1084" w:type="dxa"/>
            <w:shd w:val="clear" w:color="auto" w:fill="EEECE1" w:themeFill="background2"/>
            <w:noWrap/>
            <w:vAlign w:val="center"/>
            <w:hideMark/>
          </w:tcPr>
          <w:p w14:paraId="6F415C62"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2,195,100</w:t>
            </w:r>
          </w:p>
        </w:tc>
        <w:tc>
          <w:tcPr>
            <w:tcW w:w="1084" w:type="dxa"/>
            <w:shd w:val="clear" w:color="auto" w:fill="EEECE1" w:themeFill="background2"/>
            <w:noWrap/>
            <w:vAlign w:val="center"/>
            <w:hideMark/>
          </w:tcPr>
          <w:p w14:paraId="398218E2"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2,630,338</w:t>
            </w:r>
          </w:p>
        </w:tc>
        <w:tc>
          <w:tcPr>
            <w:tcW w:w="1084" w:type="dxa"/>
            <w:shd w:val="clear" w:color="auto" w:fill="EEECE1" w:themeFill="background2"/>
            <w:noWrap/>
            <w:vAlign w:val="center"/>
            <w:hideMark/>
          </w:tcPr>
          <w:p w14:paraId="4F01648D" w14:textId="77777777" w:rsidR="005513BB" w:rsidRPr="003C2F4F" w:rsidRDefault="005513BB" w:rsidP="005513BB">
            <w:pPr>
              <w:spacing w:after="0" w:line="240" w:lineRule="auto"/>
              <w:jc w:val="center"/>
              <w:rPr>
                <w:rFonts w:ascii="Times New Roman" w:eastAsia="Times New Roman" w:hAnsi="Times New Roman" w:cs="Times New Roman"/>
                <w:color w:val="000000"/>
                <w:sz w:val="20"/>
                <w:szCs w:val="24"/>
                <w:lang w:val="en-US"/>
              </w:rPr>
            </w:pPr>
            <w:r w:rsidRPr="003C2F4F">
              <w:rPr>
                <w:rFonts w:ascii="Times New Roman" w:eastAsia="Times New Roman" w:hAnsi="Times New Roman" w:cs="Times New Roman"/>
                <w:color w:val="000000"/>
                <w:sz w:val="20"/>
                <w:szCs w:val="24"/>
                <w:lang w:val="en-US"/>
              </w:rPr>
              <w:t>2,947,172</w:t>
            </w:r>
          </w:p>
        </w:tc>
        <w:tc>
          <w:tcPr>
            <w:tcW w:w="1268" w:type="dxa"/>
            <w:shd w:val="clear" w:color="auto" w:fill="EEECE1" w:themeFill="background2"/>
            <w:noWrap/>
            <w:vAlign w:val="center"/>
            <w:hideMark/>
          </w:tcPr>
          <w:p w14:paraId="037B55E2" w14:textId="77777777" w:rsidR="005513BB" w:rsidRPr="003C2F4F" w:rsidRDefault="0064180B" w:rsidP="005513BB">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3,338,147</w:t>
            </w:r>
          </w:p>
        </w:tc>
      </w:tr>
    </w:tbl>
    <w:p w14:paraId="1AFC147D" w14:textId="77777777" w:rsidR="00440F1D" w:rsidRDefault="00440F1D" w:rsidP="00440F1D">
      <w:pPr>
        <w:spacing w:before="100" w:beforeAutospacing="1" w:after="0" w:line="240" w:lineRule="auto"/>
        <w:jc w:val="both"/>
        <w:rPr>
          <w:rFonts w:ascii="Times New Roman" w:eastAsia="Times New Roman" w:hAnsi="Times New Roman" w:cs="Times New Roman"/>
          <w:b/>
          <w:i/>
          <w:sz w:val="24"/>
          <w:szCs w:val="24"/>
        </w:rPr>
      </w:pPr>
    </w:p>
    <w:p w14:paraId="53AAC95D" w14:textId="77777777" w:rsidR="00AE5915" w:rsidRPr="00440F1D" w:rsidRDefault="00AE5915" w:rsidP="00440F1D">
      <w:pPr>
        <w:pStyle w:val="ListParagraph"/>
        <w:numPr>
          <w:ilvl w:val="2"/>
          <w:numId w:val="10"/>
        </w:numPr>
        <w:spacing w:before="100" w:beforeAutospacing="1" w:after="0" w:line="240" w:lineRule="auto"/>
        <w:jc w:val="both"/>
        <w:rPr>
          <w:rFonts w:ascii="Times New Roman" w:hAnsi="Times New Roman" w:cs="Times New Roman"/>
          <w:sz w:val="24"/>
          <w:szCs w:val="24"/>
        </w:rPr>
      </w:pPr>
      <w:r w:rsidRPr="00440F1D">
        <w:rPr>
          <w:rFonts w:ascii="Times New Roman" w:eastAsia="Times New Roman" w:hAnsi="Times New Roman" w:cs="Times New Roman"/>
          <w:b/>
          <w:i/>
          <w:sz w:val="24"/>
          <w:szCs w:val="24"/>
        </w:rPr>
        <w:lastRenderedPageBreak/>
        <w:t>Risqet</w:t>
      </w:r>
    </w:p>
    <w:p w14:paraId="59FBD956" w14:textId="77777777" w:rsidR="00D15CD7" w:rsidRPr="008E713C" w:rsidRDefault="00D15CD7" w:rsidP="00D15CD7">
      <w:pPr>
        <w:pStyle w:val="ListParagraph"/>
        <w:spacing w:before="100" w:beforeAutospacing="1" w:after="0" w:line="240" w:lineRule="auto"/>
        <w:jc w:val="both"/>
        <w:rPr>
          <w:rFonts w:ascii="Times New Roman" w:hAnsi="Times New Roman" w:cs="Times New Roman"/>
          <w:sz w:val="18"/>
          <w:szCs w:val="24"/>
        </w:rPr>
      </w:pPr>
    </w:p>
    <w:p w14:paraId="2DCDAF4E" w14:textId="77777777" w:rsidR="00CE4133" w:rsidRPr="009B6417" w:rsidRDefault="003B35CF" w:rsidP="003B35CF">
      <w:pPr>
        <w:spacing w:after="0"/>
        <w:jc w:val="both"/>
        <w:rPr>
          <w:rFonts w:ascii="Times New Roman" w:hAnsi="Times New Roman" w:cs="Times New Roman"/>
          <w:sz w:val="24"/>
          <w:szCs w:val="24"/>
        </w:rPr>
      </w:pPr>
      <w:r w:rsidRPr="009B6417">
        <w:rPr>
          <w:rFonts w:ascii="Times New Roman" w:hAnsi="Times New Roman" w:cs="Times New Roman"/>
          <w:sz w:val="24"/>
          <w:szCs w:val="24"/>
        </w:rPr>
        <w:t>Autoriteti ka raportuar në lidhje me risqet e kontratës sipa</w:t>
      </w:r>
      <w:r w:rsidR="00B4198B" w:rsidRPr="009B6417">
        <w:rPr>
          <w:rFonts w:ascii="Times New Roman" w:hAnsi="Times New Roman" w:cs="Times New Roman"/>
          <w:sz w:val="24"/>
          <w:szCs w:val="24"/>
        </w:rPr>
        <w:t xml:space="preserve">s formatit të përcaktuar, duke </w:t>
      </w:r>
      <w:r w:rsidRPr="009B6417">
        <w:rPr>
          <w:rFonts w:ascii="Times New Roman" w:hAnsi="Times New Roman" w:cs="Times New Roman"/>
          <w:sz w:val="24"/>
          <w:szCs w:val="24"/>
        </w:rPr>
        <w:t>specifikuar përcaktimin e palës që merr përsipër riskun, impaktin fiskal nëse është materializuar, probabilitetin e ndodhjes në të ardhmen dhe impaktin e pritshëm nëse ndodh. Kryesisht është raportuar  probabilitet i ulët për riskun e qeverisjes, riskun e ndërtimit, risku</w:t>
      </w:r>
      <w:r w:rsidR="0063661F" w:rsidRPr="009B6417">
        <w:rPr>
          <w:rFonts w:ascii="Times New Roman" w:hAnsi="Times New Roman" w:cs="Times New Roman"/>
          <w:sz w:val="24"/>
          <w:szCs w:val="24"/>
        </w:rPr>
        <w:t xml:space="preserve">n e kërkesës, riskun financiar </w:t>
      </w:r>
      <w:r w:rsidRPr="009B6417">
        <w:rPr>
          <w:rFonts w:ascii="Times New Roman" w:hAnsi="Times New Roman" w:cs="Times New Roman"/>
          <w:sz w:val="24"/>
          <w:szCs w:val="24"/>
        </w:rPr>
        <w:t>dhe ris</w:t>
      </w:r>
      <w:r w:rsidR="00B4198B" w:rsidRPr="009B6417">
        <w:rPr>
          <w:rFonts w:ascii="Times New Roman" w:hAnsi="Times New Roman" w:cs="Times New Roman"/>
          <w:sz w:val="24"/>
          <w:szCs w:val="24"/>
        </w:rPr>
        <w:t>kun e ndërprerjes së kontratës.</w:t>
      </w:r>
      <w:r w:rsidRPr="009B6417">
        <w:rPr>
          <w:rFonts w:ascii="Times New Roman" w:hAnsi="Times New Roman" w:cs="Times New Roman"/>
          <w:sz w:val="24"/>
          <w:szCs w:val="24"/>
        </w:rPr>
        <w:t xml:space="preserve"> Gjithashtu edhe risku material nga vendimet politike dhe risku i ndryshimeve ligjore është vlerësuar me probabilitet mesatar për të ndodhur</w:t>
      </w:r>
      <w:r w:rsidR="0063661F" w:rsidRPr="009B6417">
        <w:rPr>
          <w:rFonts w:ascii="Times New Roman" w:hAnsi="Times New Roman" w:cs="Times New Roman"/>
          <w:sz w:val="24"/>
          <w:szCs w:val="24"/>
        </w:rPr>
        <w:t>.</w:t>
      </w:r>
    </w:p>
    <w:p w14:paraId="46CB0EDD" w14:textId="77777777" w:rsidR="00571136" w:rsidRPr="002A5B5F" w:rsidRDefault="00571136" w:rsidP="003B35CF">
      <w:pPr>
        <w:spacing w:after="0"/>
        <w:jc w:val="both"/>
        <w:rPr>
          <w:rFonts w:ascii="Times New Roman" w:hAnsi="Times New Roman" w:cs="Times New Roman"/>
          <w:sz w:val="12"/>
          <w:szCs w:val="24"/>
        </w:rPr>
      </w:pPr>
    </w:p>
    <w:p w14:paraId="770611B8" w14:textId="77777777" w:rsidR="00571136" w:rsidRPr="009B6417" w:rsidRDefault="00BC17F3" w:rsidP="005B60A3">
      <w:pPr>
        <w:spacing w:after="0"/>
        <w:jc w:val="both"/>
        <w:rPr>
          <w:rFonts w:ascii="Times New Roman" w:hAnsi="Times New Roman" w:cs="Times New Roman"/>
          <w:sz w:val="24"/>
          <w:szCs w:val="24"/>
        </w:rPr>
      </w:pPr>
      <w:r w:rsidRPr="009B6417">
        <w:rPr>
          <w:rFonts w:ascii="Times New Roman" w:hAnsi="Times New Roman" w:cs="Times New Roman"/>
          <w:sz w:val="24"/>
          <w:szCs w:val="24"/>
        </w:rPr>
        <w:t>Sipas raportimeve t</w:t>
      </w:r>
      <w:r w:rsidR="006A445E" w:rsidRPr="009B6417">
        <w:rPr>
          <w:rFonts w:ascii="Times New Roman" w:hAnsi="Times New Roman" w:cs="Times New Roman"/>
          <w:sz w:val="24"/>
          <w:szCs w:val="24"/>
        </w:rPr>
        <w:t>ë</w:t>
      </w:r>
      <w:r w:rsidRPr="009B6417">
        <w:rPr>
          <w:rFonts w:ascii="Times New Roman" w:hAnsi="Times New Roman" w:cs="Times New Roman"/>
          <w:sz w:val="24"/>
          <w:szCs w:val="24"/>
        </w:rPr>
        <w:t xml:space="preserve"> b</w:t>
      </w:r>
      <w:r w:rsidR="006A445E" w:rsidRPr="009B6417">
        <w:rPr>
          <w:rFonts w:ascii="Times New Roman" w:hAnsi="Times New Roman" w:cs="Times New Roman"/>
          <w:sz w:val="24"/>
          <w:szCs w:val="24"/>
        </w:rPr>
        <w:t>ë</w:t>
      </w:r>
      <w:r w:rsidRPr="009B6417">
        <w:rPr>
          <w:rFonts w:ascii="Times New Roman" w:hAnsi="Times New Roman" w:cs="Times New Roman"/>
          <w:sz w:val="24"/>
          <w:szCs w:val="24"/>
        </w:rPr>
        <w:t>ra nga Autoriteti i Aviacionit Civil lidhur me risqet</w:t>
      </w:r>
      <w:r w:rsidR="006513E7" w:rsidRPr="009B6417">
        <w:rPr>
          <w:rFonts w:ascii="Times New Roman" w:hAnsi="Times New Roman" w:cs="Times New Roman"/>
          <w:sz w:val="24"/>
          <w:szCs w:val="24"/>
        </w:rPr>
        <w:t xml:space="preserve"> e </w:t>
      </w:r>
      <w:r w:rsidR="004D5D06" w:rsidRPr="009B6417">
        <w:rPr>
          <w:rFonts w:ascii="Times New Roman" w:hAnsi="Times New Roman" w:cs="Times New Roman"/>
          <w:sz w:val="24"/>
          <w:szCs w:val="24"/>
        </w:rPr>
        <w:t>tjera t</w:t>
      </w:r>
      <w:r w:rsidR="006A445E"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 </w:t>
      </w:r>
      <w:r w:rsidR="006513E7" w:rsidRPr="009B6417">
        <w:rPr>
          <w:rFonts w:ascii="Times New Roman" w:hAnsi="Times New Roman" w:cs="Times New Roman"/>
          <w:sz w:val="24"/>
          <w:szCs w:val="24"/>
        </w:rPr>
        <w:t>kontrat</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s </w:t>
      </w:r>
      <w:r w:rsidR="006A445E" w:rsidRPr="009B6417">
        <w:rPr>
          <w:rFonts w:ascii="Times New Roman" w:hAnsi="Times New Roman" w:cs="Times New Roman"/>
          <w:sz w:val="24"/>
          <w:szCs w:val="24"/>
        </w:rPr>
        <w:t>ë</w:t>
      </w:r>
      <w:r w:rsidRPr="009B6417">
        <w:rPr>
          <w:rFonts w:ascii="Times New Roman" w:hAnsi="Times New Roman" w:cs="Times New Roman"/>
          <w:sz w:val="24"/>
          <w:szCs w:val="24"/>
        </w:rPr>
        <w:t>sht</w:t>
      </w:r>
      <w:r w:rsidR="006A445E" w:rsidRPr="009B6417">
        <w:rPr>
          <w:rFonts w:ascii="Times New Roman" w:hAnsi="Times New Roman" w:cs="Times New Roman"/>
          <w:sz w:val="24"/>
          <w:szCs w:val="24"/>
        </w:rPr>
        <w:t>ë</w:t>
      </w:r>
      <w:r w:rsidRPr="009B6417">
        <w:rPr>
          <w:rFonts w:ascii="Times New Roman" w:hAnsi="Times New Roman" w:cs="Times New Roman"/>
          <w:sz w:val="24"/>
          <w:szCs w:val="24"/>
        </w:rPr>
        <w:t xml:space="preserve"> vler</w:t>
      </w:r>
      <w:r w:rsidR="006A445E" w:rsidRPr="009B6417">
        <w:rPr>
          <w:rFonts w:ascii="Times New Roman" w:hAnsi="Times New Roman" w:cs="Times New Roman"/>
          <w:sz w:val="24"/>
          <w:szCs w:val="24"/>
        </w:rPr>
        <w:t>ë</w:t>
      </w:r>
      <w:r w:rsidRPr="009B6417">
        <w:rPr>
          <w:rFonts w:ascii="Times New Roman" w:hAnsi="Times New Roman" w:cs="Times New Roman"/>
          <w:sz w:val="24"/>
          <w:szCs w:val="24"/>
        </w:rPr>
        <w:t>suar nj</w:t>
      </w:r>
      <w:r w:rsidR="006A445E" w:rsidRPr="009B6417">
        <w:rPr>
          <w:rFonts w:ascii="Times New Roman" w:hAnsi="Times New Roman" w:cs="Times New Roman"/>
          <w:sz w:val="24"/>
          <w:szCs w:val="24"/>
        </w:rPr>
        <w:t>ë</w:t>
      </w:r>
      <w:r w:rsidRPr="009B6417">
        <w:rPr>
          <w:rFonts w:ascii="Times New Roman" w:hAnsi="Times New Roman" w:cs="Times New Roman"/>
          <w:sz w:val="24"/>
          <w:szCs w:val="24"/>
        </w:rPr>
        <w:t xml:space="preserve"> nivel risku mesatar p</w:t>
      </w:r>
      <w:r w:rsidR="006A445E" w:rsidRPr="009B6417">
        <w:rPr>
          <w:rFonts w:ascii="Times New Roman" w:hAnsi="Times New Roman" w:cs="Times New Roman"/>
          <w:sz w:val="24"/>
          <w:szCs w:val="24"/>
        </w:rPr>
        <w:t>ë</w:t>
      </w:r>
      <w:r w:rsidRPr="009B6417">
        <w:rPr>
          <w:rFonts w:ascii="Times New Roman" w:hAnsi="Times New Roman" w:cs="Times New Roman"/>
          <w:sz w:val="24"/>
          <w:szCs w:val="24"/>
        </w:rPr>
        <w:t>r disa tregues si m</w:t>
      </w:r>
      <w:r w:rsidR="006A445E" w:rsidRPr="009B6417">
        <w:rPr>
          <w:rFonts w:ascii="Times New Roman" w:hAnsi="Times New Roman" w:cs="Times New Roman"/>
          <w:sz w:val="24"/>
          <w:szCs w:val="24"/>
        </w:rPr>
        <w:t>ë</w:t>
      </w:r>
      <w:r w:rsidRPr="009B6417">
        <w:rPr>
          <w:rFonts w:ascii="Times New Roman" w:hAnsi="Times New Roman" w:cs="Times New Roman"/>
          <w:sz w:val="24"/>
          <w:szCs w:val="24"/>
        </w:rPr>
        <w:t xml:space="preserve"> posht</w:t>
      </w:r>
      <w:r w:rsidR="006A445E" w:rsidRPr="009B6417">
        <w:rPr>
          <w:rFonts w:ascii="Times New Roman" w:hAnsi="Times New Roman" w:cs="Times New Roman"/>
          <w:sz w:val="24"/>
          <w:szCs w:val="24"/>
        </w:rPr>
        <w:t>ë</w:t>
      </w:r>
      <w:r w:rsidR="00571136" w:rsidRPr="009B6417">
        <w:rPr>
          <w:rFonts w:ascii="Times New Roman" w:hAnsi="Times New Roman" w:cs="Times New Roman"/>
          <w:sz w:val="24"/>
          <w:szCs w:val="24"/>
        </w:rPr>
        <w:t>:</w:t>
      </w:r>
    </w:p>
    <w:p w14:paraId="3EE2AD17" w14:textId="77777777" w:rsidR="003206A5" w:rsidRDefault="00043B63" w:rsidP="005B60A3">
      <w:pPr>
        <w:spacing w:after="0"/>
        <w:jc w:val="both"/>
        <w:rPr>
          <w:rFonts w:ascii="Times New Roman" w:hAnsi="Times New Roman" w:cs="Times New Roman"/>
          <w:sz w:val="24"/>
          <w:szCs w:val="24"/>
        </w:rPr>
      </w:pPr>
      <w:r w:rsidRPr="009B6417">
        <w:rPr>
          <w:rFonts w:ascii="Times New Roman" w:hAnsi="Times New Roman" w:cs="Times New Roman"/>
          <w:sz w:val="24"/>
          <w:szCs w:val="24"/>
        </w:rPr>
        <w:t>P</w:t>
      </w:r>
      <w:r w:rsidR="006A445E" w:rsidRPr="009B6417">
        <w:rPr>
          <w:rFonts w:ascii="Times New Roman" w:hAnsi="Times New Roman" w:cs="Times New Roman"/>
          <w:sz w:val="24"/>
          <w:szCs w:val="24"/>
        </w:rPr>
        <w:t>ë</w:t>
      </w:r>
      <w:r w:rsidRPr="009B6417">
        <w:rPr>
          <w:rFonts w:ascii="Times New Roman" w:hAnsi="Times New Roman" w:cs="Times New Roman"/>
          <w:sz w:val="24"/>
          <w:szCs w:val="24"/>
        </w:rPr>
        <w:t>r r</w:t>
      </w:r>
      <w:r w:rsidR="00BC17F3" w:rsidRPr="009B6417">
        <w:rPr>
          <w:rFonts w:ascii="Times New Roman" w:hAnsi="Times New Roman" w:cs="Times New Roman"/>
          <w:sz w:val="24"/>
          <w:szCs w:val="24"/>
        </w:rPr>
        <w:t>iskun e operimit dhe performanc</w:t>
      </w:r>
      <w:r w:rsidR="006A445E" w:rsidRPr="009B6417">
        <w:rPr>
          <w:rFonts w:ascii="Times New Roman" w:hAnsi="Times New Roman" w:cs="Times New Roman"/>
          <w:sz w:val="24"/>
          <w:szCs w:val="24"/>
        </w:rPr>
        <w:t>ë</w:t>
      </w:r>
      <w:r w:rsidR="00BC17F3" w:rsidRPr="009B6417">
        <w:rPr>
          <w:rFonts w:ascii="Times New Roman" w:hAnsi="Times New Roman" w:cs="Times New Roman"/>
          <w:sz w:val="24"/>
          <w:szCs w:val="24"/>
        </w:rPr>
        <w:t>s</w:t>
      </w:r>
      <w:r w:rsidR="006513E7" w:rsidRPr="009B6417">
        <w:rPr>
          <w:rFonts w:ascii="Times New Roman" w:hAnsi="Times New Roman" w:cs="Times New Roman"/>
          <w:sz w:val="24"/>
          <w:szCs w:val="24"/>
        </w:rPr>
        <w:t>,</w:t>
      </w:r>
      <w:r w:rsidR="003B109C" w:rsidRPr="009B6417">
        <w:rPr>
          <w:rFonts w:ascii="Times New Roman" w:hAnsi="Times New Roman" w:cs="Times New Roman"/>
          <w:sz w:val="24"/>
          <w:szCs w:val="24"/>
        </w:rPr>
        <w:t xml:space="preserve"> ka</w:t>
      </w:r>
      <w:r w:rsidR="00BC17F3" w:rsidRPr="009B6417">
        <w:rPr>
          <w:rFonts w:ascii="Times New Roman" w:hAnsi="Times New Roman" w:cs="Times New Roman"/>
          <w:sz w:val="24"/>
          <w:szCs w:val="24"/>
        </w:rPr>
        <w:t xml:space="preserve"> rezu</w:t>
      </w:r>
      <w:r w:rsidR="006513E7" w:rsidRPr="009B6417">
        <w:rPr>
          <w:rFonts w:ascii="Times New Roman" w:hAnsi="Times New Roman" w:cs="Times New Roman"/>
          <w:sz w:val="24"/>
          <w:szCs w:val="24"/>
        </w:rPr>
        <w:t xml:space="preserve">ltuar </w:t>
      </w:r>
      <w:r w:rsidR="004D5D06" w:rsidRPr="009B6417">
        <w:rPr>
          <w:rFonts w:ascii="Times New Roman" w:hAnsi="Times New Roman" w:cs="Times New Roman"/>
          <w:sz w:val="24"/>
          <w:szCs w:val="24"/>
        </w:rPr>
        <w:t>mosimplementim</w:t>
      </w:r>
      <w:r w:rsidR="006513E7" w:rsidRPr="009B6417">
        <w:rPr>
          <w:rFonts w:ascii="Times New Roman" w:hAnsi="Times New Roman" w:cs="Times New Roman"/>
          <w:sz w:val="24"/>
          <w:szCs w:val="24"/>
        </w:rPr>
        <w:t xml:space="preserve"> i plot</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i sistemit t</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menaxhimit t</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siguris</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nga TIA</w:t>
      </w:r>
      <w:r w:rsidR="003E4B67" w:rsidRPr="009B6417">
        <w:rPr>
          <w:rFonts w:ascii="Times New Roman" w:hAnsi="Times New Roman" w:cs="Times New Roman"/>
          <w:sz w:val="24"/>
          <w:szCs w:val="24"/>
        </w:rPr>
        <w:t xml:space="preserve"> </w:t>
      </w:r>
      <w:r w:rsidR="002A5B5F">
        <w:rPr>
          <w:rFonts w:ascii="Times New Roman" w:hAnsi="Times New Roman" w:cs="Times New Roman"/>
          <w:sz w:val="24"/>
          <w:szCs w:val="24"/>
        </w:rPr>
        <w:t xml:space="preserve">i </w:t>
      </w:r>
      <w:r w:rsidR="006513E7" w:rsidRPr="009B6417">
        <w:rPr>
          <w:rFonts w:ascii="Times New Roman" w:hAnsi="Times New Roman" w:cs="Times New Roman"/>
          <w:sz w:val="24"/>
          <w:szCs w:val="24"/>
        </w:rPr>
        <w:t>operimit t</w:t>
      </w:r>
      <w:r w:rsidR="006A445E" w:rsidRPr="009B6417">
        <w:rPr>
          <w:rFonts w:ascii="Times New Roman" w:hAnsi="Times New Roman" w:cs="Times New Roman"/>
          <w:sz w:val="24"/>
          <w:szCs w:val="24"/>
        </w:rPr>
        <w:t>ë</w:t>
      </w:r>
      <w:r w:rsidR="003E4B67" w:rsidRPr="009B6417">
        <w:rPr>
          <w:rFonts w:ascii="Times New Roman" w:hAnsi="Times New Roman" w:cs="Times New Roman"/>
          <w:sz w:val="24"/>
          <w:szCs w:val="24"/>
        </w:rPr>
        <w:t xml:space="preserve"> aeroportit. Gjithashtu, </w:t>
      </w:r>
      <w:r w:rsidR="006513E7" w:rsidRPr="009B6417">
        <w:rPr>
          <w:rFonts w:ascii="Times New Roman" w:hAnsi="Times New Roman" w:cs="Times New Roman"/>
          <w:sz w:val="24"/>
          <w:szCs w:val="24"/>
        </w:rPr>
        <w:t>zbatimi i standard</w:t>
      </w:r>
      <w:r w:rsidR="003206A5" w:rsidRPr="009B6417">
        <w:rPr>
          <w:rFonts w:ascii="Times New Roman" w:hAnsi="Times New Roman" w:cs="Times New Roman"/>
          <w:sz w:val="24"/>
          <w:szCs w:val="24"/>
        </w:rPr>
        <w:t>eve t</w:t>
      </w:r>
      <w:r w:rsidR="006A445E" w:rsidRPr="009B6417">
        <w:rPr>
          <w:rFonts w:ascii="Times New Roman" w:hAnsi="Times New Roman" w:cs="Times New Roman"/>
          <w:sz w:val="24"/>
          <w:szCs w:val="24"/>
        </w:rPr>
        <w:t>ë</w:t>
      </w:r>
      <w:r w:rsidR="003206A5" w:rsidRPr="009B6417">
        <w:rPr>
          <w:rFonts w:ascii="Times New Roman" w:hAnsi="Times New Roman" w:cs="Times New Roman"/>
          <w:sz w:val="24"/>
          <w:szCs w:val="24"/>
        </w:rPr>
        <w:t xml:space="preserve"> siguris</w:t>
      </w:r>
      <w:r w:rsidR="006A445E" w:rsidRPr="009B6417">
        <w:rPr>
          <w:rFonts w:ascii="Times New Roman" w:hAnsi="Times New Roman" w:cs="Times New Roman"/>
          <w:sz w:val="24"/>
          <w:szCs w:val="24"/>
        </w:rPr>
        <w:t>ë</w:t>
      </w:r>
      <w:r w:rsidR="003206A5" w:rsidRPr="009B6417">
        <w:rPr>
          <w:rFonts w:ascii="Times New Roman" w:hAnsi="Times New Roman" w:cs="Times New Roman"/>
          <w:sz w:val="24"/>
          <w:szCs w:val="24"/>
        </w:rPr>
        <w:t xml:space="preserve"> s</w:t>
      </w:r>
      <w:r w:rsidR="006A445E" w:rsidRPr="009B6417">
        <w:rPr>
          <w:rFonts w:ascii="Times New Roman" w:hAnsi="Times New Roman" w:cs="Times New Roman"/>
          <w:sz w:val="24"/>
          <w:szCs w:val="24"/>
        </w:rPr>
        <w:t>ë</w:t>
      </w:r>
      <w:r w:rsidR="003206A5" w:rsidRPr="009B6417">
        <w:rPr>
          <w:rFonts w:ascii="Times New Roman" w:hAnsi="Times New Roman" w:cs="Times New Roman"/>
          <w:sz w:val="24"/>
          <w:szCs w:val="24"/>
        </w:rPr>
        <w:t xml:space="preserve"> aviacionit </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s</w:t>
      </w:r>
      <w:r w:rsidR="003206A5" w:rsidRPr="009B6417">
        <w:rPr>
          <w:rFonts w:ascii="Times New Roman" w:hAnsi="Times New Roman" w:cs="Times New Roman"/>
          <w:sz w:val="24"/>
          <w:szCs w:val="24"/>
        </w:rPr>
        <w:t>h</w:t>
      </w:r>
      <w:r w:rsidR="006513E7" w:rsidRPr="009B6417">
        <w:rPr>
          <w:rFonts w:ascii="Times New Roman" w:hAnsi="Times New Roman" w:cs="Times New Roman"/>
          <w:sz w:val="24"/>
          <w:szCs w:val="24"/>
        </w:rPr>
        <w:t>t</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konsideruar me risk t</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mes</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m p</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r shka</w:t>
      </w:r>
      <w:r w:rsidR="003206A5" w:rsidRPr="009B6417">
        <w:rPr>
          <w:rFonts w:ascii="Times New Roman" w:hAnsi="Times New Roman" w:cs="Times New Roman"/>
          <w:sz w:val="24"/>
          <w:szCs w:val="24"/>
        </w:rPr>
        <w:t>k</w:t>
      </w:r>
      <w:r w:rsidR="006513E7" w:rsidRPr="009B6417">
        <w:rPr>
          <w:rFonts w:ascii="Times New Roman" w:hAnsi="Times New Roman" w:cs="Times New Roman"/>
          <w:sz w:val="24"/>
          <w:szCs w:val="24"/>
        </w:rPr>
        <w:t xml:space="preserve"> t</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rezultateve t</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shtrira n</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koh</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t</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monitorimit t</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k</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tyre standardeve. N</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w:t>
      </w:r>
      <w:r w:rsidR="004D5D06" w:rsidRPr="009B6417">
        <w:rPr>
          <w:rFonts w:ascii="Times New Roman" w:hAnsi="Times New Roman" w:cs="Times New Roman"/>
          <w:sz w:val="24"/>
          <w:szCs w:val="24"/>
        </w:rPr>
        <w:t xml:space="preserve">lidhje </w:t>
      </w:r>
      <w:r w:rsidR="006513E7" w:rsidRPr="009B6417">
        <w:rPr>
          <w:rFonts w:ascii="Times New Roman" w:hAnsi="Times New Roman" w:cs="Times New Roman"/>
          <w:sz w:val="24"/>
          <w:szCs w:val="24"/>
        </w:rPr>
        <w:t>me k</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t</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risk AAC ka k</w:t>
      </w:r>
      <w:r w:rsidR="006A445E" w:rsidRPr="009B6417">
        <w:rPr>
          <w:rFonts w:ascii="Times New Roman" w:hAnsi="Times New Roman" w:cs="Times New Roman"/>
          <w:sz w:val="24"/>
          <w:szCs w:val="24"/>
        </w:rPr>
        <w:t>ë</w:t>
      </w:r>
      <w:r w:rsidR="006513E7" w:rsidRPr="009B6417">
        <w:rPr>
          <w:rFonts w:ascii="Times New Roman" w:hAnsi="Times New Roman" w:cs="Times New Roman"/>
          <w:sz w:val="24"/>
          <w:szCs w:val="24"/>
        </w:rPr>
        <w:t>rkuar nga TIA marrjen e veprimeve korrigjuese</w:t>
      </w:r>
      <w:r w:rsidR="004D5D06" w:rsidRPr="009B6417">
        <w:rPr>
          <w:rFonts w:ascii="Times New Roman" w:hAnsi="Times New Roman" w:cs="Times New Roman"/>
          <w:sz w:val="24"/>
          <w:szCs w:val="24"/>
        </w:rPr>
        <w:t xml:space="preserve"> dhe </w:t>
      </w:r>
      <w:r w:rsidR="006A445E" w:rsidRPr="009B6417">
        <w:rPr>
          <w:rFonts w:ascii="Times New Roman" w:hAnsi="Times New Roman" w:cs="Times New Roman"/>
          <w:sz w:val="24"/>
          <w:szCs w:val="24"/>
        </w:rPr>
        <w:t>ë</w:t>
      </w:r>
      <w:r w:rsidR="004D5D06" w:rsidRPr="009B6417">
        <w:rPr>
          <w:rFonts w:ascii="Times New Roman" w:hAnsi="Times New Roman" w:cs="Times New Roman"/>
          <w:sz w:val="24"/>
          <w:szCs w:val="24"/>
        </w:rPr>
        <w:t>sht</w:t>
      </w:r>
      <w:r w:rsidR="006A445E"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 n</w:t>
      </w:r>
      <w:r w:rsidR="006A445E"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 monitorim t</w:t>
      </w:r>
      <w:r w:rsidR="006A445E"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 vazhduesh</w:t>
      </w:r>
      <w:r w:rsidR="006A445E" w:rsidRPr="009B6417">
        <w:rPr>
          <w:rFonts w:ascii="Times New Roman" w:hAnsi="Times New Roman" w:cs="Times New Roman"/>
          <w:sz w:val="24"/>
          <w:szCs w:val="24"/>
        </w:rPr>
        <w:t>ë</w:t>
      </w:r>
      <w:r w:rsidR="004D5D06" w:rsidRPr="009B6417">
        <w:rPr>
          <w:rFonts w:ascii="Times New Roman" w:hAnsi="Times New Roman" w:cs="Times New Roman"/>
          <w:sz w:val="24"/>
          <w:szCs w:val="24"/>
        </w:rPr>
        <w:t>m t</w:t>
      </w:r>
      <w:r w:rsidR="006A445E"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 adresimit t</w:t>
      </w:r>
      <w:r w:rsidR="006A445E"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 gjetjeve lidhur me sigurin</w:t>
      </w:r>
      <w:r w:rsidR="006A445E"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 n</w:t>
      </w:r>
      <w:r w:rsidR="006A445E"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 aviacion. </w:t>
      </w:r>
    </w:p>
    <w:p w14:paraId="19171EE7" w14:textId="77777777" w:rsidR="002A5B5F" w:rsidRPr="002A5B5F" w:rsidRDefault="002A5B5F" w:rsidP="005B60A3">
      <w:pPr>
        <w:spacing w:after="0"/>
        <w:jc w:val="both"/>
        <w:rPr>
          <w:rFonts w:ascii="Times New Roman" w:hAnsi="Times New Roman" w:cs="Times New Roman"/>
          <w:sz w:val="12"/>
          <w:szCs w:val="24"/>
        </w:rPr>
      </w:pPr>
    </w:p>
    <w:p w14:paraId="27094BB3" w14:textId="77777777" w:rsidR="004D5D06" w:rsidRPr="00CB6F8D" w:rsidRDefault="003206A5" w:rsidP="005B60A3">
      <w:pPr>
        <w:tabs>
          <w:tab w:val="left" w:pos="90"/>
          <w:tab w:val="left" w:pos="360"/>
        </w:tabs>
        <w:spacing w:after="0"/>
        <w:jc w:val="both"/>
        <w:rPr>
          <w:rFonts w:ascii="Times New Roman" w:hAnsi="Times New Roman" w:cs="Times New Roman"/>
          <w:sz w:val="24"/>
          <w:szCs w:val="24"/>
        </w:rPr>
      </w:pPr>
      <w:r w:rsidRPr="009B6417">
        <w:rPr>
          <w:rFonts w:ascii="Times New Roman" w:hAnsi="Times New Roman" w:cs="Times New Roman"/>
          <w:sz w:val="24"/>
          <w:szCs w:val="24"/>
        </w:rPr>
        <w:t>P</w:t>
      </w:r>
      <w:r w:rsidR="00DF62F3" w:rsidRPr="009B6417">
        <w:rPr>
          <w:rFonts w:ascii="Times New Roman" w:hAnsi="Times New Roman" w:cs="Times New Roman"/>
          <w:sz w:val="24"/>
          <w:szCs w:val="24"/>
        </w:rPr>
        <w:t>ë</w:t>
      </w:r>
      <w:r w:rsidR="00043B63" w:rsidRPr="009B6417">
        <w:rPr>
          <w:rFonts w:ascii="Times New Roman" w:hAnsi="Times New Roman" w:cs="Times New Roman"/>
          <w:sz w:val="24"/>
          <w:szCs w:val="24"/>
        </w:rPr>
        <w:t>r r</w:t>
      </w:r>
      <w:r w:rsidRPr="009B6417">
        <w:rPr>
          <w:rFonts w:ascii="Times New Roman" w:hAnsi="Times New Roman" w:cs="Times New Roman"/>
          <w:sz w:val="24"/>
          <w:szCs w:val="24"/>
        </w:rPr>
        <w:t xml:space="preserve">iskun </w:t>
      </w:r>
      <w:r w:rsidR="006513E7" w:rsidRPr="009B6417">
        <w:rPr>
          <w:rFonts w:ascii="Times New Roman" w:hAnsi="Times New Roman" w:cs="Times New Roman"/>
          <w:sz w:val="24"/>
          <w:szCs w:val="24"/>
        </w:rPr>
        <w:t>e disbalancimit t</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ekuilibrit financiar</w:t>
      </w:r>
      <w:r w:rsidR="003E4B67" w:rsidRPr="009B6417">
        <w:rPr>
          <w:rFonts w:ascii="Times New Roman" w:hAnsi="Times New Roman" w:cs="Times New Roman"/>
          <w:sz w:val="24"/>
          <w:szCs w:val="24"/>
        </w:rPr>
        <w:t>,</w:t>
      </w:r>
      <w:r w:rsidR="006513E7" w:rsidRPr="009B6417">
        <w:rPr>
          <w:rFonts w:ascii="Times New Roman" w:hAnsi="Times New Roman" w:cs="Times New Roman"/>
          <w:sz w:val="24"/>
          <w:szCs w:val="24"/>
        </w:rPr>
        <w:t xml:space="preserve"> </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sht</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raportuar se </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sht</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vler</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suar si mesatar bazuar n</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parashikimet e Kontrat</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s s</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Koncesionit</w:t>
      </w:r>
      <w:r w:rsidR="00043B63" w:rsidRPr="009B6417">
        <w:rPr>
          <w:rFonts w:ascii="Times New Roman" w:hAnsi="Times New Roman" w:cs="Times New Roman"/>
          <w:sz w:val="24"/>
          <w:szCs w:val="24"/>
        </w:rPr>
        <w:t xml:space="preserve">, </w:t>
      </w:r>
      <w:r w:rsidR="006513E7" w:rsidRPr="009B6417">
        <w:rPr>
          <w:rFonts w:ascii="Times New Roman" w:hAnsi="Times New Roman" w:cs="Times New Roman"/>
          <w:sz w:val="24"/>
          <w:szCs w:val="24"/>
        </w:rPr>
        <w:t>pika 19 e saj dhe ecuris</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nd</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r vite t</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treguesve t</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caktuar</w:t>
      </w:r>
      <w:r w:rsidR="003E4B67" w:rsidRPr="009B6417">
        <w:rPr>
          <w:rFonts w:ascii="Times New Roman" w:hAnsi="Times New Roman" w:cs="Times New Roman"/>
          <w:sz w:val="24"/>
          <w:szCs w:val="24"/>
        </w:rPr>
        <w:t>,</w:t>
      </w:r>
      <w:r w:rsidR="006513E7" w:rsidRPr="009B6417">
        <w:rPr>
          <w:rFonts w:ascii="Times New Roman" w:hAnsi="Times New Roman" w:cs="Times New Roman"/>
          <w:sz w:val="24"/>
          <w:szCs w:val="24"/>
        </w:rPr>
        <w:t xml:space="preserve"> krahasuar me parashikimet fillestare t</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 xml:space="preserve"> kryera nga shoq</w:t>
      </w:r>
      <w:r w:rsidR="00DF62F3" w:rsidRPr="009B6417">
        <w:rPr>
          <w:rFonts w:ascii="Times New Roman" w:hAnsi="Times New Roman" w:cs="Times New Roman"/>
          <w:sz w:val="24"/>
          <w:szCs w:val="24"/>
        </w:rPr>
        <w:t>ë</w:t>
      </w:r>
      <w:r w:rsidR="006513E7" w:rsidRPr="009B6417">
        <w:rPr>
          <w:rFonts w:ascii="Times New Roman" w:hAnsi="Times New Roman" w:cs="Times New Roman"/>
          <w:sz w:val="24"/>
          <w:szCs w:val="24"/>
        </w:rPr>
        <w:t>ria.</w:t>
      </w:r>
      <w:r w:rsidR="000A5857" w:rsidRPr="009B6417">
        <w:rPr>
          <w:rFonts w:ascii="Times New Roman" w:hAnsi="Times New Roman" w:cs="Times New Roman"/>
          <w:sz w:val="24"/>
          <w:szCs w:val="24"/>
        </w:rPr>
        <w:t xml:space="preserve"> </w:t>
      </w:r>
      <w:r w:rsidR="004D5D06" w:rsidRPr="009B6417">
        <w:rPr>
          <w:rFonts w:ascii="Times New Roman" w:hAnsi="Times New Roman" w:cs="Times New Roman"/>
          <w:sz w:val="24"/>
          <w:szCs w:val="24"/>
        </w:rPr>
        <w:t>Lidhur me k</w:t>
      </w:r>
      <w:r w:rsidR="00DF62F3" w:rsidRPr="009B6417">
        <w:rPr>
          <w:rFonts w:ascii="Times New Roman" w:hAnsi="Times New Roman" w:cs="Times New Roman"/>
          <w:sz w:val="24"/>
          <w:szCs w:val="24"/>
        </w:rPr>
        <w:t>ë</w:t>
      </w:r>
      <w:r w:rsidR="004D5D06" w:rsidRPr="009B6417">
        <w:rPr>
          <w:rFonts w:ascii="Times New Roman" w:hAnsi="Times New Roman" w:cs="Times New Roman"/>
          <w:sz w:val="24"/>
          <w:szCs w:val="24"/>
        </w:rPr>
        <w:t>t</w:t>
      </w:r>
      <w:r w:rsidR="00DF62F3" w:rsidRPr="009B6417">
        <w:rPr>
          <w:rFonts w:ascii="Times New Roman" w:hAnsi="Times New Roman" w:cs="Times New Roman"/>
          <w:sz w:val="24"/>
          <w:szCs w:val="24"/>
        </w:rPr>
        <w:t>ë</w:t>
      </w:r>
      <w:r w:rsidR="002A5B5F">
        <w:rPr>
          <w:rFonts w:ascii="Times New Roman" w:hAnsi="Times New Roman" w:cs="Times New Roman"/>
          <w:sz w:val="24"/>
          <w:szCs w:val="24"/>
        </w:rPr>
        <w:t>,</w:t>
      </w:r>
      <w:r w:rsidR="004D5D06" w:rsidRPr="009B6417">
        <w:rPr>
          <w:rFonts w:ascii="Times New Roman" w:hAnsi="Times New Roman" w:cs="Times New Roman"/>
          <w:sz w:val="24"/>
          <w:szCs w:val="24"/>
        </w:rPr>
        <w:t xml:space="preserve"> p</w:t>
      </w:r>
      <w:r w:rsidR="00DF62F3" w:rsidRPr="009B6417">
        <w:rPr>
          <w:rFonts w:ascii="Times New Roman" w:hAnsi="Times New Roman" w:cs="Times New Roman"/>
          <w:sz w:val="24"/>
          <w:szCs w:val="24"/>
        </w:rPr>
        <w:t>ë</w:t>
      </w:r>
      <w:r w:rsidR="004D5D06" w:rsidRPr="009B6417">
        <w:rPr>
          <w:rFonts w:ascii="Times New Roman" w:hAnsi="Times New Roman" w:cs="Times New Roman"/>
          <w:sz w:val="24"/>
          <w:szCs w:val="24"/>
        </w:rPr>
        <w:t>r t</w:t>
      </w:r>
      <w:r w:rsidR="00DF62F3"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 vler</w:t>
      </w:r>
      <w:r w:rsidR="00DF62F3" w:rsidRPr="009B6417">
        <w:rPr>
          <w:rFonts w:ascii="Times New Roman" w:hAnsi="Times New Roman" w:cs="Times New Roman"/>
          <w:sz w:val="24"/>
          <w:szCs w:val="24"/>
        </w:rPr>
        <w:t>ë</w:t>
      </w:r>
      <w:r w:rsidR="004D5D06" w:rsidRPr="009B6417">
        <w:rPr>
          <w:rFonts w:ascii="Times New Roman" w:hAnsi="Times New Roman" w:cs="Times New Roman"/>
          <w:sz w:val="24"/>
          <w:szCs w:val="24"/>
        </w:rPr>
        <w:t>suar n</w:t>
      </w:r>
      <w:r w:rsidR="00DF62F3" w:rsidRPr="009B6417">
        <w:rPr>
          <w:rFonts w:ascii="Times New Roman" w:hAnsi="Times New Roman" w:cs="Times New Roman"/>
          <w:sz w:val="24"/>
          <w:szCs w:val="24"/>
        </w:rPr>
        <w:t>ë</w:t>
      </w:r>
      <w:r w:rsidR="004D5D06" w:rsidRPr="009B6417">
        <w:rPr>
          <w:rFonts w:ascii="Times New Roman" w:hAnsi="Times New Roman" w:cs="Times New Roman"/>
          <w:sz w:val="24"/>
          <w:szCs w:val="24"/>
        </w:rPr>
        <w:t>se ka ose jo nj</w:t>
      </w:r>
      <w:r w:rsidR="00DF62F3"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 disekuilib</w:t>
      </w:r>
      <w:r w:rsidR="00DF62F3" w:rsidRPr="009B6417">
        <w:rPr>
          <w:rFonts w:ascii="Times New Roman" w:hAnsi="Times New Roman" w:cs="Times New Roman"/>
          <w:sz w:val="24"/>
          <w:szCs w:val="24"/>
        </w:rPr>
        <w:t>ë</w:t>
      </w:r>
      <w:r w:rsidR="004D5D06" w:rsidRPr="009B6417">
        <w:rPr>
          <w:rFonts w:ascii="Times New Roman" w:hAnsi="Times New Roman" w:cs="Times New Roman"/>
          <w:sz w:val="24"/>
          <w:szCs w:val="24"/>
        </w:rPr>
        <w:t>r ekonomik referuar totalit t</w:t>
      </w:r>
      <w:r w:rsidR="00DF62F3"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 t</w:t>
      </w:r>
      <w:r w:rsidR="00DF62F3"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 ardhurave dhe shpenzimeve dhe norm</w:t>
      </w:r>
      <w:r w:rsidR="00DF62F3"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s </w:t>
      </w:r>
      <w:r w:rsidR="008102DE" w:rsidRPr="009B6417">
        <w:rPr>
          <w:rFonts w:ascii="Times New Roman" w:hAnsi="Times New Roman" w:cs="Times New Roman"/>
          <w:sz w:val="24"/>
          <w:szCs w:val="24"/>
        </w:rPr>
        <w:t>s</w:t>
      </w:r>
      <w:r w:rsidR="00DF62F3" w:rsidRPr="009B6417">
        <w:rPr>
          <w:rFonts w:ascii="Times New Roman" w:hAnsi="Times New Roman" w:cs="Times New Roman"/>
          <w:sz w:val="24"/>
          <w:szCs w:val="24"/>
        </w:rPr>
        <w:t>ë</w:t>
      </w:r>
      <w:r w:rsidR="008102DE" w:rsidRPr="009B6417">
        <w:rPr>
          <w:rFonts w:ascii="Times New Roman" w:hAnsi="Times New Roman" w:cs="Times New Roman"/>
          <w:sz w:val="24"/>
          <w:szCs w:val="24"/>
        </w:rPr>
        <w:t xml:space="preserve"> kthimit t</w:t>
      </w:r>
      <w:r w:rsidR="00DF62F3" w:rsidRPr="009B6417">
        <w:rPr>
          <w:rFonts w:ascii="Times New Roman" w:hAnsi="Times New Roman" w:cs="Times New Roman"/>
          <w:sz w:val="24"/>
          <w:szCs w:val="24"/>
        </w:rPr>
        <w:t>ë</w:t>
      </w:r>
      <w:r w:rsidR="008102DE" w:rsidRPr="009B6417">
        <w:rPr>
          <w:rFonts w:ascii="Times New Roman" w:hAnsi="Times New Roman" w:cs="Times New Roman"/>
          <w:sz w:val="24"/>
          <w:szCs w:val="24"/>
        </w:rPr>
        <w:t xml:space="preserve"> kapitalit sipas s</w:t>
      </w:r>
      <w:r w:rsidR="004D5D06" w:rsidRPr="009B6417">
        <w:rPr>
          <w:rFonts w:ascii="Times New Roman" w:hAnsi="Times New Roman" w:cs="Times New Roman"/>
          <w:sz w:val="24"/>
          <w:szCs w:val="24"/>
        </w:rPr>
        <w:t>k</w:t>
      </w:r>
      <w:r w:rsidR="008102DE" w:rsidRPr="009B6417">
        <w:rPr>
          <w:rFonts w:ascii="Times New Roman" w:hAnsi="Times New Roman" w:cs="Times New Roman"/>
          <w:sz w:val="24"/>
          <w:szCs w:val="24"/>
        </w:rPr>
        <w:t>e</w:t>
      </w:r>
      <w:r w:rsidR="004D5D06" w:rsidRPr="009B6417">
        <w:rPr>
          <w:rFonts w:ascii="Times New Roman" w:hAnsi="Times New Roman" w:cs="Times New Roman"/>
          <w:sz w:val="24"/>
          <w:szCs w:val="24"/>
        </w:rPr>
        <w:t>narit baz</w:t>
      </w:r>
      <w:r w:rsidR="00DF62F3" w:rsidRPr="009B6417">
        <w:rPr>
          <w:rFonts w:ascii="Times New Roman" w:hAnsi="Times New Roman" w:cs="Times New Roman"/>
          <w:sz w:val="24"/>
          <w:szCs w:val="24"/>
        </w:rPr>
        <w:t>ë</w:t>
      </w:r>
      <w:r w:rsidR="002D7B32" w:rsidRPr="009B6417">
        <w:rPr>
          <w:rFonts w:ascii="Times New Roman" w:hAnsi="Times New Roman" w:cs="Times New Roman"/>
          <w:sz w:val="24"/>
          <w:szCs w:val="24"/>
        </w:rPr>
        <w:t xml:space="preserve"> </w:t>
      </w:r>
      <w:r w:rsidR="000A5857" w:rsidRPr="009B6417">
        <w:rPr>
          <w:rFonts w:ascii="Times New Roman" w:hAnsi="Times New Roman" w:cs="Times New Roman"/>
          <w:sz w:val="24"/>
          <w:szCs w:val="24"/>
        </w:rPr>
        <w:t>ë</w:t>
      </w:r>
      <w:r w:rsidR="002D7B32" w:rsidRPr="009B6417">
        <w:rPr>
          <w:rFonts w:ascii="Times New Roman" w:hAnsi="Times New Roman" w:cs="Times New Roman"/>
          <w:sz w:val="24"/>
          <w:szCs w:val="24"/>
        </w:rPr>
        <w:t>sht</w:t>
      </w:r>
      <w:r w:rsidR="000A5857" w:rsidRPr="009B6417">
        <w:rPr>
          <w:rFonts w:ascii="Times New Roman" w:hAnsi="Times New Roman" w:cs="Times New Roman"/>
          <w:sz w:val="24"/>
          <w:szCs w:val="24"/>
        </w:rPr>
        <w:t>ë</w:t>
      </w:r>
      <w:r w:rsidR="002D7B32" w:rsidRPr="009B6417">
        <w:rPr>
          <w:rFonts w:ascii="Times New Roman" w:hAnsi="Times New Roman" w:cs="Times New Roman"/>
          <w:sz w:val="24"/>
          <w:szCs w:val="24"/>
        </w:rPr>
        <w:t xml:space="preserve"> kontraktuar nj</w:t>
      </w:r>
      <w:r w:rsidR="000A5857" w:rsidRPr="009B6417">
        <w:rPr>
          <w:rFonts w:ascii="Times New Roman" w:hAnsi="Times New Roman" w:cs="Times New Roman"/>
          <w:sz w:val="24"/>
          <w:szCs w:val="24"/>
        </w:rPr>
        <w:t>ë</w:t>
      </w:r>
      <w:r w:rsidR="002D7B32" w:rsidRPr="009B6417">
        <w:rPr>
          <w:rFonts w:ascii="Times New Roman" w:hAnsi="Times New Roman" w:cs="Times New Roman"/>
          <w:sz w:val="24"/>
          <w:szCs w:val="24"/>
        </w:rPr>
        <w:t xml:space="preserve"> kompani nd</w:t>
      </w:r>
      <w:r w:rsidR="000A5857" w:rsidRPr="009B6417">
        <w:rPr>
          <w:rFonts w:ascii="Times New Roman" w:hAnsi="Times New Roman" w:cs="Times New Roman"/>
          <w:sz w:val="24"/>
          <w:szCs w:val="24"/>
        </w:rPr>
        <w:t>ë</w:t>
      </w:r>
      <w:r w:rsidR="002D7B32" w:rsidRPr="009B6417">
        <w:rPr>
          <w:rFonts w:ascii="Times New Roman" w:hAnsi="Times New Roman" w:cs="Times New Roman"/>
          <w:sz w:val="24"/>
          <w:szCs w:val="24"/>
        </w:rPr>
        <w:t>rkomb</w:t>
      </w:r>
      <w:r w:rsidR="000A5857" w:rsidRPr="009B6417">
        <w:rPr>
          <w:rFonts w:ascii="Times New Roman" w:hAnsi="Times New Roman" w:cs="Times New Roman"/>
          <w:sz w:val="24"/>
          <w:szCs w:val="24"/>
        </w:rPr>
        <w:t>ë</w:t>
      </w:r>
      <w:r w:rsidR="002D7B32" w:rsidRPr="009B6417">
        <w:rPr>
          <w:rFonts w:ascii="Times New Roman" w:hAnsi="Times New Roman" w:cs="Times New Roman"/>
          <w:sz w:val="24"/>
          <w:szCs w:val="24"/>
        </w:rPr>
        <w:t>tare p</w:t>
      </w:r>
      <w:r w:rsidR="00DF62F3" w:rsidRPr="009B6417">
        <w:rPr>
          <w:rFonts w:ascii="Times New Roman" w:hAnsi="Times New Roman" w:cs="Times New Roman"/>
          <w:sz w:val="24"/>
          <w:szCs w:val="24"/>
        </w:rPr>
        <w:t>ë</w:t>
      </w:r>
      <w:r w:rsidR="004D5D06" w:rsidRPr="009B6417">
        <w:rPr>
          <w:rFonts w:ascii="Times New Roman" w:hAnsi="Times New Roman" w:cs="Times New Roman"/>
          <w:sz w:val="24"/>
          <w:szCs w:val="24"/>
        </w:rPr>
        <w:t xml:space="preserve">r kryerjen e rishikimit të pavarur të </w:t>
      </w:r>
      <w:r w:rsidR="003E4B67" w:rsidRPr="009B6417">
        <w:rPr>
          <w:rFonts w:ascii="Times New Roman" w:hAnsi="Times New Roman" w:cs="Times New Roman"/>
          <w:sz w:val="24"/>
          <w:szCs w:val="24"/>
        </w:rPr>
        <w:t xml:space="preserve">pozicionit </w:t>
      </w:r>
      <w:r w:rsidR="003E4B67" w:rsidRPr="00CB6F8D">
        <w:rPr>
          <w:rFonts w:ascii="Times New Roman" w:hAnsi="Times New Roman" w:cs="Times New Roman"/>
          <w:sz w:val="24"/>
          <w:szCs w:val="24"/>
        </w:rPr>
        <w:t>ekonomik/</w:t>
      </w:r>
      <w:r w:rsidR="004D5D06" w:rsidRPr="00CB6F8D">
        <w:rPr>
          <w:rFonts w:ascii="Times New Roman" w:hAnsi="Times New Roman" w:cs="Times New Roman"/>
          <w:sz w:val="24"/>
          <w:szCs w:val="24"/>
        </w:rPr>
        <w:t>disbalancës ekonomike</w:t>
      </w:r>
      <w:r w:rsidR="002D7B32" w:rsidRPr="00CB6F8D">
        <w:rPr>
          <w:rFonts w:ascii="Times New Roman" w:hAnsi="Times New Roman" w:cs="Times New Roman"/>
          <w:sz w:val="24"/>
          <w:szCs w:val="24"/>
        </w:rPr>
        <w:t xml:space="preserve"> e cila ka konstatuar se </w:t>
      </w:r>
      <w:r w:rsidR="004D5D06" w:rsidRPr="00CB6F8D">
        <w:rPr>
          <w:rFonts w:ascii="Times New Roman" w:hAnsi="Times New Roman" w:cs="Times New Roman"/>
          <w:sz w:val="24"/>
          <w:szCs w:val="24"/>
        </w:rPr>
        <w:t>shifrat tregojn</w:t>
      </w:r>
      <w:r w:rsidR="00DF62F3" w:rsidRPr="00CB6F8D">
        <w:rPr>
          <w:rFonts w:ascii="Times New Roman" w:hAnsi="Times New Roman" w:cs="Times New Roman"/>
          <w:sz w:val="24"/>
          <w:szCs w:val="24"/>
        </w:rPr>
        <w:t>ë</w:t>
      </w:r>
      <w:r w:rsidR="004D5D06" w:rsidRPr="00CB6F8D">
        <w:rPr>
          <w:rFonts w:ascii="Times New Roman" w:hAnsi="Times New Roman" w:cs="Times New Roman"/>
          <w:sz w:val="24"/>
          <w:szCs w:val="24"/>
        </w:rPr>
        <w:t xml:space="preserve"> nj</w:t>
      </w:r>
      <w:r w:rsidR="00DF62F3" w:rsidRPr="00CB6F8D">
        <w:rPr>
          <w:rFonts w:ascii="Times New Roman" w:hAnsi="Times New Roman" w:cs="Times New Roman"/>
          <w:sz w:val="24"/>
          <w:szCs w:val="24"/>
        </w:rPr>
        <w:t>ë</w:t>
      </w:r>
      <w:r w:rsidR="004D5D06" w:rsidRPr="00CB6F8D">
        <w:rPr>
          <w:rFonts w:ascii="Times New Roman" w:hAnsi="Times New Roman" w:cs="Times New Roman"/>
          <w:sz w:val="24"/>
          <w:szCs w:val="24"/>
        </w:rPr>
        <w:t xml:space="preserve"> disbalanc</w:t>
      </w:r>
      <w:r w:rsidR="00DF62F3" w:rsidRPr="00CB6F8D">
        <w:rPr>
          <w:rFonts w:ascii="Times New Roman" w:hAnsi="Times New Roman" w:cs="Times New Roman"/>
          <w:sz w:val="24"/>
          <w:szCs w:val="24"/>
        </w:rPr>
        <w:t>ë</w:t>
      </w:r>
      <w:r w:rsidR="004D5D06" w:rsidRPr="00CB6F8D">
        <w:rPr>
          <w:rFonts w:ascii="Times New Roman" w:hAnsi="Times New Roman" w:cs="Times New Roman"/>
          <w:sz w:val="24"/>
          <w:szCs w:val="24"/>
        </w:rPr>
        <w:t xml:space="preserve"> ekonomike.</w:t>
      </w:r>
      <w:r w:rsidR="002D7B32" w:rsidRPr="00CB6F8D">
        <w:rPr>
          <w:rFonts w:ascii="Times New Roman" w:hAnsi="Times New Roman" w:cs="Times New Roman"/>
          <w:sz w:val="24"/>
          <w:szCs w:val="24"/>
        </w:rPr>
        <w:t xml:space="preserve"> Lidhur me k</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t</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 disbalanc</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 ekonomike jan</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 n</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 diskutim e sip</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r </w:t>
      </w:r>
      <w:r w:rsidR="008102DE" w:rsidRPr="00CB6F8D">
        <w:rPr>
          <w:rFonts w:ascii="Times New Roman" w:hAnsi="Times New Roman" w:cs="Times New Roman"/>
          <w:sz w:val="24"/>
          <w:szCs w:val="24"/>
        </w:rPr>
        <w:t>opsionet e mundshme t</w:t>
      </w:r>
      <w:r w:rsidR="00DF62F3"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 rinegocimit t</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 cilat do t</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 synojn</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 ofrimin e nj</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 sh</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rbimi sa m</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 t</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 mir</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 xml:space="preserve"> p</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r p</w:t>
      </w:r>
      <w:r w:rsidR="000A5857" w:rsidRPr="00CB6F8D">
        <w:rPr>
          <w:rFonts w:ascii="Times New Roman" w:hAnsi="Times New Roman" w:cs="Times New Roman"/>
          <w:sz w:val="24"/>
          <w:szCs w:val="24"/>
        </w:rPr>
        <w:t>ë</w:t>
      </w:r>
      <w:r w:rsidR="002D7B32" w:rsidRPr="00CB6F8D">
        <w:rPr>
          <w:rFonts w:ascii="Times New Roman" w:hAnsi="Times New Roman" w:cs="Times New Roman"/>
          <w:sz w:val="24"/>
          <w:szCs w:val="24"/>
        </w:rPr>
        <w:t>rdoruesit.</w:t>
      </w:r>
    </w:p>
    <w:p w14:paraId="2AA9EC51" w14:textId="77777777" w:rsidR="006513E7" w:rsidRPr="008E713C" w:rsidRDefault="006513E7" w:rsidP="005B60A3">
      <w:pPr>
        <w:spacing w:after="0"/>
        <w:jc w:val="both"/>
        <w:rPr>
          <w:rFonts w:ascii="Times New Roman" w:hAnsi="Times New Roman" w:cs="Times New Roman"/>
          <w:sz w:val="12"/>
          <w:szCs w:val="24"/>
        </w:rPr>
      </w:pPr>
    </w:p>
    <w:p w14:paraId="53DBB48B" w14:textId="77777777" w:rsidR="008920E3" w:rsidRPr="00CB6F8D" w:rsidRDefault="004D5D06" w:rsidP="00571136">
      <w:pPr>
        <w:spacing w:after="0"/>
        <w:jc w:val="both"/>
        <w:rPr>
          <w:rFonts w:ascii="Times New Roman" w:hAnsi="Times New Roman" w:cs="Times New Roman"/>
          <w:sz w:val="24"/>
          <w:szCs w:val="24"/>
        </w:rPr>
      </w:pPr>
      <w:r w:rsidRPr="00776A98">
        <w:rPr>
          <w:rFonts w:ascii="Times New Roman" w:hAnsi="Times New Roman" w:cs="Times New Roman"/>
          <w:sz w:val="24"/>
          <w:szCs w:val="24"/>
        </w:rPr>
        <w:t>P</w:t>
      </w:r>
      <w:r w:rsidR="00DF62F3" w:rsidRPr="00776A98">
        <w:rPr>
          <w:rFonts w:ascii="Times New Roman" w:hAnsi="Times New Roman" w:cs="Times New Roman"/>
          <w:sz w:val="24"/>
          <w:szCs w:val="24"/>
        </w:rPr>
        <w:t>ë</w:t>
      </w:r>
      <w:r w:rsidRPr="00776A98">
        <w:rPr>
          <w:rFonts w:ascii="Times New Roman" w:hAnsi="Times New Roman" w:cs="Times New Roman"/>
          <w:sz w:val="24"/>
          <w:szCs w:val="24"/>
        </w:rPr>
        <w:t>r riskun</w:t>
      </w:r>
      <w:r w:rsidR="003E4B67" w:rsidRPr="00776A98">
        <w:rPr>
          <w:rFonts w:ascii="Times New Roman" w:hAnsi="Times New Roman" w:cs="Times New Roman"/>
          <w:sz w:val="24"/>
          <w:szCs w:val="24"/>
        </w:rPr>
        <w:t xml:space="preserve"> e rinegocimit, </w:t>
      </w:r>
      <w:r w:rsidR="006513E7" w:rsidRPr="00776A98">
        <w:rPr>
          <w:rFonts w:ascii="Times New Roman" w:hAnsi="Times New Roman" w:cs="Times New Roman"/>
          <w:sz w:val="24"/>
          <w:szCs w:val="24"/>
        </w:rPr>
        <w:t>raportohet i vler</w:t>
      </w:r>
      <w:r w:rsidR="00DF62F3" w:rsidRPr="00776A98">
        <w:rPr>
          <w:rFonts w:ascii="Times New Roman" w:hAnsi="Times New Roman" w:cs="Times New Roman"/>
          <w:sz w:val="24"/>
          <w:szCs w:val="24"/>
        </w:rPr>
        <w:t>ë</w:t>
      </w:r>
      <w:r w:rsidR="006513E7" w:rsidRPr="00776A98">
        <w:rPr>
          <w:rFonts w:ascii="Times New Roman" w:hAnsi="Times New Roman" w:cs="Times New Roman"/>
          <w:sz w:val="24"/>
          <w:szCs w:val="24"/>
        </w:rPr>
        <w:t>suar si i mes</w:t>
      </w:r>
      <w:r w:rsidR="00DF62F3" w:rsidRPr="00776A98">
        <w:rPr>
          <w:rFonts w:ascii="Times New Roman" w:hAnsi="Times New Roman" w:cs="Times New Roman"/>
          <w:sz w:val="24"/>
          <w:szCs w:val="24"/>
        </w:rPr>
        <w:t>ë</w:t>
      </w:r>
      <w:r w:rsidR="006513E7" w:rsidRPr="00776A98">
        <w:rPr>
          <w:rFonts w:ascii="Times New Roman" w:hAnsi="Times New Roman" w:cs="Times New Roman"/>
          <w:sz w:val="24"/>
          <w:szCs w:val="24"/>
        </w:rPr>
        <w:t>m lidhur me disbalanc</w:t>
      </w:r>
      <w:r w:rsidR="00DF62F3" w:rsidRPr="00776A98">
        <w:rPr>
          <w:rFonts w:ascii="Times New Roman" w:hAnsi="Times New Roman" w:cs="Times New Roman"/>
          <w:sz w:val="24"/>
          <w:szCs w:val="24"/>
        </w:rPr>
        <w:t>ë</w:t>
      </w:r>
      <w:r w:rsidR="006513E7" w:rsidRPr="00776A98">
        <w:rPr>
          <w:rFonts w:ascii="Times New Roman" w:hAnsi="Times New Roman" w:cs="Times New Roman"/>
          <w:sz w:val="24"/>
          <w:szCs w:val="24"/>
        </w:rPr>
        <w:t>n ekonomike t</w:t>
      </w:r>
      <w:r w:rsidR="00DF62F3" w:rsidRPr="00776A98">
        <w:rPr>
          <w:rFonts w:ascii="Times New Roman" w:hAnsi="Times New Roman" w:cs="Times New Roman"/>
          <w:sz w:val="24"/>
          <w:szCs w:val="24"/>
        </w:rPr>
        <w:t>ë</w:t>
      </w:r>
      <w:r w:rsidR="006513E7" w:rsidRPr="00776A98">
        <w:rPr>
          <w:rFonts w:ascii="Times New Roman" w:hAnsi="Times New Roman" w:cs="Times New Roman"/>
          <w:sz w:val="24"/>
          <w:szCs w:val="24"/>
        </w:rPr>
        <w:t xml:space="preserve"> kontrat</w:t>
      </w:r>
      <w:r w:rsidR="00DF62F3" w:rsidRPr="00776A98">
        <w:rPr>
          <w:rFonts w:ascii="Times New Roman" w:hAnsi="Times New Roman" w:cs="Times New Roman"/>
          <w:sz w:val="24"/>
          <w:szCs w:val="24"/>
        </w:rPr>
        <w:t>ë</w:t>
      </w:r>
      <w:r w:rsidR="006513E7" w:rsidRPr="00776A98">
        <w:rPr>
          <w:rFonts w:ascii="Times New Roman" w:hAnsi="Times New Roman" w:cs="Times New Roman"/>
          <w:sz w:val="24"/>
          <w:szCs w:val="24"/>
        </w:rPr>
        <w:t>s por jo vet</w:t>
      </w:r>
      <w:r w:rsidR="00DF62F3" w:rsidRPr="00776A98">
        <w:rPr>
          <w:rFonts w:ascii="Times New Roman" w:hAnsi="Times New Roman" w:cs="Times New Roman"/>
          <w:sz w:val="24"/>
          <w:szCs w:val="24"/>
        </w:rPr>
        <w:t>ë</w:t>
      </w:r>
      <w:r w:rsidR="006513E7" w:rsidRPr="00776A98">
        <w:rPr>
          <w:rFonts w:ascii="Times New Roman" w:hAnsi="Times New Roman" w:cs="Times New Roman"/>
          <w:sz w:val="24"/>
          <w:szCs w:val="24"/>
        </w:rPr>
        <w:t>m</w:t>
      </w:r>
      <w:r w:rsidRPr="00776A98">
        <w:rPr>
          <w:rFonts w:ascii="Times New Roman" w:hAnsi="Times New Roman" w:cs="Times New Roman"/>
          <w:sz w:val="24"/>
          <w:szCs w:val="24"/>
        </w:rPr>
        <w:t xml:space="preserve">, </w:t>
      </w:r>
      <w:r w:rsidR="0063661F" w:rsidRPr="00776A98">
        <w:rPr>
          <w:rFonts w:ascii="Times New Roman" w:hAnsi="Times New Roman" w:cs="Times New Roman"/>
          <w:sz w:val="24"/>
          <w:szCs w:val="24"/>
        </w:rPr>
        <w:t xml:space="preserve">megjithatë </w:t>
      </w:r>
      <w:r w:rsidRPr="00776A98">
        <w:rPr>
          <w:rFonts w:ascii="Times New Roman" w:hAnsi="Times New Roman" w:cs="Times New Roman"/>
          <w:sz w:val="24"/>
          <w:szCs w:val="24"/>
        </w:rPr>
        <w:t xml:space="preserve">ky rinegocim ende nuk </w:t>
      </w:r>
      <w:r w:rsidR="00571136" w:rsidRPr="00776A98">
        <w:rPr>
          <w:rFonts w:ascii="Times New Roman" w:hAnsi="Times New Roman" w:cs="Times New Roman"/>
          <w:sz w:val="24"/>
          <w:szCs w:val="24"/>
        </w:rPr>
        <w:t xml:space="preserve"> </w:t>
      </w:r>
      <w:r w:rsidR="00DF62F3" w:rsidRPr="00776A98">
        <w:rPr>
          <w:rFonts w:ascii="Times New Roman" w:hAnsi="Times New Roman" w:cs="Times New Roman"/>
          <w:sz w:val="24"/>
          <w:szCs w:val="24"/>
        </w:rPr>
        <w:t>ë</w:t>
      </w:r>
      <w:r w:rsidRPr="00776A98">
        <w:rPr>
          <w:rFonts w:ascii="Times New Roman" w:hAnsi="Times New Roman" w:cs="Times New Roman"/>
          <w:sz w:val="24"/>
          <w:szCs w:val="24"/>
        </w:rPr>
        <w:t>sht</w:t>
      </w:r>
      <w:r w:rsidR="00DF62F3" w:rsidRPr="00776A98">
        <w:rPr>
          <w:rFonts w:ascii="Times New Roman" w:hAnsi="Times New Roman" w:cs="Times New Roman"/>
          <w:sz w:val="24"/>
          <w:szCs w:val="24"/>
        </w:rPr>
        <w:t>ë</w:t>
      </w:r>
      <w:r w:rsidRPr="00776A98">
        <w:rPr>
          <w:rFonts w:ascii="Times New Roman" w:hAnsi="Times New Roman" w:cs="Times New Roman"/>
          <w:sz w:val="24"/>
          <w:szCs w:val="24"/>
        </w:rPr>
        <w:t xml:space="preserve"> materializuar.</w:t>
      </w:r>
      <w:r w:rsidR="00220197" w:rsidRPr="00776A98">
        <w:rPr>
          <w:rFonts w:ascii="Times New Roman" w:hAnsi="Times New Roman" w:cs="Times New Roman"/>
          <w:sz w:val="24"/>
          <w:szCs w:val="24"/>
        </w:rPr>
        <w:t xml:space="preserve"> Bisedimet midis pal</w:t>
      </w:r>
      <w:r w:rsidR="00D949E1" w:rsidRPr="00776A98">
        <w:rPr>
          <w:rFonts w:ascii="Times New Roman" w:hAnsi="Times New Roman" w:cs="Times New Roman"/>
          <w:sz w:val="24"/>
          <w:szCs w:val="24"/>
        </w:rPr>
        <w:t>ë</w:t>
      </w:r>
      <w:r w:rsidR="00220197" w:rsidRPr="00776A98">
        <w:rPr>
          <w:rFonts w:ascii="Times New Roman" w:hAnsi="Times New Roman" w:cs="Times New Roman"/>
          <w:sz w:val="24"/>
          <w:szCs w:val="24"/>
        </w:rPr>
        <w:t>ve lidhur me rinegocimin tashm</w:t>
      </w:r>
      <w:r w:rsidR="00D949E1" w:rsidRPr="00776A98">
        <w:rPr>
          <w:rFonts w:ascii="Times New Roman" w:hAnsi="Times New Roman" w:cs="Times New Roman"/>
          <w:sz w:val="24"/>
          <w:szCs w:val="24"/>
        </w:rPr>
        <w:t>ë</w:t>
      </w:r>
      <w:r w:rsidR="00220197" w:rsidRPr="00776A98">
        <w:rPr>
          <w:rFonts w:ascii="Times New Roman" w:hAnsi="Times New Roman" w:cs="Times New Roman"/>
          <w:sz w:val="24"/>
          <w:szCs w:val="24"/>
        </w:rPr>
        <w:t xml:space="preserve"> kan</w:t>
      </w:r>
      <w:r w:rsidR="00D949E1" w:rsidRPr="00776A98">
        <w:rPr>
          <w:rFonts w:ascii="Times New Roman" w:hAnsi="Times New Roman" w:cs="Times New Roman"/>
          <w:sz w:val="24"/>
          <w:szCs w:val="24"/>
        </w:rPr>
        <w:t>ë</w:t>
      </w:r>
      <w:r w:rsidR="005F42A0" w:rsidRPr="00776A98">
        <w:rPr>
          <w:rFonts w:ascii="Times New Roman" w:hAnsi="Times New Roman" w:cs="Times New Roman"/>
          <w:sz w:val="24"/>
          <w:szCs w:val="24"/>
        </w:rPr>
        <w:t xml:space="preserve"> filluar dhe janë në proces.</w:t>
      </w:r>
    </w:p>
    <w:p w14:paraId="2EAA1F86" w14:textId="77777777" w:rsidR="00CB6F8D" w:rsidRDefault="002064BE" w:rsidP="00CB6F8D">
      <w:pPr>
        <w:pStyle w:val="ListParagraph"/>
        <w:numPr>
          <w:ilvl w:val="0"/>
          <w:numId w:val="3"/>
        </w:numPr>
        <w:spacing w:before="100" w:beforeAutospacing="1" w:after="0"/>
        <w:jc w:val="both"/>
        <w:rPr>
          <w:rFonts w:ascii="Times New Roman" w:eastAsia="Times New Roman" w:hAnsi="Times New Roman" w:cs="Times New Roman"/>
          <w:b/>
          <w:color w:val="0070C0"/>
          <w:sz w:val="24"/>
          <w:szCs w:val="24"/>
        </w:rPr>
      </w:pPr>
      <w:r w:rsidRPr="009B6417">
        <w:rPr>
          <w:rFonts w:ascii="Times New Roman" w:eastAsia="Times New Roman" w:hAnsi="Times New Roman" w:cs="Times New Roman"/>
          <w:b/>
          <w:color w:val="0070C0"/>
          <w:sz w:val="24"/>
          <w:szCs w:val="24"/>
        </w:rPr>
        <w:t>Sektori i Mjedisit</w:t>
      </w:r>
    </w:p>
    <w:p w14:paraId="4F882827" w14:textId="77777777" w:rsidR="00571136" w:rsidRDefault="00B91952" w:rsidP="00CB6F8D">
      <w:pPr>
        <w:spacing w:before="100" w:beforeAutospacing="1" w:after="0"/>
        <w:jc w:val="both"/>
        <w:rPr>
          <w:rFonts w:ascii="Times New Roman" w:hAnsi="Times New Roman" w:cs="Times New Roman"/>
          <w:sz w:val="24"/>
          <w:szCs w:val="24"/>
        </w:rPr>
      </w:pPr>
      <w:r w:rsidRPr="00CB6F8D">
        <w:rPr>
          <w:rFonts w:ascii="Times New Roman" w:hAnsi="Times New Roman" w:cs="Times New Roman"/>
          <w:sz w:val="24"/>
          <w:szCs w:val="24"/>
        </w:rPr>
        <w:t>N</w:t>
      </w:r>
      <w:r w:rsidR="00295003" w:rsidRPr="00CB6F8D">
        <w:rPr>
          <w:rFonts w:ascii="Times New Roman" w:hAnsi="Times New Roman" w:cs="Times New Roman"/>
          <w:sz w:val="24"/>
          <w:szCs w:val="24"/>
        </w:rPr>
        <w:t>ë</w:t>
      </w:r>
      <w:r w:rsidR="00E8327E" w:rsidRPr="00CB6F8D">
        <w:rPr>
          <w:rFonts w:ascii="Times New Roman" w:hAnsi="Times New Roman" w:cs="Times New Roman"/>
          <w:sz w:val="24"/>
          <w:szCs w:val="24"/>
        </w:rPr>
        <w:t xml:space="preserve"> sektorin e mjedisit </w:t>
      </w:r>
      <w:r w:rsidRPr="00CB6F8D">
        <w:rPr>
          <w:rFonts w:ascii="Times New Roman" w:hAnsi="Times New Roman" w:cs="Times New Roman"/>
          <w:sz w:val="24"/>
          <w:szCs w:val="24"/>
        </w:rPr>
        <w:t>jan</w:t>
      </w:r>
      <w:r w:rsidR="00295003" w:rsidRPr="00CB6F8D">
        <w:rPr>
          <w:rFonts w:ascii="Times New Roman" w:hAnsi="Times New Roman" w:cs="Times New Roman"/>
          <w:sz w:val="24"/>
          <w:szCs w:val="24"/>
        </w:rPr>
        <w:t>ë</w:t>
      </w:r>
      <w:r w:rsidR="00E332E0">
        <w:rPr>
          <w:rFonts w:ascii="Times New Roman" w:hAnsi="Times New Roman" w:cs="Times New Roman"/>
          <w:sz w:val="24"/>
          <w:szCs w:val="24"/>
        </w:rPr>
        <w:t xml:space="preserve"> miratuar kat</w:t>
      </w:r>
      <w:r w:rsidR="00AB3C00">
        <w:rPr>
          <w:rFonts w:ascii="Times New Roman" w:hAnsi="Times New Roman" w:cs="Times New Roman"/>
          <w:sz w:val="24"/>
          <w:szCs w:val="24"/>
        </w:rPr>
        <w:t>ë</w:t>
      </w:r>
      <w:r w:rsidR="00E332E0">
        <w:rPr>
          <w:rFonts w:ascii="Times New Roman" w:hAnsi="Times New Roman" w:cs="Times New Roman"/>
          <w:sz w:val="24"/>
          <w:szCs w:val="24"/>
        </w:rPr>
        <w:t>r</w:t>
      </w:r>
      <w:r w:rsidRPr="00CB6F8D">
        <w:rPr>
          <w:rFonts w:ascii="Times New Roman" w:hAnsi="Times New Roman" w:cs="Times New Roman"/>
          <w:sz w:val="24"/>
          <w:szCs w:val="24"/>
        </w:rPr>
        <w:t xml:space="preserve"> projekte P</w:t>
      </w:r>
      <w:r w:rsidR="00440F1D">
        <w:rPr>
          <w:rFonts w:ascii="Times New Roman" w:hAnsi="Times New Roman" w:cs="Times New Roman"/>
          <w:sz w:val="24"/>
          <w:szCs w:val="24"/>
        </w:rPr>
        <w:t xml:space="preserve">PP: </w:t>
      </w:r>
      <w:r w:rsidRPr="00CB6F8D">
        <w:rPr>
          <w:rFonts w:ascii="Times New Roman" w:hAnsi="Times New Roman" w:cs="Times New Roman"/>
          <w:sz w:val="24"/>
          <w:szCs w:val="24"/>
        </w:rPr>
        <w:t>Inceneratori i Tiran</w:t>
      </w:r>
      <w:r w:rsidR="00295003" w:rsidRPr="00CB6F8D">
        <w:rPr>
          <w:rFonts w:ascii="Times New Roman" w:hAnsi="Times New Roman" w:cs="Times New Roman"/>
          <w:sz w:val="24"/>
          <w:szCs w:val="24"/>
        </w:rPr>
        <w:t>ë</w:t>
      </w:r>
      <w:r w:rsidRPr="00CB6F8D">
        <w:rPr>
          <w:rFonts w:ascii="Times New Roman" w:hAnsi="Times New Roman" w:cs="Times New Roman"/>
          <w:sz w:val="24"/>
          <w:szCs w:val="24"/>
        </w:rPr>
        <w:t>s, Inceneratori i Fieri</w:t>
      </w:r>
      <w:r w:rsidR="00440F1D">
        <w:rPr>
          <w:rFonts w:ascii="Times New Roman" w:hAnsi="Times New Roman" w:cs="Times New Roman"/>
          <w:sz w:val="24"/>
          <w:szCs w:val="24"/>
        </w:rPr>
        <w:t>t dhe Inceneratori i Elbasanit,</w:t>
      </w:r>
      <w:r w:rsidRPr="00CB6F8D">
        <w:rPr>
          <w:rFonts w:ascii="Times New Roman" w:hAnsi="Times New Roman" w:cs="Times New Roman"/>
          <w:sz w:val="24"/>
          <w:szCs w:val="24"/>
        </w:rPr>
        <w:t xml:space="preserve"> t</w:t>
      </w:r>
      <w:r w:rsidR="00295003" w:rsidRPr="00CB6F8D">
        <w:rPr>
          <w:rFonts w:ascii="Times New Roman" w:hAnsi="Times New Roman" w:cs="Times New Roman"/>
          <w:sz w:val="24"/>
          <w:szCs w:val="24"/>
        </w:rPr>
        <w:t>ë</w:t>
      </w:r>
      <w:r w:rsidRPr="00CB6F8D">
        <w:rPr>
          <w:rFonts w:ascii="Times New Roman" w:hAnsi="Times New Roman" w:cs="Times New Roman"/>
          <w:sz w:val="24"/>
          <w:szCs w:val="24"/>
        </w:rPr>
        <w:t xml:space="preserve"> cilat konsistojn</w:t>
      </w:r>
      <w:r w:rsidR="00295003" w:rsidRPr="00CB6F8D">
        <w:rPr>
          <w:rFonts w:ascii="Times New Roman" w:hAnsi="Times New Roman" w:cs="Times New Roman"/>
          <w:sz w:val="24"/>
          <w:szCs w:val="24"/>
        </w:rPr>
        <w:t>ë</w:t>
      </w:r>
      <w:r w:rsidRPr="00CB6F8D">
        <w:rPr>
          <w:rFonts w:ascii="Times New Roman" w:hAnsi="Times New Roman" w:cs="Times New Roman"/>
          <w:sz w:val="24"/>
          <w:szCs w:val="24"/>
        </w:rPr>
        <w:t xml:space="preserve"> n</w:t>
      </w:r>
      <w:r w:rsidR="00295003" w:rsidRPr="00CB6F8D">
        <w:rPr>
          <w:rFonts w:ascii="Times New Roman" w:hAnsi="Times New Roman" w:cs="Times New Roman"/>
          <w:sz w:val="24"/>
          <w:szCs w:val="24"/>
        </w:rPr>
        <w:t>ë</w:t>
      </w:r>
      <w:r w:rsidRPr="00CB6F8D">
        <w:rPr>
          <w:rFonts w:ascii="Times New Roman" w:hAnsi="Times New Roman" w:cs="Times New Roman"/>
          <w:sz w:val="24"/>
          <w:szCs w:val="24"/>
        </w:rPr>
        <w:t xml:space="preserve"> nd</w:t>
      </w:r>
      <w:r w:rsidR="00295003" w:rsidRPr="00CB6F8D">
        <w:rPr>
          <w:rFonts w:ascii="Times New Roman" w:hAnsi="Times New Roman" w:cs="Times New Roman"/>
          <w:sz w:val="24"/>
          <w:szCs w:val="24"/>
        </w:rPr>
        <w:t>ë</w:t>
      </w:r>
      <w:r w:rsidR="00220197">
        <w:rPr>
          <w:rFonts w:ascii="Times New Roman" w:hAnsi="Times New Roman" w:cs="Times New Roman"/>
          <w:sz w:val="24"/>
          <w:szCs w:val="24"/>
        </w:rPr>
        <w:t>rtimin e impianteve</w:t>
      </w:r>
      <w:r w:rsidRPr="00CB6F8D">
        <w:rPr>
          <w:rFonts w:ascii="Times New Roman" w:hAnsi="Times New Roman" w:cs="Times New Roman"/>
          <w:sz w:val="24"/>
          <w:szCs w:val="24"/>
        </w:rPr>
        <w:t xml:space="preserve"> t</w:t>
      </w:r>
      <w:r w:rsidR="00295003" w:rsidRPr="00CB6F8D">
        <w:rPr>
          <w:rFonts w:ascii="Times New Roman" w:hAnsi="Times New Roman" w:cs="Times New Roman"/>
          <w:sz w:val="24"/>
          <w:szCs w:val="24"/>
        </w:rPr>
        <w:t>ë</w:t>
      </w:r>
      <w:r w:rsidRPr="00CB6F8D">
        <w:rPr>
          <w:rFonts w:ascii="Times New Roman" w:hAnsi="Times New Roman" w:cs="Times New Roman"/>
          <w:sz w:val="24"/>
          <w:szCs w:val="24"/>
        </w:rPr>
        <w:t xml:space="preserve"> p</w:t>
      </w:r>
      <w:r w:rsidR="00295003" w:rsidRPr="00CB6F8D">
        <w:rPr>
          <w:rFonts w:ascii="Times New Roman" w:hAnsi="Times New Roman" w:cs="Times New Roman"/>
          <w:sz w:val="24"/>
          <w:szCs w:val="24"/>
        </w:rPr>
        <w:t>ë</w:t>
      </w:r>
      <w:r w:rsidRPr="00CB6F8D">
        <w:rPr>
          <w:rFonts w:ascii="Times New Roman" w:hAnsi="Times New Roman" w:cs="Times New Roman"/>
          <w:sz w:val="24"/>
          <w:szCs w:val="24"/>
        </w:rPr>
        <w:t>rpunimit t</w:t>
      </w:r>
      <w:r w:rsidR="00295003" w:rsidRPr="00CB6F8D">
        <w:rPr>
          <w:rFonts w:ascii="Times New Roman" w:hAnsi="Times New Roman" w:cs="Times New Roman"/>
          <w:sz w:val="24"/>
          <w:szCs w:val="24"/>
        </w:rPr>
        <w:t>ë</w:t>
      </w:r>
      <w:r w:rsidR="00BF05F1" w:rsidRPr="00CB6F8D">
        <w:rPr>
          <w:rFonts w:ascii="Times New Roman" w:hAnsi="Times New Roman" w:cs="Times New Roman"/>
          <w:sz w:val="24"/>
          <w:szCs w:val="24"/>
        </w:rPr>
        <w:t xml:space="preserve"> mbetjeve urbane</w:t>
      </w:r>
      <w:r w:rsidRPr="00CB6F8D">
        <w:rPr>
          <w:rFonts w:ascii="Times New Roman" w:hAnsi="Times New Roman" w:cs="Times New Roman"/>
          <w:sz w:val="24"/>
          <w:szCs w:val="24"/>
        </w:rPr>
        <w:t>, si dhe synojn</w:t>
      </w:r>
      <w:r w:rsidR="00295003" w:rsidRPr="00CB6F8D">
        <w:rPr>
          <w:rFonts w:ascii="Times New Roman" w:hAnsi="Times New Roman" w:cs="Times New Roman"/>
          <w:sz w:val="24"/>
          <w:szCs w:val="24"/>
        </w:rPr>
        <w:t>ë</w:t>
      </w:r>
      <w:r w:rsidR="00C34D0A" w:rsidRPr="00CB6F8D">
        <w:rPr>
          <w:rFonts w:ascii="Times New Roman" w:hAnsi="Times New Roman" w:cs="Times New Roman"/>
          <w:sz w:val="24"/>
          <w:szCs w:val="24"/>
        </w:rPr>
        <w:t xml:space="preserve"> </w:t>
      </w:r>
      <w:r w:rsidRPr="00CB6F8D">
        <w:rPr>
          <w:rFonts w:ascii="Times New Roman" w:hAnsi="Times New Roman" w:cs="Times New Roman"/>
          <w:sz w:val="24"/>
          <w:szCs w:val="24"/>
        </w:rPr>
        <w:t>gjen</w:t>
      </w:r>
      <w:r w:rsidR="008F71F2" w:rsidRPr="00CB6F8D">
        <w:rPr>
          <w:rFonts w:ascii="Times New Roman" w:hAnsi="Times New Roman" w:cs="Times New Roman"/>
          <w:sz w:val="24"/>
          <w:szCs w:val="24"/>
        </w:rPr>
        <w:t>e</w:t>
      </w:r>
      <w:r w:rsidRPr="00CB6F8D">
        <w:rPr>
          <w:rFonts w:ascii="Times New Roman" w:hAnsi="Times New Roman" w:cs="Times New Roman"/>
          <w:sz w:val="24"/>
          <w:szCs w:val="24"/>
        </w:rPr>
        <w:t>rimin e energjis</w:t>
      </w:r>
      <w:r w:rsidR="00295003" w:rsidRPr="00CB6F8D">
        <w:rPr>
          <w:rFonts w:ascii="Times New Roman" w:hAnsi="Times New Roman" w:cs="Times New Roman"/>
          <w:sz w:val="24"/>
          <w:szCs w:val="24"/>
        </w:rPr>
        <w:t>ë</w:t>
      </w:r>
      <w:r w:rsidRPr="00CB6F8D">
        <w:rPr>
          <w:rFonts w:ascii="Times New Roman" w:hAnsi="Times New Roman" w:cs="Times New Roman"/>
          <w:sz w:val="24"/>
          <w:szCs w:val="24"/>
        </w:rPr>
        <w:t xml:space="preserve"> elektrike p</w:t>
      </w:r>
      <w:r w:rsidR="00295003" w:rsidRPr="00CB6F8D">
        <w:rPr>
          <w:rFonts w:ascii="Times New Roman" w:hAnsi="Times New Roman" w:cs="Times New Roman"/>
          <w:sz w:val="24"/>
          <w:szCs w:val="24"/>
        </w:rPr>
        <w:t>ë</w:t>
      </w:r>
      <w:r w:rsidRPr="00CB6F8D">
        <w:rPr>
          <w:rFonts w:ascii="Times New Roman" w:hAnsi="Times New Roman" w:cs="Times New Roman"/>
          <w:sz w:val="24"/>
          <w:szCs w:val="24"/>
        </w:rPr>
        <w:t>r popull</w:t>
      </w:r>
      <w:r w:rsidR="008F71F2" w:rsidRPr="00CB6F8D">
        <w:rPr>
          <w:rFonts w:ascii="Times New Roman" w:hAnsi="Times New Roman" w:cs="Times New Roman"/>
          <w:sz w:val="24"/>
          <w:szCs w:val="24"/>
        </w:rPr>
        <w:t>sin</w:t>
      </w:r>
      <w:r w:rsidR="006A445E" w:rsidRPr="00CB6F8D">
        <w:rPr>
          <w:rFonts w:ascii="Times New Roman" w:hAnsi="Times New Roman" w:cs="Times New Roman"/>
          <w:sz w:val="24"/>
          <w:szCs w:val="24"/>
        </w:rPr>
        <w:t>ë</w:t>
      </w:r>
      <w:r w:rsidRPr="00CB6F8D">
        <w:rPr>
          <w:rFonts w:ascii="Times New Roman" w:hAnsi="Times New Roman" w:cs="Times New Roman"/>
          <w:sz w:val="24"/>
          <w:szCs w:val="24"/>
        </w:rPr>
        <w:t xml:space="preserve"> n</w:t>
      </w:r>
      <w:r w:rsidR="00295003" w:rsidRPr="00CB6F8D">
        <w:rPr>
          <w:rFonts w:ascii="Times New Roman" w:hAnsi="Times New Roman" w:cs="Times New Roman"/>
          <w:sz w:val="24"/>
          <w:szCs w:val="24"/>
        </w:rPr>
        <w:t>ë</w:t>
      </w:r>
      <w:r w:rsidRPr="00CB6F8D">
        <w:rPr>
          <w:rFonts w:ascii="Times New Roman" w:hAnsi="Times New Roman" w:cs="Times New Roman"/>
          <w:sz w:val="24"/>
          <w:szCs w:val="24"/>
        </w:rPr>
        <w:t xml:space="preserve"> t</w:t>
      </w:r>
      <w:r w:rsidR="00295003" w:rsidRPr="00CB6F8D">
        <w:rPr>
          <w:rFonts w:ascii="Times New Roman" w:hAnsi="Times New Roman" w:cs="Times New Roman"/>
          <w:sz w:val="24"/>
          <w:szCs w:val="24"/>
        </w:rPr>
        <w:t>ë</w:t>
      </w:r>
      <w:r w:rsidR="00E332E0">
        <w:rPr>
          <w:rFonts w:ascii="Times New Roman" w:hAnsi="Times New Roman" w:cs="Times New Roman"/>
          <w:sz w:val="24"/>
          <w:szCs w:val="24"/>
        </w:rPr>
        <w:t xml:space="preserve"> ardhmen, si dhe Landfill-i Kamëz i cili ka si qëllim menaxhinimin e mbetjeve për Bashkimin e Kamzës. </w:t>
      </w:r>
      <w:r w:rsidRPr="00CB6F8D">
        <w:rPr>
          <w:rFonts w:ascii="Times New Roman" w:hAnsi="Times New Roman" w:cs="Times New Roman"/>
          <w:sz w:val="24"/>
          <w:szCs w:val="24"/>
        </w:rPr>
        <w:t>K</w:t>
      </w:r>
      <w:r w:rsidR="00295003" w:rsidRPr="00CB6F8D">
        <w:rPr>
          <w:rFonts w:ascii="Times New Roman" w:hAnsi="Times New Roman" w:cs="Times New Roman"/>
          <w:sz w:val="24"/>
          <w:szCs w:val="24"/>
        </w:rPr>
        <w:t>ë</w:t>
      </w:r>
      <w:r w:rsidRPr="00CB6F8D">
        <w:rPr>
          <w:rFonts w:ascii="Times New Roman" w:hAnsi="Times New Roman" w:cs="Times New Roman"/>
          <w:sz w:val="24"/>
          <w:szCs w:val="24"/>
        </w:rPr>
        <w:t>to projekte jan</w:t>
      </w:r>
      <w:r w:rsidR="00295003" w:rsidRPr="00CB6F8D">
        <w:rPr>
          <w:rFonts w:ascii="Times New Roman" w:hAnsi="Times New Roman" w:cs="Times New Roman"/>
          <w:sz w:val="24"/>
          <w:szCs w:val="24"/>
        </w:rPr>
        <w:t>ë</w:t>
      </w:r>
      <w:r w:rsidRPr="00CB6F8D">
        <w:rPr>
          <w:rFonts w:ascii="Times New Roman" w:hAnsi="Times New Roman" w:cs="Times New Roman"/>
          <w:sz w:val="24"/>
          <w:szCs w:val="24"/>
        </w:rPr>
        <w:t xml:space="preserve"> </w:t>
      </w:r>
      <w:r w:rsidR="00295003" w:rsidRPr="00CB6F8D">
        <w:rPr>
          <w:rFonts w:ascii="Times New Roman" w:hAnsi="Times New Roman" w:cs="Times New Roman"/>
          <w:sz w:val="24"/>
          <w:szCs w:val="24"/>
        </w:rPr>
        <w:t>në linjë me politikat e Qeverisë dhe Strategjinë Kombëtare të Menaxhimit të Mbetjeve</w:t>
      </w:r>
      <w:r w:rsidR="008F71F2" w:rsidRPr="00CB6F8D">
        <w:rPr>
          <w:rFonts w:ascii="Times New Roman" w:hAnsi="Times New Roman" w:cs="Times New Roman"/>
          <w:sz w:val="24"/>
          <w:szCs w:val="24"/>
        </w:rPr>
        <w:t>, e cila përcakton një hierarki</w:t>
      </w:r>
      <w:r w:rsidR="00295003" w:rsidRPr="00CB6F8D">
        <w:rPr>
          <w:rFonts w:ascii="Times New Roman" w:hAnsi="Times New Roman" w:cs="Times New Roman"/>
          <w:sz w:val="24"/>
          <w:szCs w:val="24"/>
        </w:rPr>
        <w:t xml:space="preserve"> për parandalimin dhe administrimin e tyre</w:t>
      </w:r>
      <w:r w:rsidR="00C61324" w:rsidRPr="00CB6F8D">
        <w:rPr>
          <w:rFonts w:ascii="Times New Roman" w:hAnsi="Times New Roman" w:cs="Times New Roman"/>
          <w:sz w:val="24"/>
          <w:szCs w:val="24"/>
        </w:rPr>
        <w:t xml:space="preserve"> që janë</w:t>
      </w:r>
      <w:r w:rsidR="00295003" w:rsidRPr="00CB6F8D">
        <w:rPr>
          <w:rFonts w:ascii="Times New Roman" w:hAnsi="Times New Roman" w:cs="Times New Roman"/>
          <w:sz w:val="24"/>
          <w:szCs w:val="24"/>
        </w:rPr>
        <w:t>: parandalimi, përgatitja për ripërdorim, riciklim</w:t>
      </w:r>
      <w:r w:rsidR="00C61324" w:rsidRPr="00CB6F8D">
        <w:rPr>
          <w:rFonts w:ascii="Times New Roman" w:hAnsi="Times New Roman" w:cs="Times New Roman"/>
          <w:sz w:val="24"/>
          <w:szCs w:val="24"/>
        </w:rPr>
        <w:t>i</w:t>
      </w:r>
      <w:r w:rsidR="00295003" w:rsidRPr="00CB6F8D">
        <w:rPr>
          <w:rFonts w:ascii="Times New Roman" w:hAnsi="Times New Roman" w:cs="Times New Roman"/>
          <w:sz w:val="24"/>
          <w:szCs w:val="24"/>
        </w:rPr>
        <w:t>, rikuperime të tjera dhe asgj</w:t>
      </w:r>
      <w:r w:rsidR="00E8327E" w:rsidRPr="00CB6F8D">
        <w:rPr>
          <w:rFonts w:ascii="Times New Roman" w:hAnsi="Times New Roman" w:cs="Times New Roman"/>
          <w:sz w:val="24"/>
          <w:szCs w:val="24"/>
        </w:rPr>
        <w:t>ë</w:t>
      </w:r>
      <w:r w:rsidR="00295003" w:rsidRPr="00CB6F8D">
        <w:rPr>
          <w:rFonts w:ascii="Times New Roman" w:hAnsi="Times New Roman" w:cs="Times New Roman"/>
          <w:sz w:val="24"/>
          <w:szCs w:val="24"/>
        </w:rPr>
        <w:t>sim</w:t>
      </w:r>
      <w:r w:rsidR="00C61324" w:rsidRPr="00CB6F8D">
        <w:rPr>
          <w:rFonts w:ascii="Times New Roman" w:hAnsi="Times New Roman" w:cs="Times New Roman"/>
          <w:sz w:val="24"/>
          <w:szCs w:val="24"/>
        </w:rPr>
        <w:t>i</w:t>
      </w:r>
      <w:r w:rsidR="00295003" w:rsidRPr="00CB6F8D">
        <w:rPr>
          <w:rFonts w:ascii="Times New Roman" w:hAnsi="Times New Roman" w:cs="Times New Roman"/>
          <w:sz w:val="24"/>
          <w:szCs w:val="24"/>
        </w:rPr>
        <w:t>.</w:t>
      </w:r>
      <w:r w:rsidR="00295003" w:rsidRPr="009B6417">
        <w:rPr>
          <w:rStyle w:val="FootnoteReference"/>
          <w:rFonts w:ascii="Times New Roman" w:hAnsi="Times New Roman" w:cs="Times New Roman"/>
          <w:sz w:val="24"/>
          <w:szCs w:val="24"/>
        </w:rPr>
        <w:footnoteReference w:id="9"/>
      </w:r>
    </w:p>
    <w:p w14:paraId="35793D28" w14:textId="77777777" w:rsidR="000F7B0C" w:rsidRPr="00CB6F8D" w:rsidRDefault="000F7B0C" w:rsidP="00CB6F8D">
      <w:pPr>
        <w:spacing w:before="100" w:beforeAutospacing="1" w:after="0"/>
        <w:jc w:val="both"/>
        <w:rPr>
          <w:rFonts w:ascii="Times New Roman" w:eastAsia="Times New Roman" w:hAnsi="Times New Roman" w:cs="Times New Roman"/>
          <w:b/>
          <w:color w:val="0070C0"/>
          <w:sz w:val="24"/>
          <w:szCs w:val="24"/>
        </w:rPr>
      </w:pPr>
    </w:p>
    <w:p w14:paraId="072BEAF8" w14:textId="77777777" w:rsidR="000A5857" w:rsidRDefault="00DC1921" w:rsidP="003C2F4F">
      <w:pPr>
        <w:pStyle w:val="Heading2"/>
        <w:numPr>
          <w:ilvl w:val="1"/>
          <w:numId w:val="10"/>
        </w:numPr>
        <w:rPr>
          <w:rFonts w:ascii="Times New Roman" w:hAnsi="Times New Roman" w:cs="Times New Roman"/>
          <w:b/>
          <w:noProof/>
          <w:sz w:val="24"/>
          <w:szCs w:val="24"/>
          <w:lang w:val="en-US"/>
        </w:rPr>
      </w:pPr>
      <w:bookmarkStart w:id="44" w:name="_Toc37196692"/>
      <w:r w:rsidRPr="009B6417">
        <w:rPr>
          <w:rFonts w:ascii="Times New Roman" w:hAnsi="Times New Roman" w:cs="Times New Roman"/>
          <w:b/>
          <w:sz w:val="24"/>
          <w:szCs w:val="24"/>
        </w:rPr>
        <w:lastRenderedPageBreak/>
        <w:t>Kontrata Koncesionare</w:t>
      </w:r>
      <w:r>
        <w:rPr>
          <w:rFonts w:ascii="Times New Roman" w:hAnsi="Times New Roman" w:cs="Times New Roman"/>
          <w:b/>
          <w:sz w:val="24"/>
          <w:szCs w:val="24"/>
        </w:rPr>
        <w:t>/PPP</w:t>
      </w:r>
      <w:r w:rsidRPr="009B6417">
        <w:rPr>
          <w:rFonts w:ascii="Times New Roman" w:hAnsi="Times New Roman" w:cs="Times New Roman"/>
          <w:b/>
          <w:sz w:val="24"/>
          <w:szCs w:val="24"/>
        </w:rPr>
        <w:t xml:space="preserve"> </w:t>
      </w:r>
      <w:r w:rsidR="000A5857" w:rsidRPr="009B6417">
        <w:rPr>
          <w:rFonts w:ascii="Times New Roman" w:eastAsia="Times New Roman" w:hAnsi="Times New Roman" w:cs="Times New Roman"/>
          <w:b/>
          <w:sz w:val="24"/>
          <w:szCs w:val="24"/>
        </w:rPr>
        <w:t>“</w:t>
      </w:r>
      <w:r w:rsidR="000A5857" w:rsidRPr="00D6571D">
        <w:rPr>
          <w:rFonts w:ascii="Times New Roman" w:eastAsia="Times New Roman" w:hAnsi="Times New Roman" w:cs="Times New Roman"/>
          <w:b/>
          <w:i/>
          <w:sz w:val="24"/>
          <w:szCs w:val="24"/>
        </w:rPr>
        <w:t>Për Ndërtimin e Landfillit, Inceneratorit dhe rehabilitimin e Venddepozitimeve ekzistuese, Tiranë</w:t>
      </w:r>
      <w:r w:rsidR="002A5C9E" w:rsidRPr="009B6417">
        <w:rPr>
          <w:rFonts w:ascii="Times New Roman" w:hAnsi="Times New Roman" w:cs="Times New Roman"/>
          <w:b/>
          <w:noProof/>
          <w:sz w:val="24"/>
          <w:szCs w:val="24"/>
          <w:lang w:val="en-US"/>
        </w:rPr>
        <w:t>”</w:t>
      </w:r>
      <w:bookmarkEnd w:id="44"/>
    </w:p>
    <w:p w14:paraId="3AE1F1DA" w14:textId="77777777" w:rsidR="003C2F4F" w:rsidRPr="003C2F4F" w:rsidRDefault="003C2F4F" w:rsidP="003C2F4F">
      <w:pPr>
        <w:rPr>
          <w:sz w:val="6"/>
          <w:lang w:val="en-US"/>
        </w:rPr>
      </w:pPr>
    </w:p>
    <w:p w14:paraId="09081629" w14:textId="77777777" w:rsidR="002064BE" w:rsidRPr="009B6417" w:rsidRDefault="002064BE" w:rsidP="002A5C9E">
      <w:pPr>
        <w:pStyle w:val="ListParagraph"/>
        <w:numPr>
          <w:ilvl w:val="2"/>
          <w:numId w:val="10"/>
        </w:numPr>
        <w:spacing w:before="100" w:beforeAutospacing="1" w:after="100" w:afterAutospacing="1"/>
        <w:jc w:val="both"/>
        <w:rPr>
          <w:rFonts w:ascii="Times New Roman" w:eastAsia="Times New Roman" w:hAnsi="Times New Roman" w:cs="Times New Roman"/>
          <w:b/>
          <w:i/>
          <w:sz w:val="24"/>
          <w:szCs w:val="24"/>
        </w:rPr>
      </w:pPr>
      <w:r w:rsidRPr="009B6417">
        <w:rPr>
          <w:rFonts w:ascii="Times New Roman" w:eastAsia="Times New Roman" w:hAnsi="Times New Roman" w:cs="Times New Roman"/>
          <w:b/>
          <w:i/>
          <w:sz w:val="24"/>
          <w:szCs w:val="24"/>
        </w:rPr>
        <w:t xml:space="preserve">Prezantimi i përgjithshëm i projektit </w:t>
      </w:r>
    </w:p>
    <w:p w14:paraId="1646CDD5" w14:textId="77777777" w:rsidR="006E59A3" w:rsidRPr="009B6417" w:rsidRDefault="009E7BC4" w:rsidP="002A5C9E">
      <w:pPr>
        <w:tabs>
          <w:tab w:val="left" w:pos="4320"/>
        </w:tabs>
        <w:spacing w:before="100" w:beforeAutospacing="1" w:after="100" w:afterAutospacing="1"/>
        <w:ind w:left="-90"/>
        <w:jc w:val="both"/>
        <w:rPr>
          <w:rFonts w:ascii="Times New Roman" w:eastAsia="Times New Roman" w:hAnsi="Times New Roman" w:cs="Times New Roman"/>
          <w:sz w:val="24"/>
          <w:szCs w:val="24"/>
        </w:rPr>
      </w:pPr>
      <w:r>
        <w:rPr>
          <w:rFonts w:ascii="Times New Roman" w:hAnsi="Times New Roman" w:cs="Times New Roman"/>
          <w:i/>
          <w:noProof/>
          <w:sz w:val="24"/>
          <w:szCs w:val="24"/>
          <w:lang w:val="en-US"/>
        </w:rPr>
        <mc:AlternateContent>
          <mc:Choice Requires="wps">
            <w:drawing>
              <wp:anchor distT="91440" distB="91440" distL="91440" distR="320040" simplePos="0" relativeHeight="251650048" behindDoc="1" locked="0" layoutInCell="1" allowOverlap="1" wp14:anchorId="6E9B8194" wp14:editId="5EC70B91">
                <wp:simplePos x="0" y="0"/>
                <wp:positionH relativeFrom="margin">
                  <wp:posOffset>3228975</wp:posOffset>
                </wp:positionH>
                <wp:positionV relativeFrom="margin">
                  <wp:posOffset>1039495</wp:posOffset>
                </wp:positionV>
                <wp:extent cx="3355975" cy="2581275"/>
                <wp:effectExtent l="9525" t="9525" r="6350" b="9525"/>
                <wp:wrapTight wrapText="bothSides">
                  <wp:wrapPolygon edited="0">
                    <wp:start x="-61" y="-80"/>
                    <wp:lineTo x="-61" y="21520"/>
                    <wp:lineTo x="21661" y="21520"/>
                    <wp:lineTo x="21661" y="-80"/>
                    <wp:lineTo x="-61" y="-80"/>
                  </wp:wrapPolygon>
                </wp:wrapTight>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2581275"/>
                        </a:xfrm>
                        <a:prstGeom prst="rect">
                          <a:avLst/>
                        </a:prstGeom>
                        <a:pattFill prst="pct50">
                          <a:fgClr>
                            <a:schemeClr val="bg2">
                              <a:lumMod val="100000"/>
                              <a:lumOff val="0"/>
                            </a:schemeClr>
                          </a:fgClr>
                          <a:bgClr>
                            <a:schemeClr val="bg1">
                              <a:lumMod val="100000"/>
                              <a:lumOff val="0"/>
                            </a:schemeClr>
                          </a:bgClr>
                        </a:pattFill>
                        <a:ln w="6350" cap="rnd">
                          <a:solidFill>
                            <a:schemeClr val="bg2">
                              <a:lumMod val="75000"/>
                              <a:lumOff val="0"/>
                            </a:schemeClr>
                          </a:solidFill>
                          <a:miter lim="800000"/>
                          <a:headEnd/>
                          <a:tailEnd/>
                        </a:ln>
                      </wps:spPr>
                      <wps:txbx>
                        <w:txbxContent>
                          <w:p w14:paraId="061E7F3F" w14:textId="77777777" w:rsidR="0025668C" w:rsidRPr="002A4518" w:rsidRDefault="0025668C" w:rsidP="00540699">
                            <w:pPr>
                              <w:pBdr>
                                <w:left w:val="single" w:sz="80" w:space="3" w:color="7F7F7F" w:themeColor="text1" w:themeTint="80"/>
                                <w:bottom w:val="single" w:sz="8" w:space="6" w:color="7F7F7F" w:themeColor="text1" w:themeTint="80"/>
                              </w:pBdr>
                              <w:spacing w:before="40" w:line="288" w:lineRule="auto"/>
                              <w:jc w:val="both"/>
                              <w:rPr>
                                <w:rFonts w:ascii="Times New Roman" w:hAnsi="Times New Roman" w:cs="Times New Roman"/>
                                <w:b/>
                                <w:i/>
                                <w:color w:val="4A442A" w:themeColor="background2" w:themeShade="40"/>
                                <w:sz w:val="20"/>
                                <w:szCs w:val="20"/>
                              </w:rPr>
                            </w:pPr>
                            <w:r w:rsidRPr="002A4518">
                              <w:rPr>
                                <w:rFonts w:ascii="Times New Roman" w:hAnsi="Times New Roman" w:cs="Times New Roman"/>
                                <w:b/>
                                <w:color w:val="4A442A" w:themeColor="background2" w:themeShade="40"/>
                                <w:sz w:val="20"/>
                                <w:szCs w:val="20"/>
                                <w:lang w:val="en-US"/>
                              </w:rPr>
                              <w:t>Kontrata Koncesionare “</w:t>
                            </w:r>
                            <w:r w:rsidRPr="002A4518">
                              <w:rPr>
                                <w:rFonts w:ascii="Times New Roman" w:hAnsi="Times New Roman" w:cs="Times New Roman"/>
                                <w:b/>
                                <w:i/>
                                <w:color w:val="4A442A" w:themeColor="background2" w:themeShade="40"/>
                                <w:sz w:val="20"/>
                                <w:szCs w:val="20"/>
                                <w:lang w:val="en-US"/>
                              </w:rPr>
                              <w:t>Për</w:t>
                            </w:r>
                            <w:r w:rsidRPr="002A4518">
                              <w:rPr>
                                <w:rFonts w:ascii="Times New Roman" w:hAnsi="Times New Roman" w:cs="Times New Roman"/>
                                <w:b/>
                                <w:i/>
                                <w:color w:val="4A442A" w:themeColor="background2" w:themeShade="40"/>
                                <w:sz w:val="20"/>
                                <w:szCs w:val="20"/>
                              </w:rPr>
                              <w:t xml:space="preserve"> Ndërtimin e Landfillit, Inceneratorit dhe rehabilitimin e Venddepozitimeve ekzistuese, Tiranë</w:t>
                            </w:r>
                            <w:r w:rsidRPr="002A4518">
                              <w:rPr>
                                <w:rFonts w:ascii="Times New Roman" w:hAnsi="Times New Roman" w:cs="Times New Roman"/>
                                <w:b/>
                                <w:color w:val="4A442A" w:themeColor="background2" w:themeShade="40"/>
                                <w:sz w:val="20"/>
                                <w:szCs w:val="20"/>
                                <w:lang w:val="en-US"/>
                              </w:rPr>
                              <w:t>”</w:t>
                            </w:r>
                          </w:p>
                          <w:p w14:paraId="5B0439CD" w14:textId="77777777" w:rsidR="0025668C"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Pr>
                                <w:rFonts w:ascii="Times New Roman" w:hAnsi="Times New Roman" w:cs="Times New Roman"/>
                                <w:color w:val="000000" w:themeColor="text1"/>
                              </w:rPr>
                              <w:t xml:space="preserve">  Ministria e Infrastrukturës dhe Energjisë</w:t>
                            </w:r>
                          </w:p>
                          <w:p w14:paraId="4C2A43DD"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Autoritet i Përfshirë:</w:t>
                            </w:r>
                            <w:r>
                              <w:rPr>
                                <w:rFonts w:ascii="Times New Roman" w:hAnsi="Times New Roman" w:cs="Times New Roman"/>
                                <w:color w:val="000000" w:themeColor="text1"/>
                              </w:rPr>
                              <w:t xml:space="preserve">      Bashkia e Tiranës dhe Njësitë e Qeverisjes Vendore Qarku Tiranë</w:t>
                            </w:r>
                          </w:p>
                          <w:p w14:paraId="0C7A5FB0" w14:textId="77777777" w:rsidR="0025668C"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“Integrated Energy BV SPV”                                </w:t>
                            </w:r>
                          </w:p>
                          <w:p w14:paraId="4DB593B7"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17,1 miliardë Lekë</w:t>
                            </w:r>
                          </w:p>
                          <w:p w14:paraId="49F0B6D6"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31 Gusht 2017</w:t>
                            </w:r>
                          </w:p>
                          <w:p w14:paraId="32A3040A"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30 vjet</w:t>
                            </w:r>
                          </w:p>
                          <w:p w14:paraId="32DEB45F"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3A3805">
                              <w:rPr>
                                <w:rFonts w:ascii="Times New Roman" w:hAnsi="Times New Roman" w:cs="Times New Roman"/>
                                <w:color w:val="000000" w:themeColor="text1"/>
                              </w:rPr>
                              <w:t>Ndërtim &amp; Operim</w:t>
                            </w:r>
                          </w:p>
                          <w:p w14:paraId="24BA77F4" w14:textId="77777777" w:rsidR="0025668C" w:rsidRDefault="0025668C" w:rsidP="002064BE">
                            <w:pPr>
                              <w:rPr>
                                <w:color w:val="808080" w:themeColor="background1" w:themeShade="8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6B326" id="Text Box 18" o:spid="_x0000_s1036" type="#_x0000_t202" style="position:absolute;left:0;text-align:left;margin-left:254.25pt;margin-top:81.85pt;width:264.25pt;height:203.25pt;z-index:-251666432;visibility:visible;mso-wrap-style:square;mso-width-percent:0;mso-height-percent:0;mso-wrap-distance-left:7.2pt;mso-wrap-distance-top:7.2pt;mso-wrap-distance-right:25.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" fillcolor="#eeece1 [3214]" strokecolor="#c4bc96 [2414]" strokeweight=".5pt">
                <v:fill r:id="rId10" o:title="" color2="white [3212]" type="pattern"/>
                <v:stroke endcap="round"/>
                <v:textbox inset="14.4pt,0,10.8pt,0">
                  <w:txbxContent>
                    <w:p w:rsidR="0025668C" w:rsidRPr="002A4518" w:rsidRDefault="0025668C" w:rsidP="00540699">
                      <w:pPr>
                        <w:pBdr>
                          <w:left w:val="single" w:sz="80" w:space="3" w:color="7F7F7F" w:themeColor="text1" w:themeTint="80"/>
                          <w:bottom w:val="single" w:sz="8" w:space="6" w:color="7F7F7F" w:themeColor="text1" w:themeTint="80"/>
                        </w:pBdr>
                        <w:spacing w:before="40" w:line="288" w:lineRule="auto"/>
                        <w:jc w:val="both"/>
                        <w:rPr>
                          <w:rFonts w:ascii="Times New Roman" w:hAnsi="Times New Roman" w:cs="Times New Roman"/>
                          <w:b/>
                          <w:i/>
                          <w:color w:val="4A442A" w:themeColor="background2" w:themeShade="40"/>
                          <w:sz w:val="20"/>
                          <w:szCs w:val="20"/>
                        </w:rPr>
                      </w:pPr>
                      <w:r w:rsidRPr="002A4518">
                        <w:rPr>
                          <w:rFonts w:ascii="Times New Roman" w:hAnsi="Times New Roman" w:cs="Times New Roman"/>
                          <w:b/>
                          <w:color w:val="4A442A" w:themeColor="background2" w:themeShade="40"/>
                          <w:sz w:val="20"/>
                          <w:szCs w:val="20"/>
                          <w:lang w:val="en-US"/>
                        </w:rPr>
                        <w:t>Kontrata Koncesionare “</w:t>
                      </w:r>
                      <w:r w:rsidRPr="002A4518">
                        <w:rPr>
                          <w:rFonts w:ascii="Times New Roman" w:hAnsi="Times New Roman" w:cs="Times New Roman"/>
                          <w:b/>
                          <w:i/>
                          <w:color w:val="4A442A" w:themeColor="background2" w:themeShade="40"/>
                          <w:sz w:val="20"/>
                          <w:szCs w:val="20"/>
                          <w:lang w:val="en-US"/>
                        </w:rPr>
                        <w:t>Për</w:t>
                      </w:r>
                      <w:r w:rsidRPr="002A4518">
                        <w:rPr>
                          <w:rFonts w:ascii="Times New Roman" w:hAnsi="Times New Roman" w:cs="Times New Roman"/>
                          <w:b/>
                          <w:i/>
                          <w:color w:val="4A442A" w:themeColor="background2" w:themeShade="40"/>
                          <w:sz w:val="20"/>
                          <w:szCs w:val="20"/>
                        </w:rPr>
                        <w:t xml:space="preserve"> Ndërtimin e Landfillit, Inceneratorit dhe rehabilitimin e Venddepozitimeve ekzistuese, Tiranë</w:t>
                      </w:r>
                      <w:r w:rsidRPr="002A4518">
                        <w:rPr>
                          <w:rFonts w:ascii="Times New Roman" w:hAnsi="Times New Roman" w:cs="Times New Roman"/>
                          <w:b/>
                          <w:color w:val="4A442A" w:themeColor="background2" w:themeShade="40"/>
                          <w:sz w:val="20"/>
                          <w:szCs w:val="20"/>
                          <w:lang w:val="en-US"/>
                        </w:rPr>
                        <w:t>”</w:t>
                      </w:r>
                    </w:p>
                    <w:p w:rsidR="0025668C"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Pr>
                          <w:rFonts w:ascii="Times New Roman" w:hAnsi="Times New Roman" w:cs="Times New Roman"/>
                          <w:color w:val="000000" w:themeColor="text1"/>
                        </w:rPr>
                        <w:t xml:space="preserve">  Ministria e Infrastrukturës dhe Energjisë</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Autoritet i Përfshirë:</w:t>
                      </w:r>
                      <w:r>
                        <w:rPr>
                          <w:rFonts w:ascii="Times New Roman" w:hAnsi="Times New Roman" w:cs="Times New Roman"/>
                          <w:color w:val="000000" w:themeColor="text1"/>
                        </w:rPr>
                        <w:t xml:space="preserve">      Bashkia e Tiranës dhe Njësitë e Qeverisjes Vendore Qarku Tiranë</w:t>
                      </w:r>
                    </w:p>
                    <w:p w:rsidR="0025668C"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“Integrated Energy BV SPV”                                </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17,1 miliardë Lekë</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31 Gusht 2017</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30 vjet</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3A3805">
                        <w:rPr>
                          <w:rFonts w:ascii="Times New Roman" w:hAnsi="Times New Roman" w:cs="Times New Roman"/>
                          <w:color w:val="000000" w:themeColor="text1"/>
                        </w:rPr>
                        <w:t>Ndërtim &amp; Operim</w:t>
                      </w:r>
                    </w:p>
                    <w:p w:rsidR="0025668C" w:rsidRDefault="0025668C" w:rsidP="002064BE">
                      <w:pPr>
                        <w:rPr>
                          <w:color w:val="808080" w:themeColor="background1" w:themeShade="80"/>
                        </w:rPr>
                      </w:pPr>
                    </w:p>
                  </w:txbxContent>
                </v:textbox>
                <w10:wrap type="tight" anchorx="margin" anchory="margin"/>
              </v:shape>
            </w:pict>
          </mc:Fallback>
        </mc:AlternateContent>
      </w:r>
      <w:r w:rsidR="002064BE" w:rsidRPr="009B6417">
        <w:rPr>
          <w:rFonts w:ascii="Times New Roman" w:eastAsia="Times New Roman" w:hAnsi="Times New Roman" w:cs="Times New Roman"/>
          <w:sz w:val="24"/>
          <w:szCs w:val="24"/>
        </w:rPr>
        <w:t>Projekti koncesionar ka si qëllim ndërtimin e landfillit, inceneratorit dhe r</w:t>
      </w:r>
      <w:r w:rsidR="00B4198B" w:rsidRPr="009B6417">
        <w:rPr>
          <w:rFonts w:ascii="Times New Roman" w:eastAsia="Times New Roman" w:hAnsi="Times New Roman" w:cs="Times New Roman"/>
          <w:sz w:val="24"/>
          <w:szCs w:val="24"/>
        </w:rPr>
        <w:t>e</w:t>
      </w:r>
      <w:r w:rsidR="002064BE" w:rsidRPr="009B6417">
        <w:rPr>
          <w:rFonts w:ascii="Times New Roman" w:eastAsia="Times New Roman" w:hAnsi="Times New Roman" w:cs="Times New Roman"/>
          <w:sz w:val="24"/>
          <w:szCs w:val="24"/>
        </w:rPr>
        <w:t>habilitimin e venddepozitimeve ekzistuese Tiranë</w:t>
      </w:r>
      <w:r w:rsidR="00B4198B" w:rsidRPr="009B6417">
        <w:rPr>
          <w:rFonts w:ascii="Times New Roman" w:eastAsia="Times New Roman" w:hAnsi="Times New Roman" w:cs="Times New Roman"/>
          <w:sz w:val="24"/>
          <w:szCs w:val="24"/>
        </w:rPr>
        <w:t xml:space="preserve">, </w:t>
      </w:r>
      <w:r w:rsidR="00CA3D60">
        <w:rPr>
          <w:rFonts w:ascii="Times New Roman" w:eastAsia="Times New Roman" w:hAnsi="Times New Roman" w:cs="Times New Roman"/>
          <w:sz w:val="24"/>
          <w:szCs w:val="24"/>
        </w:rPr>
        <w:t xml:space="preserve">me </w:t>
      </w:r>
      <w:r w:rsidR="00B4198B" w:rsidRPr="009B6417">
        <w:rPr>
          <w:rFonts w:ascii="Times New Roman" w:eastAsia="Times New Roman" w:hAnsi="Times New Roman" w:cs="Times New Roman"/>
          <w:sz w:val="24"/>
          <w:szCs w:val="24"/>
        </w:rPr>
        <w:t>Autoritet Kontraktues MIE</w:t>
      </w:r>
      <w:r w:rsidR="00C34D0A">
        <w:rPr>
          <w:rFonts w:ascii="Times New Roman" w:eastAsia="Times New Roman" w:hAnsi="Times New Roman" w:cs="Times New Roman"/>
          <w:sz w:val="24"/>
          <w:szCs w:val="24"/>
        </w:rPr>
        <w:t>,</w:t>
      </w:r>
      <w:r w:rsidR="00B4198B" w:rsidRPr="009B6417">
        <w:rPr>
          <w:rFonts w:ascii="Times New Roman" w:eastAsia="Times New Roman" w:hAnsi="Times New Roman" w:cs="Times New Roman"/>
          <w:sz w:val="24"/>
          <w:szCs w:val="24"/>
        </w:rPr>
        <w:t xml:space="preserve"> </w:t>
      </w:r>
      <w:r w:rsidR="002064BE" w:rsidRPr="009B6417">
        <w:rPr>
          <w:rFonts w:ascii="Times New Roman" w:eastAsia="Times New Roman" w:hAnsi="Times New Roman" w:cs="Times New Roman"/>
          <w:sz w:val="24"/>
          <w:szCs w:val="24"/>
        </w:rPr>
        <w:t xml:space="preserve">ka një kohëzgjatje prej 30 vjetësh (2017-2047) dhe kosto totale të investimit prej 18.9 miliardë Lekë. </w:t>
      </w:r>
      <w:r w:rsidR="0069249C" w:rsidRPr="009B6417">
        <w:rPr>
          <w:rFonts w:ascii="Times New Roman" w:eastAsia="Times New Roman" w:hAnsi="Times New Roman" w:cs="Times New Roman"/>
          <w:sz w:val="24"/>
          <w:szCs w:val="24"/>
        </w:rPr>
        <w:t>Data efektive e k</w:t>
      </w:r>
      <w:r w:rsidR="006A445E" w:rsidRPr="009B6417">
        <w:rPr>
          <w:rFonts w:ascii="Times New Roman" w:eastAsia="Times New Roman" w:hAnsi="Times New Roman" w:cs="Times New Roman"/>
          <w:sz w:val="24"/>
          <w:szCs w:val="24"/>
        </w:rPr>
        <w:t>ë</w:t>
      </w:r>
      <w:r w:rsidR="0069249C" w:rsidRPr="009B6417">
        <w:rPr>
          <w:rFonts w:ascii="Times New Roman" w:eastAsia="Times New Roman" w:hAnsi="Times New Roman" w:cs="Times New Roman"/>
          <w:sz w:val="24"/>
          <w:szCs w:val="24"/>
        </w:rPr>
        <w:t xml:space="preserve">saj kontrate është data 31.08.2017. </w:t>
      </w:r>
      <w:r w:rsidR="002064BE" w:rsidRPr="009B6417">
        <w:rPr>
          <w:rFonts w:ascii="Times New Roman" w:eastAsia="Times New Roman" w:hAnsi="Times New Roman" w:cs="Times New Roman"/>
          <w:sz w:val="24"/>
          <w:szCs w:val="24"/>
        </w:rPr>
        <w:t>Nëpërmjet këtij koncesion</w:t>
      </w:r>
      <w:r w:rsidR="00B4198B" w:rsidRPr="009B6417">
        <w:rPr>
          <w:rFonts w:ascii="Times New Roman" w:eastAsia="Times New Roman" w:hAnsi="Times New Roman" w:cs="Times New Roman"/>
          <w:sz w:val="24"/>
          <w:szCs w:val="24"/>
        </w:rPr>
        <w:t>i</w:t>
      </w:r>
      <w:r w:rsidR="002064BE" w:rsidRPr="009B6417">
        <w:rPr>
          <w:rFonts w:ascii="Times New Roman" w:eastAsia="Times New Roman" w:hAnsi="Times New Roman" w:cs="Times New Roman"/>
          <w:sz w:val="24"/>
          <w:szCs w:val="24"/>
        </w:rPr>
        <w:t xml:space="preserve"> është vënë në dispozi</w:t>
      </w:r>
      <w:r w:rsidR="0069249C" w:rsidRPr="009B6417">
        <w:rPr>
          <w:rFonts w:ascii="Times New Roman" w:eastAsia="Times New Roman" w:hAnsi="Times New Roman" w:cs="Times New Roman"/>
          <w:sz w:val="24"/>
          <w:szCs w:val="24"/>
        </w:rPr>
        <w:t>cion të Bashkisë Tiranë një incenerator i standard</w:t>
      </w:r>
      <w:r w:rsidR="002064BE" w:rsidRPr="009B6417">
        <w:rPr>
          <w:rFonts w:ascii="Times New Roman" w:eastAsia="Times New Roman" w:hAnsi="Times New Roman" w:cs="Times New Roman"/>
          <w:sz w:val="24"/>
          <w:szCs w:val="24"/>
        </w:rPr>
        <w:t>eve bashkëkohore, i c</w:t>
      </w:r>
      <w:r w:rsidR="00B4198B" w:rsidRPr="009B6417">
        <w:rPr>
          <w:rFonts w:ascii="Times New Roman" w:eastAsia="Times New Roman" w:hAnsi="Times New Roman" w:cs="Times New Roman"/>
          <w:sz w:val="24"/>
          <w:szCs w:val="24"/>
        </w:rPr>
        <w:t>ili po mundëson trajtimin profe</w:t>
      </w:r>
      <w:r w:rsidR="002064BE" w:rsidRPr="009B6417">
        <w:rPr>
          <w:rFonts w:ascii="Times New Roman" w:eastAsia="Times New Roman" w:hAnsi="Times New Roman" w:cs="Times New Roman"/>
          <w:sz w:val="24"/>
          <w:szCs w:val="24"/>
        </w:rPr>
        <w:t>sional të mbetjeve urbane të kësaj Bashkie, dhe gjithashtu është planifikuar krijimi i mundësis</w:t>
      </w:r>
      <w:r w:rsidR="00C61324" w:rsidRPr="009B6417">
        <w:rPr>
          <w:rFonts w:ascii="Times New Roman" w:eastAsia="Times New Roman" w:hAnsi="Times New Roman" w:cs="Times New Roman"/>
          <w:sz w:val="24"/>
          <w:szCs w:val="24"/>
        </w:rPr>
        <w:t xml:space="preserve">ë që këto mbetje në të ardhmen </w:t>
      </w:r>
      <w:r w:rsidR="002064BE" w:rsidRPr="009B6417">
        <w:rPr>
          <w:rFonts w:ascii="Times New Roman" w:eastAsia="Times New Roman" w:hAnsi="Times New Roman" w:cs="Times New Roman"/>
          <w:sz w:val="24"/>
          <w:szCs w:val="24"/>
        </w:rPr>
        <w:t>të gjenerojnë energji elektrike për popullatën. Në fund të periudhës së këtij koncesioni</w:t>
      </w:r>
      <w:r w:rsidR="00E332E0">
        <w:rPr>
          <w:rFonts w:ascii="Times New Roman" w:eastAsia="Times New Roman" w:hAnsi="Times New Roman" w:cs="Times New Roman"/>
          <w:sz w:val="24"/>
          <w:szCs w:val="24"/>
        </w:rPr>
        <w:t xml:space="preserve"> ky aset i kalon në pronësi Bashkisë së Tiranës.</w:t>
      </w:r>
    </w:p>
    <w:p w14:paraId="35531AED" w14:textId="77777777" w:rsidR="002064BE" w:rsidRPr="009B6417" w:rsidRDefault="002064BE" w:rsidP="002A5C9E">
      <w:pPr>
        <w:pStyle w:val="ListParagraph"/>
        <w:numPr>
          <w:ilvl w:val="2"/>
          <w:numId w:val="10"/>
        </w:numPr>
        <w:spacing w:before="100" w:beforeAutospacing="1" w:after="0"/>
        <w:jc w:val="both"/>
        <w:rPr>
          <w:rFonts w:ascii="Times New Roman" w:eastAsia="Times New Roman" w:hAnsi="Times New Roman" w:cs="Times New Roman"/>
          <w:sz w:val="24"/>
          <w:szCs w:val="24"/>
        </w:rPr>
      </w:pPr>
      <w:r w:rsidRPr="009B6417">
        <w:rPr>
          <w:rFonts w:ascii="Times New Roman" w:eastAsia="Times New Roman" w:hAnsi="Times New Roman" w:cs="Times New Roman"/>
          <w:b/>
          <w:i/>
          <w:sz w:val="24"/>
          <w:szCs w:val="24"/>
        </w:rPr>
        <w:t xml:space="preserve"> Performanca e projektit dhe lloji i financimit</w:t>
      </w:r>
    </w:p>
    <w:p w14:paraId="503CD8ED" w14:textId="77777777" w:rsidR="002D384A" w:rsidRPr="009B6417" w:rsidRDefault="002D384A" w:rsidP="002D384A">
      <w:pPr>
        <w:spacing w:after="0"/>
        <w:jc w:val="both"/>
        <w:rPr>
          <w:rFonts w:ascii="Times New Roman" w:eastAsia="Times New Roman" w:hAnsi="Times New Roman" w:cs="Times New Roman"/>
          <w:sz w:val="24"/>
          <w:szCs w:val="24"/>
        </w:rPr>
      </w:pPr>
      <w:r w:rsidRPr="009B6417">
        <w:rPr>
          <w:rFonts w:ascii="Times New Roman" w:eastAsia="Times New Roman" w:hAnsi="Times New Roman" w:cs="Times New Roman"/>
          <w:sz w:val="24"/>
          <w:szCs w:val="24"/>
        </w:rPr>
        <w:t>Aktualisht projekti është në fazën e ndërtimit</w:t>
      </w:r>
      <w:r w:rsidR="00DB2E8C">
        <w:rPr>
          <w:rFonts w:ascii="Times New Roman" w:eastAsia="Times New Roman" w:hAnsi="Times New Roman" w:cs="Times New Roman"/>
          <w:sz w:val="24"/>
          <w:szCs w:val="24"/>
        </w:rPr>
        <w:t xml:space="preserve"> dhe operimit</w:t>
      </w:r>
      <w:r w:rsidRPr="009B6417">
        <w:rPr>
          <w:rFonts w:ascii="Times New Roman" w:eastAsia="Times New Roman" w:hAnsi="Times New Roman" w:cs="Times New Roman"/>
          <w:sz w:val="24"/>
          <w:szCs w:val="24"/>
        </w:rPr>
        <w:t>. Ndërtimi për këtë projekt pritet të realizohet në gjashtë vite (2018-2024</w:t>
      </w:r>
      <w:r>
        <w:rPr>
          <w:rFonts w:ascii="Times New Roman" w:eastAsia="Times New Roman" w:hAnsi="Times New Roman" w:cs="Times New Roman"/>
          <w:sz w:val="24"/>
          <w:szCs w:val="24"/>
        </w:rPr>
        <w:t>) dhe deri në fund të vitit 2019 është realizuar 31</w:t>
      </w:r>
      <w:r w:rsidRPr="009B6417">
        <w:rPr>
          <w:rFonts w:ascii="Times New Roman" w:eastAsia="Times New Roman" w:hAnsi="Times New Roman" w:cs="Times New Roman"/>
          <w:sz w:val="24"/>
          <w:szCs w:val="24"/>
        </w:rPr>
        <w:t xml:space="preserve"> përqind</w:t>
      </w:r>
      <w:r>
        <w:rPr>
          <w:rFonts w:ascii="Times New Roman" w:eastAsia="Times New Roman" w:hAnsi="Times New Roman" w:cs="Times New Roman"/>
          <w:sz w:val="24"/>
          <w:szCs w:val="24"/>
        </w:rPr>
        <w:t xml:space="preserve"> e ndërtimit nga 61.4 </w:t>
      </w:r>
      <w:r w:rsidRPr="009B6417">
        <w:rPr>
          <w:rFonts w:ascii="Times New Roman" w:eastAsia="Times New Roman" w:hAnsi="Times New Roman" w:cs="Times New Roman"/>
          <w:sz w:val="24"/>
          <w:szCs w:val="24"/>
        </w:rPr>
        <w:t>përqindtë projektuara për tu realizuar për shkak të p</w:t>
      </w:r>
      <w:r>
        <w:rPr>
          <w:rFonts w:ascii="Times New Roman" w:eastAsia="Times New Roman" w:hAnsi="Times New Roman" w:cs="Times New Roman"/>
          <w:sz w:val="24"/>
          <w:szCs w:val="24"/>
        </w:rPr>
        <w:t>roblemeve me lëshimin e lejeve.</w:t>
      </w:r>
    </w:p>
    <w:p w14:paraId="495AEC57" w14:textId="77777777" w:rsidR="002D384A" w:rsidRPr="009B6417" w:rsidRDefault="002D384A" w:rsidP="002D384A">
      <w:pPr>
        <w:spacing w:after="0"/>
        <w:jc w:val="both"/>
        <w:rPr>
          <w:rFonts w:ascii="Times New Roman" w:eastAsia="Times New Roman" w:hAnsi="Times New Roman" w:cs="Times New Roman"/>
          <w:sz w:val="24"/>
          <w:szCs w:val="24"/>
        </w:rPr>
      </w:pPr>
      <w:r w:rsidRPr="009B6417">
        <w:rPr>
          <w:rFonts w:ascii="Times New Roman" w:eastAsia="Times New Roman" w:hAnsi="Times New Roman" w:cs="Times New Roman"/>
          <w:sz w:val="24"/>
          <w:szCs w:val="24"/>
        </w:rPr>
        <w:t xml:space="preserve">Aktualisht </w:t>
      </w:r>
      <w:r w:rsidRPr="009B6417">
        <w:rPr>
          <w:rFonts w:ascii="Times New Roman" w:hAnsi="Times New Roman" w:cs="Times New Roman"/>
          <w:sz w:val="24"/>
          <w:szCs w:val="24"/>
        </w:rPr>
        <w:t>është marrë në dorëzim venddepozitimi i mbetjeve urbane ekzistuese dhe po vazhdohet me menaxhimin e mbetjeve, dherave dhe inerteve.</w:t>
      </w:r>
      <w:r w:rsidRPr="009B6417">
        <w:rPr>
          <w:rFonts w:ascii="Times New Roman" w:eastAsia="Times New Roman" w:hAnsi="Times New Roman" w:cs="Times New Roman"/>
          <w:sz w:val="24"/>
          <w:szCs w:val="24"/>
        </w:rPr>
        <w:t xml:space="preserve">Gjithashtu </w:t>
      </w:r>
      <w:r w:rsidRPr="009B6417">
        <w:rPr>
          <w:rFonts w:ascii="Times New Roman" w:hAnsi="Times New Roman" w:cs="Times New Roman"/>
          <w:sz w:val="24"/>
          <w:szCs w:val="24"/>
        </w:rPr>
        <w:t xml:space="preserve">është aplikuar dhe marrë leja e ndërtimit në Këshillin Kombëtar të Territorit për objektet përbërëse të impiantit, konform projektit. </w:t>
      </w:r>
    </w:p>
    <w:p w14:paraId="4029A331" w14:textId="77777777" w:rsidR="002D384A" w:rsidRPr="009B6417" w:rsidRDefault="002D384A" w:rsidP="002D384A">
      <w:pPr>
        <w:spacing w:after="0"/>
        <w:jc w:val="both"/>
        <w:rPr>
          <w:rFonts w:ascii="Times New Roman" w:hAnsi="Times New Roman" w:cs="Times New Roman"/>
          <w:sz w:val="24"/>
          <w:szCs w:val="24"/>
        </w:rPr>
      </w:pPr>
      <w:r w:rsidRPr="009B6417">
        <w:rPr>
          <w:rFonts w:ascii="Times New Roman" w:hAnsi="Times New Roman" w:cs="Times New Roman"/>
          <w:sz w:val="24"/>
          <w:szCs w:val="24"/>
        </w:rPr>
        <w:t xml:space="preserve">Lidhur me treguesit e performancës për këtë kontratë, </w:t>
      </w:r>
      <w:r>
        <w:rPr>
          <w:rFonts w:ascii="Times New Roman" w:hAnsi="Times New Roman" w:cs="Times New Roman"/>
          <w:sz w:val="24"/>
          <w:szCs w:val="24"/>
        </w:rPr>
        <w:t xml:space="preserve">ecuria </w:t>
      </w:r>
      <w:r w:rsidR="003A341A">
        <w:rPr>
          <w:rFonts w:ascii="Times New Roman" w:hAnsi="Times New Roman" w:cs="Times New Roman"/>
          <w:sz w:val="24"/>
          <w:szCs w:val="24"/>
        </w:rPr>
        <w:t>ë</w:t>
      </w:r>
      <w:r>
        <w:rPr>
          <w:rFonts w:ascii="Times New Roman" w:hAnsi="Times New Roman" w:cs="Times New Roman"/>
          <w:sz w:val="24"/>
          <w:szCs w:val="24"/>
        </w:rPr>
        <w:t>sht</w:t>
      </w:r>
      <w:r w:rsidR="003A341A">
        <w:rPr>
          <w:rFonts w:ascii="Times New Roman" w:hAnsi="Times New Roman" w:cs="Times New Roman"/>
          <w:sz w:val="24"/>
          <w:szCs w:val="24"/>
        </w:rPr>
        <w:t>ë</w:t>
      </w:r>
      <w:r>
        <w:rPr>
          <w:rFonts w:ascii="Times New Roman" w:hAnsi="Times New Roman" w:cs="Times New Roman"/>
          <w:sz w:val="24"/>
          <w:szCs w:val="24"/>
        </w:rPr>
        <w:t xml:space="preserve"> si m</w:t>
      </w:r>
      <w:r w:rsidR="003A341A">
        <w:rPr>
          <w:rFonts w:ascii="Times New Roman" w:hAnsi="Times New Roman" w:cs="Times New Roman"/>
          <w:sz w:val="24"/>
          <w:szCs w:val="24"/>
        </w:rPr>
        <w:t>ë</w:t>
      </w:r>
      <w:r>
        <w:rPr>
          <w:rFonts w:ascii="Times New Roman" w:hAnsi="Times New Roman" w:cs="Times New Roman"/>
          <w:sz w:val="24"/>
          <w:szCs w:val="24"/>
        </w:rPr>
        <w:t xml:space="preserve"> posht</w:t>
      </w:r>
      <w:r w:rsidR="003A341A">
        <w:rPr>
          <w:rFonts w:ascii="Times New Roman" w:hAnsi="Times New Roman" w:cs="Times New Roman"/>
          <w:sz w:val="24"/>
          <w:szCs w:val="24"/>
        </w:rPr>
        <w:t>ë</w:t>
      </w:r>
      <w:r>
        <w:rPr>
          <w:rFonts w:ascii="Times New Roman" w:hAnsi="Times New Roman" w:cs="Times New Roman"/>
          <w:sz w:val="24"/>
          <w:szCs w:val="24"/>
        </w:rPr>
        <w:t>:</w:t>
      </w:r>
    </w:p>
    <w:p w14:paraId="1866639F" w14:textId="77777777" w:rsidR="002D384A" w:rsidRDefault="002D384A" w:rsidP="002D384A">
      <w:pPr>
        <w:pStyle w:val="ListParagraph"/>
        <w:numPr>
          <w:ilvl w:val="0"/>
          <w:numId w:val="7"/>
        </w:numPr>
        <w:spacing w:after="0"/>
        <w:jc w:val="both"/>
        <w:rPr>
          <w:rFonts w:ascii="Times New Roman" w:hAnsi="Times New Roman" w:cs="Times New Roman"/>
          <w:sz w:val="24"/>
          <w:szCs w:val="24"/>
        </w:rPr>
      </w:pPr>
      <w:r w:rsidRPr="006F714D">
        <w:rPr>
          <w:rFonts w:ascii="Times New Roman" w:hAnsi="Times New Roman" w:cs="Times New Roman"/>
          <w:i/>
          <w:sz w:val="24"/>
          <w:szCs w:val="24"/>
        </w:rPr>
        <w:t>Kapsulimi i mbetjeve në landfillin ekzistues</w:t>
      </w:r>
      <w:r w:rsidRPr="009B6417">
        <w:rPr>
          <w:rFonts w:ascii="Times New Roman" w:hAnsi="Times New Roman" w:cs="Times New Roman"/>
          <w:sz w:val="24"/>
          <w:szCs w:val="24"/>
        </w:rPr>
        <w:t xml:space="preserve"> – Për </w:t>
      </w:r>
      <w:r>
        <w:rPr>
          <w:rFonts w:ascii="Times New Roman" w:hAnsi="Times New Roman" w:cs="Times New Roman"/>
          <w:sz w:val="24"/>
          <w:szCs w:val="24"/>
        </w:rPr>
        <w:t>vitin 2019</w:t>
      </w:r>
      <w:r w:rsidRPr="009B6417">
        <w:rPr>
          <w:rFonts w:ascii="Times New Roman" w:hAnsi="Times New Roman" w:cs="Times New Roman"/>
          <w:sz w:val="24"/>
          <w:szCs w:val="24"/>
        </w:rPr>
        <w:t xml:space="preserve"> ky tregues </w:t>
      </w:r>
      <w:r w:rsidR="003A341A">
        <w:rPr>
          <w:rFonts w:ascii="Times New Roman" w:hAnsi="Times New Roman" w:cs="Times New Roman"/>
          <w:sz w:val="24"/>
          <w:szCs w:val="24"/>
        </w:rPr>
        <w:t>ë</w:t>
      </w:r>
      <w:r>
        <w:rPr>
          <w:rFonts w:ascii="Times New Roman" w:hAnsi="Times New Roman" w:cs="Times New Roman"/>
          <w:sz w:val="24"/>
          <w:szCs w:val="24"/>
        </w:rPr>
        <w:t>sht</w:t>
      </w:r>
      <w:r w:rsidR="003A341A">
        <w:rPr>
          <w:rFonts w:ascii="Times New Roman" w:hAnsi="Times New Roman" w:cs="Times New Roman"/>
          <w:sz w:val="24"/>
          <w:szCs w:val="24"/>
        </w:rPr>
        <w:t>ë</w:t>
      </w:r>
      <w:r w:rsidRPr="009B6417">
        <w:rPr>
          <w:rFonts w:ascii="Times New Roman" w:hAnsi="Times New Roman" w:cs="Times New Roman"/>
          <w:sz w:val="24"/>
          <w:szCs w:val="24"/>
        </w:rPr>
        <w:t xml:space="preserve"> realizuar 100 përqind.</w:t>
      </w:r>
      <w:r>
        <w:rPr>
          <w:rFonts w:ascii="Times New Roman" w:hAnsi="Times New Roman" w:cs="Times New Roman"/>
          <w:sz w:val="24"/>
          <w:szCs w:val="24"/>
        </w:rPr>
        <w:t xml:space="preserve"> Gjithashtu bashk</w:t>
      </w:r>
      <w:r w:rsidR="003A341A">
        <w:rPr>
          <w:rFonts w:ascii="Times New Roman" w:hAnsi="Times New Roman" w:cs="Times New Roman"/>
          <w:sz w:val="24"/>
          <w:szCs w:val="24"/>
        </w:rPr>
        <w:t>ë</w:t>
      </w:r>
      <w:r>
        <w:rPr>
          <w:rFonts w:ascii="Times New Roman" w:hAnsi="Times New Roman" w:cs="Times New Roman"/>
          <w:sz w:val="24"/>
          <w:szCs w:val="24"/>
        </w:rPr>
        <w:t xml:space="preserve"> me kapsulimin e mbetjeve n</w:t>
      </w:r>
      <w:r w:rsidR="003A341A">
        <w:rPr>
          <w:rFonts w:ascii="Times New Roman" w:hAnsi="Times New Roman" w:cs="Times New Roman"/>
          <w:sz w:val="24"/>
          <w:szCs w:val="24"/>
        </w:rPr>
        <w:t>ë</w:t>
      </w:r>
      <w:r>
        <w:rPr>
          <w:rFonts w:ascii="Times New Roman" w:hAnsi="Times New Roman" w:cs="Times New Roman"/>
          <w:sz w:val="24"/>
          <w:szCs w:val="24"/>
        </w:rPr>
        <w:t xml:space="preserve"> landfillin ekzistues </w:t>
      </w:r>
      <w:r w:rsidR="003A341A">
        <w:rPr>
          <w:rFonts w:ascii="Times New Roman" w:hAnsi="Times New Roman" w:cs="Times New Roman"/>
          <w:sz w:val="24"/>
          <w:szCs w:val="24"/>
        </w:rPr>
        <w:t>ë</w:t>
      </w:r>
      <w:r>
        <w:rPr>
          <w:rFonts w:ascii="Times New Roman" w:hAnsi="Times New Roman" w:cs="Times New Roman"/>
          <w:sz w:val="24"/>
          <w:szCs w:val="24"/>
        </w:rPr>
        <w:t>sht</w:t>
      </w:r>
      <w:r w:rsidR="003A341A">
        <w:rPr>
          <w:rFonts w:ascii="Times New Roman" w:hAnsi="Times New Roman" w:cs="Times New Roman"/>
          <w:sz w:val="24"/>
          <w:szCs w:val="24"/>
        </w:rPr>
        <w:t>ë</w:t>
      </w:r>
      <w:r>
        <w:rPr>
          <w:rFonts w:ascii="Times New Roman" w:hAnsi="Times New Roman" w:cs="Times New Roman"/>
          <w:sz w:val="24"/>
          <w:szCs w:val="24"/>
        </w:rPr>
        <w:t xml:space="preserve"> realizuar edhe menaxhimi i mbetjeve shum</w:t>
      </w:r>
      <w:r w:rsidR="003A341A">
        <w:rPr>
          <w:rFonts w:ascii="Times New Roman" w:hAnsi="Times New Roman" w:cs="Times New Roman"/>
          <w:sz w:val="24"/>
          <w:szCs w:val="24"/>
        </w:rPr>
        <w:t>ë</w:t>
      </w:r>
      <w:r>
        <w:rPr>
          <w:rFonts w:ascii="Times New Roman" w:hAnsi="Times New Roman" w:cs="Times New Roman"/>
          <w:sz w:val="24"/>
          <w:szCs w:val="24"/>
        </w:rPr>
        <w:t>vjeçare dhe mbetjeve periodike dit</w:t>
      </w:r>
      <w:r w:rsidR="003A341A">
        <w:rPr>
          <w:rFonts w:ascii="Times New Roman" w:hAnsi="Times New Roman" w:cs="Times New Roman"/>
          <w:sz w:val="24"/>
          <w:szCs w:val="24"/>
        </w:rPr>
        <w:t>ë</w:t>
      </w:r>
      <w:r>
        <w:rPr>
          <w:rFonts w:ascii="Times New Roman" w:hAnsi="Times New Roman" w:cs="Times New Roman"/>
          <w:sz w:val="24"/>
          <w:szCs w:val="24"/>
        </w:rPr>
        <w:t xml:space="preserve"> pas dit</w:t>
      </w:r>
      <w:r w:rsidR="003A341A">
        <w:rPr>
          <w:rFonts w:ascii="Times New Roman" w:hAnsi="Times New Roman" w:cs="Times New Roman"/>
          <w:sz w:val="24"/>
          <w:szCs w:val="24"/>
        </w:rPr>
        <w:t>ë</w:t>
      </w:r>
      <w:r>
        <w:rPr>
          <w:rFonts w:ascii="Times New Roman" w:hAnsi="Times New Roman" w:cs="Times New Roman"/>
          <w:sz w:val="24"/>
          <w:szCs w:val="24"/>
        </w:rPr>
        <w:t xml:space="preserve"> deri n</w:t>
      </w:r>
      <w:r w:rsidR="003A341A">
        <w:rPr>
          <w:rFonts w:ascii="Times New Roman" w:hAnsi="Times New Roman" w:cs="Times New Roman"/>
          <w:sz w:val="24"/>
          <w:szCs w:val="24"/>
        </w:rPr>
        <w:t>ë</w:t>
      </w:r>
      <w:r>
        <w:rPr>
          <w:rFonts w:ascii="Times New Roman" w:hAnsi="Times New Roman" w:cs="Times New Roman"/>
          <w:sz w:val="24"/>
          <w:szCs w:val="24"/>
        </w:rPr>
        <w:t xml:space="preserve"> nd</w:t>
      </w:r>
      <w:r w:rsidR="003A341A">
        <w:rPr>
          <w:rFonts w:ascii="Times New Roman" w:hAnsi="Times New Roman" w:cs="Times New Roman"/>
          <w:sz w:val="24"/>
          <w:szCs w:val="24"/>
        </w:rPr>
        <w:t>ë</w:t>
      </w:r>
      <w:r>
        <w:rPr>
          <w:rFonts w:ascii="Times New Roman" w:hAnsi="Times New Roman" w:cs="Times New Roman"/>
          <w:sz w:val="24"/>
          <w:szCs w:val="24"/>
        </w:rPr>
        <w:t>rtimin e inceneratorit.</w:t>
      </w:r>
    </w:p>
    <w:p w14:paraId="2B0895EB" w14:textId="77777777" w:rsidR="002D384A" w:rsidRPr="006F714D" w:rsidRDefault="002D384A" w:rsidP="002D384A">
      <w:pPr>
        <w:pStyle w:val="ListParagraph"/>
        <w:numPr>
          <w:ilvl w:val="0"/>
          <w:numId w:val="7"/>
        </w:numPr>
        <w:spacing w:after="0"/>
        <w:jc w:val="both"/>
        <w:rPr>
          <w:rFonts w:ascii="Times New Roman" w:hAnsi="Times New Roman" w:cs="Times New Roman"/>
          <w:sz w:val="24"/>
          <w:szCs w:val="24"/>
        </w:rPr>
      </w:pPr>
      <w:r w:rsidRPr="006F714D">
        <w:rPr>
          <w:rFonts w:ascii="Times New Roman" w:hAnsi="Times New Roman" w:cs="Times New Roman"/>
          <w:i/>
          <w:sz w:val="24"/>
          <w:szCs w:val="24"/>
        </w:rPr>
        <w:t>Sasia e për</w:t>
      </w:r>
      <w:r>
        <w:rPr>
          <w:rFonts w:ascii="Times New Roman" w:hAnsi="Times New Roman" w:cs="Times New Roman"/>
          <w:i/>
          <w:sz w:val="24"/>
          <w:szCs w:val="24"/>
        </w:rPr>
        <w:t>punuar e mbetjeve nga ndërtimi i</w:t>
      </w:r>
      <w:r w:rsidRPr="006F714D">
        <w:rPr>
          <w:rFonts w:ascii="Times New Roman" w:hAnsi="Times New Roman" w:cs="Times New Roman"/>
          <w:i/>
          <w:sz w:val="24"/>
          <w:szCs w:val="24"/>
        </w:rPr>
        <w:t xml:space="preserve"> inceneratorit</w:t>
      </w:r>
      <w:r>
        <w:rPr>
          <w:rFonts w:ascii="Times New Roman" w:hAnsi="Times New Roman" w:cs="Times New Roman"/>
          <w:sz w:val="24"/>
          <w:szCs w:val="24"/>
        </w:rPr>
        <w:t xml:space="preserve">- </w:t>
      </w:r>
      <w:r w:rsidRPr="006F714D">
        <w:rPr>
          <w:rFonts w:ascii="Times New Roman" w:hAnsi="Times New Roman" w:cs="Times New Roman"/>
          <w:sz w:val="24"/>
          <w:szCs w:val="24"/>
        </w:rPr>
        <w:t>E parealizuar pasi është bërë me vonesë kalimi pastaj  zbardhja e Vendimit të KKT për miratimin e lejes së ndërtimit të landfillit, Inceneratorit dhe rehabilitimit të venddepozitimeve ekzistuese me vendndodhje në Bashkinë Tiranë</w:t>
      </w:r>
      <w:r>
        <w:rPr>
          <w:rFonts w:ascii="Times New Roman" w:hAnsi="Times New Roman" w:cs="Times New Roman"/>
          <w:sz w:val="24"/>
          <w:szCs w:val="24"/>
        </w:rPr>
        <w:t>.</w:t>
      </w:r>
    </w:p>
    <w:p w14:paraId="036C12F8" w14:textId="77777777" w:rsidR="006F714D" w:rsidRPr="002D384A" w:rsidRDefault="006F714D" w:rsidP="006F714D">
      <w:pPr>
        <w:pStyle w:val="ListParagraph"/>
        <w:numPr>
          <w:ilvl w:val="0"/>
          <w:numId w:val="7"/>
        </w:numPr>
        <w:spacing w:after="0"/>
        <w:jc w:val="both"/>
        <w:rPr>
          <w:rFonts w:ascii="Times New Roman" w:hAnsi="Times New Roman" w:cs="Times New Roman"/>
          <w:sz w:val="24"/>
          <w:szCs w:val="24"/>
        </w:rPr>
      </w:pPr>
      <w:r w:rsidRPr="006F714D">
        <w:rPr>
          <w:rFonts w:ascii="Times New Roman" w:hAnsi="Times New Roman" w:cs="Times New Roman"/>
          <w:i/>
          <w:sz w:val="24"/>
          <w:szCs w:val="24"/>
        </w:rPr>
        <w:t xml:space="preserve">Sasia e mbetjeve urbane rikuperuar perdorur si lende djegese </w:t>
      </w:r>
      <w:r w:rsidR="002D384A" w:rsidRPr="002D384A">
        <w:rPr>
          <w:rFonts w:ascii="Times New Roman" w:hAnsi="Times New Roman" w:cs="Times New Roman"/>
          <w:i/>
          <w:sz w:val="24"/>
          <w:szCs w:val="24"/>
        </w:rPr>
        <w:t>p</w:t>
      </w:r>
      <w:r w:rsidR="003A341A">
        <w:rPr>
          <w:rFonts w:ascii="Times New Roman" w:hAnsi="Times New Roman" w:cs="Times New Roman"/>
          <w:i/>
          <w:sz w:val="24"/>
          <w:szCs w:val="24"/>
        </w:rPr>
        <w:t>ë</w:t>
      </w:r>
      <w:r w:rsidRPr="002D384A">
        <w:rPr>
          <w:rFonts w:ascii="Times New Roman" w:hAnsi="Times New Roman" w:cs="Times New Roman"/>
          <w:i/>
          <w:sz w:val="24"/>
          <w:szCs w:val="24"/>
        </w:rPr>
        <w:t>r prodhim energjie</w:t>
      </w:r>
      <w:r w:rsidR="002D384A" w:rsidRPr="002D384A">
        <w:rPr>
          <w:rFonts w:ascii="Times New Roman" w:hAnsi="Times New Roman" w:cs="Times New Roman"/>
          <w:sz w:val="24"/>
          <w:szCs w:val="24"/>
        </w:rPr>
        <w:t xml:space="preserve">- Ky tregues performance nuk </w:t>
      </w:r>
      <w:r w:rsidR="003A341A">
        <w:rPr>
          <w:rFonts w:ascii="Times New Roman" w:hAnsi="Times New Roman" w:cs="Times New Roman"/>
          <w:sz w:val="24"/>
          <w:szCs w:val="24"/>
        </w:rPr>
        <w:t>ë</w:t>
      </w:r>
      <w:r w:rsidR="002D384A" w:rsidRPr="002D384A">
        <w:rPr>
          <w:rFonts w:ascii="Times New Roman" w:hAnsi="Times New Roman" w:cs="Times New Roman"/>
          <w:sz w:val="24"/>
          <w:szCs w:val="24"/>
        </w:rPr>
        <w:t>sht</w:t>
      </w:r>
      <w:r w:rsidR="003A341A">
        <w:rPr>
          <w:rFonts w:ascii="Times New Roman" w:hAnsi="Times New Roman" w:cs="Times New Roman"/>
          <w:sz w:val="24"/>
          <w:szCs w:val="24"/>
        </w:rPr>
        <w:t>ë</w:t>
      </w:r>
      <w:r w:rsidR="002D384A" w:rsidRPr="002D384A">
        <w:rPr>
          <w:rFonts w:ascii="Times New Roman" w:hAnsi="Times New Roman" w:cs="Times New Roman"/>
          <w:sz w:val="24"/>
          <w:szCs w:val="24"/>
        </w:rPr>
        <w:t xml:space="preserve"> realizuar ende p</w:t>
      </w:r>
      <w:r w:rsidR="003A341A">
        <w:rPr>
          <w:rFonts w:ascii="Times New Roman" w:hAnsi="Times New Roman" w:cs="Times New Roman"/>
          <w:sz w:val="24"/>
          <w:szCs w:val="24"/>
        </w:rPr>
        <w:t>ë</w:t>
      </w:r>
      <w:r w:rsidR="002D384A" w:rsidRPr="002D384A">
        <w:rPr>
          <w:rFonts w:ascii="Times New Roman" w:hAnsi="Times New Roman" w:cs="Times New Roman"/>
          <w:sz w:val="24"/>
          <w:szCs w:val="24"/>
        </w:rPr>
        <w:t xml:space="preserve">r shkak se nuk </w:t>
      </w:r>
      <w:r w:rsidR="003A341A">
        <w:rPr>
          <w:rFonts w:ascii="Times New Roman" w:hAnsi="Times New Roman" w:cs="Times New Roman"/>
          <w:sz w:val="24"/>
          <w:szCs w:val="24"/>
        </w:rPr>
        <w:t>ë</w:t>
      </w:r>
      <w:r w:rsidR="002D384A" w:rsidRPr="002D384A">
        <w:rPr>
          <w:rFonts w:ascii="Times New Roman" w:hAnsi="Times New Roman" w:cs="Times New Roman"/>
          <w:sz w:val="24"/>
          <w:szCs w:val="24"/>
        </w:rPr>
        <w:t>sht</w:t>
      </w:r>
      <w:r w:rsidR="003A341A">
        <w:rPr>
          <w:rFonts w:ascii="Times New Roman" w:hAnsi="Times New Roman" w:cs="Times New Roman"/>
          <w:sz w:val="24"/>
          <w:szCs w:val="24"/>
        </w:rPr>
        <w:t>ë</w:t>
      </w:r>
      <w:r w:rsidR="002D384A" w:rsidRPr="002D384A">
        <w:rPr>
          <w:rFonts w:ascii="Times New Roman" w:hAnsi="Times New Roman" w:cs="Times New Roman"/>
          <w:sz w:val="24"/>
          <w:szCs w:val="24"/>
        </w:rPr>
        <w:t xml:space="preserve"> nd</w:t>
      </w:r>
      <w:r w:rsidR="003A341A">
        <w:rPr>
          <w:rFonts w:ascii="Times New Roman" w:hAnsi="Times New Roman" w:cs="Times New Roman"/>
          <w:sz w:val="24"/>
          <w:szCs w:val="24"/>
        </w:rPr>
        <w:t>ë</w:t>
      </w:r>
      <w:r w:rsidR="005F42A0">
        <w:rPr>
          <w:rFonts w:ascii="Times New Roman" w:hAnsi="Times New Roman" w:cs="Times New Roman"/>
          <w:sz w:val="24"/>
          <w:szCs w:val="24"/>
        </w:rPr>
        <w:t>r</w:t>
      </w:r>
      <w:r w:rsidR="002D384A" w:rsidRPr="002D384A">
        <w:rPr>
          <w:rFonts w:ascii="Times New Roman" w:hAnsi="Times New Roman" w:cs="Times New Roman"/>
          <w:sz w:val="24"/>
          <w:szCs w:val="24"/>
        </w:rPr>
        <w:t>tuar akoma Inceneratori.</w:t>
      </w:r>
    </w:p>
    <w:p w14:paraId="64206937" w14:textId="77777777" w:rsidR="0025102E" w:rsidRPr="002D384A" w:rsidRDefault="0025102E" w:rsidP="0025102E">
      <w:pPr>
        <w:pStyle w:val="ListParagraph"/>
        <w:spacing w:after="0"/>
        <w:jc w:val="both"/>
        <w:rPr>
          <w:rFonts w:ascii="Times New Roman" w:hAnsi="Times New Roman" w:cs="Times New Roman"/>
          <w:sz w:val="14"/>
          <w:szCs w:val="24"/>
        </w:rPr>
      </w:pPr>
    </w:p>
    <w:p w14:paraId="4A715ADE" w14:textId="77777777" w:rsidR="00494CA9" w:rsidRPr="002D384A" w:rsidRDefault="002064BE" w:rsidP="00494CA9">
      <w:pPr>
        <w:spacing w:after="0"/>
        <w:jc w:val="both"/>
        <w:rPr>
          <w:rFonts w:ascii="Times New Roman" w:hAnsi="Times New Roman" w:cs="Times New Roman"/>
          <w:color w:val="FF0000"/>
          <w:sz w:val="24"/>
          <w:szCs w:val="24"/>
        </w:rPr>
      </w:pPr>
      <w:r w:rsidRPr="002D384A">
        <w:rPr>
          <w:rFonts w:ascii="Times New Roman" w:eastAsia="Times New Roman" w:hAnsi="Times New Roman" w:cs="Times New Roman"/>
          <w:sz w:val="24"/>
          <w:szCs w:val="24"/>
        </w:rPr>
        <w:lastRenderedPageBreak/>
        <w:t xml:space="preserve">Përsa i përket llojit të financimit, </w:t>
      </w:r>
      <w:r w:rsidR="006E59A3" w:rsidRPr="002D384A">
        <w:rPr>
          <w:rFonts w:ascii="Times New Roman" w:eastAsia="Times New Roman" w:hAnsi="Times New Roman" w:cs="Times New Roman"/>
          <w:sz w:val="24"/>
          <w:szCs w:val="24"/>
        </w:rPr>
        <w:t xml:space="preserve">sipas kontratës koncesionare </w:t>
      </w:r>
      <w:r w:rsidRPr="002D384A">
        <w:rPr>
          <w:rFonts w:ascii="Times New Roman" w:eastAsia="Times New Roman" w:hAnsi="Times New Roman" w:cs="Times New Roman"/>
          <w:sz w:val="24"/>
          <w:szCs w:val="24"/>
        </w:rPr>
        <w:t xml:space="preserve">ky projekt koncesionar/PPP është me </w:t>
      </w:r>
      <w:r w:rsidR="002A5C9E" w:rsidRPr="002D384A">
        <w:rPr>
          <w:rFonts w:ascii="Times New Roman" w:eastAsia="Times New Roman" w:hAnsi="Times New Roman" w:cs="Times New Roman"/>
          <w:sz w:val="24"/>
          <w:szCs w:val="24"/>
        </w:rPr>
        <w:t xml:space="preserve">pagesa për </w:t>
      </w:r>
      <w:r w:rsidR="000A5857" w:rsidRPr="002D384A">
        <w:rPr>
          <w:rFonts w:ascii="Times New Roman" w:eastAsia="Times New Roman" w:hAnsi="Times New Roman" w:cs="Times New Roman"/>
          <w:sz w:val="24"/>
          <w:szCs w:val="24"/>
        </w:rPr>
        <w:t xml:space="preserve">tarifë/ton për depozitimin e mbetjeve e cila paguhet nga </w:t>
      </w:r>
      <w:r w:rsidR="004E7A41" w:rsidRPr="002D384A">
        <w:rPr>
          <w:rFonts w:ascii="Times New Roman" w:eastAsia="Times New Roman" w:hAnsi="Times New Roman" w:cs="Times New Roman"/>
          <w:sz w:val="24"/>
          <w:szCs w:val="24"/>
        </w:rPr>
        <w:t>Nj</w:t>
      </w:r>
      <w:r w:rsidR="006A445E" w:rsidRPr="002D384A">
        <w:rPr>
          <w:rFonts w:ascii="Times New Roman" w:eastAsia="Times New Roman" w:hAnsi="Times New Roman" w:cs="Times New Roman"/>
          <w:sz w:val="24"/>
          <w:szCs w:val="24"/>
        </w:rPr>
        <w:t>ë</w:t>
      </w:r>
      <w:r w:rsidR="004E7A41" w:rsidRPr="002D384A">
        <w:rPr>
          <w:rFonts w:ascii="Times New Roman" w:eastAsia="Times New Roman" w:hAnsi="Times New Roman" w:cs="Times New Roman"/>
          <w:sz w:val="24"/>
          <w:szCs w:val="24"/>
        </w:rPr>
        <w:t>sit</w:t>
      </w:r>
      <w:r w:rsidR="006A445E" w:rsidRPr="002D384A">
        <w:rPr>
          <w:rFonts w:ascii="Times New Roman" w:eastAsia="Times New Roman" w:hAnsi="Times New Roman" w:cs="Times New Roman"/>
          <w:sz w:val="24"/>
          <w:szCs w:val="24"/>
        </w:rPr>
        <w:t>ë</w:t>
      </w:r>
      <w:r w:rsidR="004E7A41" w:rsidRPr="002D384A">
        <w:rPr>
          <w:rFonts w:ascii="Times New Roman" w:eastAsia="Times New Roman" w:hAnsi="Times New Roman" w:cs="Times New Roman"/>
          <w:sz w:val="24"/>
          <w:szCs w:val="24"/>
        </w:rPr>
        <w:t xml:space="preserve"> e Qeverisjes Vendore Qarku Tiran</w:t>
      </w:r>
      <w:r w:rsidR="006A445E" w:rsidRPr="002D384A">
        <w:rPr>
          <w:rFonts w:ascii="Times New Roman" w:eastAsia="Times New Roman" w:hAnsi="Times New Roman" w:cs="Times New Roman"/>
          <w:sz w:val="24"/>
          <w:szCs w:val="24"/>
        </w:rPr>
        <w:t>ë</w:t>
      </w:r>
      <w:r w:rsidR="004E7A41" w:rsidRPr="002D384A">
        <w:rPr>
          <w:rFonts w:ascii="Times New Roman" w:eastAsia="Times New Roman" w:hAnsi="Times New Roman" w:cs="Times New Roman"/>
          <w:sz w:val="24"/>
          <w:szCs w:val="24"/>
        </w:rPr>
        <w:t xml:space="preserve"> p</w:t>
      </w:r>
      <w:r w:rsidR="006A445E" w:rsidRPr="002D384A">
        <w:rPr>
          <w:rFonts w:ascii="Times New Roman" w:eastAsia="Times New Roman" w:hAnsi="Times New Roman" w:cs="Times New Roman"/>
          <w:sz w:val="24"/>
          <w:szCs w:val="24"/>
        </w:rPr>
        <w:t>ë</w:t>
      </w:r>
      <w:r w:rsidR="004E7A41" w:rsidRPr="002D384A">
        <w:rPr>
          <w:rFonts w:ascii="Times New Roman" w:eastAsia="Times New Roman" w:hAnsi="Times New Roman" w:cs="Times New Roman"/>
          <w:sz w:val="24"/>
          <w:szCs w:val="24"/>
        </w:rPr>
        <w:t>r mbetjet q</w:t>
      </w:r>
      <w:r w:rsidR="006A445E" w:rsidRPr="002D384A">
        <w:rPr>
          <w:rFonts w:ascii="Times New Roman" w:eastAsia="Times New Roman" w:hAnsi="Times New Roman" w:cs="Times New Roman"/>
          <w:sz w:val="24"/>
          <w:szCs w:val="24"/>
        </w:rPr>
        <w:t>ë</w:t>
      </w:r>
      <w:r w:rsidR="004E7A41" w:rsidRPr="002D384A">
        <w:rPr>
          <w:rFonts w:ascii="Times New Roman" w:eastAsia="Times New Roman" w:hAnsi="Times New Roman" w:cs="Times New Roman"/>
          <w:sz w:val="24"/>
          <w:szCs w:val="24"/>
        </w:rPr>
        <w:t xml:space="preserve"> depozitojn</w:t>
      </w:r>
      <w:r w:rsidR="006A445E" w:rsidRPr="002D384A">
        <w:rPr>
          <w:rFonts w:ascii="Times New Roman" w:eastAsia="Times New Roman" w:hAnsi="Times New Roman" w:cs="Times New Roman"/>
          <w:sz w:val="24"/>
          <w:szCs w:val="24"/>
        </w:rPr>
        <w:t>ë</w:t>
      </w:r>
      <w:r w:rsidRPr="002D384A">
        <w:rPr>
          <w:rFonts w:ascii="Times New Roman" w:eastAsia="Times New Roman" w:hAnsi="Times New Roman" w:cs="Times New Roman"/>
          <w:sz w:val="24"/>
          <w:szCs w:val="24"/>
        </w:rPr>
        <w:t xml:space="preserve">, pagesat e të cilit </w:t>
      </w:r>
      <w:r w:rsidR="00C71C23" w:rsidRPr="002D384A">
        <w:rPr>
          <w:rFonts w:ascii="Times New Roman" w:eastAsia="Times New Roman" w:hAnsi="Times New Roman" w:cs="Times New Roman"/>
          <w:sz w:val="24"/>
          <w:szCs w:val="24"/>
        </w:rPr>
        <w:t>kan</w:t>
      </w:r>
      <w:r w:rsidR="006A445E" w:rsidRPr="002D384A">
        <w:rPr>
          <w:rFonts w:ascii="Times New Roman" w:eastAsia="Times New Roman" w:hAnsi="Times New Roman" w:cs="Times New Roman"/>
          <w:sz w:val="24"/>
          <w:szCs w:val="24"/>
        </w:rPr>
        <w:t>ë</w:t>
      </w:r>
      <w:r w:rsidR="00C71C23" w:rsidRPr="002D384A">
        <w:rPr>
          <w:rFonts w:ascii="Times New Roman" w:eastAsia="Times New Roman" w:hAnsi="Times New Roman" w:cs="Times New Roman"/>
          <w:sz w:val="24"/>
          <w:szCs w:val="24"/>
        </w:rPr>
        <w:t xml:space="preserve"> filluar</w:t>
      </w:r>
      <w:r w:rsidRPr="002D384A">
        <w:rPr>
          <w:rFonts w:ascii="Times New Roman" w:eastAsia="Times New Roman" w:hAnsi="Times New Roman" w:cs="Times New Roman"/>
          <w:sz w:val="24"/>
          <w:szCs w:val="24"/>
        </w:rPr>
        <w:t xml:space="preserve"> ng</w:t>
      </w:r>
      <w:r w:rsidR="00E444D4" w:rsidRPr="002D384A">
        <w:rPr>
          <w:rFonts w:ascii="Times New Roman" w:eastAsia="Times New Roman" w:hAnsi="Times New Roman" w:cs="Times New Roman"/>
          <w:sz w:val="24"/>
          <w:szCs w:val="24"/>
        </w:rPr>
        <w:t>a viti 2018 në vlerën reale 977</w:t>
      </w:r>
      <w:r w:rsidR="006F714D" w:rsidRPr="002D384A">
        <w:rPr>
          <w:rFonts w:ascii="Times New Roman" w:eastAsia="Times New Roman" w:hAnsi="Times New Roman" w:cs="Times New Roman"/>
          <w:sz w:val="24"/>
          <w:szCs w:val="24"/>
        </w:rPr>
        <w:t>,1</w:t>
      </w:r>
      <w:r w:rsidR="00E444D4" w:rsidRPr="002D384A">
        <w:rPr>
          <w:rFonts w:ascii="Times New Roman" w:eastAsia="Times New Roman" w:hAnsi="Times New Roman" w:cs="Times New Roman"/>
          <w:sz w:val="24"/>
          <w:szCs w:val="24"/>
        </w:rPr>
        <w:t xml:space="preserve"> milion</w:t>
      </w:r>
      <w:r w:rsidR="00C743C1" w:rsidRPr="002D384A">
        <w:rPr>
          <w:rFonts w:ascii="Times New Roman" w:eastAsia="Times New Roman" w:hAnsi="Times New Roman" w:cs="Times New Roman"/>
          <w:sz w:val="24"/>
          <w:szCs w:val="24"/>
        </w:rPr>
        <w:t>ë</w:t>
      </w:r>
      <w:r w:rsidR="00CB6F8D" w:rsidRPr="002D384A">
        <w:rPr>
          <w:rFonts w:ascii="Times New Roman" w:eastAsia="Times New Roman" w:hAnsi="Times New Roman" w:cs="Times New Roman"/>
          <w:sz w:val="24"/>
          <w:szCs w:val="24"/>
        </w:rPr>
        <w:t xml:space="preserve"> lekë (shih tabela 7).</w:t>
      </w:r>
      <w:r w:rsidR="00494CA9" w:rsidRPr="002D384A">
        <w:rPr>
          <w:rFonts w:ascii="Times New Roman" w:hAnsi="Times New Roman" w:cs="Times New Roman"/>
          <w:color w:val="FF0000"/>
          <w:sz w:val="24"/>
          <w:szCs w:val="24"/>
        </w:rPr>
        <w:t xml:space="preserve"> </w:t>
      </w:r>
    </w:p>
    <w:p w14:paraId="79B7C219" w14:textId="77777777" w:rsidR="003A3805" w:rsidRPr="003C2F4F" w:rsidRDefault="003A3805" w:rsidP="00494CA9">
      <w:pPr>
        <w:spacing w:after="0"/>
        <w:jc w:val="both"/>
        <w:rPr>
          <w:rFonts w:ascii="Times New Roman" w:hAnsi="Times New Roman" w:cs="Times New Roman"/>
          <w:sz w:val="12"/>
          <w:szCs w:val="24"/>
        </w:rPr>
      </w:pPr>
    </w:p>
    <w:p w14:paraId="199E35EA" w14:textId="77777777" w:rsidR="00494CA9" w:rsidRPr="009B6417" w:rsidRDefault="006F714D" w:rsidP="00295003">
      <w:pPr>
        <w:spacing w:after="0"/>
        <w:jc w:val="both"/>
        <w:rPr>
          <w:rFonts w:ascii="Times New Roman" w:hAnsi="Times New Roman" w:cs="Times New Roman"/>
          <w:sz w:val="24"/>
          <w:szCs w:val="24"/>
        </w:rPr>
      </w:pPr>
      <w:r w:rsidRPr="002D384A">
        <w:rPr>
          <w:rFonts w:ascii="Times New Roman" w:eastAsia="Times New Roman" w:hAnsi="Times New Roman" w:cs="Times New Roman"/>
          <w:sz w:val="24"/>
          <w:szCs w:val="24"/>
        </w:rPr>
        <w:t xml:space="preserve">Për vitin </w:t>
      </w:r>
      <w:r w:rsidR="005C7819" w:rsidRPr="002D384A">
        <w:rPr>
          <w:rFonts w:ascii="Times New Roman" w:hAnsi="Times New Roman" w:cs="Times New Roman"/>
          <w:sz w:val="24"/>
          <w:szCs w:val="24"/>
        </w:rPr>
        <w:t>2019</w:t>
      </w:r>
      <w:r w:rsidR="00494CA9" w:rsidRPr="002D384A">
        <w:rPr>
          <w:rFonts w:ascii="Times New Roman" w:hAnsi="Times New Roman" w:cs="Times New Roman"/>
          <w:sz w:val="24"/>
          <w:szCs w:val="24"/>
        </w:rPr>
        <w:t>, pagesat faktike janë</w:t>
      </w:r>
      <w:r w:rsidR="005C7819" w:rsidRPr="002D384A">
        <w:rPr>
          <w:rFonts w:ascii="Times New Roman" w:hAnsi="Times New Roman" w:cs="Times New Roman"/>
          <w:sz w:val="24"/>
          <w:szCs w:val="24"/>
        </w:rPr>
        <w:t xml:space="preserve"> realizuar</w:t>
      </w:r>
      <w:r w:rsidR="00494CA9" w:rsidRPr="002D384A">
        <w:rPr>
          <w:rFonts w:ascii="Times New Roman" w:hAnsi="Times New Roman" w:cs="Times New Roman"/>
          <w:sz w:val="24"/>
          <w:szCs w:val="24"/>
        </w:rPr>
        <w:t xml:space="preserve"> në masën </w:t>
      </w:r>
      <w:r w:rsidRPr="002D384A">
        <w:rPr>
          <w:rFonts w:ascii="Times New Roman" w:hAnsi="Times New Roman" w:cs="Times New Roman"/>
          <w:sz w:val="24"/>
          <w:szCs w:val="24"/>
        </w:rPr>
        <w:t>977,1</w:t>
      </w:r>
      <w:r w:rsidR="00494CA9" w:rsidRPr="002D384A">
        <w:rPr>
          <w:rFonts w:ascii="Times New Roman" w:hAnsi="Times New Roman" w:cs="Times New Roman"/>
          <w:sz w:val="24"/>
          <w:szCs w:val="24"/>
        </w:rPr>
        <w:t xml:space="preserve"> milion</w:t>
      </w:r>
      <w:r w:rsidR="00C743C1" w:rsidRPr="002D384A">
        <w:rPr>
          <w:rFonts w:ascii="Times New Roman" w:hAnsi="Times New Roman" w:cs="Times New Roman"/>
          <w:sz w:val="24"/>
          <w:szCs w:val="24"/>
        </w:rPr>
        <w:t>ë</w:t>
      </w:r>
      <w:r w:rsidR="00494CA9" w:rsidRPr="002D384A">
        <w:rPr>
          <w:rFonts w:ascii="Times New Roman" w:hAnsi="Times New Roman" w:cs="Times New Roman"/>
          <w:sz w:val="24"/>
          <w:szCs w:val="24"/>
        </w:rPr>
        <w:t xml:space="preserve"> lekë</w:t>
      </w:r>
      <w:r w:rsidR="00E444D4" w:rsidRPr="002D384A">
        <w:rPr>
          <w:rFonts w:ascii="Times New Roman" w:hAnsi="Times New Roman" w:cs="Times New Roman"/>
          <w:sz w:val="24"/>
          <w:szCs w:val="24"/>
        </w:rPr>
        <w:t>,</w:t>
      </w:r>
      <w:r w:rsidR="00494CA9" w:rsidRPr="002D384A">
        <w:rPr>
          <w:rFonts w:ascii="Times New Roman" w:hAnsi="Times New Roman" w:cs="Times New Roman"/>
          <w:sz w:val="24"/>
          <w:szCs w:val="24"/>
        </w:rPr>
        <w:t xml:space="preserve"> </w:t>
      </w:r>
      <w:r w:rsidR="00E444D4" w:rsidRPr="002D384A">
        <w:rPr>
          <w:rFonts w:ascii="Times New Roman" w:hAnsi="Times New Roman" w:cs="Times New Roman"/>
          <w:sz w:val="24"/>
          <w:szCs w:val="24"/>
        </w:rPr>
        <w:t xml:space="preserve">pra </w:t>
      </w:r>
      <w:r w:rsidR="002A5C9E" w:rsidRPr="002D384A">
        <w:rPr>
          <w:rFonts w:ascii="Times New Roman" w:hAnsi="Times New Roman" w:cs="Times New Roman"/>
          <w:sz w:val="24"/>
          <w:szCs w:val="24"/>
        </w:rPr>
        <w:t xml:space="preserve">në masën 100 përqind të </w:t>
      </w:r>
      <w:r w:rsidR="00E444D4" w:rsidRPr="002D384A">
        <w:rPr>
          <w:rFonts w:ascii="Times New Roman" w:hAnsi="Times New Roman" w:cs="Times New Roman"/>
          <w:sz w:val="24"/>
          <w:szCs w:val="24"/>
        </w:rPr>
        <w:t>planit vjetor</w:t>
      </w:r>
      <w:r w:rsidR="00494CA9" w:rsidRPr="002D384A">
        <w:rPr>
          <w:rFonts w:ascii="Times New Roman" w:hAnsi="Times New Roman" w:cs="Times New Roman"/>
          <w:sz w:val="24"/>
          <w:szCs w:val="24"/>
        </w:rPr>
        <w:t>.</w:t>
      </w:r>
      <w:r w:rsidR="00E444D4" w:rsidRPr="009B6417">
        <w:rPr>
          <w:rFonts w:ascii="Times New Roman" w:hAnsi="Times New Roman" w:cs="Times New Roman"/>
          <w:sz w:val="24"/>
          <w:szCs w:val="24"/>
        </w:rPr>
        <w:t xml:space="preserve"> </w:t>
      </w:r>
    </w:p>
    <w:p w14:paraId="65871D29" w14:textId="77777777" w:rsidR="002A5C9E" w:rsidRPr="000F7B0C" w:rsidRDefault="002A5C9E" w:rsidP="00295003">
      <w:pPr>
        <w:spacing w:after="0"/>
        <w:jc w:val="both"/>
        <w:rPr>
          <w:rFonts w:ascii="Times New Roman" w:hAnsi="Times New Roman" w:cs="Times New Roman"/>
          <w:sz w:val="10"/>
          <w:szCs w:val="24"/>
        </w:rPr>
      </w:pPr>
    </w:p>
    <w:p w14:paraId="0B768EDB" w14:textId="77777777" w:rsidR="002064BE" w:rsidRPr="009B6417" w:rsidRDefault="0052775C" w:rsidP="006B6D4D">
      <w:pPr>
        <w:pStyle w:val="Caption"/>
      </w:pPr>
      <w:bookmarkStart w:id="45" w:name="_Toc18259190"/>
      <w:bookmarkStart w:id="46" w:name="_Toc40422390"/>
      <w:r w:rsidRPr="009B6417">
        <w:t xml:space="preserve">Tabela </w:t>
      </w:r>
      <w:r w:rsidR="00E54EC8">
        <w:fldChar w:fldCharType="begin"/>
      </w:r>
      <w:r w:rsidR="00815B1B">
        <w:instrText xml:space="preserve"> SEQ Tabela \* ARABIC </w:instrText>
      </w:r>
      <w:r w:rsidR="00E54EC8">
        <w:fldChar w:fldCharType="separate"/>
      </w:r>
      <w:r w:rsidR="00F20848">
        <w:rPr>
          <w:noProof/>
        </w:rPr>
        <w:t>7</w:t>
      </w:r>
      <w:r w:rsidR="00E54EC8">
        <w:rPr>
          <w:noProof/>
        </w:rPr>
        <w:fldChar w:fldCharType="end"/>
      </w:r>
      <w:r w:rsidR="0045447A" w:rsidRPr="009B6417">
        <w:t>:</w:t>
      </w:r>
      <w:r w:rsidR="002064BE" w:rsidRPr="009B6417">
        <w:t xml:space="preserve"> Pagesat </w:t>
      </w:r>
      <w:r w:rsidR="000A5857" w:rsidRPr="009B6417">
        <w:t>e tarifës për ton</w:t>
      </w:r>
      <w:r w:rsidR="002A5C9E" w:rsidRPr="009B6417">
        <w:t xml:space="preserve"> mbetje </w:t>
      </w:r>
      <w:r w:rsidR="000A5857" w:rsidRPr="009B6417">
        <w:t xml:space="preserve"> </w:t>
      </w:r>
      <w:r w:rsidR="002064BE" w:rsidRPr="009B6417">
        <w:t>për projektin “Inceneratori i Tiranës”</w:t>
      </w:r>
      <w:bookmarkEnd w:id="45"/>
      <w:bookmarkEnd w:id="46"/>
    </w:p>
    <w:tbl>
      <w:tblPr>
        <w:tblStyle w:val="PlainTable1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95"/>
        <w:gridCol w:w="1098"/>
        <w:gridCol w:w="1445"/>
        <w:gridCol w:w="1444"/>
        <w:gridCol w:w="1444"/>
        <w:gridCol w:w="1535"/>
        <w:gridCol w:w="1535"/>
      </w:tblGrid>
      <w:tr w:rsidR="00E03442" w:rsidRPr="003C2F4F" w14:paraId="743B1CA2" w14:textId="77777777" w:rsidTr="005515D1">
        <w:trPr>
          <w:cnfStyle w:val="100000000000" w:firstRow="1" w:lastRow="0" w:firstColumn="0" w:lastColumn="0" w:oddVBand="0" w:evenVBand="0" w:oddHBand="0" w:evenHBand="0" w:firstRowFirstColumn="0" w:firstRowLastColumn="0" w:lastRowFirstColumn="0" w:lastRowLastColumn="0"/>
          <w:trHeight w:hRule="exact" w:val="262"/>
        </w:trPr>
        <w:tc>
          <w:tcPr>
            <w:tcW w:w="1795" w:type="dxa"/>
            <w:vMerge w:val="restart"/>
            <w:shd w:val="clear" w:color="auto" w:fill="DDD9C3" w:themeFill="background2" w:themeFillShade="E6"/>
            <w:vAlign w:val="center"/>
            <w:hideMark/>
          </w:tcPr>
          <w:p w14:paraId="5E531CAE" w14:textId="77777777" w:rsidR="00E03442" w:rsidRPr="003C2F4F" w:rsidRDefault="00E03442" w:rsidP="002C23D0">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Viti</w:t>
            </w:r>
          </w:p>
        </w:tc>
        <w:tc>
          <w:tcPr>
            <w:tcW w:w="2543" w:type="dxa"/>
            <w:gridSpan w:val="2"/>
            <w:shd w:val="clear" w:color="auto" w:fill="DDD9C3" w:themeFill="background2" w:themeFillShade="E6"/>
            <w:hideMark/>
          </w:tcPr>
          <w:p w14:paraId="35803719" w14:textId="77777777" w:rsidR="00E03442" w:rsidRPr="003C2F4F" w:rsidRDefault="00E03442" w:rsidP="00631E0E">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2018</w:t>
            </w:r>
          </w:p>
        </w:tc>
        <w:tc>
          <w:tcPr>
            <w:tcW w:w="2888" w:type="dxa"/>
            <w:gridSpan w:val="2"/>
            <w:shd w:val="clear" w:color="auto" w:fill="DDD9C3" w:themeFill="background2" w:themeFillShade="E6"/>
            <w:hideMark/>
          </w:tcPr>
          <w:p w14:paraId="12CE858A" w14:textId="77777777" w:rsidR="00E03442" w:rsidRPr="003C2F4F" w:rsidRDefault="00E03442" w:rsidP="00631E0E">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2019</w:t>
            </w:r>
          </w:p>
        </w:tc>
        <w:tc>
          <w:tcPr>
            <w:tcW w:w="1535" w:type="dxa"/>
            <w:shd w:val="clear" w:color="auto" w:fill="DDD9C3" w:themeFill="background2" w:themeFillShade="E6"/>
            <w:hideMark/>
          </w:tcPr>
          <w:p w14:paraId="17E5AF3D" w14:textId="77777777" w:rsidR="00E03442" w:rsidRPr="003C2F4F" w:rsidRDefault="00E03442" w:rsidP="00631E0E">
            <w:pPr>
              <w:pStyle w:val="NoSpacing"/>
              <w:spacing w:line="276" w:lineRule="auto"/>
              <w:rPr>
                <w:rFonts w:ascii="Times New Roman" w:hAnsi="Times New Roman" w:cs="Times New Roman"/>
                <w:i/>
                <w:sz w:val="20"/>
                <w:szCs w:val="24"/>
                <w:lang w:val="sq-AL"/>
              </w:rPr>
            </w:pPr>
            <w:r w:rsidRPr="003C2F4F">
              <w:rPr>
                <w:rFonts w:ascii="Times New Roman" w:hAnsi="Times New Roman" w:cs="Times New Roman"/>
                <w:i/>
                <w:sz w:val="20"/>
                <w:szCs w:val="24"/>
                <w:lang w:val="sq-AL"/>
              </w:rPr>
              <w:t>2020</w:t>
            </w:r>
          </w:p>
          <w:p w14:paraId="61808229" w14:textId="77777777" w:rsidR="00E03442" w:rsidRPr="003C2F4F" w:rsidRDefault="00E03442" w:rsidP="00631E0E">
            <w:pPr>
              <w:pStyle w:val="NoSpacing"/>
              <w:spacing w:line="276" w:lineRule="auto"/>
              <w:rPr>
                <w:rFonts w:ascii="Times New Roman" w:hAnsi="Times New Roman" w:cs="Times New Roman"/>
                <w:i/>
                <w:sz w:val="20"/>
                <w:szCs w:val="24"/>
                <w:lang w:val="sq-AL"/>
              </w:rPr>
            </w:pPr>
          </w:p>
          <w:p w14:paraId="1A0E5848" w14:textId="77777777" w:rsidR="00E03442" w:rsidRPr="003C2F4F" w:rsidRDefault="00E03442" w:rsidP="00631E0E">
            <w:pPr>
              <w:pStyle w:val="NoSpacing"/>
              <w:spacing w:line="276" w:lineRule="auto"/>
              <w:jc w:val="center"/>
              <w:rPr>
                <w:rFonts w:ascii="Times New Roman" w:hAnsi="Times New Roman" w:cs="Times New Roman"/>
                <w:i/>
                <w:sz w:val="20"/>
                <w:szCs w:val="24"/>
                <w:lang w:val="sq-AL"/>
              </w:rPr>
            </w:pPr>
          </w:p>
        </w:tc>
        <w:tc>
          <w:tcPr>
            <w:tcW w:w="1535" w:type="dxa"/>
            <w:shd w:val="clear" w:color="auto" w:fill="DDD9C3" w:themeFill="background2" w:themeFillShade="E6"/>
            <w:hideMark/>
          </w:tcPr>
          <w:p w14:paraId="335D7F86" w14:textId="77777777" w:rsidR="00E03442" w:rsidRPr="003C2F4F" w:rsidRDefault="00E03442" w:rsidP="00631E0E">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2021</w:t>
            </w:r>
          </w:p>
          <w:p w14:paraId="24F20874" w14:textId="77777777" w:rsidR="00E03442" w:rsidRPr="003C2F4F" w:rsidRDefault="00E03442" w:rsidP="00631E0E">
            <w:pPr>
              <w:pStyle w:val="NoSpacing"/>
              <w:spacing w:line="276" w:lineRule="auto"/>
              <w:jc w:val="center"/>
              <w:rPr>
                <w:rFonts w:ascii="Times New Roman" w:hAnsi="Times New Roman" w:cs="Times New Roman"/>
                <w:i/>
                <w:sz w:val="20"/>
                <w:szCs w:val="24"/>
                <w:lang w:val="sq-AL"/>
              </w:rPr>
            </w:pPr>
          </w:p>
        </w:tc>
      </w:tr>
      <w:tr w:rsidR="00E03442" w:rsidRPr="003C2F4F" w14:paraId="0497854D" w14:textId="77777777" w:rsidTr="005515D1">
        <w:trPr>
          <w:cnfStyle w:val="000000100000" w:firstRow="0" w:lastRow="0" w:firstColumn="0" w:lastColumn="0" w:oddVBand="0" w:evenVBand="0" w:oddHBand="1" w:evenHBand="0" w:firstRowFirstColumn="0" w:firstRowLastColumn="0" w:lastRowFirstColumn="0" w:lastRowLastColumn="0"/>
          <w:trHeight w:hRule="exact" w:val="289"/>
        </w:trPr>
        <w:tc>
          <w:tcPr>
            <w:tcW w:w="1795" w:type="dxa"/>
            <w:vMerge/>
            <w:shd w:val="clear" w:color="auto" w:fill="DDD9C3" w:themeFill="background2" w:themeFillShade="E6"/>
          </w:tcPr>
          <w:p w14:paraId="1AC67288" w14:textId="77777777" w:rsidR="00E03442" w:rsidRPr="003C2F4F" w:rsidRDefault="00E03442" w:rsidP="00631E0E">
            <w:pPr>
              <w:pStyle w:val="NoSpacing"/>
              <w:spacing w:line="276" w:lineRule="auto"/>
              <w:jc w:val="both"/>
              <w:rPr>
                <w:rFonts w:ascii="Times New Roman" w:hAnsi="Times New Roman" w:cs="Times New Roman"/>
                <w:i/>
                <w:sz w:val="20"/>
                <w:szCs w:val="24"/>
                <w:lang w:val="sq-AL"/>
              </w:rPr>
            </w:pPr>
          </w:p>
        </w:tc>
        <w:tc>
          <w:tcPr>
            <w:tcW w:w="1098" w:type="dxa"/>
            <w:shd w:val="clear" w:color="auto" w:fill="DDD9C3" w:themeFill="background2" w:themeFillShade="E6"/>
          </w:tcPr>
          <w:p w14:paraId="4A2492AA" w14:textId="77777777" w:rsidR="00E03442" w:rsidRPr="003C2F4F" w:rsidRDefault="00E03442" w:rsidP="00631E0E">
            <w:pPr>
              <w:pStyle w:val="NoSpacing"/>
              <w:spacing w:line="276" w:lineRule="auto"/>
              <w:jc w:val="both"/>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Plan</w:t>
            </w:r>
          </w:p>
        </w:tc>
        <w:tc>
          <w:tcPr>
            <w:tcW w:w="1445" w:type="dxa"/>
            <w:shd w:val="clear" w:color="auto" w:fill="DDD9C3" w:themeFill="background2" w:themeFillShade="E6"/>
          </w:tcPr>
          <w:p w14:paraId="781B53A1" w14:textId="77777777" w:rsidR="00E03442" w:rsidRPr="003C2F4F" w:rsidRDefault="00E03442" w:rsidP="00631E0E">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Fakt</w:t>
            </w:r>
          </w:p>
        </w:tc>
        <w:tc>
          <w:tcPr>
            <w:tcW w:w="1444" w:type="dxa"/>
            <w:shd w:val="clear" w:color="auto" w:fill="DDD9C3" w:themeFill="background2" w:themeFillShade="E6"/>
          </w:tcPr>
          <w:p w14:paraId="4B643974" w14:textId="77777777" w:rsidR="00E03442" w:rsidRPr="003C2F4F" w:rsidRDefault="00E03442" w:rsidP="00631E0E">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Plan</w:t>
            </w:r>
          </w:p>
        </w:tc>
        <w:tc>
          <w:tcPr>
            <w:tcW w:w="1444" w:type="dxa"/>
            <w:shd w:val="clear" w:color="auto" w:fill="DDD9C3" w:themeFill="background2" w:themeFillShade="E6"/>
          </w:tcPr>
          <w:p w14:paraId="5EFCFB9E" w14:textId="77777777" w:rsidR="00E03442" w:rsidRPr="003C2F4F" w:rsidRDefault="000F7B0C" w:rsidP="000F7B0C">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Fakt</w:t>
            </w:r>
          </w:p>
        </w:tc>
        <w:tc>
          <w:tcPr>
            <w:tcW w:w="1535" w:type="dxa"/>
            <w:shd w:val="clear" w:color="auto" w:fill="DDD9C3" w:themeFill="background2" w:themeFillShade="E6"/>
          </w:tcPr>
          <w:p w14:paraId="2A4DCC7E" w14:textId="77777777" w:rsidR="00E03442" w:rsidRPr="003C2F4F" w:rsidRDefault="00E03442" w:rsidP="00631E0E">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Projektuar</w:t>
            </w:r>
          </w:p>
        </w:tc>
        <w:tc>
          <w:tcPr>
            <w:tcW w:w="1535" w:type="dxa"/>
            <w:shd w:val="clear" w:color="auto" w:fill="DDD9C3" w:themeFill="background2" w:themeFillShade="E6"/>
          </w:tcPr>
          <w:p w14:paraId="05AACD6D" w14:textId="77777777" w:rsidR="00E03442" w:rsidRPr="003C2F4F" w:rsidRDefault="00E03442" w:rsidP="00631E0E">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Projektuar</w:t>
            </w:r>
          </w:p>
        </w:tc>
      </w:tr>
      <w:tr w:rsidR="00E03442" w:rsidRPr="003C2F4F" w14:paraId="4AE1D416" w14:textId="77777777" w:rsidTr="00CA3D60">
        <w:trPr>
          <w:trHeight w:hRule="exact" w:val="835"/>
        </w:trPr>
        <w:tc>
          <w:tcPr>
            <w:tcW w:w="1795" w:type="dxa"/>
            <w:shd w:val="clear" w:color="auto" w:fill="EEECE1" w:themeFill="background2"/>
            <w:hideMark/>
          </w:tcPr>
          <w:p w14:paraId="43E17F03" w14:textId="77777777" w:rsidR="00E03442" w:rsidRPr="003C2F4F" w:rsidRDefault="00E03442" w:rsidP="003C2F4F">
            <w:pPr>
              <w:pStyle w:val="NoSpacing"/>
              <w:spacing w:line="276" w:lineRule="auto"/>
              <w:rPr>
                <w:rFonts w:ascii="Times New Roman" w:hAnsi="Times New Roman" w:cs="Times New Roman"/>
                <w:i/>
                <w:sz w:val="20"/>
                <w:szCs w:val="24"/>
                <w:lang w:val="sq-AL"/>
              </w:rPr>
            </w:pPr>
            <w:r w:rsidRPr="003C2F4F">
              <w:rPr>
                <w:rFonts w:ascii="Times New Roman" w:hAnsi="Times New Roman" w:cs="Times New Roman"/>
                <w:bCs/>
                <w:i/>
                <w:sz w:val="20"/>
                <w:szCs w:val="24"/>
                <w:lang w:val="sq-AL"/>
              </w:rPr>
              <w:t xml:space="preserve">Pagesat </w:t>
            </w:r>
            <w:r w:rsidR="000A5857" w:rsidRPr="003C2F4F">
              <w:rPr>
                <w:rFonts w:ascii="Times New Roman" w:hAnsi="Times New Roman" w:cs="Times New Roman"/>
                <w:bCs/>
                <w:i/>
                <w:sz w:val="20"/>
                <w:szCs w:val="24"/>
                <w:lang w:val="sq-AL"/>
              </w:rPr>
              <w:t>e tarifës për ton</w:t>
            </w:r>
            <w:r w:rsidRPr="003C2F4F">
              <w:rPr>
                <w:rFonts w:ascii="Times New Roman" w:hAnsi="Times New Roman" w:cs="Times New Roman"/>
                <w:bCs/>
                <w:i/>
                <w:sz w:val="20"/>
                <w:szCs w:val="24"/>
                <w:lang w:val="sq-AL"/>
              </w:rPr>
              <w:t xml:space="preserve"> (në mijë lekë)</w:t>
            </w:r>
          </w:p>
        </w:tc>
        <w:tc>
          <w:tcPr>
            <w:tcW w:w="1098" w:type="dxa"/>
            <w:shd w:val="clear" w:color="auto" w:fill="EEECE1" w:themeFill="background2"/>
            <w:vAlign w:val="center"/>
            <w:hideMark/>
          </w:tcPr>
          <w:p w14:paraId="3CD27E17" w14:textId="77777777" w:rsidR="00E03442" w:rsidRPr="003C2F4F" w:rsidRDefault="00E03442" w:rsidP="002C23D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bCs/>
                <w:i/>
                <w:kern w:val="24"/>
                <w:sz w:val="20"/>
                <w:szCs w:val="24"/>
                <w:lang w:val="sq-AL"/>
              </w:rPr>
              <w:t>977,000</w:t>
            </w:r>
          </w:p>
        </w:tc>
        <w:tc>
          <w:tcPr>
            <w:tcW w:w="1445" w:type="dxa"/>
            <w:shd w:val="clear" w:color="auto" w:fill="EEECE1" w:themeFill="background2"/>
            <w:vAlign w:val="center"/>
          </w:tcPr>
          <w:p w14:paraId="723C16B0" w14:textId="77777777" w:rsidR="00E03442" w:rsidRPr="003C2F4F" w:rsidRDefault="00E03442" w:rsidP="002C23D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bCs/>
                <w:i/>
                <w:kern w:val="24"/>
                <w:sz w:val="20"/>
                <w:szCs w:val="24"/>
                <w:lang w:val="sq-AL"/>
              </w:rPr>
              <w:t>977,000</w:t>
            </w:r>
          </w:p>
        </w:tc>
        <w:tc>
          <w:tcPr>
            <w:tcW w:w="1444" w:type="dxa"/>
            <w:shd w:val="clear" w:color="auto" w:fill="EEECE1" w:themeFill="background2"/>
            <w:vAlign w:val="center"/>
            <w:hideMark/>
          </w:tcPr>
          <w:p w14:paraId="063F5215" w14:textId="77777777" w:rsidR="00E03442" w:rsidRPr="003C2F4F" w:rsidRDefault="006F714D" w:rsidP="002C23D0">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bCs/>
                <w:i/>
                <w:kern w:val="24"/>
                <w:sz w:val="20"/>
                <w:szCs w:val="24"/>
                <w:lang w:val="sq-AL"/>
              </w:rPr>
              <w:t>977,125</w:t>
            </w:r>
          </w:p>
        </w:tc>
        <w:tc>
          <w:tcPr>
            <w:tcW w:w="1444" w:type="dxa"/>
            <w:shd w:val="clear" w:color="auto" w:fill="EEECE1" w:themeFill="background2"/>
            <w:vAlign w:val="center"/>
          </w:tcPr>
          <w:p w14:paraId="463C91B9" w14:textId="77777777" w:rsidR="00E03442" w:rsidRPr="003C2F4F" w:rsidRDefault="006F714D" w:rsidP="002C23D0">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977,126</w:t>
            </w:r>
          </w:p>
        </w:tc>
        <w:tc>
          <w:tcPr>
            <w:tcW w:w="1535" w:type="dxa"/>
            <w:shd w:val="clear" w:color="auto" w:fill="EEECE1" w:themeFill="background2"/>
            <w:vAlign w:val="center"/>
            <w:hideMark/>
          </w:tcPr>
          <w:p w14:paraId="1CAF327D" w14:textId="77777777" w:rsidR="00E03442" w:rsidRPr="003C2F4F" w:rsidRDefault="005604A0" w:rsidP="00096661">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bCs/>
                <w:i/>
                <w:kern w:val="24"/>
                <w:sz w:val="20"/>
                <w:szCs w:val="24"/>
                <w:lang w:val="sq-AL"/>
              </w:rPr>
              <w:t>998,410</w:t>
            </w:r>
          </w:p>
        </w:tc>
        <w:tc>
          <w:tcPr>
            <w:tcW w:w="1535" w:type="dxa"/>
            <w:shd w:val="clear" w:color="auto" w:fill="EEECE1" w:themeFill="background2"/>
            <w:vAlign w:val="center"/>
            <w:hideMark/>
          </w:tcPr>
          <w:p w14:paraId="08309571" w14:textId="77777777" w:rsidR="00E03442" w:rsidRPr="003C2F4F" w:rsidRDefault="005604A0" w:rsidP="007343A2">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bCs/>
                <w:i/>
                <w:kern w:val="24"/>
                <w:sz w:val="20"/>
                <w:szCs w:val="24"/>
                <w:lang w:val="sq-AL"/>
              </w:rPr>
              <w:t>1,165,124</w:t>
            </w:r>
          </w:p>
        </w:tc>
      </w:tr>
    </w:tbl>
    <w:p w14:paraId="54922722" w14:textId="77777777" w:rsidR="002C23D0" w:rsidRPr="009B6417" w:rsidRDefault="002C23D0" w:rsidP="002064BE">
      <w:pPr>
        <w:pStyle w:val="NoSpacing"/>
        <w:spacing w:line="276" w:lineRule="auto"/>
        <w:jc w:val="both"/>
        <w:rPr>
          <w:rFonts w:ascii="Times New Roman" w:eastAsiaTheme="minorHAnsi" w:hAnsi="Times New Roman" w:cs="Times New Roman"/>
          <w:sz w:val="24"/>
          <w:szCs w:val="24"/>
          <w:lang w:val="sq-AL" w:eastAsia="en-US"/>
        </w:rPr>
      </w:pPr>
    </w:p>
    <w:p w14:paraId="05F426B6" w14:textId="77777777" w:rsidR="002D384A" w:rsidRDefault="002064BE" w:rsidP="002D384A">
      <w:pPr>
        <w:pStyle w:val="NoSpacing"/>
        <w:spacing w:line="276" w:lineRule="auto"/>
        <w:jc w:val="both"/>
        <w:rPr>
          <w:rFonts w:ascii="Times New Roman" w:hAnsi="Times New Roman" w:cs="Times New Roman"/>
          <w:sz w:val="24"/>
          <w:szCs w:val="24"/>
          <w:lang w:val="sq-AL"/>
        </w:rPr>
      </w:pPr>
      <w:r w:rsidRPr="00CB6F8D">
        <w:rPr>
          <w:rFonts w:ascii="Times New Roman" w:hAnsi="Times New Roman" w:cs="Times New Roman"/>
          <w:sz w:val="24"/>
          <w:szCs w:val="24"/>
          <w:lang w:val="sq-AL"/>
        </w:rPr>
        <w:t>R</w:t>
      </w:r>
      <w:r w:rsidR="001A6A86" w:rsidRPr="00CB6F8D">
        <w:rPr>
          <w:rFonts w:ascii="Times New Roman" w:hAnsi="Times New Roman" w:cs="Times New Roman"/>
          <w:sz w:val="24"/>
          <w:szCs w:val="24"/>
          <w:lang w:val="sq-AL"/>
        </w:rPr>
        <w:t>eferuar tabelës 8</w:t>
      </w:r>
      <w:r w:rsidRPr="00CB6F8D">
        <w:rPr>
          <w:rFonts w:ascii="Times New Roman" w:hAnsi="Times New Roman" w:cs="Times New Roman"/>
          <w:sz w:val="24"/>
          <w:szCs w:val="24"/>
          <w:lang w:val="sq-AL"/>
        </w:rPr>
        <w:t xml:space="preserve">, vlera faktike e investimit kapital për vitin 2018 ka qënë </w:t>
      </w:r>
      <w:r w:rsidR="00943A43" w:rsidRPr="00CB6F8D">
        <w:rPr>
          <w:rFonts w:ascii="Times New Roman" w:hAnsi="Times New Roman" w:cs="Times New Roman"/>
          <w:sz w:val="24"/>
          <w:szCs w:val="24"/>
          <w:lang w:val="sq-AL"/>
        </w:rPr>
        <w:t>vet</w:t>
      </w:r>
      <w:r w:rsidR="001B556A" w:rsidRPr="00CB6F8D">
        <w:rPr>
          <w:rFonts w:ascii="Times New Roman" w:hAnsi="Times New Roman" w:cs="Times New Roman"/>
          <w:sz w:val="24"/>
          <w:szCs w:val="24"/>
          <w:lang w:val="sq-AL"/>
        </w:rPr>
        <w:t>ë</w:t>
      </w:r>
      <w:r w:rsidR="00943A43" w:rsidRPr="00CB6F8D">
        <w:rPr>
          <w:rFonts w:ascii="Times New Roman" w:hAnsi="Times New Roman" w:cs="Times New Roman"/>
          <w:sz w:val="24"/>
          <w:szCs w:val="24"/>
          <w:lang w:val="sq-AL"/>
        </w:rPr>
        <w:t>m 20</w:t>
      </w:r>
      <w:r w:rsidR="00CC5C49" w:rsidRPr="00CB6F8D">
        <w:rPr>
          <w:rFonts w:ascii="Times New Roman" w:hAnsi="Times New Roman" w:cs="Times New Roman"/>
          <w:sz w:val="24"/>
          <w:szCs w:val="24"/>
          <w:lang w:val="sq-AL"/>
        </w:rPr>
        <w:t xml:space="preserve"> përqind</w:t>
      </w:r>
      <w:r w:rsidRPr="00CB6F8D">
        <w:rPr>
          <w:rFonts w:ascii="Times New Roman" w:hAnsi="Times New Roman" w:cs="Times New Roman"/>
          <w:sz w:val="24"/>
          <w:szCs w:val="24"/>
          <w:lang w:val="sq-AL"/>
        </w:rPr>
        <w:t xml:space="preserve"> </w:t>
      </w:r>
      <w:r w:rsidR="00943A43" w:rsidRPr="00CB6F8D">
        <w:rPr>
          <w:rFonts w:ascii="Times New Roman" w:hAnsi="Times New Roman" w:cs="Times New Roman"/>
          <w:sz w:val="24"/>
          <w:szCs w:val="24"/>
          <w:lang w:val="sq-AL"/>
        </w:rPr>
        <w:t>e vler</w:t>
      </w:r>
      <w:r w:rsidR="001B556A" w:rsidRPr="00CB6F8D">
        <w:rPr>
          <w:rFonts w:ascii="Times New Roman" w:hAnsi="Times New Roman" w:cs="Times New Roman"/>
          <w:sz w:val="24"/>
          <w:szCs w:val="24"/>
          <w:lang w:val="sq-AL"/>
        </w:rPr>
        <w:t>ë</w:t>
      </w:r>
      <w:r w:rsidR="00943A43" w:rsidRPr="00CB6F8D">
        <w:rPr>
          <w:rFonts w:ascii="Times New Roman" w:hAnsi="Times New Roman" w:cs="Times New Roman"/>
          <w:sz w:val="24"/>
          <w:szCs w:val="24"/>
          <w:lang w:val="sq-AL"/>
        </w:rPr>
        <w:t>s s</w:t>
      </w:r>
      <w:r w:rsidR="001B556A" w:rsidRPr="00CB6F8D">
        <w:rPr>
          <w:rFonts w:ascii="Times New Roman" w:hAnsi="Times New Roman" w:cs="Times New Roman"/>
          <w:sz w:val="24"/>
          <w:szCs w:val="24"/>
          <w:lang w:val="sq-AL"/>
        </w:rPr>
        <w:t>ë</w:t>
      </w:r>
      <w:r w:rsidRPr="00CB6F8D">
        <w:rPr>
          <w:rFonts w:ascii="Times New Roman" w:hAnsi="Times New Roman" w:cs="Times New Roman"/>
          <w:sz w:val="24"/>
          <w:szCs w:val="24"/>
          <w:lang w:val="sq-AL"/>
        </w:rPr>
        <w:t xml:space="preserve"> planifikuar në planin e biznesit. Arsyeja që ka çuar në mosrealizim të vle</w:t>
      </w:r>
      <w:r w:rsidR="00337BF0" w:rsidRPr="00CB6F8D">
        <w:rPr>
          <w:rFonts w:ascii="Times New Roman" w:hAnsi="Times New Roman" w:cs="Times New Roman"/>
          <w:sz w:val="24"/>
          <w:szCs w:val="24"/>
          <w:lang w:val="sq-AL"/>
        </w:rPr>
        <w:t>r</w:t>
      </w:r>
      <w:r w:rsidRPr="00CB6F8D">
        <w:rPr>
          <w:rFonts w:ascii="Times New Roman" w:hAnsi="Times New Roman" w:cs="Times New Roman"/>
          <w:sz w:val="24"/>
          <w:szCs w:val="24"/>
          <w:lang w:val="sq-AL"/>
        </w:rPr>
        <w:t xml:space="preserve">ës së investimit ka qënë koha e gjatë e marrjes së lejes së ndërtimit në KRT për </w:t>
      </w:r>
      <w:r w:rsidR="007B627E" w:rsidRPr="00CB6F8D">
        <w:rPr>
          <w:rFonts w:ascii="Times New Roman" w:hAnsi="Times New Roman" w:cs="Times New Roman"/>
          <w:sz w:val="24"/>
          <w:szCs w:val="24"/>
          <w:lang w:val="sq-AL"/>
        </w:rPr>
        <w:t xml:space="preserve">objektet përbërëse të impiantit. </w:t>
      </w:r>
      <w:r w:rsidR="002D384A" w:rsidRPr="00CB6F8D">
        <w:rPr>
          <w:rFonts w:ascii="Times New Roman" w:hAnsi="Times New Roman" w:cs="Times New Roman"/>
          <w:sz w:val="24"/>
          <w:szCs w:val="24"/>
          <w:lang w:val="sq-AL"/>
        </w:rPr>
        <w:t>Ndërsa vlera e investimit kapitalpë</w:t>
      </w:r>
      <w:r w:rsidR="002D384A">
        <w:rPr>
          <w:rFonts w:ascii="Times New Roman" w:hAnsi="Times New Roman" w:cs="Times New Roman"/>
          <w:sz w:val="24"/>
          <w:szCs w:val="24"/>
          <w:lang w:val="sq-AL"/>
        </w:rPr>
        <w:t>r vitin</w:t>
      </w:r>
      <w:r w:rsidR="002D384A" w:rsidRPr="00CB6F8D">
        <w:rPr>
          <w:rFonts w:ascii="Times New Roman" w:hAnsi="Times New Roman" w:cs="Times New Roman"/>
          <w:sz w:val="24"/>
          <w:szCs w:val="24"/>
          <w:lang w:val="sq-AL"/>
        </w:rPr>
        <w:t xml:space="preserve"> 2019</w:t>
      </w:r>
      <w:r w:rsidR="002D384A">
        <w:rPr>
          <w:rFonts w:ascii="Times New Roman" w:hAnsi="Times New Roman" w:cs="Times New Roman"/>
          <w:sz w:val="24"/>
          <w:szCs w:val="24"/>
          <w:lang w:val="sq-AL"/>
        </w:rPr>
        <w:t xml:space="preserve"> ka </w:t>
      </w:r>
      <w:r w:rsidR="002D384A" w:rsidRPr="00CB6F8D">
        <w:rPr>
          <w:rFonts w:ascii="Times New Roman" w:hAnsi="Times New Roman" w:cs="Times New Roman"/>
          <w:sz w:val="24"/>
          <w:szCs w:val="24"/>
          <w:lang w:val="sq-AL"/>
        </w:rPr>
        <w:t xml:space="preserve">shënuar </w:t>
      </w:r>
      <w:r w:rsidR="002D384A">
        <w:rPr>
          <w:rFonts w:ascii="Times New Roman" w:hAnsi="Times New Roman" w:cs="Times New Roman"/>
          <w:sz w:val="24"/>
          <w:szCs w:val="24"/>
          <w:lang w:val="sq-AL"/>
        </w:rPr>
        <w:t>526,2</w:t>
      </w:r>
      <w:r w:rsidR="002D384A" w:rsidRPr="00CB6F8D">
        <w:rPr>
          <w:rFonts w:ascii="Times New Roman" w:hAnsi="Times New Roman" w:cs="Times New Roman"/>
          <w:sz w:val="24"/>
          <w:szCs w:val="24"/>
          <w:lang w:val="sq-AL"/>
        </w:rPr>
        <w:t xml:space="preserve"> milionë lekë.</w:t>
      </w:r>
    </w:p>
    <w:p w14:paraId="027DC20D" w14:textId="77777777" w:rsidR="000F7B0C" w:rsidRPr="003A60D5" w:rsidRDefault="000F7B0C" w:rsidP="002064BE">
      <w:pPr>
        <w:pStyle w:val="NoSpacing"/>
        <w:spacing w:line="276" w:lineRule="auto"/>
        <w:jc w:val="both"/>
        <w:rPr>
          <w:rFonts w:ascii="Times New Roman" w:hAnsi="Times New Roman" w:cs="Times New Roman"/>
          <w:sz w:val="8"/>
          <w:szCs w:val="24"/>
          <w:lang w:val="sq-AL"/>
        </w:rPr>
      </w:pPr>
    </w:p>
    <w:p w14:paraId="2D8A2D76" w14:textId="77777777" w:rsidR="002C23D0" w:rsidRPr="00815B1B" w:rsidRDefault="0052775C" w:rsidP="006B6D4D">
      <w:pPr>
        <w:pStyle w:val="Caption"/>
      </w:pPr>
      <w:bookmarkStart w:id="47" w:name="_Toc40422391"/>
      <w:r w:rsidRPr="00815B1B">
        <w:t xml:space="preserve">Tabela </w:t>
      </w:r>
      <w:r w:rsidR="00E54EC8" w:rsidRPr="00815B1B">
        <w:fldChar w:fldCharType="begin"/>
      </w:r>
      <w:r w:rsidR="00815B1B" w:rsidRPr="00815B1B">
        <w:instrText xml:space="preserve"> SEQ Tabela \* ARABIC </w:instrText>
      </w:r>
      <w:r w:rsidR="00E54EC8" w:rsidRPr="00815B1B">
        <w:fldChar w:fldCharType="separate"/>
      </w:r>
      <w:r w:rsidR="00F20848">
        <w:rPr>
          <w:noProof/>
        </w:rPr>
        <w:t>8</w:t>
      </w:r>
      <w:r w:rsidR="00E54EC8" w:rsidRPr="00815B1B">
        <w:rPr>
          <w:noProof/>
        </w:rPr>
        <w:fldChar w:fldCharType="end"/>
      </w:r>
      <w:r w:rsidR="002064BE" w:rsidRPr="00815B1B">
        <w:t>: Vlera e investimit për projektin “Inceneratori i Tiranës”</w:t>
      </w:r>
      <w:bookmarkEnd w:id="47"/>
    </w:p>
    <w:tbl>
      <w:tblPr>
        <w:tblStyle w:val="PlainTable1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95"/>
        <w:gridCol w:w="1098"/>
        <w:gridCol w:w="1445"/>
        <w:gridCol w:w="1444"/>
        <w:gridCol w:w="1444"/>
        <w:gridCol w:w="1535"/>
        <w:gridCol w:w="1535"/>
      </w:tblGrid>
      <w:tr w:rsidR="00815B1B" w:rsidRPr="00CB6F8D" w14:paraId="1FE4151F" w14:textId="77777777" w:rsidTr="005515D1">
        <w:trPr>
          <w:cnfStyle w:val="100000000000" w:firstRow="1" w:lastRow="0" w:firstColumn="0" w:lastColumn="0" w:oddVBand="0" w:evenVBand="0" w:oddHBand="0" w:evenHBand="0" w:firstRowFirstColumn="0" w:firstRowLastColumn="0" w:lastRowFirstColumn="0" w:lastRowLastColumn="0"/>
          <w:trHeight w:hRule="exact" w:val="262"/>
        </w:trPr>
        <w:tc>
          <w:tcPr>
            <w:tcW w:w="1795" w:type="dxa"/>
            <w:vMerge w:val="restart"/>
            <w:shd w:val="clear" w:color="auto" w:fill="DDD9C3" w:themeFill="background2" w:themeFillShade="E6"/>
            <w:vAlign w:val="center"/>
            <w:hideMark/>
          </w:tcPr>
          <w:p w14:paraId="28FEDF50" w14:textId="77777777" w:rsidR="002C23D0" w:rsidRPr="00CB6F8D" w:rsidRDefault="002C23D0" w:rsidP="002C23D0">
            <w:pPr>
              <w:pStyle w:val="NoSpacing"/>
              <w:spacing w:line="276" w:lineRule="auto"/>
              <w:jc w:val="center"/>
              <w:rPr>
                <w:rFonts w:ascii="Times New Roman" w:hAnsi="Times New Roman" w:cs="Times New Roman"/>
                <w:i/>
                <w:sz w:val="20"/>
                <w:szCs w:val="24"/>
                <w:lang w:val="sq-AL"/>
              </w:rPr>
            </w:pPr>
            <w:r w:rsidRPr="00CB6F8D">
              <w:rPr>
                <w:rFonts w:ascii="Times New Roman" w:hAnsi="Times New Roman" w:cs="Times New Roman"/>
                <w:i/>
                <w:sz w:val="20"/>
                <w:szCs w:val="24"/>
                <w:lang w:val="sq-AL"/>
              </w:rPr>
              <w:t>Viti</w:t>
            </w:r>
          </w:p>
        </w:tc>
        <w:tc>
          <w:tcPr>
            <w:tcW w:w="2543" w:type="dxa"/>
            <w:gridSpan w:val="2"/>
            <w:shd w:val="clear" w:color="auto" w:fill="DDD9C3" w:themeFill="background2" w:themeFillShade="E6"/>
            <w:hideMark/>
          </w:tcPr>
          <w:p w14:paraId="54C9C991" w14:textId="77777777" w:rsidR="002C23D0" w:rsidRPr="00CB6F8D" w:rsidRDefault="002C23D0" w:rsidP="00AF185D">
            <w:pPr>
              <w:pStyle w:val="NoSpacing"/>
              <w:spacing w:line="276" w:lineRule="auto"/>
              <w:jc w:val="center"/>
              <w:rPr>
                <w:rFonts w:ascii="Times New Roman" w:hAnsi="Times New Roman" w:cs="Times New Roman"/>
                <w:i/>
                <w:sz w:val="20"/>
                <w:szCs w:val="24"/>
                <w:lang w:val="sq-AL"/>
              </w:rPr>
            </w:pPr>
            <w:r w:rsidRPr="00CB6F8D">
              <w:rPr>
                <w:rFonts w:ascii="Times New Roman" w:hAnsi="Times New Roman" w:cs="Times New Roman"/>
                <w:i/>
                <w:sz w:val="20"/>
                <w:szCs w:val="24"/>
                <w:lang w:val="sq-AL"/>
              </w:rPr>
              <w:t>2018</w:t>
            </w:r>
          </w:p>
        </w:tc>
        <w:tc>
          <w:tcPr>
            <w:tcW w:w="2888" w:type="dxa"/>
            <w:gridSpan w:val="2"/>
            <w:shd w:val="clear" w:color="auto" w:fill="DDD9C3" w:themeFill="background2" w:themeFillShade="E6"/>
            <w:hideMark/>
          </w:tcPr>
          <w:p w14:paraId="5C46A0C8" w14:textId="77777777" w:rsidR="002C23D0" w:rsidRPr="00CB6F8D" w:rsidRDefault="002C23D0" w:rsidP="00AF185D">
            <w:pPr>
              <w:pStyle w:val="NoSpacing"/>
              <w:spacing w:line="276" w:lineRule="auto"/>
              <w:jc w:val="center"/>
              <w:rPr>
                <w:rFonts w:ascii="Times New Roman" w:hAnsi="Times New Roman" w:cs="Times New Roman"/>
                <w:i/>
                <w:sz w:val="20"/>
                <w:szCs w:val="24"/>
                <w:lang w:val="sq-AL"/>
              </w:rPr>
            </w:pPr>
            <w:r w:rsidRPr="00CB6F8D">
              <w:rPr>
                <w:rFonts w:ascii="Times New Roman" w:hAnsi="Times New Roman" w:cs="Times New Roman"/>
                <w:i/>
                <w:sz w:val="20"/>
                <w:szCs w:val="24"/>
                <w:lang w:val="sq-AL"/>
              </w:rPr>
              <w:t>2019</w:t>
            </w:r>
          </w:p>
        </w:tc>
        <w:tc>
          <w:tcPr>
            <w:tcW w:w="1535" w:type="dxa"/>
            <w:shd w:val="clear" w:color="auto" w:fill="DDD9C3" w:themeFill="background2" w:themeFillShade="E6"/>
            <w:hideMark/>
          </w:tcPr>
          <w:p w14:paraId="1C930215" w14:textId="77777777" w:rsidR="002C23D0" w:rsidRPr="00CB6F8D" w:rsidRDefault="002C23D0" w:rsidP="00AF185D">
            <w:pPr>
              <w:pStyle w:val="NoSpacing"/>
              <w:spacing w:line="276" w:lineRule="auto"/>
              <w:rPr>
                <w:rFonts w:ascii="Times New Roman" w:hAnsi="Times New Roman" w:cs="Times New Roman"/>
                <w:i/>
                <w:sz w:val="20"/>
                <w:szCs w:val="24"/>
                <w:lang w:val="sq-AL"/>
              </w:rPr>
            </w:pPr>
            <w:r w:rsidRPr="00CB6F8D">
              <w:rPr>
                <w:rFonts w:ascii="Times New Roman" w:hAnsi="Times New Roman" w:cs="Times New Roman"/>
                <w:i/>
                <w:sz w:val="20"/>
                <w:szCs w:val="24"/>
                <w:lang w:val="sq-AL"/>
              </w:rPr>
              <w:t>2020</w:t>
            </w:r>
          </w:p>
          <w:p w14:paraId="4EC3A8E8" w14:textId="77777777" w:rsidR="002C23D0" w:rsidRPr="00CB6F8D" w:rsidRDefault="002C23D0" w:rsidP="00AF185D">
            <w:pPr>
              <w:pStyle w:val="NoSpacing"/>
              <w:spacing w:line="276" w:lineRule="auto"/>
              <w:rPr>
                <w:rFonts w:ascii="Times New Roman" w:hAnsi="Times New Roman" w:cs="Times New Roman"/>
                <w:i/>
                <w:sz w:val="20"/>
                <w:szCs w:val="24"/>
                <w:lang w:val="sq-AL"/>
              </w:rPr>
            </w:pPr>
          </w:p>
          <w:p w14:paraId="4333BED9" w14:textId="77777777" w:rsidR="002C23D0" w:rsidRPr="00CB6F8D" w:rsidRDefault="002C23D0" w:rsidP="00AF185D">
            <w:pPr>
              <w:pStyle w:val="NoSpacing"/>
              <w:spacing w:line="276" w:lineRule="auto"/>
              <w:jc w:val="center"/>
              <w:rPr>
                <w:rFonts w:ascii="Times New Roman" w:hAnsi="Times New Roman" w:cs="Times New Roman"/>
                <w:i/>
                <w:sz w:val="20"/>
                <w:szCs w:val="24"/>
                <w:lang w:val="sq-AL"/>
              </w:rPr>
            </w:pPr>
          </w:p>
        </w:tc>
        <w:tc>
          <w:tcPr>
            <w:tcW w:w="1535" w:type="dxa"/>
            <w:shd w:val="clear" w:color="auto" w:fill="DDD9C3" w:themeFill="background2" w:themeFillShade="E6"/>
            <w:hideMark/>
          </w:tcPr>
          <w:p w14:paraId="332D5A42" w14:textId="77777777" w:rsidR="002C23D0" w:rsidRPr="00CB6F8D" w:rsidRDefault="002C23D0" w:rsidP="00AF185D">
            <w:pPr>
              <w:pStyle w:val="NoSpacing"/>
              <w:spacing w:line="276" w:lineRule="auto"/>
              <w:jc w:val="center"/>
              <w:rPr>
                <w:rFonts w:ascii="Times New Roman" w:hAnsi="Times New Roman" w:cs="Times New Roman"/>
                <w:i/>
                <w:sz w:val="20"/>
                <w:szCs w:val="24"/>
                <w:lang w:val="sq-AL"/>
              </w:rPr>
            </w:pPr>
            <w:r w:rsidRPr="00CB6F8D">
              <w:rPr>
                <w:rFonts w:ascii="Times New Roman" w:hAnsi="Times New Roman" w:cs="Times New Roman"/>
                <w:i/>
                <w:sz w:val="20"/>
                <w:szCs w:val="24"/>
                <w:lang w:val="sq-AL"/>
              </w:rPr>
              <w:t>2021</w:t>
            </w:r>
          </w:p>
          <w:p w14:paraId="6DEC5E21" w14:textId="77777777" w:rsidR="002C23D0" w:rsidRPr="00CB6F8D" w:rsidRDefault="002C23D0" w:rsidP="00AF185D">
            <w:pPr>
              <w:pStyle w:val="NoSpacing"/>
              <w:spacing w:line="276" w:lineRule="auto"/>
              <w:jc w:val="center"/>
              <w:rPr>
                <w:rFonts w:ascii="Times New Roman" w:hAnsi="Times New Roman" w:cs="Times New Roman"/>
                <w:i/>
                <w:sz w:val="20"/>
                <w:szCs w:val="24"/>
                <w:lang w:val="sq-AL"/>
              </w:rPr>
            </w:pPr>
          </w:p>
        </w:tc>
      </w:tr>
      <w:tr w:rsidR="00815B1B" w:rsidRPr="00CB6F8D" w14:paraId="782EDF5F" w14:textId="77777777" w:rsidTr="005515D1">
        <w:trPr>
          <w:cnfStyle w:val="000000100000" w:firstRow="0" w:lastRow="0" w:firstColumn="0" w:lastColumn="0" w:oddVBand="0" w:evenVBand="0" w:oddHBand="1" w:evenHBand="0" w:firstRowFirstColumn="0" w:firstRowLastColumn="0" w:lastRowFirstColumn="0" w:lastRowLastColumn="0"/>
          <w:trHeight w:hRule="exact" w:val="289"/>
        </w:trPr>
        <w:tc>
          <w:tcPr>
            <w:tcW w:w="1795" w:type="dxa"/>
            <w:vMerge/>
            <w:shd w:val="clear" w:color="auto" w:fill="DDD9C3" w:themeFill="background2" w:themeFillShade="E6"/>
          </w:tcPr>
          <w:p w14:paraId="0C0B06EE" w14:textId="77777777" w:rsidR="002C23D0" w:rsidRPr="00CB6F8D" w:rsidRDefault="002C23D0" w:rsidP="00AF185D">
            <w:pPr>
              <w:pStyle w:val="NoSpacing"/>
              <w:spacing w:line="276" w:lineRule="auto"/>
              <w:jc w:val="both"/>
              <w:rPr>
                <w:rFonts w:ascii="Times New Roman" w:hAnsi="Times New Roman" w:cs="Times New Roman"/>
                <w:i/>
                <w:sz w:val="20"/>
                <w:szCs w:val="24"/>
                <w:lang w:val="sq-AL"/>
              </w:rPr>
            </w:pPr>
          </w:p>
        </w:tc>
        <w:tc>
          <w:tcPr>
            <w:tcW w:w="1098" w:type="dxa"/>
            <w:shd w:val="clear" w:color="auto" w:fill="DDD9C3" w:themeFill="background2" w:themeFillShade="E6"/>
          </w:tcPr>
          <w:p w14:paraId="1E158293" w14:textId="77777777" w:rsidR="002C23D0" w:rsidRPr="00CB6F8D" w:rsidRDefault="002C23D0" w:rsidP="00AF185D">
            <w:pPr>
              <w:pStyle w:val="NoSpacing"/>
              <w:spacing w:line="276" w:lineRule="auto"/>
              <w:jc w:val="both"/>
              <w:rPr>
                <w:rFonts w:ascii="Times New Roman" w:hAnsi="Times New Roman" w:cs="Times New Roman"/>
                <w:b/>
                <w:i/>
                <w:sz w:val="20"/>
                <w:szCs w:val="24"/>
                <w:lang w:val="sq-AL"/>
              </w:rPr>
            </w:pPr>
            <w:r w:rsidRPr="00CB6F8D">
              <w:rPr>
                <w:rFonts w:ascii="Times New Roman" w:hAnsi="Times New Roman" w:cs="Times New Roman"/>
                <w:b/>
                <w:i/>
                <w:sz w:val="20"/>
                <w:szCs w:val="24"/>
                <w:lang w:val="sq-AL"/>
              </w:rPr>
              <w:t>Plan</w:t>
            </w:r>
          </w:p>
        </w:tc>
        <w:tc>
          <w:tcPr>
            <w:tcW w:w="1445" w:type="dxa"/>
            <w:shd w:val="clear" w:color="auto" w:fill="DDD9C3" w:themeFill="background2" w:themeFillShade="E6"/>
          </w:tcPr>
          <w:p w14:paraId="3A3EF807" w14:textId="77777777" w:rsidR="002C23D0" w:rsidRPr="00CB6F8D" w:rsidRDefault="002C23D0" w:rsidP="00AF185D">
            <w:pPr>
              <w:pStyle w:val="NoSpacing"/>
              <w:spacing w:line="276" w:lineRule="auto"/>
              <w:jc w:val="center"/>
              <w:rPr>
                <w:rFonts w:ascii="Times New Roman" w:hAnsi="Times New Roman" w:cs="Times New Roman"/>
                <w:b/>
                <w:i/>
                <w:sz w:val="20"/>
                <w:szCs w:val="24"/>
                <w:lang w:val="sq-AL"/>
              </w:rPr>
            </w:pPr>
            <w:r w:rsidRPr="00CB6F8D">
              <w:rPr>
                <w:rFonts w:ascii="Times New Roman" w:hAnsi="Times New Roman" w:cs="Times New Roman"/>
                <w:b/>
                <w:i/>
                <w:sz w:val="20"/>
                <w:szCs w:val="24"/>
                <w:lang w:val="sq-AL"/>
              </w:rPr>
              <w:t>Fakt</w:t>
            </w:r>
          </w:p>
        </w:tc>
        <w:tc>
          <w:tcPr>
            <w:tcW w:w="1444" w:type="dxa"/>
            <w:shd w:val="clear" w:color="auto" w:fill="DDD9C3" w:themeFill="background2" w:themeFillShade="E6"/>
          </w:tcPr>
          <w:p w14:paraId="1CBDE7FB" w14:textId="77777777" w:rsidR="002C23D0" w:rsidRPr="00CB6F8D" w:rsidRDefault="002C23D0" w:rsidP="00AF185D">
            <w:pPr>
              <w:pStyle w:val="NoSpacing"/>
              <w:spacing w:line="276" w:lineRule="auto"/>
              <w:jc w:val="center"/>
              <w:rPr>
                <w:rFonts w:ascii="Times New Roman" w:hAnsi="Times New Roman" w:cs="Times New Roman"/>
                <w:b/>
                <w:i/>
                <w:sz w:val="20"/>
                <w:szCs w:val="24"/>
                <w:lang w:val="sq-AL"/>
              </w:rPr>
            </w:pPr>
            <w:r w:rsidRPr="00CB6F8D">
              <w:rPr>
                <w:rFonts w:ascii="Times New Roman" w:hAnsi="Times New Roman" w:cs="Times New Roman"/>
                <w:b/>
                <w:i/>
                <w:sz w:val="20"/>
                <w:szCs w:val="24"/>
                <w:lang w:val="sq-AL"/>
              </w:rPr>
              <w:t>Plan</w:t>
            </w:r>
          </w:p>
        </w:tc>
        <w:tc>
          <w:tcPr>
            <w:tcW w:w="1444" w:type="dxa"/>
            <w:shd w:val="clear" w:color="auto" w:fill="DDD9C3" w:themeFill="background2" w:themeFillShade="E6"/>
          </w:tcPr>
          <w:p w14:paraId="3C794DF1" w14:textId="77777777" w:rsidR="002C23D0" w:rsidRPr="00CB6F8D" w:rsidRDefault="002D384A" w:rsidP="002D384A">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 xml:space="preserve">Fakt </w:t>
            </w:r>
          </w:p>
        </w:tc>
        <w:tc>
          <w:tcPr>
            <w:tcW w:w="1535" w:type="dxa"/>
            <w:shd w:val="clear" w:color="auto" w:fill="DDD9C3" w:themeFill="background2" w:themeFillShade="E6"/>
          </w:tcPr>
          <w:p w14:paraId="14AFF484" w14:textId="77777777" w:rsidR="002C23D0" w:rsidRPr="00CB6F8D" w:rsidRDefault="002C23D0" w:rsidP="00AF185D">
            <w:pPr>
              <w:pStyle w:val="NoSpacing"/>
              <w:spacing w:line="276" w:lineRule="auto"/>
              <w:jc w:val="center"/>
              <w:rPr>
                <w:rFonts w:ascii="Times New Roman" w:hAnsi="Times New Roman" w:cs="Times New Roman"/>
                <w:b/>
                <w:i/>
                <w:sz w:val="20"/>
                <w:szCs w:val="24"/>
                <w:lang w:val="sq-AL"/>
              </w:rPr>
            </w:pPr>
            <w:r w:rsidRPr="00CB6F8D">
              <w:rPr>
                <w:rFonts w:ascii="Times New Roman" w:hAnsi="Times New Roman" w:cs="Times New Roman"/>
                <w:b/>
                <w:i/>
                <w:sz w:val="20"/>
                <w:szCs w:val="24"/>
                <w:lang w:val="sq-AL"/>
              </w:rPr>
              <w:t>Projektuar</w:t>
            </w:r>
          </w:p>
        </w:tc>
        <w:tc>
          <w:tcPr>
            <w:tcW w:w="1535" w:type="dxa"/>
            <w:shd w:val="clear" w:color="auto" w:fill="DDD9C3" w:themeFill="background2" w:themeFillShade="E6"/>
          </w:tcPr>
          <w:p w14:paraId="3D4416E3" w14:textId="77777777" w:rsidR="002C23D0" w:rsidRPr="00CB6F8D" w:rsidRDefault="002C23D0" w:rsidP="00AF185D">
            <w:pPr>
              <w:pStyle w:val="NoSpacing"/>
              <w:spacing w:line="276" w:lineRule="auto"/>
              <w:jc w:val="center"/>
              <w:rPr>
                <w:rFonts w:ascii="Times New Roman" w:hAnsi="Times New Roman" w:cs="Times New Roman"/>
                <w:b/>
                <w:i/>
                <w:sz w:val="20"/>
                <w:szCs w:val="24"/>
                <w:lang w:val="sq-AL"/>
              </w:rPr>
            </w:pPr>
            <w:r w:rsidRPr="00CB6F8D">
              <w:rPr>
                <w:rFonts w:ascii="Times New Roman" w:hAnsi="Times New Roman" w:cs="Times New Roman"/>
                <w:b/>
                <w:i/>
                <w:sz w:val="20"/>
                <w:szCs w:val="24"/>
                <w:lang w:val="sq-AL"/>
              </w:rPr>
              <w:t>Projektuar</w:t>
            </w:r>
          </w:p>
        </w:tc>
      </w:tr>
      <w:tr w:rsidR="00815B1B" w:rsidRPr="00CB6F8D" w14:paraId="7878AF57" w14:textId="77777777" w:rsidTr="003C2F4F">
        <w:trPr>
          <w:trHeight w:hRule="exact" w:val="595"/>
        </w:trPr>
        <w:tc>
          <w:tcPr>
            <w:tcW w:w="1795" w:type="dxa"/>
            <w:shd w:val="clear" w:color="auto" w:fill="EEECE1" w:themeFill="background2"/>
            <w:hideMark/>
          </w:tcPr>
          <w:p w14:paraId="393C48B5" w14:textId="77777777" w:rsidR="002C23D0" w:rsidRPr="00CB6F8D" w:rsidRDefault="002C23D0" w:rsidP="00AF185D">
            <w:pPr>
              <w:pStyle w:val="NoSpacing"/>
              <w:spacing w:line="276" w:lineRule="auto"/>
              <w:jc w:val="both"/>
              <w:rPr>
                <w:rFonts w:ascii="Times New Roman" w:hAnsi="Times New Roman" w:cs="Times New Roman"/>
                <w:i/>
                <w:sz w:val="20"/>
                <w:szCs w:val="24"/>
                <w:lang w:val="sq-AL"/>
              </w:rPr>
            </w:pPr>
            <w:r w:rsidRPr="00CB6F8D">
              <w:rPr>
                <w:rFonts w:ascii="Times New Roman" w:hAnsi="Times New Roman" w:cs="Times New Roman"/>
                <w:bCs/>
                <w:i/>
                <w:sz w:val="20"/>
                <w:szCs w:val="24"/>
                <w:lang w:val="sq-AL"/>
              </w:rPr>
              <w:t>Investimi Kapital (në mijë lekë)</w:t>
            </w:r>
          </w:p>
        </w:tc>
        <w:tc>
          <w:tcPr>
            <w:tcW w:w="1098" w:type="dxa"/>
            <w:shd w:val="clear" w:color="auto" w:fill="EEECE1" w:themeFill="background2"/>
            <w:vAlign w:val="center"/>
            <w:hideMark/>
          </w:tcPr>
          <w:p w14:paraId="58BE11B5" w14:textId="77777777" w:rsidR="002C23D0" w:rsidRPr="00CB6F8D" w:rsidRDefault="004B76E6" w:rsidP="00AF185D">
            <w:pPr>
              <w:pStyle w:val="NoSpacing"/>
              <w:spacing w:line="276" w:lineRule="auto"/>
              <w:jc w:val="center"/>
              <w:rPr>
                <w:rFonts w:ascii="Times New Roman" w:hAnsi="Times New Roman" w:cs="Times New Roman"/>
                <w:b/>
                <w:i/>
                <w:sz w:val="20"/>
                <w:szCs w:val="24"/>
                <w:lang w:val="sq-AL"/>
              </w:rPr>
            </w:pPr>
            <w:r w:rsidRPr="00CB6F8D">
              <w:rPr>
                <w:rFonts w:ascii="Times New Roman" w:hAnsi="Times New Roman" w:cs="Times New Roman"/>
                <w:b/>
                <w:i/>
                <w:sz w:val="20"/>
                <w:szCs w:val="24"/>
                <w:lang w:val="sq-AL"/>
              </w:rPr>
              <w:t>5,691,735</w:t>
            </w:r>
          </w:p>
        </w:tc>
        <w:tc>
          <w:tcPr>
            <w:tcW w:w="1445" w:type="dxa"/>
            <w:shd w:val="clear" w:color="auto" w:fill="EEECE1" w:themeFill="background2"/>
            <w:vAlign w:val="center"/>
          </w:tcPr>
          <w:p w14:paraId="0EBA3150" w14:textId="77777777" w:rsidR="002C23D0" w:rsidRPr="00CB6F8D" w:rsidRDefault="002C23D0" w:rsidP="00AF185D">
            <w:pPr>
              <w:pStyle w:val="NoSpacing"/>
              <w:spacing w:line="276" w:lineRule="auto"/>
              <w:jc w:val="center"/>
              <w:rPr>
                <w:rFonts w:ascii="Times New Roman" w:hAnsi="Times New Roman" w:cs="Times New Roman"/>
                <w:b/>
                <w:i/>
                <w:sz w:val="20"/>
                <w:szCs w:val="24"/>
                <w:lang w:val="sq-AL"/>
              </w:rPr>
            </w:pPr>
            <w:r w:rsidRPr="00CB6F8D">
              <w:rPr>
                <w:rFonts w:ascii="Times New Roman" w:hAnsi="Times New Roman" w:cs="Times New Roman"/>
                <w:b/>
                <w:bCs/>
                <w:i/>
                <w:kern w:val="24"/>
                <w:sz w:val="20"/>
                <w:szCs w:val="24"/>
              </w:rPr>
              <w:t>1,172,336</w:t>
            </w:r>
          </w:p>
        </w:tc>
        <w:tc>
          <w:tcPr>
            <w:tcW w:w="1444" w:type="dxa"/>
            <w:shd w:val="clear" w:color="auto" w:fill="EEECE1" w:themeFill="background2"/>
            <w:vAlign w:val="center"/>
            <w:hideMark/>
          </w:tcPr>
          <w:p w14:paraId="18027466" w14:textId="77777777" w:rsidR="002C23D0" w:rsidRPr="00CB6F8D" w:rsidRDefault="004B76E6" w:rsidP="00AF185D">
            <w:pPr>
              <w:pStyle w:val="NoSpacing"/>
              <w:spacing w:line="276" w:lineRule="auto"/>
              <w:jc w:val="center"/>
              <w:rPr>
                <w:rFonts w:ascii="Times New Roman" w:hAnsi="Times New Roman" w:cs="Times New Roman"/>
                <w:b/>
                <w:i/>
                <w:sz w:val="20"/>
                <w:szCs w:val="24"/>
                <w:lang w:val="sq-AL"/>
              </w:rPr>
            </w:pPr>
            <w:r w:rsidRPr="00CB6F8D">
              <w:rPr>
                <w:rFonts w:ascii="Times New Roman" w:hAnsi="Times New Roman" w:cs="Times New Roman"/>
                <w:b/>
                <w:bCs/>
                <w:i/>
                <w:kern w:val="24"/>
                <w:sz w:val="20"/>
                <w:szCs w:val="24"/>
              </w:rPr>
              <w:t>5,938,677</w:t>
            </w:r>
          </w:p>
        </w:tc>
        <w:tc>
          <w:tcPr>
            <w:tcW w:w="1444" w:type="dxa"/>
            <w:shd w:val="clear" w:color="auto" w:fill="EEECE1" w:themeFill="background2"/>
            <w:vAlign w:val="center"/>
          </w:tcPr>
          <w:p w14:paraId="31383895" w14:textId="77777777" w:rsidR="002C23D0" w:rsidRPr="00CB6F8D" w:rsidRDefault="002D384A" w:rsidP="00AF185D">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526,260</w:t>
            </w:r>
          </w:p>
        </w:tc>
        <w:tc>
          <w:tcPr>
            <w:tcW w:w="1535" w:type="dxa"/>
            <w:shd w:val="clear" w:color="auto" w:fill="EEECE1" w:themeFill="background2"/>
            <w:vAlign w:val="center"/>
            <w:hideMark/>
          </w:tcPr>
          <w:p w14:paraId="54DF8990" w14:textId="77777777" w:rsidR="002C23D0" w:rsidRPr="00CB6F8D" w:rsidRDefault="002C23D0" w:rsidP="00AF185D">
            <w:pPr>
              <w:pStyle w:val="NoSpacing"/>
              <w:spacing w:line="276" w:lineRule="auto"/>
              <w:jc w:val="center"/>
              <w:rPr>
                <w:rFonts w:ascii="Times New Roman" w:hAnsi="Times New Roman" w:cs="Times New Roman"/>
                <w:b/>
                <w:i/>
                <w:sz w:val="20"/>
                <w:szCs w:val="24"/>
                <w:lang w:val="sq-AL"/>
              </w:rPr>
            </w:pPr>
            <w:r w:rsidRPr="00CB6F8D">
              <w:rPr>
                <w:rFonts w:ascii="Times New Roman" w:hAnsi="Times New Roman" w:cs="Times New Roman"/>
                <w:b/>
                <w:bCs/>
                <w:i/>
                <w:kern w:val="24"/>
                <w:sz w:val="20"/>
                <w:szCs w:val="24"/>
              </w:rPr>
              <w:t>2,989,057</w:t>
            </w:r>
          </w:p>
        </w:tc>
        <w:tc>
          <w:tcPr>
            <w:tcW w:w="1535" w:type="dxa"/>
            <w:shd w:val="clear" w:color="auto" w:fill="EEECE1" w:themeFill="background2"/>
            <w:vAlign w:val="center"/>
            <w:hideMark/>
          </w:tcPr>
          <w:p w14:paraId="1EAD468F" w14:textId="77777777" w:rsidR="002C23D0" w:rsidRPr="00CB6F8D" w:rsidRDefault="002C23D0" w:rsidP="00AF185D">
            <w:pPr>
              <w:pStyle w:val="NoSpacing"/>
              <w:spacing w:line="276" w:lineRule="auto"/>
              <w:jc w:val="center"/>
              <w:rPr>
                <w:rFonts w:ascii="Times New Roman" w:hAnsi="Times New Roman" w:cs="Times New Roman"/>
                <w:b/>
                <w:i/>
                <w:sz w:val="20"/>
                <w:szCs w:val="24"/>
                <w:lang w:val="sq-AL"/>
              </w:rPr>
            </w:pPr>
            <w:r w:rsidRPr="00CB6F8D">
              <w:rPr>
                <w:rFonts w:ascii="Times New Roman" w:hAnsi="Times New Roman" w:cs="Times New Roman"/>
                <w:b/>
                <w:bCs/>
                <w:i/>
                <w:kern w:val="24"/>
                <w:sz w:val="20"/>
                <w:szCs w:val="24"/>
              </w:rPr>
              <w:t>1,554,742</w:t>
            </w:r>
          </w:p>
        </w:tc>
      </w:tr>
    </w:tbl>
    <w:p w14:paraId="48EBA32D" w14:textId="77777777" w:rsidR="002A5C9E" w:rsidRPr="003A60D5" w:rsidRDefault="002A5C9E" w:rsidP="005C0FAC">
      <w:pPr>
        <w:jc w:val="both"/>
        <w:rPr>
          <w:rFonts w:ascii="Times New Roman" w:hAnsi="Times New Roman" w:cs="Times New Roman"/>
          <w:sz w:val="2"/>
          <w:szCs w:val="24"/>
        </w:rPr>
      </w:pPr>
    </w:p>
    <w:p w14:paraId="12DFD7E2" w14:textId="77777777" w:rsidR="002A5C9E" w:rsidRPr="00CB6F8D" w:rsidRDefault="001A6A86" w:rsidP="005C0FAC">
      <w:pPr>
        <w:jc w:val="both"/>
        <w:rPr>
          <w:rFonts w:ascii="Times New Roman" w:hAnsi="Times New Roman" w:cs="Times New Roman"/>
          <w:sz w:val="24"/>
          <w:szCs w:val="24"/>
        </w:rPr>
      </w:pPr>
      <w:r w:rsidRPr="009B6417">
        <w:rPr>
          <w:rFonts w:ascii="Times New Roman" w:hAnsi="Times New Roman" w:cs="Times New Roman"/>
          <w:sz w:val="24"/>
          <w:szCs w:val="24"/>
        </w:rPr>
        <w:t>Referuar tabel</w:t>
      </w:r>
      <w:r w:rsidR="005C0FAC" w:rsidRPr="009B6417">
        <w:rPr>
          <w:rFonts w:ascii="Times New Roman" w:hAnsi="Times New Roman" w:cs="Times New Roman"/>
          <w:sz w:val="24"/>
          <w:szCs w:val="24"/>
        </w:rPr>
        <w:t>ë</w:t>
      </w:r>
      <w:r w:rsidRPr="009B6417">
        <w:rPr>
          <w:rFonts w:ascii="Times New Roman" w:hAnsi="Times New Roman" w:cs="Times New Roman"/>
          <w:sz w:val="24"/>
          <w:szCs w:val="24"/>
        </w:rPr>
        <w:t xml:space="preserve">s  </w:t>
      </w:r>
      <w:r w:rsidR="006F714D">
        <w:rPr>
          <w:rFonts w:ascii="Times New Roman" w:hAnsi="Times New Roman" w:cs="Times New Roman"/>
          <w:sz w:val="24"/>
          <w:szCs w:val="24"/>
        </w:rPr>
        <w:t>n</w:t>
      </w:r>
      <w:r w:rsidR="002E50A3" w:rsidRPr="009B6417">
        <w:rPr>
          <w:rFonts w:ascii="Times New Roman" w:hAnsi="Times New Roman" w:cs="Times New Roman"/>
          <w:sz w:val="24"/>
          <w:szCs w:val="24"/>
        </w:rPr>
        <w:t>r.</w:t>
      </w:r>
      <w:r w:rsidRPr="009B6417">
        <w:rPr>
          <w:rFonts w:ascii="Times New Roman" w:hAnsi="Times New Roman" w:cs="Times New Roman"/>
          <w:sz w:val="24"/>
          <w:szCs w:val="24"/>
        </w:rPr>
        <w:t>9, sasia e mbetjeve t</w:t>
      </w:r>
      <w:r w:rsidR="005C0FAC" w:rsidRPr="009B6417">
        <w:rPr>
          <w:rFonts w:ascii="Times New Roman" w:hAnsi="Times New Roman" w:cs="Times New Roman"/>
          <w:sz w:val="24"/>
          <w:szCs w:val="24"/>
        </w:rPr>
        <w:t>ë</w:t>
      </w:r>
      <w:r w:rsidRPr="009B6417">
        <w:rPr>
          <w:rFonts w:ascii="Times New Roman" w:hAnsi="Times New Roman" w:cs="Times New Roman"/>
          <w:sz w:val="24"/>
          <w:szCs w:val="24"/>
        </w:rPr>
        <w:t xml:space="preserve"> depozituar p</w:t>
      </w:r>
      <w:r w:rsidR="005C0FAC" w:rsidRPr="009B6417">
        <w:rPr>
          <w:rFonts w:ascii="Times New Roman" w:hAnsi="Times New Roman" w:cs="Times New Roman"/>
          <w:sz w:val="24"/>
          <w:szCs w:val="24"/>
        </w:rPr>
        <w:t>ë</w:t>
      </w:r>
      <w:r w:rsidRPr="009B6417">
        <w:rPr>
          <w:rFonts w:ascii="Times New Roman" w:hAnsi="Times New Roman" w:cs="Times New Roman"/>
          <w:sz w:val="24"/>
          <w:szCs w:val="24"/>
        </w:rPr>
        <w:t>r vitin 2018, ka rezultuar 14 p</w:t>
      </w:r>
      <w:r w:rsidR="005C0FAC" w:rsidRPr="009B6417">
        <w:rPr>
          <w:rFonts w:ascii="Times New Roman" w:hAnsi="Times New Roman" w:cs="Times New Roman"/>
          <w:sz w:val="24"/>
          <w:szCs w:val="24"/>
        </w:rPr>
        <w:t>ë</w:t>
      </w:r>
      <w:r w:rsidRPr="009B6417">
        <w:rPr>
          <w:rFonts w:ascii="Times New Roman" w:hAnsi="Times New Roman" w:cs="Times New Roman"/>
          <w:sz w:val="24"/>
          <w:szCs w:val="24"/>
        </w:rPr>
        <w:t>rqind m</w:t>
      </w:r>
      <w:r w:rsidR="005C0FAC" w:rsidRPr="009B6417">
        <w:rPr>
          <w:rFonts w:ascii="Times New Roman" w:hAnsi="Times New Roman" w:cs="Times New Roman"/>
          <w:sz w:val="24"/>
          <w:szCs w:val="24"/>
        </w:rPr>
        <w:t>ë</w:t>
      </w:r>
      <w:r w:rsidRPr="009B6417">
        <w:rPr>
          <w:rFonts w:ascii="Times New Roman" w:hAnsi="Times New Roman" w:cs="Times New Roman"/>
          <w:sz w:val="24"/>
          <w:szCs w:val="24"/>
        </w:rPr>
        <w:t xml:space="preserve"> shum</w:t>
      </w:r>
      <w:r w:rsidR="005C0FAC" w:rsidRPr="009B6417">
        <w:rPr>
          <w:rFonts w:ascii="Times New Roman" w:hAnsi="Times New Roman" w:cs="Times New Roman"/>
          <w:sz w:val="24"/>
          <w:szCs w:val="24"/>
        </w:rPr>
        <w:t>ë</w:t>
      </w:r>
      <w:r w:rsidRPr="009B6417">
        <w:rPr>
          <w:rFonts w:ascii="Times New Roman" w:hAnsi="Times New Roman" w:cs="Times New Roman"/>
          <w:sz w:val="24"/>
          <w:szCs w:val="24"/>
        </w:rPr>
        <w:t xml:space="preserve"> se sa niveli minimal vjetor i </w:t>
      </w:r>
      <w:r w:rsidR="00220197">
        <w:rPr>
          <w:rFonts w:ascii="Times New Roman" w:hAnsi="Times New Roman" w:cs="Times New Roman"/>
          <w:sz w:val="24"/>
          <w:szCs w:val="24"/>
        </w:rPr>
        <w:t xml:space="preserve">parashikuar. </w:t>
      </w:r>
      <w:r w:rsidR="002D384A">
        <w:rPr>
          <w:rFonts w:ascii="Times New Roman" w:hAnsi="Times New Roman" w:cs="Times New Roman"/>
          <w:sz w:val="24"/>
          <w:szCs w:val="24"/>
        </w:rPr>
        <w:t>Gjithashtu, për vitin</w:t>
      </w:r>
      <w:r w:rsidR="002D384A" w:rsidRPr="00CB6F8D">
        <w:rPr>
          <w:rFonts w:ascii="Times New Roman" w:hAnsi="Times New Roman" w:cs="Times New Roman"/>
          <w:sz w:val="24"/>
          <w:szCs w:val="24"/>
        </w:rPr>
        <w:t xml:space="preserve"> 2019 sasia e mbetjeve të depozituara ka qënë </w:t>
      </w:r>
      <w:r w:rsidR="002D384A">
        <w:rPr>
          <w:rFonts w:ascii="Times New Roman" w:hAnsi="Times New Roman" w:cs="Times New Roman"/>
          <w:sz w:val="24"/>
          <w:szCs w:val="24"/>
        </w:rPr>
        <w:t>118</w:t>
      </w:r>
      <w:r w:rsidR="002D384A" w:rsidRPr="00CB6F8D">
        <w:rPr>
          <w:rFonts w:ascii="Times New Roman" w:hAnsi="Times New Roman" w:cs="Times New Roman"/>
          <w:sz w:val="24"/>
          <w:szCs w:val="24"/>
        </w:rPr>
        <w:t xml:space="preserve"> përqind më shumë se sa niveli minimal vjetor për këtë vit.</w:t>
      </w:r>
    </w:p>
    <w:p w14:paraId="3069A71C" w14:textId="77777777" w:rsidR="000B2507" w:rsidRPr="009B6417" w:rsidRDefault="00F925B6" w:rsidP="006B6D4D">
      <w:pPr>
        <w:pStyle w:val="Caption"/>
      </w:pPr>
      <w:bookmarkStart w:id="48" w:name="_Toc40422392"/>
      <w:r w:rsidRPr="009B6417">
        <w:t xml:space="preserve">Tabela </w:t>
      </w:r>
      <w:r w:rsidR="00E54EC8">
        <w:fldChar w:fldCharType="begin"/>
      </w:r>
      <w:r w:rsidR="00815B1B">
        <w:instrText xml:space="preserve"> SEQ Tabela \* ARABIC </w:instrText>
      </w:r>
      <w:r w:rsidR="00E54EC8">
        <w:fldChar w:fldCharType="separate"/>
      </w:r>
      <w:r w:rsidR="00F20848">
        <w:rPr>
          <w:noProof/>
        </w:rPr>
        <w:t>9</w:t>
      </w:r>
      <w:r w:rsidR="00E54EC8">
        <w:rPr>
          <w:noProof/>
        </w:rPr>
        <w:fldChar w:fldCharType="end"/>
      </w:r>
      <w:r w:rsidR="000B2507" w:rsidRPr="009B6417">
        <w:t>: Niveli i kërkesës</w:t>
      </w:r>
      <w:bookmarkEnd w:id="48"/>
    </w:p>
    <w:tbl>
      <w:tblPr>
        <w:tblStyle w:val="PlainTable1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95"/>
        <w:gridCol w:w="1098"/>
        <w:gridCol w:w="1445"/>
        <w:gridCol w:w="1444"/>
        <w:gridCol w:w="1444"/>
        <w:gridCol w:w="1535"/>
        <w:gridCol w:w="1535"/>
      </w:tblGrid>
      <w:tr w:rsidR="001A6A86" w:rsidRPr="003C2F4F" w14:paraId="23DE2A3D" w14:textId="77777777" w:rsidTr="00FA0CE0">
        <w:trPr>
          <w:cnfStyle w:val="100000000000" w:firstRow="1" w:lastRow="0" w:firstColumn="0" w:lastColumn="0" w:oddVBand="0" w:evenVBand="0" w:oddHBand="0" w:evenHBand="0" w:firstRowFirstColumn="0" w:firstRowLastColumn="0" w:lastRowFirstColumn="0" w:lastRowLastColumn="0"/>
          <w:trHeight w:hRule="exact" w:val="262"/>
        </w:trPr>
        <w:tc>
          <w:tcPr>
            <w:tcW w:w="1795" w:type="dxa"/>
            <w:vMerge w:val="restart"/>
            <w:shd w:val="clear" w:color="auto" w:fill="DDD9C3" w:themeFill="background2" w:themeFillShade="E6"/>
            <w:vAlign w:val="center"/>
            <w:hideMark/>
          </w:tcPr>
          <w:p w14:paraId="603CA4E0" w14:textId="77777777" w:rsidR="001A6A86" w:rsidRPr="003C2F4F" w:rsidRDefault="001A6A86" w:rsidP="00FA0CE0">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Viti</w:t>
            </w:r>
          </w:p>
        </w:tc>
        <w:tc>
          <w:tcPr>
            <w:tcW w:w="2543" w:type="dxa"/>
            <w:gridSpan w:val="2"/>
            <w:shd w:val="clear" w:color="auto" w:fill="DDD9C3" w:themeFill="background2" w:themeFillShade="E6"/>
            <w:hideMark/>
          </w:tcPr>
          <w:p w14:paraId="118E1F10" w14:textId="77777777" w:rsidR="001A6A86" w:rsidRPr="003C2F4F" w:rsidRDefault="001A6A86" w:rsidP="00FA0CE0">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2018</w:t>
            </w:r>
          </w:p>
        </w:tc>
        <w:tc>
          <w:tcPr>
            <w:tcW w:w="2888" w:type="dxa"/>
            <w:gridSpan w:val="2"/>
            <w:shd w:val="clear" w:color="auto" w:fill="DDD9C3" w:themeFill="background2" w:themeFillShade="E6"/>
            <w:hideMark/>
          </w:tcPr>
          <w:p w14:paraId="144A5BB1" w14:textId="77777777" w:rsidR="001A6A86" w:rsidRPr="003C2F4F" w:rsidRDefault="001A6A86" w:rsidP="00FA0CE0">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2019</w:t>
            </w:r>
          </w:p>
        </w:tc>
        <w:tc>
          <w:tcPr>
            <w:tcW w:w="1535" w:type="dxa"/>
            <w:shd w:val="clear" w:color="auto" w:fill="DDD9C3" w:themeFill="background2" w:themeFillShade="E6"/>
            <w:hideMark/>
          </w:tcPr>
          <w:p w14:paraId="03AC5598" w14:textId="77777777" w:rsidR="001A6A86" w:rsidRPr="003C2F4F" w:rsidRDefault="001A6A86" w:rsidP="00FA0CE0">
            <w:pPr>
              <w:pStyle w:val="NoSpacing"/>
              <w:spacing w:line="276" w:lineRule="auto"/>
              <w:rPr>
                <w:rFonts w:ascii="Times New Roman" w:hAnsi="Times New Roman" w:cs="Times New Roman"/>
                <w:i/>
                <w:sz w:val="20"/>
                <w:szCs w:val="24"/>
                <w:lang w:val="sq-AL"/>
              </w:rPr>
            </w:pPr>
            <w:r w:rsidRPr="003C2F4F">
              <w:rPr>
                <w:rFonts w:ascii="Times New Roman" w:hAnsi="Times New Roman" w:cs="Times New Roman"/>
                <w:i/>
                <w:sz w:val="20"/>
                <w:szCs w:val="24"/>
                <w:lang w:val="sq-AL"/>
              </w:rPr>
              <w:t>2020</w:t>
            </w:r>
          </w:p>
          <w:p w14:paraId="055C55DB" w14:textId="77777777" w:rsidR="001A6A86" w:rsidRPr="003C2F4F" w:rsidRDefault="001A6A86" w:rsidP="00FA0CE0">
            <w:pPr>
              <w:pStyle w:val="NoSpacing"/>
              <w:spacing w:line="276" w:lineRule="auto"/>
              <w:rPr>
                <w:rFonts w:ascii="Times New Roman" w:hAnsi="Times New Roman" w:cs="Times New Roman"/>
                <w:i/>
                <w:sz w:val="20"/>
                <w:szCs w:val="24"/>
                <w:lang w:val="sq-AL"/>
              </w:rPr>
            </w:pPr>
          </w:p>
          <w:p w14:paraId="4256576C" w14:textId="77777777" w:rsidR="001A6A86" w:rsidRPr="003C2F4F" w:rsidRDefault="001A6A86" w:rsidP="00FA0CE0">
            <w:pPr>
              <w:pStyle w:val="NoSpacing"/>
              <w:spacing w:line="276" w:lineRule="auto"/>
              <w:jc w:val="center"/>
              <w:rPr>
                <w:rFonts w:ascii="Times New Roman" w:hAnsi="Times New Roman" w:cs="Times New Roman"/>
                <w:i/>
                <w:sz w:val="20"/>
                <w:szCs w:val="24"/>
                <w:lang w:val="sq-AL"/>
              </w:rPr>
            </w:pPr>
          </w:p>
        </w:tc>
        <w:tc>
          <w:tcPr>
            <w:tcW w:w="1535" w:type="dxa"/>
            <w:shd w:val="clear" w:color="auto" w:fill="DDD9C3" w:themeFill="background2" w:themeFillShade="E6"/>
            <w:hideMark/>
          </w:tcPr>
          <w:p w14:paraId="0564B22A" w14:textId="77777777" w:rsidR="001A6A86" w:rsidRPr="003C2F4F" w:rsidRDefault="001A6A86" w:rsidP="00FA0CE0">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2021</w:t>
            </w:r>
          </w:p>
          <w:p w14:paraId="0313A644" w14:textId="77777777" w:rsidR="001A6A86" w:rsidRPr="003C2F4F" w:rsidRDefault="001A6A86" w:rsidP="00FA0CE0">
            <w:pPr>
              <w:pStyle w:val="NoSpacing"/>
              <w:spacing w:line="276" w:lineRule="auto"/>
              <w:jc w:val="center"/>
              <w:rPr>
                <w:rFonts w:ascii="Times New Roman" w:hAnsi="Times New Roman" w:cs="Times New Roman"/>
                <w:i/>
                <w:sz w:val="20"/>
                <w:szCs w:val="24"/>
                <w:lang w:val="sq-AL"/>
              </w:rPr>
            </w:pPr>
          </w:p>
        </w:tc>
      </w:tr>
      <w:tr w:rsidR="001A6A86" w:rsidRPr="003C2F4F" w14:paraId="6CCEED2B" w14:textId="77777777" w:rsidTr="006E59A3">
        <w:trPr>
          <w:cnfStyle w:val="000000100000" w:firstRow="0" w:lastRow="0" w:firstColumn="0" w:lastColumn="0" w:oddVBand="0" w:evenVBand="0" w:oddHBand="1" w:evenHBand="0" w:firstRowFirstColumn="0" w:firstRowLastColumn="0" w:lastRowFirstColumn="0" w:lastRowLastColumn="0"/>
          <w:trHeight w:hRule="exact" w:val="208"/>
        </w:trPr>
        <w:tc>
          <w:tcPr>
            <w:tcW w:w="1795" w:type="dxa"/>
            <w:vMerge/>
            <w:shd w:val="clear" w:color="auto" w:fill="DDD9C3" w:themeFill="background2" w:themeFillShade="E6"/>
          </w:tcPr>
          <w:p w14:paraId="1D072E19" w14:textId="77777777" w:rsidR="001A6A86" w:rsidRPr="003C2F4F" w:rsidRDefault="001A6A86" w:rsidP="00FA0CE0">
            <w:pPr>
              <w:pStyle w:val="NoSpacing"/>
              <w:spacing w:line="276" w:lineRule="auto"/>
              <w:jc w:val="both"/>
              <w:rPr>
                <w:rFonts w:ascii="Times New Roman" w:hAnsi="Times New Roman" w:cs="Times New Roman"/>
                <w:i/>
                <w:sz w:val="20"/>
                <w:szCs w:val="24"/>
                <w:lang w:val="sq-AL"/>
              </w:rPr>
            </w:pPr>
          </w:p>
        </w:tc>
        <w:tc>
          <w:tcPr>
            <w:tcW w:w="1098" w:type="dxa"/>
            <w:shd w:val="clear" w:color="auto" w:fill="DDD9C3" w:themeFill="background2" w:themeFillShade="E6"/>
          </w:tcPr>
          <w:p w14:paraId="37802796" w14:textId="77777777" w:rsidR="001A6A86" w:rsidRPr="003C2F4F" w:rsidRDefault="001A6A86" w:rsidP="00FA0CE0">
            <w:pPr>
              <w:pStyle w:val="NoSpacing"/>
              <w:spacing w:line="276" w:lineRule="auto"/>
              <w:jc w:val="both"/>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Plan</w:t>
            </w:r>
          </w:p>
        </w:tc>
        <w:tc>
          <w:tcPr>
            <w:tcW w:w="1445" w:type="dxa"/>
            <w:shd w:val="clear" w:color="auto" w:fill="DDD9C3" w:themeFill="background2" w:themeFillShade="E6"/>
          </w:tcPr>
          <w:p w14:paraId="4A7B694D" w14:textId="77777777" w:rsidR="001A6A86" w:rsidRPr="003C2F4F" w:rsidRDefault="001A6A86" w:rsidP="00FA0CE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Fakt</w:t>
            </w:r>
          </w:p>
        </w:tc>
        <w:tc>
          <w:tcPr>
            <w:tcW w:w="1444" w:type="dxa"/>
            <w:shd w:val="clear" w:color="auto" w:fill="DDD9C3" w:themeFill="background2" w:themeFillShade="E6"/>
          </w:tcPr>
          <w:p w14:paraId="7B839792" w14:textId="77777777" w:rsidR="001A6A86" w:rsidRPr="003C2F4F" w:rsidRDefault="001A6A86" w:rsidP="00FA0CE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Plan</w:t>
            </w:r>
          </w:p>
        </w:tc>
        <w:tc>
          <w:tcPr>
            <w:tcW w:w="1444" w:type="dxa"/>
            <w:shd w:val="clear" w:color="auto" w:fill="DDD9C3" w:themeFill="background2" w:themeFillShade="E6"/>
          </w:tcPr>
          <w:p w14:paraId="025AABC3" w14:textId="77777777" w:rsidR="001A6A86" w:rsidRPr="003C2F4F" w:rsidRDefault="002D384A" w:rsidP="002D384A">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Fakt</w:t>
            </w:r>
          </w:p>
        </w:tc>
        <w:tc>
          <w:tcPr>
            <w:tcW w:w="1535" w:type="dxa"/>
            <w:shd w:val="clear" w:color="auto" w:fill="DDD9C3" w:themeFill="background2" w:themeFillShade="E6"/>
          </w:tcPr>
          <w:p w14:paraId="6B7C04B8" w14:textId="77777777" w:rsidR="001A6A86" w:rsidRPr="003C2F4F" w:rsidRDefault="001A6A86" w:rsidP="00FA0CE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Projektuar</w:t>
            </w:r>
          </w:p>
        </w:tc>
        <w:tc>
          <w:tcPr>
            <w:tcW w:w="1535" w:type="dxa"/>
            <w:shd w:val="clear" w:color="auto" w:fill="DDD9C3" w:themeFill="background2" w:themeFillShade="E6"/>
          </w:tcPr>
          <w:p w14:paraId="0FCDFF7C" w14:textId="77777777" w:rsidR="001A6A86" w:rsidRPr="003C2F4F" w:rsidRDefault="001A6A86" w:rsidP="00FA0CE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Projektuar</w:t>
            </w:r>
          </w:p>
        </w:tc>
      </w:tr>
      <w:tr w:rsidR="001A6A86" w:rsidRPr="003C2F4F" w14:paraId="2677B340" w14:textId="77777777" w:rsidTr="00FA0CE0">
        <w:trPr>
          <w:trHeight w:hRule="exact" w:val="514"/>
        </w:trPr>
        <w:tc>
          <w:tcPr>
            <w:tcW w:w="1795" w:type="dxa"/>
            <w:shd w:val="clear" w:color="auto" w:fill="EEECE1" w:themeFill="background2"/>
            <w:hideMark/>
          </w:tcPr>
          <w:p w14:paraId="596D8281" w14:textId="77777777" w:rsidR="001A6A86" w:rsidRPr="003C2F4F" w:rsidRDefault="001A6A86" w:rsidP="001A6A86">
            <w:pPr>
              <w:pStyle w:val="NoSpacing"/>
              <w:spacing w:line="276" w:lineRule="auto"/>
              <w:jc w:val="both"/>
              <w:rPr>
                <w:rFonts w:ascii="Times New Roman" w:hAnsi="Times New Roman" w:cs="Times New Roman"/>
                <w:i/>
                <w:sz w:val="20"/>
                <w:szCs w:val="24"/>
                <w:lang w:val="sq-AL"/>
              </w:rPr>
            </w:pPr>
            <w:r w:rsidRPr="003C2F4F">
              <w:rPr>
                <w:rFonts w:ascii="Times New Roman" w:hAnsi="Times New Roman" w:cs="Times New Roman"/>
                <w:bCs/>
                <w:i/>
                <w:sz w:val="20"/>
                <w:szCs w:val="24"/>
                <w:lang w:val="sq-AL"/>
              </w:rPr>
              <w:t>Niveli i kërkesës (në ton)</w:t>
            </w:r>
          </w:p>
        </w:tc>
        <w:tc>
          <w:tcPr>
            <w:tcW w:w="1098" w:type="dxa"/>
            <w:shd w:val="clear" w:color="auto" w:fill="EEECE1" w:themeFill="background2"/>
            <w:vAlign w:val="center"/>
            <w:hideMark/>
          </w:tcPr>
          <w:p w14:paraId="593480AE" w14:textId="77777777" w:rsidR="001A6A86" w:rsidRPr="003C2F4F" w:rsidRDefault="001A6A86" w:rsidP="001A6A86">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200,750</w:t>
            </w:r>
          </w:p>
        </w:tc>
        <w:tc>
          <w:tcPr>
            <w:tcW w:w="1445" w:type="dxa"/>
            <w:shd w:val="clear" w:color="auto" w:fill="EEECE1" w:themeFill="background2"/>
            <w:vAlign w:val="center"/>
          </w:tcPr>
          <w:p w14:paraId="4E3969AD" w14:textId="77777777" w:rsidR="001A6A86" w:rsidRPr="003C2F4F" w:rsidRDefault="001A6A86" w:rsidP="00FA0CE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228,761</w:t>
            </w:r>
          </w:p>
        </w:tc>
        <w:tc>
          <w:tcPr>
            <w:tcW w:w="1444" w:type="dxa"/>
            <w:shd w:val="clear" w:color="auto" w:fill="EEECE1" w:themeFill="background2"/>
            <w:vAlign w:val="center"/>
            <w:hideMark/>
          </w:tcPr>
          <w:p w14:paraId="0B980338" w14:textId="77777777" w:rsidR="001A6A86" w:rsidRPr="003C2F4F" w:rsidRDefault="001A6A86" w:rsidP="00FA0CE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200,750</w:t>
            </w:r>
          </w:p>
        </w:tc>
        <w:tc>
          <w:tcPr>
            <w:tcW w:w="1444" w:type="dxa"/>
            <w:shd w:val="clear" w:color="auto" w:fill="EEECE1" w:themeFill="background2"/>
            <w:vAlign w:val="center"/>
          </w:tcPr>
          <w:p w14:paraId="61C02800" w14:textId="77777777" w:rsidR="001A6A86" w:rsidRPr="003C2F4F" w:rsidRDefault="002D384A" w:rsidP="00FA0CE0">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438,044</w:t>
            </w:r>
          </w:p>
        </w:tc>
        <w:tc>
          <w:tcPr>
            <w:tcW w:w="1535" w:type="dxa"/>
            <w:shd w:val="clear" w:color="auto" w:fill="EEECE1" w:themeFill="background2"/>
            <w:vAlign w:val="center"/>
            <w:hideMark/>
          </w:tcPr>
          <w:p w14:paraId="23CB6BBB" w14:textId="77777777" w:rsidR="001A6A86" w:rsidRPr="003C2F4F" w:rsidRDefault="001A6A86" w:rsidP="00FA0CE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200,750</w:t>
            </w:r>
          </w:p>
        </w:tc>
        <w:tc>
          <w:tcPr>
            <w:tcW w:w="1535" w:type="dxa"/>
            <w:shd w:val="clear" w:color="auto" w:fill="EEECE1" w:themeFill="background2"/>
            <w:vAlign w:val="center"/>
            <w:hideMark/>
          </w:tcPr>
          <w:p w14:paraId="4DF0B5B5" w14:textId="77777777" w:rsidR="001A6A86" w:rsidRPr="003C2F4F" w:rsidRDefault="001A6A86" w:rsidP="00FA0CE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237,250</w:t>
            </w:r>
          </w:p>
        </w:tc>
      </w:tr>
    </w:tbl>
    <w:p w14:paraId="59247790" w14:textId="77777777" w:rsidR="003A60D5" w:rsidRPr="003A60D5" w:rsidRDefault="003A60D5" w:rsidP="003A60D5">
      <w:pPr>
        <w:spacing w:after="0"/>
        <w:jc w:val="both"/>
        <w:rPr>
          <w:rFonts w:ascii="Times New Roman" w:eastAsia="Times New Roman" w:hAnsi="Times New Roman" w:cs="Times New Roman"/>
          <w:b/>
          <w:sz w:val="12"/>
          <w:szCs w:val="24"/>
        </w:rPr>
      </w:pPr>
    </w:p>
    <w:p w14:paraId="670BBCEE" w14:textId="77777777" w:rsidR="002064BE" w:rsidRPr="009B6417" w:rsidRDefault="002064BE" w:rsidP="003A60D5">
      <w:pPr>
        <w:pStyle w:val="ListParagraph"/>
        <w:numPr>
          <w:ilvl w:val="2"/>
          <w:numId w:val="10"/>
        </w:numPr>
        <w:spacing w:after="0"/>
        <w:jc w:val="both"/>
        <w:rPr>
          <w:rFonts w:ascii="Times New Roman" w:eastAsia="Times New Roman" w:hAnsi="Times New Roman" w:cs="Times New Roman"/>
          <w:b/>
          <w:sz w:val="24"/>
          <w:szCs w:val="24"/>
        </w:rPr>
      </w:pPr>
      <w:r w:rsidRPr="009B6417">
        <w:rPr>
          <w:rFonts w:ascii="Times New Roman" w:eastAsia="Times New Roman" w:hAnsi="Times New Roman" w:cs="Times New Roman"/>
          <w:b/>
          <w:sz w:val="24"/>
          <w:szCs w:val="24"/>
        </w:rPr>
        <w:t xml:space="preserve">Risqet </w:t>
      </w:r>
    </w:p>
    <w:p w14:paraId="485BECB3" w14:textId="77777777" w:rsidR="004C1F25" w:rsidRDefault="004E7A41" w:rsidP="00776A98">
      <w:pPr>
        <w:spacing w:after="100" w:afterAutospacing="1"/>
        <w:jc w:val="both"/>
        <w:rPr>
          <w:rFonts w:ascii="Times New Roman" w:hAnsi="Times New Roman" w:cs="Times New Roman"/>
          <w:sz w:val="24"/>
          <w:szCs w:val="24"/>
        </w:rPr>
      </w:pPr>
      <w:r w:rsidRPr="009B6417">
        <w:rPr>
          <w:rFonts w:ascii="Times New Roman" w:hAnsi="Times New Roman" w:cs="Times New Roman"/>
          <w:sz w:val="24"/>
          <w:szCs w:val="24"/>
        </w:rPr>
        <w:t>Autoriteti ka raportuar në lidhje me risqet e kontratës sipas formatit të përcaktuar, duke specifikuar përcaktimin e palës që merr përsipër riskun, impaktin fiskal nëse është materializuar, probabilitetin e ndodhjes në të ardhmen dhe impaktin e pritshëm nëse ndodh</w:t>
      </w:r>
      <w:r w:rsidR="002064BE" w:rsidRPr="009B6417">
        <w:rPr>
          <w:rFonts w:ascii="Times New Roman" w:hAnsi="Times New Roman" w:cs="Times New Roman"/>
          <w:sz w:val="24"/>
          <w:szCs w:val="24"/>
        </w:rPr>
        <w:t>. Kështu nga risqet e identifikuara, Autoriteti Kontraktues ka mbajtur riskun</w:t>
      </w:r>
      <w:r w:rsidRPr="009B6417">
        <w:rPr>
          <w:rFonts w:ascii="Times New Roman" w:hAnsi="Times New Roman" w:cs="Times New Roman"/>
          <w:sz w:val="24"/>
          <w:szCs w:val="24"/>
        </w:rPr>
        <w:t xml:space="preserve"> </w:t>
      </w:r>
      <w:r w:rsidR="00C34D0A">
        <w:rPr>
          <w:rFonts w:ascii="Times New Roman" w:hAnsi="Times New Roman" w:cs="Times New Roman"/>
          <w:sz w:val="24"/>
          <w:szCs w:val="24"/>
        </w:rPr>
        <w:t>e</w:t>
      </w:r>
      <w:r w:rsidRPr="009B6417">
        <w:rPr>
          <w:rFonts w:ascii="Times New Roman" w:hAnsi="Times New Roman" w:cs="Times New Roman"/>
          <w:sz w:val="24"/>
          <w:szCs w:val="24"/>
        </w:rPr>
        <w:t xml:space="preserve"> vendodhjes, riskun </w:t>
      </w:r>
      <w:r w:rsidR="007E4CBF" w:rsidRPr="009B6417">
        <w:rPr>
          <w:rFonts w:ascii="Times New Roman" w:hAnsi="Times New Roman" w:cs="Times New Roman"/>
          <w:sz w:val="24"/>
          <w:szCs w:val="24"/>
        </w:rPr>
        <w:t>politik dhe</w:t>
      </w:r>
      <w:r w:rsidR="002064BE" w:rsidRPr="009B6417">
        <w:rPr>
          <w:rFonts w:ascii="Times New Roman" w:hAnsi="Times New Roman" w:cs="Times New Roman"/>
          <w:sz w:val="24"/>
          <w:szCs w:val="24"/>
        </w:rPr>
        <w:t xml:space="preserve"> riskun </w:t>
      </w:r>
      <w:r w:rsidR="007E4CBF" w:rsidRPr="009B6417">
        <w:rPr>
          <w:rFonts w:ascii="Times New Roman" w:hAnsi="Times New Roman" w:cs="Times New Roman"/>
          <w:sz w:val="24"/>
          <w:szCs w:val="24"/>
        </w:rPr>
        <w:t>ekonomik</w:t>
      </w:r>
      <w:r w:rsidR="002064BE" w:rsidRPr="009B6417">
        <w:rPr>
          <w:rFonts w:ascii="Times New Roman" w:hAnsi="Times New Roman" w:cs="Times New Roman"/>
          <w:sz w:val="24"/>
          <w:szCs w:val="24"/>
        </w:rPr>
        <w:t>, ndërsa partneri privat ka mbajtur risk</w:t>
      </w:r>
      <w:r w:rsidR="007E4CBF" w:rsidRPr="009B6417">
        <w:rPr>
          <w:rFonts w:ascii="Times New Roman" w:hAnsi="Times New Roman" w:cs="Times New Roman"/>
          <w:sz w:val="24"/>
          <w:szCs w:val="24"/>
        </w:rPr>
        <w:t>un financiar</w:t>
      </w:r>
      <w:r w:rsidR="002064BE" w:rsidRPr="009B6417">
        <w:rPr>
          <w:rFonts w:ascii="Times New Roman" w:hAnsi="Times New Roman" w:cs="Times New Roman"/>
          <w:sz w:val="24"/>
          <w:szCs w:val="24"/>
        </w:rPr>
        <w:t>, riskun e projektimit dhe riskun e tran</w:t>
      </w:r>
      <w:r w:rsidR="00675071" w:rsidRPr="009B6417">
        <w:rPr>
          <w:rFonts w:ascii="Times New Roman" w:hAnsi="Times New Roman" w:cs="Times New Roman"/>
          <w:sz w:val="24"/>
          <w:szCs w:val="24"/>
        </w:rPr>
        <w:t>sferimit të aseteve. Ndërkohë, risku i lejeve dhe licens</w:t>
      </w:r>
      <w:r w:rsidR="002064BE" w:rsidRPr="009B6417">
        <w:rPr>
          <w:rFonts w:ascii="Times New Roman" w:hAnsi="Times New Roman" w:cs="Times New Roman"/>
          <w:sz w:val="24"/>
          <w:szCs w:val="24"/>
        </w:rPr>
        <w:t xml:space="preserve">ave, </w:t>
      </w:r>
      <w:r w:rsidR="002064BE" w:rsidRPr="00CB6F8D">
        <w:rPr>
          <w:rFonts w:ascii="Times New Roman" w:hAnsi="Times New Roman" w:cs="Times New Roman"/>
          <w:sz w:val="24"/>
          <w:szCs w:val="24"/>
        </w:rPr>
        <w:t xml:space="preserve">risku i </w:t>
      </w:r>
      <w:r w:rsidR="002064BE" w:rsidRPr="00DB2E8C">
        <w:rPr>
          <w:rFonts w:ascii="Times New Roman" w:hAnsi="Times New Roman" w:cs="Times New Roman"/>
          <w:sz w:val="24"/>
          <w:szCs w:val="24"/>
        </w:rPr>
        <w:t xml:space="preserve">forcës madhore, risku i rinegocimit dhe risku i ndërprerjes së kontratës janë ndarë mes të dyja palëve. </w:t>
      </w:r>
      <w:r w:rsidR="00EC17B4" w:rsidRPr="00DB2E8C">
        <w:rPr>
          <w:rFonts w:ascii="Times New Roman" w:hAnsi="Times New Roman" w:cs="Times New Roman"/>
          <w:sz w:val="24"/>
          <w:szCs w:val="24"/>
        </w:rPr>
        <w:t>Lidhur me zgjatjen e afateve të ndërtimit që përfshihet si element i</w:t>
      </w:r>
      <w:r w:rsidR="00220197" w:rsidRPr="00DB2E8C">
        <w:rPr>
          <w:rFonts w:ascii="Times New Roman" w:hAnsi="Times New Roman" w:cs="Times New Roman"/>
          <w:sz w:val="24"/>
          <w:szCs w:val="24"/>
        </w:rPr>
        <w:t xml:space="preserve"> riskut të ndërtimi, raportohet</w:t>
      </w:r>
      <w:r w:rsidR="008B3D56" w:rsidRPr="00DB2E8C">
        <w:rPr>
          <w:rFonts w:ascii="Times New Roman" w:hAnsi="Times New Roman" w:cs="Times New Roman"/>
          <w:sz w:val="24"/>
          <w:szCs w:val="24"/>
        </w:rPr>
        <w:t xml:space="preserve"> se kjo zgjatje afati është shkaktuar si rrjedhojë </w:t>
      </w:r>
      <w:bookmarkStart w:id="49" w:name="_Toc19882540"/>
      <w:r w:rsidR="006F714D" w:rsidRPr="00DB2E8C">
        <w:rPr>
          <w:rFonts w:ascii="Times New Roman" w:hAnsi="Times New Roman" w:cs="Times New Roman"/>
          <w:sz w:val="24"/>
          <w:szCs w:val="24"/>
        </w:rPr>
        <w:t xml:space="preserve"> e vonesave në dhënien e lejev</w:t>
      </w:r>
      <w:bookmarkEnd w:id="49"/>
      <w:r w:rsidR="008F67CD" w:rsidRPr="00DB2E8C">
        <w:rPr>
          <w:rFonts w:ascii="Times New Roman" w:hAnsi="Times New Roman" w:cs="Times New Roman"/>
          <w:sz w:val="24"/>
          <w:szCs w:val="24"/>
        </w:rPr>
        <w:t>e.</w:t>
      </w:r>
      <w:r w:rsidR="00DB2E8C">
        <w:rPr>
          <w:rFonts w:ascii="Times New Roman" w:hAnsi="Times New Roman" w:cs="Times New Roman"/>
          <w:sz w:val="24"/>
          <w:szCs w:val="24"/>
        </w:rPr>
        <w:t xml:space="preserve"> </w:t>
      </w:r>
      <w:bookmarkStart w:id="50" w:name="_Toc37196693"/>
    </w:p>
    <w:p w14:paraId="09945AA2" w14:textId="77777777" w:rsidR="00332569" w:rsidRPr="004C1F25" w:rsidRDefault="004C1F25" w:rsidP="004C1F25">
      <w:pPr>
        <w:spacing w:after="100" w:afterAutospacing="1"/>
        <w:ind w:left="450" w:hanging="450"/>
        <w:jc w:val="both"/>
        <w:rPr>
          <w:rFonts w:ascii="Times New Roman" w:hAnsi="Times New Roman" w:cs="Times New Roman"/>
          <w:b/>
          <w:color w:val="548DD4" w:themeColor="text2" w:themeTint="99"/>
          <w:sz w:val="24"/>
          <w:szCs w:val="24"/>
        </w:rPr>
      </w:pPr>
      <w:r w:rsidRPr="004C1F25">
        <w:rPr>
          <w:rFonts w:ascii="Times New Roman" w:hAnsi="Times New Roman" w:cs="Times New Roman"/>
          <w:b/>
          <w:color w:val="548DD4" w:themeColor="text2" w:themeTint="99"/>
          <w:sz w:val="24"/>
          <w:szCs w:val="24"/>
        </w:rPr>
        <w:lastRenderedPageBreak/>
        <w:t>2.5</w:t>
      </w:r>
      <w:r w:rsidRPr="004C1F25">
        <w:rPr>
          <w:rFonts w:ascii="Times New Roman" w:hAnsi="Times New Roman" w:cs="Times New Roman"/>
          <w:color w:val="548DD4" w:themeColor="text2" w:themeTint="99"/>
          <w:sz w:val="24"/>
          <w:szCs w:val="24"/>
        </w:rPr>
        <w:t xml:space="preserve"> </w:t>
      </w:r>
      <w:r w:rsidR="00DC1921" w:rsidRPr="004C1F25">
        <w:rPr>
          <w:rFonts w:ascii="Times New Roman" w:hAnsi="Times New Roman" w:cs="Times New Roman"/>
          <w:b/>
          <w:color w:val="548DD4" w:themeColor="text2" w:themeTint="99"/>
          <w:sz w:val="24"/>
          <w:szCs w:val="24"/>
        </w:rPr>
        <w:t xml:space="preserve">Kontrata Koncesionare/PPP </w:t>
      </w:r>
      <w:r w:rsidR="008B3D56" w:rsidRPr="004C1F25">
        <w:rPr>
          <w:rFonts w:ascii="Times New Roman" w:hAnsi="Times New Roman" w:cs="Times New Roman"/>
          <w:b/>
          <w:color w:val="548DD4" w:themeColor="text2" w:themeTint="99"/>
          <w:sz w:val="24"/>
          <w:szCs w:val="24"/>
        </w:rPr>
        <w:t>“</w:t>
      </w:r>
      <w:r w:rsidR="008B3D56" w:rsidRPr="004C1F25">
        <w:rPr>
          <w:rFonts w:ascii="Times New Roman" w:hAnsi="Times New Roman" w:cs="Times New Roman"/>
          <w:b/>
          <w:i/>
          <w:color w:val="548DD4" w:themeColor="text2" w:themeTint="99"/>
          <w:sz w:val="24"/>
          <w:szCs w:val="24"/>
        </w:rPr>
        <w:t>Për ndërtimin e administrimin e impjantit të trajtimit të mbetjeve urbane të qarkut Fier dhe prodhimin e Energjisë</w:t>
      </w:r>
      <w:r w:rsidR="002A5C9E" w:rsidRPr="004C1F25">
        <w:rPr>
          <w:rFonts w:ascii="Times New Roman" w:hAnsi="Times New Roman" w:cs="Times New Roman"/>
          <w:b/>
          <w:color w:val="548DD4" w:themeColor="text2" w:themeTint="99"/>
          <w:sz w:val="24"/>
          <w:szCs w:val="24"/>
        </w:rPr>
        <w:t>”</w:t>
      </w:r>
      <w:bookmarkEnd w:id="50"/>
      <w:r w:rsidR="008B3D56" w:rsidRPr="004C1F25">
        <w:rPr>
          <w:rFonts w:ascii="Times New Roman" w:hAnsi="Times New Roman" w:cs="Times New Roman"/>
          <w:b/>
          <w:color w:val="548DD4" w:themeColor="text2" w:themeTint="99"/>
          <w:sz w:val="24"/>
          <w:szCs w:val="24"/>
        </w:rPr>
        <w:t xml:space="preserve"> </w:t>
      </w:r>
    </w:p>
    <w:p w14:paraId="1B65B6E5" w14:textId="77777777" w:rsidR="001D0AE3" w:rsidRPr="009B6417" w:rsidRDefault="001D0AE3" w:rsidP="001D0AE3">
      <w:pPr>
        <w:pStyle w:val="ListParagraph"/>
        <w:tabs>
          <w:tab w:val="left" w:pos="3553"/>
        </w:tabs>
        <w:jc w:val="both"/>
        <w:rPr>
          <w:rFonts w:ascii="Times New Roman" w:eastAsia="Times New Roman" w:hAnsi="Times New Roman" w:cs="Times New Roman"/>
          <w:i/>
          <w:color w:val="4F81BD" w:themeColor="accent1"/>
          <w:sz w:val="24"/>
          <w:szCs w:val="24"/>
        </w:rPr>
      </w:pPr>
    </w:p>
    <w:p w14:paraId="282631F4" w14:textId="77777777" w:rsidR="00332569" w:rsidRPr="004C1F25" w:rsidRDefault="00332569" w:rsidP="004C1F25">
      <w:pPr>
        <w:pStyle w:val="ListParagraph"/>
        <w:numPr>
          <w:ilvl w:val="2"/>
          <w:numId w:val="32"/>
        </w:numPr>
        <w:tabs>
          <w:tab w:val="left" w:pos="3553"/>
        </w:tabs>
        <w:jc w:val="both"/>
        <w:rPr>
          <w:rFonts w:ascii="Times New Roman" w:eastAsia="Times New Roman" w:hAnsi="Times New Roman" w:cs="Times New Roman"/>
          <w:i/>
          <w:sz w:val="24"/>
          <w:szCs w:val="24"/>
        </w:rPr>
      </w:pPr>
      <w:r w:rsidRPr="004C1F25">
        <w:rPr>
          <w:rFonts w:ascii="Times New Roman" w:eastAsia="Times New Roman" w:hAnsi="Times New Roman" w:cs="Times New Roman"/>
          <w:b/>
          <w:i/>
          <w:sz w:val="24"/>
          <w:szCs w:val="24"/>
        </w:rPr>
        <w:t xml:space="preserve">Prezantimi i përgjithshëm i projektit </w:t>
      </w:r>
    </w:p>
    <w:p w14:paraId="5C573169" w14:textId="77777777" w:rsidR="00BD5E13" w:rsidRDefault="00DB2E8C" w:rsidP="00BD5E13">
      <w:pPr>
        <w:tabs>
          <w:tab w:val="left" w:pos="4320"/>
        </w:tabs>
        <w:spacing w:before="100" w:beforeAutospacing="1" w:after="100" w:afterAutospacing="1"/>
        <w:ind w:left="-90"/>
        <w:jc w:val="both"/>
        <w:rPr>
          <w:rFonts w:ascii="Times New Roman" w:hAnsi="Times New Roman" w:cs="Times New Roman"/>
          <w:sz w:val="24"/>
          <w:szCs w:val="24"/>
          <w:lang w:val="en-US"/>
        </w:rPr>
      </w:pPr>
      <w:r>
        <w:rPr>
          <w:rFonts w:ascii="Times New Roman" w:hAnsi="Times New Roman" w:cs="Times New Roman"/>
          <w:i/>
          <w:noProof/>
          <w:sz w:val="24"/>
          <w:szCs w:val="24"/>
          <w:lang w:val="en-US"/>
        </w:rPr>
        <mc:AlternateContent>
          <mc:Choice Requires="wps">
            <w:drawing>
              <wp:anchor distT="91440" distB="91440" distL="91440" distR="320040" simplePos="0" relativeHeight="251665408" behindDoc="1" locked="0" layoutInCell="1" allowOverlap="1" wp14:anchorId="15139CCF" wp14:editId="2C737097">
                <wp:simplePos x="0" y="0"/>
                <wp:positionH relativeFrom="margin">
                  <wp:posOffset>3272155</wp:posOffset>
                </wp:positionH>
                <wp:positionV relativeFrom="page">
                  <wp:posOffset>2543175</wp:posOffset>
                </wp:positionV>
                <wp:extent cx="3381375" cy="2443480"/>
                <wp:effectExtent l="5080" t="9525" r="13970" b="13970"/>
                <wp:wrapTight wrapText="bothSides">
                  <wp:wrapPolygon edited="0">
                    <wp:start x="-61" y="-84"/>
                    <wp:lineTo x="-61" y="21516"/>
                    <wp:lineTo x="21661" y="21516"/>
                    <wp:lineTo x="21661" y="-84"/>
                    <wp:lineTo x="-61" y="-84"/>
                  </wp:wrapPolygon>
                </wp:wrapTight>
                <wp:docPr id="1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443480"/>
                        </a:xfrm>
                        <a:prstGeom prst="rect">
                          <a:avLst/>
                        </a:prstGeom>
                        <a:pattFill prst="pct50">
                          <a:fgClr>
                            <a:schemeClr val="bg2">
                              <a:lumMod val="100000"/>
                              <a:lumOff val="0"/>
                            </a:schemeClr>
                          </a:fgClr>
                          <a:bgClr>
                            <a:schemeClr val="bg1">
                              <a:lumMod val="100000"/>
                              <a:lumOff val="0"/>
                            </a:schemeClr>
                          </a:bgClr>
                        </a:pattFill>
                        <a:ln w="6350" cap="rnd">
                          <a:solidFill>
                            <a:schemeClr val="bg2">
                              <a:lumMod val="75000"/>
                              <a:lumOff val="0"/>
                            </a:schemeClr>
                          </a:solidFill>
                          <a:miter lim="800000"/>
                          <a:headEnd/>
                          <a:tailEnd/>
                        </a:ln>
                      </wps:spPr>
                      <wps:txbx>
                        <w:txbxContent>
                          <w:p w14:paraId="1AEBD30A" w14:textId="77777777" w:rsidR="0025668C" w:rsidRPr="002A4518" w:rsidRDefault="0025668C" w:rsidP="00332569">
                            <w:pPr>
                              <w:pBdr>
                                <w:left w:val="single" w:sz="80" w:space="3" w:color="7F7F7F" w:themeColor="text1" w:themeTint="80"/>
                                <w:bottom w:val="single" w:sz="8" w:space="14" w:color="7F7F7F" w:themeColor="text1" w:themeTint="80"/>
                              </w:pBdr>
                              <w:spacing w:before="40" w:line="288" w:lineRule="auto"/>
                              <w:jc w:val="both"/>
                              <w:rPr>
                                <w:rFonts w:ascii="Times New Roman" w:hAnsi="Times New Roman" w:cs="Times New Roman"/>
                                <w:b/>
                                <w:i/>
                                <w:color w:val="4A442A" w:themeColor="background2" w:themeShade="40"/>
                                <w:sz w:val="20"/>
                                <w:szCs w:val="20"/>
                              </w:rPr>
                            </w:pPr>
                            <w:r w:rsidRPr="002A4518">
                              <w:rPr>
                                <w:rFonts w:ascii="Times New Roman" w:hAnsi="Times New Roman" w:cs="Times New Roman"/>
                                <w:b/>
                                <w:color w:val="4A442A" w:themeColor="background2" w:themeShade="40"/>
                                <w:sz w:val="20"/>
                                <w:szCs w:val="20"/>
                                <w:lang w:val="en-US"/>
                              </w:rPr>
                              <w:t>Kontrata Koncesionare “</w:t>
                            </w:r>
                            <w:r w:rsidRPr="002A4518">
                              <w:rPr>
                                <w:rFonts w:ascii="Times New Roman" w:hAnsi="Times New Roman" w:cs="Times New Roman"/>
                                <w:b/>
                                <w:i/>
                                <w:color w:val="4A442A" w:themeColor="background2" w:themeShade="40"/>
                                <w:sz w:val="20"/>
                                <w:szCs w:val="20"/>
                                <w:lang w:val="en-US"/>
                              </w:rPr>
                              <w:t>Për</w:t>
                            </w:r>
                            <w:r>
                              <w:rPr>
                                <w:rFonts w:ascii="Times New Roman" w:hAnsi="Times New Roman" w:cs="Times New Roman"/>
                                <w:b/>
                                <w:i/>
                                <w:color w:val="4A442A" w:themeColor="background2" w:themeShade="40"/>
                                <w:sz w:val="20"/>
                                <w:szCs w:val="20"/>
                              </w:rPr>
                              <w:t xml:space="preserve"> n</w:t>
                            </w:r>
                            <w:r w:rsidRPr="002A4518">
                              <w:rPr>
                                <w:rFonts w:ascii="Times New Roman" w:hAnsi="Times New Roman" w:cs="Times New Roman"/>
                                <w:b/>
                                <w:i/>
                                <w:color w:val="4A442A" w:themeColor="background2" w:themeShade="40"/>
                                <w:sz w:val="20"/>
                                <w:szCs w:val="20"/>
                              </w:rPr>
                              <w:t>dërtimin</w:t>
                            </w:r>
                            <w:r>
                              <w:rPr>
                                <w:rFonts w:ascii="Times New Roman" w:hAnsi="Times New Roman" w:cs="Times New Roman"/>
                                <w:b/>
                                <w:i/>
                                <w:color w:val="4A442A" w:themeColor="background2" w:themeShade="40"/>
                                <w:sz w:val="20"/>
                                <w:szCs w:val="20"/>
                              </w:rPr>
                              <w:t xml:space="preserve"> e administrimin e impjantit të trajtimit të mbetjeve urbane të qarkut Fier dhe prodhimin e Energjisë</w:t>
                            </w:r>
                            <w:r w:rsidRPr="002A4518">
                              <w:rPr>
                                <w:rFonts w:ascii="Times New Roman" w:hAnsi="Times New Roman" w:cs="Times New Roman"/>
                                <w:b/>
                                <w:color w:val="4A442A" w:themeColor="background2" w:themeShade="40"/>
                                <w:sz w:val="20"/>
                                <w:szCs w:val="20"/>
                                <w:lang w:val="en-US"/>
                              </w:rPr>
                              <w:t>”</w:t>
                            </w:r>
                          </w:p>
                          <w:p w14:paraId="640BE8DE" w14:textId="77777777" w:rsidR="0025668C"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Pr>
                                <w:rFonts w:ascii="Times New Roman" w:hAnsi="Times New Roman" w:cs="Times New Roman"/>
                                <w:color w:val="000000" w:themeColor="text1"/>
                              </w:rPr>
                              <w:t xml:space="preserve">  Ministria e Infrastrukturës dhe Energjisë</w:t>
                            </w:r>
                          </w:p>
                          <w:p w14:paraId="37F17C5E" w14:textId="77777777" w:rsidR="0025668C" w:rsidRPr="003838B0"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Pr>
                                <w:rFonts w:ascii="Times New Roman" w:hAnsi="Times New Roman" w:cs="Times New Roman"/>
                                <w:color w:val="000000" w:themeColor="text1"/>
                              </w:rPr>
                              <w:t xml:space="preserve"> “Integrated Technology </w:t>
                            </w:r>
                            <w:r w:rsidR="004C1F25">
                              <w:rPr>
                                <w:rFonts w:ascii="Times New Roman" w:hAnsi="Times New Roman" w:cs="Times New Roman"/>
                                <w:color w:val="000000" w:themeColor="text1"/>
                              </w:rPr>
                              <w:t>W</w:t>
                            </w:r>
                            <w:r>
                              <w:rPr>
                                <w:rFonts w:ascii="Times New Roman" w:hAnsi="Times New Roman" w:cs="Times New Roman"/>
                                <w:color w:val="000000" w:themeColor="text1"/>
                              </w:rPr>
                              <w:t xml:space="preserve">aste Treatment Fier </w:t>
                            </w:r>
                            <w:r w:rsidRPr="003838B0">
                              <w:rPr>
                                <w:rFonts w:ascii="Times New Roman" w:hAnsi="Times New Roman" w:cs="Times New Roman"/>
                                <w:color w:val="000000" w:themeColor="text1"/>
                              </w:rPr>
                              <w:t xml:space="preserve">Sh.p.k                              </w:t>
                            </w:r>
                          </w:p>
                          <w:p w14:paraId="463CF552"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3.72 miliardë Lek</w:t>
                            </w:r>
                          </w:p>
                          <w:p w14:paraId="2B9C1618"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30 Nentor 2016</w:t>
                            </w:r>
                          </w:p>
                          <w:p w14:paraId="1E085F40"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6 vjet</w:t>
                            </w:r>
                          </w:p>
                          <w:p w14:paraId="423AED7F"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Ndërtim </w:t>
                            </w:r>
                          </w:p>
                          <w:p w14:paraId="69B5F368" w14:textId="77777777" w:rsidR="0025668C" w:rsidRDefault="0025668C" w:rsidP="00332569">
                            <w:pPr>
                              <w:rPr>
                                <w:color w:val="808080" w:themeColor="background1" w:themeShade="8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C1686" id="Text Box 40" o:spid="_x0000_s1037" type="#_x0000_t202" style="position:absolute;left:0;text-align:left;margin-left:257.65pt;margin-top:200.25pt;width:266.25pt;height:192.4pt;z-index:-251651072;visibility:visible;mso-wrap-style:square;mso-width-percent:0;mso-height-percent:0;mso-wrap-distance-left:7.2pt;mso-wrap-distance-top:7.2pt;mso-wrap-distance-right:25.2pt;mso-wrap-distance-bottom:7.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" fillcolor="#eeece1 [3214]" strokecolor="#c4bc96 [2414]" strokeweight=".5pt">
                <v:fill r:id="rId10" o:title="" color2="white [3212]" type="pattern"/>
                <v:stroke endcap="round"/>
                <v:textbox inset="14.4pt,0,10.8pt,0">
                  <w:txbxContent>
                    <w:p w:rsidR="0025668C" w:rsidRPr="002A4518" w:rsidRDefault="0025668C" w:rsidP="00332569">
                      <w:pPr>
                        <w:pBdr>
                          <w:left w:val="single" w:sz="80" w:space="3" w:color="7F7F7F" w:themeColor="text1" w:themeTint="80"/>
                          <w:bottom w:val="single" w:sz="8" w:space="14" w:color="7F7F7F" w:themeColor="text1" w:themeTint="80"/>
                        </w:pBdr>
                        <w:spacing w:before="40" w:line="288" w:lineRule="auto"/>
                        <w:jc w:val="both"/>
                        <w:rPr>
                          <w:rFonts w:ascii="Times New Roman" w:hAnsi="Times New Roman" w:cs="Times New Roman"/>
                          <w:b/>
                          <w:i/>
                          <w:color w:val="4A442A" w:themeColor="background2" w:themeShade="40"/>
                          <w:sz w:val="20"/>
                          <w:szCs w:val="20"/>
                        </w:rPr>
                      </w:pPr>
                      <w:r w:rsidRPr="002A4518">
                        <w:rPr>
                          <w:rFonts w:ascii="Times New Roman" w:hAnsi="Times New Roman" w:cs="Times New Roman"/>
                          <w:b/>
                          <w:color w:val="4A442A" w:themeColor="background2" w:themeShade="40"/>
                          <w:sz w:val="20"/>
                          <w:szCs w:val="20"/>
                          <w:lang w:val="en-US"/>
                        </w:rPr>
                        <w:t>Kontrata Koncesionare “</w:t>
                      </w:r>
                      <w:r w:rsidRPr="002A4518">
                        <w:rPr>
                          <w:rFonts w:ascii="Times New Roman" w:hAnsi="Times New Roman" w:cs="Times New Roman"/>
                          <w:b/>
                          <w:i/>
                          <w:color w:val="4A442A" w:themeColor="background2" w:themeShade="40"/>
                          <w:sz w:val="20"/>
                          <w:szCs w:val="20"/>
                          <w:lang w:val="en-US"/>
                        </w:rPr>
                        <w:t>Për</w:t>
                      </w:r>
                      <w:r>
                        <w:rPr>
                          <w:rFonts w:ascii="Times New Roman" w:hAnsi="Times New Roman" w:cs="Times New Roman"/>
                          <w:b/>
                          <w:i/>
                          <w:color w:val="4A442A" w:themeColor="background2" w:themeShade="40"/>
                          <w:sz w:val="20"/>
                          <w:szCs w:val="20"/>
                        </w:rPr>
                        <w:t xml:space="preserve"> n</w:t>
                      </w:r>
                      <w:r w:rsidRPr="002A4518">
                        <w:rPr>
                          <w:rFonts w:ascii="Times New Roman" w:hAnsi="Times New Roman" w:cs="Times New Roman"/>
                          <w:b/>
                          <w:i/>
                          <w:color w:val="4A442A" w:themeColor="background2" w:themeShade="40"/>
                          <w:sz w:val="20"/>
                          <w:szCs w:val="20"/>
                        </w:rPr>
                        <w:t>dërtimin</w:t>
                      </w:r>
                      <w:r>
                        <w:rPr>
                          <w:rFonts w:ascii="Times New Roman" w:hAnsi="Times New Roman" w:cs="Times New Roman"/>
                          <w:b/>
                          <w:i/>
                          <w:color w:val="4A442A" w:themeColor="background2" w:themeShade="40"/>
                          <w:sz w:val="20"/>
                          <w:szCs w:val="20"/>
                        </w:rPr>
                        <w:t xml:space="preserve"> e administrimin e impjantit të trajtimit të mbetjeve urbane të qarkut Fier dhe prodhimin e Energjisë</w:t>
                      </w:r>
                      <w:r w:rsidRPr="002A4518">
                        <w:rPr>
                          <w:rFonts w:ascii="Times New Roman" w:hAnsi="Times New Roman" w:cs="Times New Roman"/>
                          <w:b/>
                          <w:color w:val="4A442A" w:themeColor="background2" w:themeShade="40"/>
                          <w:sz w:val="20"/>
                          <w:szCs w:val="20"/>
                          <w:lang w:val="en-US"/>
                        </w:rPr>
                        <w:t>”</w:t>
                      </w:r>
                    </w:p>
                    <w:p w:rsidR="0025668C"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Pr>
                          <w:rFonts w:ascii="Times New Roman" w:hAnsi="Times New Roman" w:cs="Times New Roman"/>
                          <w:color w:val="000000" w:themeColor="text1"/>
                        </w:rPr>
                        <w:t xml:space="preserve">  Ministria e Infrastrukturës dhe Energjisë</w:t>
                      </w:r>
                    </w:p>
                    <w:p w:rsidR="0025668C" w:rsidRPr="003838B0"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Pr>
                          <w:rFonts w:ascii="Times New Roman" w:hAnsi="Times New Roman" w:cs="Times New Roman"/>
                          <w:color w:val="000000" w:themeColor="text1"/>
                        </w:rPr>
                        <w:t xml:space="preserve"> “Integrated Technology </w:t>
                      </w:r>
                      <w:r w:rsidR="004C1F25">
                        <w:rPr>
                          <w:rFonts w:ascii="Times New Roman" w:hAnsi="Times New Roman" w:cs="Times New Roman"/>
                          <w:color w:val="000000" w:themeColor="text1"/>
                        </w:rPr>
                        <w:t>W</w:t>
                      </w:r>
                      <w:r>
                        <w:rPr>
                          <w:rFonts w:ascii="Times New Roman" w:hAnsi="Times New Roman" w:cs="Times New Roman"/>
                          <w:color w:val="000000" w:themeColor="text1"/>
                        </w:rPr>
                        <w:t xml:space="preserve">aste Treatment Fier </w:t>
                      </w:r>
                      <w:r w:rsidRPr="003838B0">
                        <w:rPr>
                          <w:rFonts w:ascii="Times New Roman" w:hAnsi="Times New Roman" w:cs="Times New Roman"/>
                          <w:color w:val="000000" w:themeColor="text1"/>
                        </w:rPr>
                        <w:t xml:space="preserve">Sh.p.k                              </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3.72 miliardë Lek</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30 Nentor 2016</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6 vjet</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Ndërtim </w:t>
                      </w:r>
                    </w:p>
                    <w:p w:rsidR="0025668C" w:rsidRDefault="0025668C" w:rsidP="00332569">
                      <w:pPr>
                        <w:rPr>
                          <w:color w:val="808080" w:themeColor="background1" w:themeShade="80"/>
                        </w:rPr>
                      </w:pPr>
                    </w:p>
                  </w:txbxContent>
                </v:textbox>
                <w10:wrap type="tight" anchorx="margin" anchory="page"/>
              </v:shape>
            </w:pict>
          </mc:Fallback>
        </mc:AlternateContent>
      </w:r>
      <w:r w:rsidR="00623C08" w:rsidRPr="009B6417">
        <w:rPr>
          <w:rFonts w:ascii="Times New Roman" w:eastAsia="Times New Roman" w:hAnsi="Times New Roman" w:cs="Times New Roman"/>
          <w:sz w:val="24"/>
          <w:szCs w:val="24"/>
        </w:rPr>
        <w:t>Ky projekt koncesionar</w:t>
      </w:r>
      <w:r w:rsidR="00DA47E7" w:rsidRPr="009B6417">
        <w:rPr>
          <w:rFonts w:ascii="Times New Roman" w:eastAsia="Times New Roman" w:hAnsi="Times New Roman" w:cs="Times New Roman"/>
          <w:sz w:val="24"/>
          <w:szCs w:val="24"/>
        </w:rPr>
        <w:t xml:space="preserve"> i form</w:t>
      </w:r>
      <w:r w:rsidR="00B85EB6" w:rsidRPr="009B6417">
        <w:rPr>
          <w:rFonts w:ascii="Times New Roman" w:eastAsia="Times New Roman" w:hAnsi="Times New Roman" w:cs="Times New Roman"/>
          <w:sz w:val="24"/>
          <w:szCs w:val="24"/>
        </w:rPr>
        <w:t>ë</w:t>
      </w:r>
      <w:r w:rsidR="00DA47E7" w:rsidRPr="009B6417">
        <w:rPr>
          <w:rFonts w:ascii="Times New Roman" w:eastAsia="Times New Roman" w:hAnsi="Times New Roman" w:cs="Times New Roman"/>
          <w:sz w:val="24"/>
          <w:szCs w:val="24"/>
        </w:rPr>
        <w:t>s BOT</w:t>
      </w:r>
      <w:r w:rsidR="00332569" w:rsidRPr="009B6417">
        <w:rPr>
          <w:rFonts w:ascii="Times New Roman" w:eastAsia="Times New Roman" w:hAnsi="Times New Roman" w:cs="Times New Roman"/>
          <w:sz w:val="24"/>
          <w:szCs w:val="24"/>
        </w:rPr>
        <w:t xml:space="preserve"> </w:t>
      </w:r>
      <w:r w:rsidR="00DA47E7" w:rsidRPr="009B6417">
        <w:rPr>
          <w:rFonts w:ascii="Times New Roman" w:eastAsia="Times New Roman" w:hAnsi="Times New Roman" w:cs="Times New Roman"/>
          <w:sz w:val="24"/>
          <w:szCs w:val="24"/>
        </w:rPr>
        <w:t>i n</w:t>
      </w:r>
      <w:r w:rsidR="00B85EB6" w:rsidRPr="009B6417">
        <w:rPr>
          <w:rFonts w:ascii="Times New Roman" w:eastAsia="Times New Roman" w:hAnsi="Times New Roman" w:cs="Times New Roman"/>
          <w:sz w:val="24"/>
          <w:szCs w:val="24"/>
        </w:rPr>
        <w:t>ë</w:t>
      </w:r>
      <w:r w:rsidR="00623C08" w:rsidRPr="009B6417">
        <w:rPr>
          <w:rFonts w:ascii="Times New Roman" w:eastAsia="Times New Roman" w:hAnsi="Times New Roman" w:cs="Times New Roman"/>
          <w:sz w:val="24"/>
          <w:szCs w:val="24"/>
        </w:rPr>
        <w:t xml:space="preserve">nshkruar mes MIE si Autoritet Kontaktues dhe subjektit “Integrated Technology </w:t>
      </w:r>
      <w:r w:rsidR="004C1F25">
        <w:rPr>
          <w:rFonts w:ascii="Times New Roman" w:eastAsia="Times New Roman" w:hAnsi="Times New Roman" w:cs="Times New Roman"/>
          <w:sz w:val="24"/>
          <w:szCs w:val="24"/>
        </w:rPr>
        <w:t>W</w:t>
      </w:r>
      <w:r w:rsidR="00623C08" w:rsidRPr="009B6417">
        <w:rPr>
          <w:rFonts w:ascii="Times New Roman" w:eastAsia="Times New Roman" w:hAnsi="Times New Roman" w:cs="Times New Roman"/>
          <w:sz w:val="24"/>
          <w:szCs w:val="24"/>
        </w:rPr>
        <w:t>aste Treatment Fier” sh.p.k</w:t>
      </w:r>
      <w:r w:rsidR="00DA47E7" w:rsidRPr="009B6417">
        <w:rPr>
          <w:rFonts w:ascii="Times New Roman" w:eastAsia="Times New Roman" w:hAnsi="Times New Roman" w:cs="Times New Roman"/>
          <w:sz w:val="24"/>
          <w:szCs w:val="24"/>
        </w:rPr>
        <w:t>,</w:t>
      </w:r>
      <w:r w:rsidR="00DA47E7" w:rsidRPr="009B6417">
        <w:rPr>
          <w:rFonts w:ascii="Times New Roman" w:hAnsi="Times New Roman" w:cs="Times New Roman"/>
          <w:color w:val="000000" w:themeColor="text1"/>
          <w:sz w:val="24"/>
          <w:szCs w:val="24"/>
        </w:rPr>
        <w:t xml:space="preserve"> </w:t>
      </w:r>
      <w:r w:rsidR="00332569" w:rsidRPr="009B6417">
        <w:rPr>
          <w:rFonts w:ascii="Times New Roman" w:eastAsia="Times New Roman" w:hAnsi="Times New Roman" w:cs="Times New Roman"/>
          <w:sz w:val="24"/>
          <w:szCs w:val="24"/>
        </w:rPr>
        <w:t xml:space="preserve">ka si </w:t>
      </w:r>
      <w:r w:rsidR="00623C08" w:rsidRPr="009B6417">
        <w:rPr>
          <w:rFonts w:ascii="Times New Roman" w:eastAsia="Times New Roman" w:hAnsi="Times New Roman" w:cs="Times New Roman"/>
          <w:sz w:val="24"/>
          <w:szCs w:val="24"/>
        </w:rPr>
        <w:t>q</w:t>
      </w:r>
      <w:r w:rsidR="00B85EB6" w:rsidRPr="009B6417">
        <w:rPr>
          <w:rFonts w:ascii="Times New Roman" w:eastAsia="Times New Roman" w:hAnsi="Times New Roman" w:cs="Times New Roman"/>
          <w:sz w:val="24"/>
          <w:szCs w:val="24"/>
        </w:rPr>
        <w:t>ë</w:t>
      </w:r>
      <w:r w:rsidR="00623C08" w:rsidRPr="009B6417">
        <w:rPr>
          <w:rFonts w:ascii="Times New Roman" w:eastAsia="Times New Roman" w:hAnsi="Times New Roman" w:cs="Times New Roman"/>
          <w:sz w:val="24"/>
          <w:szCs w:val="24"/>
        </w:rPr>
        <w:t xml:space="preserve">llim </w:t>
      </w:r>
      <w:r w:rsidR="00CF2D84" w:rsidRPr="009B6417">
        <w:rPr>
          <w:rFonts w:ascii="Times New Roman" w:eastAsia="Times New Roman" w:hAnsi="Times New Roman" w:cs="Times New Roman"/>
          <w:sz w:val="24"/>
          <w:szCs w:val="24"/>
        </w:rPr>
        <w:t>f</w:t>
      </w:r>
      <w:r w:rsidR="00DA47E7" w:rsidRPr="009B6417">
        <w:rPr>
          <w:rFonts w:ascii="Times New Roman" w:eastAsia="Times New Roman" w:hAnsi="Times New Roman" w:cs="Times New Roman"/>
          <w:sz w:val="24"/>
          <w:szCs w:val="24"/>
        </w:rPr>
        <w:t>inancimin, projektimin, nd</w:t>
      </w:r>
      <w:r w:rsidR="00B85EB6" w:rsidRPr="009B6417">
        <w:rPr>
          <w:rFonts w:ascii="Times New Roman" w:eastAsia="Times New Roman" w:hAnsi="Times New Roman" w:cs="Times New Roman"/>
          <w:sz w:val="24"/>
          <w:szCs w:val="24"/>
        </w:rPr>
        <w:t>ë</w:t>
      </w:r>
      <w:r w:rsidR="00DA47E7" w:rsidRPr="009B6417">
        <w:rPr>
          <w:rFonts w:ascii="Times New Roman" w:eastAsia="Times New Roman" w:hAnsi="Times New Roman" w:cs="Times New Roman"/>
          <w:sz w:val="24"/>
          <w:szCs w:val="24"/>
        </w:rPr>
        <w:t>rtimin, v</w:t>
      </w:r>
      <w:r w:rsidR="00B85EB6" w:rsidRPr="009B6417">
        <w:rPr>
          <w:rFonts w:ascii="Times New Roman" w:eastAsia="Times New Roman" w:hAnsi="Times New Roman" w:cs="Times New Roman"/>
          <w:sz w:val="24"/>
          <w:szCs w:val="24"/>
        </w:rPr>
        <w:t>ë</w:t>
      </w:r>
      <w:r w:rsidR="00DA47E7" w:rsidRPr="009B6417">
        <w:rPr>
          <w:rFonts w:ascii="Times New Roman" w:eastAsia="Times New Roman" w:hAnsi="Times New Roman" w:cs="Times New Roman"/>
          <w:sz w:val="24"/>
          <w:szCs w:val="24"/>
        </w:rPr>
        <w:t>nien n</w:t>
      </w:r>
      <w:r w:rsidR="00B85EB6" w:rsidRPr="009B6417">
        <w:rPr>
          <w:rFonts w:ascii="Times New Roman" w:eastAsia="Times New Roman" w:hAnsi="Times New Roman" w:cs="Times New Roman"/>
          <w:sz w:val="24"/>
          <w:szCs w:val="24"/>
        </w:rPr>
        <w:t>ë</w:t>
      </w:r>
      <w:r w:rsidR="00DA47E7" w:rsidRPr="009B6417">
        <w:rPr>
          <w:rFonts w:ascii="Times New Roman" w:eastAsia="Times New Roman" w:hAnsi="Times New Roman" w:cs="Times New Roman"/>
          <w:sz w:val="24"/>
          <w:szCs w:val="24"/>
        </w:rPr>
        <w:t xml:space="preserve"> pun</w:t>
      </w:r>
      <w:r w:rsidR="00B85EB6" w:rsidRPr="009B6417">
        <w:rPr>
          <w:rFonts w:ascii="Times New Roman" w:eastAsia="Times New Roman" w:hAnsi="Times New Roman" w:cs="Times New Roman"/>
          <w:sz w:val="24"/>
          <w:szCs w:val="24"/>
        </w:rPr>
        <w:t>ë</w:t>
      </w:r>
      <w:r w:rsidR="00DA47E7" w:rsidRPr="009B6417">
        <w:rPr>
          <w:rFonts w:ascii="Times New Roman" w:eastAsia="Times New Roman" w:hAnsi="Times New Roman" w:cs="Times New Roman"/>
          <w:sz w:val="24"/>
          <w:szCs w:val="24"/>
        </w:rPr>
        <w:t>, administrimin dhe mir</w:t>
      </w:r>
      <w:r w:rsidR="00B85EB6" w:rsidRPr="009B6417">
        <w:rPr>
          <w:rFonts w:ascii="Times New Roman" w:eastAsia="Times New Roman" w:hAnsi="Times New Roman" w:cs="Times New Roman"/>
          <w:sz w:val="24"/>
          <w:szCs w:val="24"/>
        </w:rPr>
        <w:t>ë</w:t>
      </w:r>
      <w:r w:rsidR="00DA47E7" w:rsidRPr="009B6417">
        <w:rPr>
          <w:rFonts w:ascii="Times New Roman" w:eastAsia="Times New Roman" w:hAnsi="Times New Roman" w:cs="Times New Roman"/>
          <w:sz w:val="24"/>
          <w:szCs w:val="24"/>
        </w:rPr>
        <w:t>mbajtjen e impiantit t</w:t>
      </w:r>
      <w:r w:rsidR="00B85EB6" w:rsidRPr="009B6417">
        <w:rPr>
          <w:rFonts w:ascii="Times New Roman" w:eastAsia="Times New Roman" w:hAnsi="Times New Roman" w:cs="Times New Roman"/>
          <w:sz w:val="24"/>
          <w:szCs w:val="24"/>
        </w:rPr>
        <w:t>ë</w:t>
      </w:r>
      <w:r w:rsidR="00DA47E7" w:rsidRPr="009B6417">
        <w:rPr>
          <w:rFonts w:ascii="Times New Roman" w:eastAsia="Times New Roman" w:hAnsi="Times New Roman" w:cs="Times New Roman"/>
          <w:sz w:val="24"/>
          <w:szCs w:val="24"/>
        </w:rPr>
        <w:t xml:space="preserve"> p</w:t>
      </w:r>
      <w:r w:rsidR="00B85EB6" w:rsidRPr="009B6417">
        <w:rPr>
          <w:rFonts w:ascii="Times New Roman" w:eastAsia="Times New Roman" w:hAnsi="Times New Roman" w:cs="Times New Roman"/>
          <w:sz w:val="24"/>
          <w:szCs w:val="24"/>
        </w:rPr>
        <w:t>ë</w:t>
      </w:r>
      <w:r w:rsidR="00DA47E7" w:rsidRPr="009B6417">
        <w:rPr>
          <w:rFonts w:ascii="Times New Roman" w:eastAsia="Times New Roman" w:hAnsi="Times New Roman" w:cs="Times New Roman"/>
          <w:sz w:val="24"/>
          <w:szCs w:val="24"/>
        </w:rPr>
        <w:t>rpunimit t</w:t>
      </w:r>
      <w:r w:rsidR="00B85EB6" w:rsidRPr="009B6417">
        <w:rPr>
          <w:rFonts w:ascii="Times New Roman" w:eastAsia="Times New Roman" w:hAnsi="Times New Roman" w:cs="Times New Roman"/>
          <w:sz w:val="24"/>
          <w:szCs w:val="24"/>
        </w:rPr>
        <w:t>ë</w:t>
      </w:r>
      <w:r w:rsidR="00DA47E7" w:rsidRPr="009B6417">
        <w:rPr>
          <w:rFonts w:ascii="Times New Roman" w:eastAsia="Times New Roman" w:hAnsi="Times New Roman" w:cs="Times New Roman"/>
          <w:sz w:val="24"/>
          <w:szCs w:val="24"/>
        </w:rPr>
        <w:t xml:space="preserve"> mbetjeve t</w:t>
      </w:r>
      <w:r w:rsidR="00B85EB6" w:rsidRPr="009B6417">
        <w:rPr>
          <w:rFonts w:ascii="Times New Roman" w:eastAsia="Times New Roman" w:hAnsi="Times New Roman" w:cs="Times New Roman"/>
          <w:sz w:val="24"/>
          <w:szCs w:val="24"/>
        </w:rPr>
        <w:t>ë</w:t>
      </w:r>
      <w:r w:rsidR="00DA47E7" w:rsidRPr="009B6417">
        <w:rPr>
          <w:rFonts w:ascii="Times New Roman" w:eastAsia="Times New Roman" w:hAnsi="Times New Roman" w:cs="Times New Roman"/>
          <w:sz w:val="24"/>
          <w:szCs w:val="24"/>
        </w:rPr>
        <w:t xml:space="preserve"> Qarkut Fier dhe</w:t>
      </w:r>
      <w:r w:rsidR="006C0C2B" w:rsidRPr="009B6417">
        <w:rPr>
          <w:rFonts w:ascii="Times New Roman" w:eastAsia="Times New Roman" w:hAnsi="Times New Roman" w:cs="Times New Roman"/>
          <w:sz w:val="24"/>
          <w:szCs w:val="24"/>
        </w:rPr>
        <w:t xml:space="preserve"> prodhimin e energjis</w:t>
      </w:r>
      <w:r w:rsidR="00B85EB6" w:rsidRPr="009B6417">
        <w:rPr>
          <w:rFonts w:ascii="Times New Roman" w:eastAsia="Times New Roman" w:hAnsi="Times New Roman" w:cs="Times New Roman"/>
          <w:sz w:val="24"/>
          <w:szCs w:val="24"/>
        </w:rPr>
        <w:t>ë</w:t>
      </w:r>
      <w:r w:rsidR="006C0C2B" w:rsidRPr="009B6417">
        <w:rPr>
          <w:rFonts w:ascii="Times New Roman" w:eastAsia="Times New Roman" w:hAnsi="Times New Roman" w:cs="Times New Roman"/>
          <w:sz w:val="24"/>
          <w:szCs w:val="24"/>
        </w:rPr>
        <w:t>.</w:t>
      </w:r>
      <w:r w:rsidR="000E557D" w:rsidRPr="009B6417">
        <w:rPr>
          <w:rFonts w:ascii="Times New Roman" w:hAnsi="Times New Roman" w:cs="Times New Roman"/>
          <w:sz w:val="24"/>
          <w:szCs w:val="24"/>
        </w:rPr>
        <w:t xml:space="preserve"> </w:t>
      </w:r>
      <w:r w:rsidR="00056B2E" w:rsidRPr="009B6417">
        <w:rPr>
          <w:rFonts w:ascii="Times New Roman" w:hAnsi="Times New Roman" w:cs="Times New Roman"/>
          <w:sz w:val="24"/>
          <w:szCs w:val="24"/>
        </w:rPr>
        <w:t xml:space="preserve">Projekti </w:t>
      </w:r>
      <w:r w:rsidR="00056B2E" w:rsidRPr="009B6417">
        <w:rPr>
          <w:rFonts w:ascii="Times New Roman" w:eastAsia="Times New Roman" w:hAnsi="Times New Roman" w:cs="Times New Roman"/>
          <w:sz w:val="24"/>
          <w:szCs w:val="24"/>
        </w:rPr>
        <w:t xml:space="preserve">ka një kohëzgjatje prej 6 vjetësh dhe kosto totale të investimit prej </w:t>
      </w:r>
      <w:r w:rsidR="00DB2A55" w:rsidRPr="009B6417">
        <w:rPr>
          <w:rFonts w:ascii="Times New Roman" w:eastAsia="Times New Roman" w:hAnsi="Times New Roman" w:cs="Times New Roman"/>
          <w:sz w:val="24"/>
          <w:szCs w:val="24"/>
        </w:rPr>
        <w:t>3.72</w:t>
      </w:r>
      <w:r w:rsidR="00056B2E" w:rsidRPr="009B6417">
        <w:rPr>
          <w:rFonts w:ascii="Times New Roman" w:eastAsia="Times New Roman" w:hAnsi="Times New Roman" w:cs="Times New Roman"/>
          <w:sz w:val="24"/>
          <w:szCs w:val="24"/>
        </w:rPr>
        <w:t xml:space="preserve"> miliardë Lekë. Data efektive e k</w:t>
      </w:r>
      <w:r w:rsidR="00CF2D84" w:rsidRPr="009B6417">
        <w:rPr>
          <w:rFonts w:ascii="Times New Roman" w:eastAsia="Times New Roman" w:hAnsi="Times New Roman" w:cs="Times New Roman"/>
          <w:sz w:val="24"/>
          <w:szCs w:val="24"/>
        </w:rPr>
        <w:t>ë</w:t>
      </w:r>
      <w:r w:rsidR="00056B2E" w:rsidRPr="009B6417">
        <w:rPr>
          <w:rFonts w:ascii="Times New Roman" w:eastAsia="Times New Roman" w:hAnsi="Times New Roman" w:cs="Times New Roman"/>
          <w:sz w:val="24"/>
          <w:szCs w:val="24"/>
        </w:rPr>
        <w:t>saj kontrate është data</w:t>
      </w:r>
      <w:r w:rsidR="00CF2D84" w:rsidRPr="009B6417">
        <w:rPr>
          <w:rFonts w:ascii="Times New Roman" w:eastAsia="Times New Roman" w:hAnsi="Times New Roman" w:cs="Times New Roman"/>
          <w:sz w:val="24"/>
          <w:szCs w:val="24"/>
        </w:rPr>
        <w:t xml:space="preserve"> 30 Nëntor 2016</w:t>
      </w:r>
      <w:r w:rsidR="00056B2E" w:rsidRPr="009B6417">
        <w:rPr>
          <w:rFonts w:ascii="Times New Roman" w:eastAsia="Times New Roman" w:hAnsi="Times New Roman" w:cs="Times New Roman"/>
          <w:sz w:val="24"/>
          <w:szCs w:val="24"/>
        </w:rPr>
        <w:t>.</w:t>
      </w:r>
      <w:r w:rsidR="004D3885">
        <w:rPr>
          <w:rFonts w:ascii="Times New Roman" w:eastAsia="Times New Roman" w:hAnsi="Times New Roman" w:cs="Times New Roman"/>
          <w:sz w:val="24"/>
          <w:szCs w:val="24"/>
        </w:rPr>
        <w:t xml:space="preserve"> </w:t>
      </w:r>
      <w:r w:rsidR="00AF5A7F" w:rsidRPr="009B6417">
        <w:rPr>
          <w:rFonts w:ascii="Times New Roman" w:hAnsi="Times New Roman" w:cs="Times New Roman"/>
          <w:sz w:val="24"/>
          <w:szCs w:val="24"/>
          <w:lang w:val="en-US"/>
        </w:rPr>
        <w:t>Nëpërmjet këtij koncesioni, MIE synon që të japë një zgjidhje të qëndrueshme të problemit të menaxhimit aktual t</w:t>
      </w:r>
      <w:r w:rsidR="003A60D5">
        <w:rPr>
          <w:rFonts w:ascii="Times New Roman" w:hAnsi="Times New Roman" w:cs="Times New Roman"/>
          <w:sz w:val="24"/>
          <w:szCs w:val="24"/>
          <w:lang w:val="en-US"/>
        </w:rPr>
        <w:t xml:space="preserve">ë mbetjeve në qytetin e Fierit dhe </w:t>
      </w:r>
      <w:r w:rsidR="00AF5A7F" w:rsidRPr="009B6417">
        <w:rPr>
          <w:rFonts w:ascii="Times New Roman" w:hAnsi="Times New Roman" w:cs="Times New Roman"/>
          <w:sz w:val="24"/>
          <w:szCs w:val="24"/>
          <w:lang w:val="en-US"/>
        </w:rPr>
        <w:t>në fund të periudhës së këtij koncesi</w:t>
      </w:r>
      <w:r w:rsidR="00CA3D60">
        <w:rPr>
          <w:rFonts w:ascii="Times New Roman" w:hAnsi="Times New Roman" w:cs="Times New Roman"/>
          <w:sz w:val="24"/>
          <w:szCs w:val="24"/>
          <w:lang w:val="en-US"/>
        </w:rPr>
        <w:t>oni</w:t>
      </w:r>
      <w:r w:rsidR="00BD5E13">
        <w:rPr>
          <w:rFonts w:ascii="Times New Roman" w:hAnsi="Times New Roman" w:cs="Times New Roman"/>
          <w:sz w:val="24"/>
          <w:szCs w:val="24"/>
          <w:lang w:val="en-US"/>
        </w:rPr>
        <w:t xml:space="preserve"> </w:t>
      </w:r>
      <w:r w:rsidR="003A60D5">
        <w:rPr>
          <w:rFonts w:ascii="Times New Roman" w:hAnsi="Times New Roman" w:cs="Times New Roman"/>
          <w:sz w:val="24"/>
          <w:szCs w:val="24"/>
          <w:lang w:val="en-US"/>
        </w:rPr>
        <w:t>ky aset i kalohet në pronësi Bashkisë Fier.</w:t>
      </w:r>
    </w:p>
    <w:p w14:paraId="180F65D5" w14:textId="77777777" w:rsidR="00332569" w:rsidRPr="004C1F25" w:rsidRDefault="00332569" w:rsidP="004C1F25">
      <w:pPr>
        <w:pStyle w:val="ListParagraph"/>
        <w:numPr>
          <w:ilvl w:val="2"/>
          <w:numId w:val="32"/>
        </w:numPr>
        <w:tabs>
          <w:tab w:val="left" w:pos="4320"/>
        </w:tabs>
        <w:spacing w:before="100" w:beforeAutospacing="1" w:after="0"/>
        <w:jc w:val="both"/>
        <w:rPr>
          <w:rFonts w:ascii="Times New Roman" w:eastAsia="Times New Roman" w:hAnsi="Times New Roman" w:cs="Times New Roman"/>
          <w:sz w:val="24"/>
          <w:szCs w:val="24"/>
        </w:rPr>
      </w:pPr>
      <w:r w:rsidRPr="004C1F25">
        <w:rPr>
          <w:rFonts w:ascii="Times New Roman" w:eastAsia="Times New Roman" w:hAnsi="Times New Roman" w:cs="Times New Roman"/>
          <w:b/>
          <w:i/>
          <w:sz w:val="24"/>
          <w:szCs w:val="24"/>
        </w:rPr>
        <w:t>Performanca e projektit dhe lloji i financimit</w:t>
      </w:r>
    </w:p>
    <w:p w14:paraId="21C26A4E" w14:textId="77777777" w:rsidR="00BD5E13" w:rsidRDefault="00332569" w:rsidP="003A60D5">
      <w:pPr>
        <w:tabs>
          <w:tab w:val="left" w:pos="3553"/>
        </w:tabs>
        <w:spacing w:after="0"/>
        <w:jc w:val="both"/>
        <w:rPr>
          <w:rFonts w:ascii="Times New Roman" w:eastAsia="Times New Roman" w:hAnsi="Times New Roman" w:cs="Times New Roman"/>
          <w:sz w:val="24"/>
          <w:szCs w:val="24"/>
        </w:rPr>
      </w:pPr>
      <w:r w:rsidRPr="009B6417">
        <w:rPr>
          <w:rFonts w:ascii="Times New Roman" w:eastAsia="Times New Roman" w:hAnsi="Times New Roman" w:cs="Times New Roman"/>
          <w:sz w:val="24"/>
          <w:szCs w:val="24"/>
        </w:rPr>
        <w:t>Aktualisht projekti është në fazën e ndërt</w:t>
      </w:r>
      <w:r w:rsidR="005C27D3" w:rsidRPr="009B6417">
        <w:rPr>
          <w:rFonts w:ascii="Times New Roman" w:eastAsia="Times New Roman" w:hAnsi="Times New Roman" w:cs="Times New Roman"/>
          <w:sz w:val="24"/>
          <w:szCs w:val="24"/>
        </w:rPr>
        <w:t>imit</w:t>
      </w:r>
      <w:r w:rsidR="005251A1" w:rsidRPr="009B6417">
        <w:rPr>
          <w:rFonts w:ascii="Times New Roman" w:eastAsia="Times New Roman" w:hAnsi="Times New Roman" w:cs="Times New Roman"/>
          <w:sz w:val="24"/>
          <w:szCs w:val="24"/>
        </w:rPr>
        <w:t xml:space="preserve"> dhe disbursimet vazhdojn</w:t>
      </w:r>
      <w:r w:rsidR="001B556A" w:rsidRPr="009B6417">
        <w:rPr>
          <w:rFonts w:ascii="Times New Roman" w:eastAsia="Times New Roman" w:hAnsi="Times New Roman" w:cs="Times New Roman"/>
          <w:sz w:val="24"/>
          <w:szCs w:val="24"/>
        </w:rPr>
        <w:t>ë</w:t>
      </w:r>
      <w:r w:rsidR="005251A1" w:rsidRPr="009B6417">
        <w:rPr>
          <w:rFonts w:ascii="Times New Roman" w:eastAsia="Times New Roman" w:hAnsi="Times New Roman" w:cs="Times New Roman"/>
          <w:sz w:val="24"/>
          <w:szCs w:val="24"/>
        </w:rPr>
        <w:t xml:space="preserve"> sipas kontrat</w:t>
      </w:r>
      <w:r w:rsidR="001B556A" w:rsidRPr="009B6417">
        <w:rPr>
          <w:rFonts w:ascii="Times New Roman" w:eastAsia="Times New Roman" w:hAnsi="Times New Roman" w:cs="Times New Roman"/>
          <w:sz w:val="24"/>
          <w:szCs w:val="24"/>
        </w:rPr>
        <w:t>ë</w:t>
      </w:r>
      <w:r w:rsidR="005251A1" w:rsidRPr="009B6417">
        <w:rPr>
          <w:rFonts w:ascii="Times New Roman" w:eastAsia="Times New Roman" w:hAnsi="Times New Roman" w:cs="Times New Roman"/>
          <w:sz w:val="24"/>
          <w:szCs w:val="24"/>
        </w:rPr>
        <w:t>s</w:t>
      </w:r>
      <w:r w:rsidR="003D35C7" w:rsidRPr="009B6417">
        <w:rPr>
          <w:rFonts w:ascii="Times New Roman" w:eastAsia="Times New Roman" w:hAnsi="Times New Roman" w:cs="Times New Roman"/>
          <w:sz w:val="24"/>
          <w:szCs w:val="24"/>
        </w:rPr>
        <w:t>.</w:t>
      </w:r>
      <w:r w:rsidR="00295D58" w:rsidRPr="009B6417">
        <w:rPr>
          <w:rFonts w:ascii="Times New Roman" w:hAnsi="Times New Roman" w:cs="Times New Roman"/>
          <w:sz w:val="24"/>
          <w:szCs w:val="24"/>
        </w:rPr>
        <w:t xml:space="preserve"> </w:t>
      </w:r>
      <w:r w:rsidR="00295D58" w:rsidRPr="009B6417">
        <w:rPr>
          <w:rFonts w:ascii="Times New Roman" w:eastAsia="Times New Roman" w:hAnsi="Times New Roman" w:cs="Times New Roman"/>
          <w:sz w:val="24"/>
          <w:szCs w:val="24"/>
        </w:rPr>
        <w:t xml:space="preserve">Deri më tani janë realizuar 95% e punimeve civile. Problem ngelet instalimi i makinerive dhe pajisjeve elektromekanike si dhe lidhja </w:t>
      </w:r>
      <w:r w:rsidR="00BD5E13">
        <w:rPr>
          <w:rFonts w:ascii="Times New Roman" w:eastAsia="Times New Roman" w:hAnsi="Times New Roman" w:cs="Times New Roman"/>
          <w:sz w:val="24"/>
          <w:szCs w:val="24"/>
        </w:rPr>
        <w:t>me sistemin elektroenergjitik.</w:t>
      </w:r>
    </w:p>
    <w:p w14:paraId="3A750894" w14:textId="77777777" w:rsidR="000F7B0C" w:rsidRDefault="00295D58" w:rsidP="00BD5E13">
      <w:pPr>
        <w:tabs>
          <w:tab w:val="left" w:pos="3553"/>
        </w:tabs>
        <w:spacing w:after="0"/>
        <w:jc w:val="both"/>
        <w:rPr>
          <w:rFonts w:ascii="Times New Roman" w:hAnsi="Times New Roman" w:cs="Times New Roman"/>
          <w:sz w:val="24"/>
          <w:szCs w:val="24"/>
        </w:rPr>
      </w:pPr>
      <w:r w:rsidRPr="009B6417">
        <w:rPr>
          <w:rFonts w:ascii="Times New Roman" w:eastAsia="Times New Roman" w:hAnsi="Times New Roman" w:cs="Times New Roman"/>
          <w:sz w:val="24"/>
          <w:szCs w:val="24"/>
        </w:rPr>
        <w:t>Për</w:t>
      </w:r>
      <w:r w:rsidR="00332569" w:rsidRPr="009B6417">
        <w:rPr>
          <w:rFonts w:ascii="Times New Roman" w:eastAsia="Times New Roman" w:hAnsi="Times New Roman" w:cs="Times New Roman"/>
          <w:sz w:val="24"/>
          <w:szCs w:val="24"/>
        </w:rPr>
        <w:t xml:space="preserve"> këtë projekt është projektuar mbështetja buxhetore me vlerë prej </w:t>
      </w:r>
      <w:r w:rsidR="00AE5915" w:rsidRPr="009B6417">
        <w:rPr>
          <w:rFonts w:ascii="Times New Roman" w:hAnsi="Times New Roman" w:cs="Times New Roman"/>
          <w:sz w:val="24"/>
          <w:szCs w:val="24"/>
        </w:rPr>
        <w:t>4.5</w:t>
      </w:r>
      <w:r w:rsidR="00AE5915" w:rsidRPr="009B6417">
        <w:rPr>
          <w:rFonts w:ascii="Times New Roman" w:hAnsi="Times New Roman" w:cs="Times New Roman"/>
          <w:b/>
          <w:sz w:val="24"/>
          <w:szCs w:val="24"/>
        </w:rPr>
        <w:t xml:space="preserve"> </w:t>
      </w:r>
      <w:r w:rsidR="00332569" w:rsidRPr="009B6417">
        <w:rPr>
          <w:rFonts w:ascii="Times New Roman" w:eastAsia="Times New Roman" w:hAnsi="Times New Roman" w:cs="Times New Roman"/>
          <w:sz w:val="24"/>
          <w:szCs w:val="24"/>
        </w:rPr>
        <w:t>miliardë lekë përgjatë gjithë kohëzgjatjes së projektit</w:t>
      </w:r>
      <w:r w:rsidR="00860DFF" w:rsidRPr="009B6417">
        <w:rPr>
          <w:rFonts w:ascii="Times New Roman" w:eastAsia="Times New Roman" w:hAnsi="Times New Roman" w:cs="Times New Roman"/>
          <w:sz w:val="24"/>
          <w:szCs w:val="24"/>
        </w:rPr>
        <w:t xml:space="preserve">. </w:t>
      </w:r>
      <w:r w:rsidR="00860DFF" w:rsidRPr="009B6417">
        <w:rPr>
          <w:rFonts w:ascii="Times New Roman" w:hAnsi="Times New Roman" w:cs="Times New Roman"/>
          <w:sz w:val="24"/>
          <w:szCs w:val="24"/>
        </w:rPr>
        <w:t>Pagesat buxh</w:t>
      </w:r>
      <w:r w:rsidR="00EE0E34">
        <w:rPr>
          <w:rFonts w:ascii="Times New Roman" w:hAnsi="Times New Roman" w:cs="Times New Roman"/>
          <w:sz w:val="24"/>
          <w:szCs w:val="24"/>
        </w:rPr>
        <w:t>etore kanë filluar në 2017</w:t>
      </w:r>
      <w:r w:rsidR="00860DFF" w:rsidRPr="009B6417">
        <w:rPr>
          <w:rFonts w:ascii="Times New Roman" w:hAnsi="Times New Roman" w:cs="Times New Roman"/>
          <w:sz w:val="24"/>
          <w:szCs w:val="24"/>
        </w:rPr>
        <w:t>, me kohëzgjatje 6 vjet (</w:t>
      </w:r>
      <w:r w:rsidR="00DB2A55" w:rsidRPr="009B6417">
        <w:rPr>
          <w:rFonts w:ascii="Times New Roman" w:hAnsi="Times New Roman" w:cs="Times New Roman"/>
          <w:sz w:val="24"/>
          <w:szCs w:val="24"/>
        </w:rPr>
        <w:t>201</w:t>
      </w:r>
      <w:r w:rsidR="00941C3B">
        <w:rPr>
          <w:rFonts w:ascii="Times New Roman" w:hAnsi="Times New Roman" w:cs="Times New Roman"/>
          <w:sz w:val="24"/>
          <w:szCs w:val="24"/>
        </w:rPr>
        <w:t>7</w:t>
      </w:r>
      <w:r w:rsidR="0024371E">
        <w:rPr>
          <w:rFonts w:ascii="Times New Roman" w:hAnsi="Times New Roman" w:cs="Times New Roman"/>
          <w:sz w:val="24"/>
          <w:szCs w:val="24"/>
        </w:rPr>
        <w:t>-2023). Pagesat faktike të vitit</w:t>
      </w:r>
      <w:r w:rsidR="00397048" w:rsidRPr="009B6417">
        <w:rPr>
          <w:rFonts w:ascii="Times New Roman" w:hAnsi="Times New Roman" w:cs="Times New Roman"/>
          <w:sz w:val="24"/>
          <w:szCs w:val="24"/>
        </w:rPr>
        <w:t xml:space="preserve"> 2019 janë në masën rreth </w:t>
      </w:r>
      <w:r w:rsidR="0024371E">
        <w:rPr>
          <w:rFonts w:ascii="Times New Roman" w:hAnsi="Times New Roman" w:cs="Times New Roman"/>
          <w:sz w:val="24"/>
          <w:szCs w:val="24"/>
        </w:rPr>
        <w:t>752,7</w:t>
      </w:r>
      <w:r w:rsidR="00860DFF" w:rsidRPr="009B6417">
        <w:rPr>
          <w:rFonts w:ascii="Times New Roman" w:hAnsi="Times New Roman" w:cs="Times New Roman"/>
          <w:sz w:val="24"/>
          <w:szCs w:val="24"/>
        </w:rPr>
        <w:t xml:space="preserve"> milion</w:t>
      </w:r>
      <w:r w:rsidR="00DB2A55" w:rsidRPr="009B6417">
        <w:rPr>
          <w:rFonts w:ascii="Times New Roman" w:hAnsi="Times New Roman" w:cs="Times New Roman"/>
          <w:sz w:val="24"/>
          <w:szCs w:val="24"/>
        </w:rPr>
        <w:t>ë</w:t>
      </w:r>
      <w:r w:rsidR="00860DFF" w:rsidRPr="009B6417">
        <w:rPr>
          <w:rFonts w:ascii="Times New Roman" w:hAnsi="Times New Roman" w:cs="Times New Roman"/>
          <w:sz w:val="24"/>
          <w:szCs w:val="24"/>
        </w:rPr>
        <w:t xml:space="preserve"> lekë, duke rezultuar me një realizim prej </w:t>
      </w:r>
      <w:r w:rsidR="0024371E">
        <w:rPr>
          <w:rFonts w:ascii="Times New Roman" w:hAnsi="Times New Roman" w:cs="Times New Roman"/>
          <w:sz w:val="24"/>
          <w:szCs w:val="24"/>
        </w:rPr>
        <w:t>100</w:t>
      </w:r>
      <w:r w:rsidR="00CA0BAB" w:rsidRPr="009B6417">
        <w:rPr>
          <w:rFonts w:ascii="Times New Roman" w:hAnsi="Times New Roman" w:cs="Times New Roman"/>
          <w:sz w:val="24"/>
          <w:szCs w:val="24"/>
        </w:rPr>
        <w:t xml:space="preserve">% </w:t>
      </w:r>
      <w:r w:rsidR="00CC5C49" w:rsidRPr="009B6417">
        <w:rPr>
          <w:rFonts w:ascii="Times New Roman" w:hAnsi="Times New Roman" w:cs="Times New Roman"/>
          <w:sz w:val="24"/>
          <w:szCs w:val="24"/>
        </w:rPr>
        <w:t>përqind</w:t>
      </w:r>
      <w:r w:rsidR="0024371E">
        <w:rPr>
          <w:rFonts w:ascii="Times New Roman" w:hAnsi="Times New Roman" w:cs="Times New Roman"/>
          <w:sz w:val="24"/>
          <w:szCs w:val="24"/>
        </w:rPr>
        <w:t xml:space="preserve"> nga plani vjetor 2019.</w:t>
      </w:r>
    </w:p>
    <w:p w14:paraId="36D6F23A" w14:textId="77777777" w:rsidR="00B84C88" w:rsidRPr="00BD5E13" w:rsidRDefault="00B84C88" w:rsidP="00BD5E13">
      <w:pPr>
        <w:tabs>
          <w:tab w:val="left" w:pos="3553"/>
        </w:tabs>
        <w:spacing w:after="0"/>
        <w:jc w:val="both"/>
        <w:rPr>
          <w:rFonts w:ascii="Times New Roman" w:eastAsia="Times New Roman" w:hAnsi="Times New Roman" w:cs="Times New Roman"/>
          <w:sz w:val="24"/>
          <w:szCs w:val="24"/>
        </w:rPr>
      </w:pPr>
    </w:p>
    <w:p w14:paraId="6F177A74" w14:textId="77777777" w:rsidR="00332569" w:rsidRPr="009B6417" w:rsidRDefault="0052775C" w:rsidP="006B6D4D">
      <w:pPr>
        <w:pStyle w:val="Caption"/>
      </w:pPr>
      <w:bookmarkStart w:id="51" w:name="_Toc40422393"/>
      <w:r w:rsidRPr="009B6417">
        <w:t xml:space="preserve">Tabela </w:t>
      </w:r>
      <w:r w:rsidR="00E54EC8">
        <w:fldChar w:fldCharType="begin"/>
      </w:r>
      <w:r w:rsidR="00815B1B">
        <w:instrText xml:space="preserve"> SEQ Tabela \* ARABIC </w:instrText>
      </w:r>
      <w:r w:rsidR="00E54EC8">
        <w:fldChar w:fldCharType="separate"/>
      </w:r>
      <w:r w:rsidR="00F20848">
        <w:rPr>
          <w:noProof/>
        </w:rPr>
        <w:t>10</w:t>
      </w:r>
      <w:r w:rsidR="00E54EC8">
        <w:rPr>
          <w:noProof/>
        </w:rPr>
        <w:fldChar w:fldCharType="end"/>
      </w:r>
      <w:r w:rsidR="00332569" w:rsidRPr="009B6417">
        <w:t>: Pagesat Buxhetore për projektin “Inceneratori i</w:t>
      </w:r>
      <w:r w:rsidR="00773C2C" w:rsidRPr="009B6417">
        <w:t xml:space="preserve"> Fierit</w:t>
      </w:r>
      <w:r w:rsidR="00332569" w:rsidRPr="009B6417">
        <w:t>”</w:t>
      </w:r>
      <w:bookmarkEnd w:id="51"/>
    </w:p>
    <w:tbl>
      <w:tblPr>
        <w:tblStyle w:val="PlainTable1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98"/>
        <w:gridCol w:w="1053"/>
        <w:gridCol w:w="1307"/>
        <w:gridCol w:w="1260"/>
        <w:gridCol w:w="1350"/>
        <w:gridCol w:w="1710"/>
        <w:gridCol w:w="1597"/>
      </w:tblGrid>
      <w:tr w:rsidR="003E58C7" w:rsidRPr="003C2F4F" w14:paraId="485D9DC8" w14:textId="77777777" w:rsidTr="00B401FF">
        <w:trPr>
          <w:cnfStyle w:val="100000000000" w:firstRow="1" w:lastRow="0" w:firstColumn="0" w:lastColumn="0" w:oddVBand="0" w:evenVBand="0" w:oddHBand="0" w:evenHBand="0" w:firstRowFirstColumn="0" w:firstRowLastColumn="0" w:lastRowFirstColumn="0" w:lastRowLastColumn="0"/>
          <w:trHeight w:hRule="exact" w:val="253"/>
        </w:trPr>
        <w:tc>
          <w:tcPr>
            <w:tcW w:w="1798" w:type="dxa"/>
            <w:vMerge w:val="restart"/>
            <w:shd w:val="clear" w:color="auto" w:fill="DDD9C3" w:themeFill="background2" w:themeFillShade="E6"/>
            <w:hideMark/>
          </w:tcPr>
          <w:p w14:paraId="72C196BE" w14:textId="77777777" w:rsidR="003E58C7" w:rsidRPr="001173AF" w:rsidRDefault="003E58C7" w:rsidP="00631E0E">
            <w:pPr>
              <w:pStyle w:val="NoSpacing"/>
              <w:spacing w:line="276" w:lineRule="auto"/>
              <w:jc w:val="both"/>
              <w:rPr>
                <w:rFonts w:ascii="Times New Roman" w:hAnsi="Times New Roman" w:cs="Times New Roman"/>
                <w:i/>
                <w:sz w:val="20"/>
                <w:szCs w:val="24"/>
                <w:lang w:val="sq-AL"/>
              </w:rPr>
            </w:pPr>
            <w:r w:rsidRPr="001173AF">
              <w:rPr>
                <w:rFonts w:ascii="Times New Roman" w:hAnsi="Times New Roman" w:cs="Times New Roman"/>
                <w:i/>
                <w:sz w:val="20"/>
                <w:szCs w:val="24"/>
                <w:lang w:val="sq-AL"/>
              </w:rPr>
              <w:t>Viti</w:t>
            </w:r>
          </w:p>
        </w:tc>
        <w:tc>
          <w:tcPr>
            <w:tcW w:w="2360" w:type="dxa"/>
            <w:gridSpan w:val="2"/>
            <w:shd w:val="clear" w:color="auto" w:fill="DDD9C3" w:themeFill="background2" w:themeFillShade="E6"/>
            <w:hideMark/>
          </w:tcPr>
          <w:p w14:paraId="07C0F8BA" w14:textId="77777777" w:rsidR="003E58C7" w:rsidRPr="001173AF" w:rsidRDefault="003E58C7" w:rsidP="00631E0E">
            <w:pPr>
              <w:pStyle w:val="NoSpacing"/>
              <w:spacing w:line="276" w:lineRule="auto"/>
              <w:jc w:val="center"/>
              <w:rPr>
                <w:rFonts w:ascii="Times New Roman" w:hAnsi="Times New Roman" w:cs="Times New Roman"/>
                <w:i/>
                <w:sz w:val="20"/>
                <w:szCs w:val="24"/>
                <w:lang w:val="sq-AL"/>
              </w:rPr>
            </w:pPr>
            <w:r w:rsidRPr="001173AF">
              <w:rPr>
                <w:rFonts w:ascii="Times New Roman" w:hAnsi="Times New Roman" w:cs="Times New Roman"/>
                <w:i/>
                <w:sz w:val="20"/>
                <w:szCs w:val="24"/>
                <w:lang w:val="sq-AL"/>
              </w:rPr>
              <w:t>2018</w:t>
            </w:r>
          </w:p>
        </w:tc>
        <w:tc>
          <w:tcPr>
            <w:tcW w:w="2610" w:type="dxa"/>
            <w:gridSpan w:val="2"/>
            <w:shd w:val="clear" w:color="auto" w:fill="DDD9C3" w:themeFill="background2" w:themeFillShade="E6"/>
            <w:hideMark/>
          </w:tcPr>
          <w:p w14:paraId="1112BB3C" w14:textId="77777777" w:rsidR="003E58C7" w:rsidRPr="001173AF" w:rsidRDefault="003E58C7" w:rsidP="00631E0E">
            <w:pPr>
              <w:pStyle w:val="NoSpacing"/>
              <w:spacing w:line="276" w:lineRule="auto"/>
              <w:jc w:val="center"/>
              <w:rPr>
                <w:rFonts w:ascii="Times New Roman" w:hAnsi="Times New Roman" w:cs="Times New Roman"/>
                <w:i/>
                <w:sz w:val="20"/>
                <w:szCs w:val="24"/>
                <w:lang w:val="sq-AL"/>
              </w:rPr>
            </w:pPr>
            <w:r w:rsidRPr="001173AF">
              <w:rPr>
                <w:rFonts w:ascii="Times New Roman" w:hAnsi="Times New Roman" w:cs="Times New Roman"/>
                <w:i/>
                <w:sz w:val="20"/>
                <w:szCs w:val="24"/>
                <w:lang w:val="sq-AL"/>
              </w:rPr>
              <w:t>2019</w:t>
            </w:r>
          </w:p>
        </w:tc>
        <w:tc>
          <w:tcPr>
            <w:tcW w:w="1710" w:type="dxa"/>
            <w:shd w:val="clear" w:color="auto" w:fill="DDD9C3" w:themeFill="background2" w:themeFillShade="E6"/>
            <w:hideMark/>
          </w:tcPr>
          <w:p w14:paraId="16A5A11A" w14:textId="77777777" w:rsidR="003E58C7" w:rsidRPr="001173AF" w:rsidRDefault="003E58C7" w:rsidP="00DB2A55">
            <w:pPr>
              <w:pStyle w:val="NoSpacing"/>
              <w:spacing w:line="276" w:lineRule="auto"/>
              <w:jc w:val="center"/>
              <w:rPr>
                <w:rFonts w:ascii="Times New Roman" w:hAnsi="Times New Roman" w:cs="Times New Roman"/>
                <w:i/>
                <w:sz w:val="20"/>
                <w:szCs w:val="24"/>
                <w:lang w:val="sq-AL"/>
              </w:rPr>
            </w:pPr>
            <w:r w:rsidRPr="001173AF">
              <w:rPr>
                <w:rFonts w:ascii="Times New Roman" w:hAnsi="Times New Roman" w:cs="Times New Roman"/>
                <w:i/>
                <w:sz w:val="20"/>
                <w:szCs w:val="24"/>
                <w:lang w:val="sq-AL"/>
              </w:rPr>
              <w:t>2020</w:t>
            </w:r>
          </w:p>
          <w:p w14:paraId="6B220DAD" w14:textId="77777777" w:rsidR="003E58C7" w:rsidRPr="001173AF" w:rsidRDefault="003E58C7" w:rsidP="00DB2A55">
            <w:pPr>
              <w:pStyle w:val="NoSpacing"/>
              <w:spacing w:line="276" w:lineRule="auto"/>
              <w:jc w:val="center"/>
              <w:rPr>
                <w:rFonts w:ascii="Times New Roman" w:hAnsi="Times New Roman" w:cs="Times New Roman"/>
                <w:i/>
                <w:sz w:val="20"/>
                <w:szCs w:val="24"/>
                <w:lang w:val="sq-AL"/>
              </w:rPr>
            </w:pPr>
          </w:p>
          <w:p w14:paraId="14739EA3" w14:textId="77777777" w:rsidR="003E58C7" w:rsidRPr="001173AF" w:rsidRDefault="003E58C7" w:rsidP="00DB2A55">
            <w:pPr>
              <w:pStyle w:val="NoSpacing"/>
              <w:spacing w:line="276" w:lineRule="auto"/>
              <w:jc w:val="center"/>
              <w:rPr>
                <w:rFonts w:ascii="Times New Roman" w:hAnsi="Times New Roman" w:cs="Times New Roman"/>
                <w:i/>
                <w:sz w:val="20"/>
                <w:szCs w:val="24"/>
                <w:lang w:val="sq-AL"/>
              </w:rPr>
            </w:pPr>
          </w:p>
        </w:tc>
        <w:tc>
          <w:tcPr>
            <w:tcW w:w="1597" w:type="dxa"/>
            <w:shd w:val="clear" w:color="auto" w:fill="DDD9C3" w:themeFill="background2" w:themeFillShade="E6"/>
            <w:hideMark/>
          </w:tcPr>
          <w:p w14:paraId="32997F33" w14:textId="77777777" w:rsidR="003E58C7" w:rsidRPr="001173AF" w:rsidRDefault="003E58C7" w:rsidP="00DB2A55">
            <w:pPr>
              <w:pStyle w:val="NoSpacing"/>
              <w:spacing w:line="276" w:lineRule="auto"/>
              <w:jc w:val="center"/>
              <w:rPr>
                <w:rFonts w:ascii="Times New Roman" w:hAnsi="Times New Roman" w:cs="Times New Roman"/>
                <w:i/>
                <w:sz w:val="20"/>
                <w:szCs w:val="24"/>
                <w:lang w:val="sq-AL"/>
              </w:rPr>
            </w:pPr>
            <w:r w:rsidRPr="001173AF">
              <w:rPr>
                <w:rFonts w:ascii="Times New Roman" w:hAnsi="Times New Roman" w:cs="Times New Roman"/>
                <w:i/>
                <w:sz w:val="20"/>
                <w:szCs w:val="24"/>
                <w:lang w:val="sq-AL"/>
              </w:rPr>
              <w:t>2021</w:t>
            </w:r>
          </w:p>
          <w:p w14:paraId="45B192E8" w14:textId="77777777" w:rsidR="003E58C7" w:rsidRPr="001173AF" w:rsidRDefault="003E58C7" w:rsidP="00DB2A55">
            <w:pPr>
              <w:pStyle w:val="NoSpacing"/>
              <w:spacing w:line="276" w:lineRule="auto"/>
              <w:jc w:val="center"/>
              <w:rPr>
                <w:rFonts w:ascii="Times New Roman" w:hAnsi="Times New Roman" w:cs="Times New Roman"/>
                <w:i/>
                <w:sz w:val="20"/>
                <w:szCs w:val="24"/>
                <w:lang w:val="sq-AL"/>
              </w:rPr>
            </w:pPr>
          </w:p>
        </w:tc>
      </w:tr>
      <w:tr w:rsidR="003E58C7" w:rsidRPr="003C2F4F" w14:paraId="087EC7D3" w14:textId="77777777" w:rsidTr="00B401FF">
        <w:trPr>
          <w:cnfStyle w:val="000000100000" w:firstRow="0" w:lastRow="0" w:firstColumn="0" w:lastColumn="0" w:oddVBand="0" w:evenVBand="0" w:oddHBand="1" w:evenHBand="0" w:firstRowFirstColumn="0" w:firstRowLastColumn="0" w:lastRowFirstColumn="0" w:lastRowLastColumn="0"/>
          <w:trHeight w:val="242"/>
        </w:trPr>
        <w:tc>
          <w:tcPr>
            <w:tcW w:w="1798" w:type="dxa"/>
            <w:vMerge/>
            <w:shd w:val="clear" w:color="auto" w:fill="DDD9C3" w:themeFill="background2" w:themeFillShade="E6"/>
          </w:tcPr>
          <w:p w14:paraId="4A7AD0C8" w14:textId="77777777" w:rsidR="003E58C7" w:rsidRPr="001173AF" w:rsidRDefault="003E58C7" w:rsidP="00631E0E">
            <w:pPr>
              <w:pStyle w:val="NoSpacing"/>
              <w:spacing w:line="276" w:lineRule="auto"/>
              <w:jc w:val="both"/>
              <w:rPr>
                <w:rFonts w:ascii="Times New Roman" w:hAnsi="Times New Roman" w:cs="Times New Roman"/>
                <w:i/>
                <w:sz w:val="20"/>
                <w:szCs w:val="24"/>
                <w:lang w:val="sq-AL"/>
              </w:rPr>
            </w:pPr>
          </w:p>
        </w:tc>
        <w:tc>
          <w:tcPr>
            <w:tcW w:w="1053" w:type="dxa"/>
            <w:shd w:val="clear" w:color="auto" w:fill="DDD9C3" w:themeFill="background2" w:themeFillShade="E6"/>
          </w:tcPr>
          <w:p w14:paraId="64A85B4D" w14:textId="77777777" w:rsidR="003E58C7" w:rsidRPr="001173AF" w:rsidRDefault="003E58C7" w:rsidP="00631E0E">
            <w:pPr>
              <w:pStyle w:val="NoSpacing"/>
              <w:spacing w:line="276" w:lineRule="auto"/>
              <w:jc w:val="both"/>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Plan</w:t>
            </w:r>
          </w:p>
        </w:tc>
        <w:tc>
          <w:tcPr>
            <w:tcW w:w="1307" w:type="dxa"/>
            <w:shd w:val="clear" w:color="auto" w:fill="DDD9C3" w:themeFill="background2" w:themeFillShade="E6"/>
          </w:tcPr>
          <w:p w14:paraId="29C3803A" w14:textId="77777777" w:rsidR="003E58C7" w:rsidRPr="001173AF" w:rsidRDefault="003E58C7" w:rsidP="00631E0E">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Fakt</w:t>
            </w:r>
          </w:p>
        </w:tc>
        <w:tc>
          <w:tcPr>
            <w:tcW w:w="1260" w:type="dxa"/>
            <w:shd w:val="clear" w:color="auto" w:fill="DDD9C3" w:themeFill="background2" w:themeFillShade="E6"/>
          </w:tcPr>
          <w:p w14:paraId="4C1AF016" w14:textId="77777777" w:rsidR="003E58C7" w:rsidRPr="001173AF" w:rsidRDefault="003E58C7" w:rsidP="00631E0E">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Plan</w:t>
            </w:r>
          </w:p>
        </w:tc>
        <w:tc>
          <w:tcPr>
            <w:tcW w:w="1350" w:type="dxa"/>
            <w:shd w:val="clear" w:color="auto" w:fill="DDD9C3" w:themeFill="background2" w:themeFillShade="E6"/>
          </w:tcPr>
          <w:p w14:paraId="40794C9E" w14:textId="77777777" w:rsidR="003E58C7" w:rsidRPr="001173AF" w:rsidRDefault="0024371E" w:rsidP="0024371E">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Fakt</w:t>
            </w:r>
          </w:p>
        </w:tc>
        <w:tc>
          <w:tcPr>
            <w:tcW w:w="1710" w:type="dxa"/>
            <w:shd w:val="clear" w:color="auto" w:fill="DDD9C3" w:themeFill="background2" w:themeFillShade="E6"/>
          </w:tcPr>
          <w:p w14:paraId="087D0DF6" w14:textId="77777777" w:rsidR="003E58C7" w:rsidRPr="001173AF" w:rsidRDefault="003E58C7" w:rsidP="00631E0E">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Projektuar</w:t>
            </w:r>
          </w:p>
        </w:tc>
        <w:tc>
          <w:tcPr>
            <w:tcW w:w="1597" w:type="dxa"/>
            <w:shd w:val="clear" w:color="auto" w:fill="DDD9C3" w:themeFill="background2" w:themeFillShade="E6"/>
          </w:tcPr>
          <w:p w14:paraId="408D5190" w14:textId="77777777" w:rsidR="003E58C7" w:rsidRPr="001173AF" w:rsidRDefault="003E58C7" w:rsidP="00631E0E">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Projektuar</w:t>
            </w:r>
          </w:p>
        </w:tc>
      </w:tr>
      <w:tr w:rsidR="003E58C7" w:rsidRPr="003C2F4F" w14:paraId="1D8D2E65" w14:textId="77777777" w:rsidTr="00B401FF">
        <w:trPr>
          <w:trHeight w:val="422"/>
        </w:trPr>
        <w:tc>
          <w:tcPr>
            <w:tcW w:w="1798" w:type="dxa"/>
            <w:shd w:val="clear" w:color="auto" w:fill="EEECE1" w:themeFill="background2"/>
            <w:hideMark/>
          </w:tcPr>
          <w:p w14:paraId="02C49A36" w14:textId="77777777" w:rsidR="003E58C7" w:rsidRPr="001173AF" w:rsidRDefault="003E58C7" w:rsidP="00631E0E">
            <w:pPr>
              <w:pStyle w:val="NoSpacing"/>
              <w:spacing w:line="276" w:lineRule="auto"/>
              <w:jc w:val="both"/>
              <w:rPr>
                <w:rFonts w:ascii="Times New Roman" w:hAnsi="Times New Roman" w:cs="Times New Roman"/>
                <w:b/>
                <w:i/>
                <w:sz w:val="20"/>
                <w:szCs w:val="24"/>
                <w:lang w:val="sq-AL"/>
              </w:rPr>
            </w:pPr>
            <w:r w:rsidRPr="001173AF">
              <w:rPr>
                <w:rFonts w:ascii="Times New Roman" w:hAnsi="Times New Roman" w:cs="Times New Roman"/>
                <w:b/>
                <w:bCs/>
                <w:i/>
                <w:sz w:val="20"/>
                <w:szCs w:val="24"/>
                <w:lang w:val="sq-AL"/>
              </w:rPr>
              <w:t>Pagesat Buxhetore (në mijë lekë)</w:t>
            </w:r>
          </w:p>
        </w:tc>
        <w:tc>
          <w:tcPr>
            <w:tcW w:w="1053" w:type="dxa"/>
            <w:shd w:val="clear" w:color="auto" w:fill="EEECE1" w:themeFill="background2"/>
            <w:hideMark/>
          </w:tcPr>
          <w:p w14:paraId="4B5CB1B4" w14:textId="77777777" w:rsidR="003E58C7" w:rsidRPr="001173AF" w:rsidRDefault="00E03442" w:rsidP="00B401FF">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752,772</w:t>
            </w:r>
          </w:p>
        </w:tc>
        <w:tc>
          <w:tcPr>
            <w:tcW w:w="1307" w:type="dxa"/>
            <w:shd w:val="clear" w:color="auto" w:fill="EEECE1" w:themeFill="background2"/>
          </w:tcPr>
          <w:p w14:paraId="3E1A270D" w14:textId="77777777" w:rsidR="003E58C7" w:rsidRPr="001173AF" w:rsidRDefault="00E03442" w:rsidP="00B401FF">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752,771</w:t>
            </w:r>
          </w:p>
        </w:tc>
        <w:tc>
          <w:tcPr>
            <w:tcW w:w="1260" w:type="dxa"/>
            <w:shd w:val="clear" w:color="auto" w:fill="EEECE1" w:themeFill="background2"/>
            <w:hideMark/>
          </w:tcPr>
          <w:p w14:paraId="0C58F458" w14:textId="77777777" w:rsidR="003E58C7" w:rsidRPr="001173AF" w:rsidRDefault="00E03442" w:rsidP="00B401FF">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752</w:t>
            </w:r>
            <w:r w:rsidR="001C5C04" w:rsidRPr="001173AF">
              <w:rPr>
                <w:rFonts w:ascii="Times New Roman" w:hAnsi="Times New Roman" w:cs="Times New Roman"/>
                <w:b/>
                <w:i/>
                <w:sz w:val="20"/>
                <w:szCs w:val="24"/>
                <w:lang w:val="sq-AL"/>
              </w:rPr>
              <w:t>,</w:t>
            </w:r>
            <w:r w:rsidRPr="001173AF">
              <w:rPr>
                <w:rFonts w:ascii="Times New Roman" w:hAnsi="Times New Roman" w:cs="Times New Roman"/>
                <w:b/>
                <w:i/>
                <w:sz w:val="20"/>
                <w:szCs w:val="24"/>
                <w:lang w:val="sq-AL"/>
              </w:rPr>
              <w:t>772</w:t>
            </w:r>
          </w:p>
        </w:tc>
        <w:tc>
          <w:tcPr>
            <w:tcW w:w="1350" w:type="dxa"/>
            <w:shd w:val="clear" w:color="auto" w:fill="EEECE1" w:themeFill="background2"/>
          </w:tcPr>
          <w:p w14:paraId="4BA2868C" w14:textId="77777777" w:rsidR="003E58C7" w:rsidRPr="001173AF" w:rsidRDefault="0024371E" w:rsidP="00B401FF">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725,770</w:t>
            </w:r>
          </w:p>
        </w:tc>
        <w:tc>
          <w:tcPr>
            <w:tcW w:w="1710" w:type="dxa"/>
            <w:shd w:val="clear" w:color="auto" w:fill="EEECE1" w:themeFill="background2"/>
            <w:hideMark/>
          </w:tcPr>
          <w:p w14:paraId="351073A4" w14:textId="77777777" w:rsidR="003E58C7" w:rsidRPr="001173AF" w:rsidRDefault="005604A0" w:rsidP="00B401FF">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752,770</w:t>
            </w:r>
          </w:p>
        </w:tc>
        <w:tc>
          <w:tcPr>
            <w:tcW w:w="1597" w:type="dxa"/>
            <w:shd w:val="clear" w:color="auto" w:fill="EEECE1" w:themeFill="background2"/>
            <w:hideMark/>
          </w:tcPr>
          <w:p w14:paraId="533118B1" w14:textId="77777777" w:rsidR="003E58C7" w:rsidRPr="001173AF" w:rsidRDefault="005604A0" w:rsidP="00B401FF">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752,770</w:t>
            </w:r>
          </w:p>
        </w:tc>
      </w:tr>
    </w:tbl>
    <w:p w14:paraId="4C39A857" w14:textId="77777777" w:rsidR="007E0DDC" w:rsidRDefault="007E0DDC" w:rsidP="007E0DDC">
      <w:pPr>
        <w:spacing w:after="0"/>
        <w:jc w:val="both"/>
        <w:rPr>
          <w:rFonts w:ascii="Times New Roman" w:hAnsi="Times New Roman" w:cs="Times New Roman"/>
          <w:sz w:val="14"/>
          <w:szCs w:val="24"/>
        </w:rPr>
      </w:pPr>
    </w:p>
    <w:p w14:paraId="5AFBEEAA" w14:textId="77777777" w:rsidR="00B84C88" w:rsidRPr="00461FB7" w:rsidRDefault="00B84C88" w:rsidP="007E0DDC">
      <w:pPr>
        <w:spacing w:after="0"/>
        <w:jc w:val="both"/>
        <w:rPr>
          <w:rFonts w:ascii="Times New Roman" w:hAnsi="Times New Roman" w:cs="Times New Roman"/>
          <w:sz w:val="14"/>
          <w:szCs w:val="24"/>
        </w:rPr>
      </w:pPr>
    </w:p>
    <w:p w14:paraId="0DFFE087" w14:textId="77777777" w:rsidR="00461FB7" w:rsidRDefault="007E0DDC" w:rsidP="00461FB7">
      <w:pPr>
        <w:spacing w:after="0"/>
        <w:jc w:val="both"/>
        <w:rPr>
          <w:rFonts w:ascii="Times New Roman" w:hAnsi="Times New Roman" w:cs="Times New Roman"/>
          <w:sz w:val="24"/>
          <w:szCs w:val="24"/>
        </w:rPr>
      </w:pPr>
      <w:r w:rsidRPr="009B6417">
        <w:rPr>
          <w:rFonts w:ascii="Times New Roman" w:hAnsi="Times New Roman" w:cs="Times New Roman"/>
          <w:sz w:val="24"/>
          <w:szCs w:val="24"/>
        </w:rPr>
        <w:t xml:space="preserve">Për koncesionin e Inceneratorit të Fierit, </w:t>
      </w:r>
      <w:r w:rsidR="00D3047F" w:rsidRPr="009B6417">
        <w:rPr>
          <w:rFonts w:ascii="Times New Roman" w:hAnsi="Times New Roman" w:cs="Times New Roman"/>
          <w:sz w:val="24"/>
          <w:szCs w:val="24"/>
        </w:rPr>
        <w:t>treguesi kryesor p</w:t>
      </w:r>
      <w:r w:rsidR="00C743C1" w:rsidRPr="009B6417">
        <w:rPr>
          <w:rFonts w:ascii="Times New Roman" w:hAnsi="Times New Roman" w:cs="Times New Roman"/>
          <w:sz w:val="24"/>
          <w:szCs w:val="24"/>
        </w:rPr>
        <w:t>ë</w:t>
      </w:r>
      <w:r w:rsidR="001D796A" w:rsidRPr="009B6417">
        <w:rPr>
          <w:rFonts w:ascii="Times New Roman" w:hAnsi="Times New Roman" w:cs="Times New Roman"/>
          <w:sz w:val="24"/>
          <w:szCs w:val="24"/>
        </w:rPr>
        <w:t xml:space="preserve">r realizimin e </w:t>
      </w:r>
      <w:r w:rsidR="00D3047F" w:rsidRPr="009B6417">
        <w:rPr>
          <w:rFonts w:ascii="Times New Roman" w:hAnsi="Times New Roman" w:cs="Times New Roman"/>
          <w:sz w:val="24"/>
          <w:szCs w:val="24"/>
        </w:rPr>
        <w:t>nivelit t</w:t>
      </w:r>
      <w:r w:rsidR="00C743C1" w:rsidRPr="009B6417">
        <w:rPr>
          <w:rFonts w:ascii="Times New Roman" w:hAnsi="Times New Roman" w:cs="Times New Roman"/>
          <w:sz w:val="24"/>
          <w:szCs w:val="24"/>
        </w:rPr>
        <w:t>ë</w:t>
      </w:r>
      <w:r w:rsidRPr="009B6417">
        <w:rPr>
          <w:rFonts w:ascii="Times New Roman" w:hAnsi="Times New Roman" w:cs="Times New Roman"/>
          <w:sz w:val="24"/>
          <w:szCs w:val="24"/>
        </w:rPr>
        <w:t xml:space="preserve"> përmbushjes së shërbimit të </w:t>
      </w:r>
      <w:r w:rsidRPr="0021185F">
        <w:rPr>
          <w:rFonts w:ascii="Times New Roman" w:hAnsi="Times New Roman" w:cs="Times New Roman"/>
          <w:sz w:val="24"/>
          <w:szCs w:val="24"/>
        </w:rPr>
        <w:t xml:space="preserve">ofruar </w:t>
      </w:r>
      <w:r w:rsidRPr="006B6D4D">
        <w:rPr>
          <w:rFonts w:ascii="Times New Roman" w:hAnsi="Times New Roman" w:cs="Times New Roman"/>
          <w:sz w:val="24"/>
          <w:szCs w:val="24"/>
        </w:rPr>
        <w:t>është sasia e mbetjeve urbane të rikuperuara dhe të përdorura si lëndë dj</w:t>
      </w:r>
      <w:r w:rsidR="00F10601" w:rsidRPr="006B6D4D">
        <w:rPr>
          <w:rFonts w:ascii="Times New Roman" w:hAnsi="Times New Roman" w:cs="Times New Roman"/>
          <w:sz w:val="24"/>
          <w:szCs w:val="24"/>
        </w:rPr>
        <w:t>egëse për prodhimin e energjisë</w:t>
      </w:r>
      <w:r w:rsidR="00F10601" w:rsidRPr="00776A98">
        <w:rPr>
          <w:rFonts w:ascii="Times New Roman" w:hAnsi="Times New Roman" w:cs="Times New Roman"/>
          <w:sz w:val="24"/>
          <w:szCs w:val="24"/>
        </w:rPr>
        <w:t>.</w:t>
      </w:r>
      <w:r w:rsidR="006420CC" w:rsidRPr="00776A98">
        <w:rPr>
          <w:rFonts w:ascii="Times New Roman" w:hAnsi="Times New Roman" w:cs="Times New Roman"/>
          <w:sz w:val="24"/>
          <w:szCs w:val="24"/>
        </w:rPr>
        <w:t xml:space="preserve"> </w:t>
      </w:r>
      <w:r w:rsidRPr="00776A98">
        <w:rPr>
          <w:rFonts w:ascii="Times New Roman" w:hAnsi="Times New Roman" w:cs="Times New Roman"/>
          <w:sz w:val="24"/>
          <w:szCs w:val="24"/>
        </w:rPr>
        <w:t>Për vitin 201</w:t>
      </w:r>
      <w:r w:rsidR="00F10601" w:rsidRPr="00776A98">
        <w:rPr>
          <w:rFonts w:ascii="Times New Roman" w:hAnsi="Times New Roman" w:cs="Times New Roman"/>
          <w:sz w:val="24"/>
          <w:szCs w:val="24"/>
        </w:rPr>
        <w:t xml:space="preserve">9, sipas kontratës parashikohej </w:t>
      </w:r>
      <w:r w:rsidRPr="00776A98">
        <w:rPr>
          <w:rFonts w:ascii="Times New Roman" w:hAnsi="Times New Roman" w:cs="Times New Roman"/>
          <w:sz w:val="24"/>
          <w:szCs w:val="24"/>
        </w:rPr>
        <w:t>që sasia e mbetje urbane të rikuperuara të jetë 64.</w:t>
      </w:r>
      <w:r w:rsidR="00F10601" w:rsidRPr="00776A98">
        <w:rPr>
          <w:rFonts w:ascii="Times New Roman" w:hAnsi="Times New Roman" w:cs="Times New Roman"/>
          <w:sz w:val="24"/>
          <w:szCs w:val="24"/>
        </w:rPr>
        <w:t>800 ton/vit, ose 5.400 ton/muaj,</w:t>
      </w:r>
      <w:r w:rsidR="00151BCA" w:rsidRPr="00776A98">
        <w:rPr>
          <w:rFonts w:ascii="Times New Roman" w:hAnsi="Times New Roman" w:cs="Times New Roman"/>
          <w:sz w:val="24"/>
          <w:szCs w:val="24"/>
        </w:rPr>
        <w:t xml:space="preserve"> </w:t>
      </w:r>
      <w:r w:rsidR="00F10601" w:rsidRPr="00776A98">
        <w:rPr>
          <w:rFonts w:ascii="Times New Roman" w:hAnsi="Times New Roman" w:cs="Times New Roman"/>
          <w:sz w:val="24"/>
          <w:szCs w:val="24"/>
        </w:rPr>
        <w:t>por duke q</w:t>
      </w:r>
      <w:r w:rsidR="003A341A" w:rsidRPr="00776A98">
        <w:rPr>
          <w:rFonts w:ascii="Times New Roman" w:hAnsi="Times New Roman" w:cs="Times New Roman"/>
          <w:sz w:val="24"/>
          <w:szCs w:val="24"/>
        </w:rPr>
        <w:t>ë</w:t>
      </w:r>
      <w:r w:rsidR="00F10601" w:rsidRPr="00776A98">
        <w:rPr>
          <w:rFonts w:ascii="Times New Roman" w:hAnsi="Times New Roman" w:cs="Times New Roman"/>
          <w:sz w:val="24"/>
          <w:szCs w:val="24"/>
        </w:rPr>
        <w:t>n</w:t>
      </w:r>
      <w:r w:rsidR="003A341A" w:rsidRPr="00776A98">
        <w:rPr>
          <w:rFonts w:ascii="Times New Roman" w:hAnsi="Times New Roman" w:cs="Times New Roman"/>
          <w:sz w:val="24"/>
          <w:szCs w:val="24"/>
        </w:rPr>
        <w:t>ë</w:t>
      </w:r>
      <w:r w:rsidR="00F10601" w:rsidRPr="00776A98">
        <w:rPr>
          <w:rFonts w:ascii="Times New Roman" w:hAnsi="Times New Roman" w:cs="Times New Roman"/>
          <w:sz w:val="24"/>
          <w:szCs w:val="24"/>
        </w:rPr>
        <w:t xml:space="preserve"> se objekti </w:t>
      </w:r>
      <w:r w:rsidR="003A341A" w:rsidRPr="00776A98">
        <w:rPr>
          <w:rFonts w:ascii="Times New Roman" w:hAnsi="Times New Roman" w:cs="Times New Roman"/>
          <w:sz w:val="24"/>
          <w:szCs w:val="24"/>
        </w:rPr>
        <w:t>ë</w:t>
      </w:r>
      <w:r w:rsidR="00F10601" w:rsidRPr="00776A98">
        <w:rPr>
          <w:rFonts w:ascii="Times New Roman" w:hAnsi="Times New Roman" w:cs="Times New Roman"/>
          <w:sz w:val="24"/>
          <w:szCs w:val="24"/>
        </w:rPr>
        <w:t>sht</w:t>
      </w:r>
      <w:r w:rsidR="003A341A" w:rsidRPr="00776A98">
        <w:rPr>
          <w:rFonts w:ascii="Times New Roman" w:hAnsi="Times New Roman" w:cs="Times New Roman"/>
          <w:sz w:val="24"/>
          <w:szCs w:val="24"/>
        </w:rPr>
        <w:t>ë</w:t>
      </w:r>
      <w:r w:rsidR="00F10601" w:rsidRPr="00776A98">
        <w:rPr>
          <w:rFonts w:ascii="Times New Roman" w:hAnsi="Times New Roman" w:cs="Times New Roman"/>
          <w:sz w:val="24"/>
          <w:szCs w:val="24"/>
        </w:rPr>
        <w:t xml:space="preserve"> n</w:t>
      </w:r>
      <w:r w:rsidR="003A341A" w:rsidRPr="00776A98">
        <w:rPr>
          <w:rFonts w:ascii="Times New Roman" w:hAnsi="Times New Roman" w:cs="Times New Roman"/>
          <w:sz w:val="24"/>
          <w:szCs w:val="24"/>
        </w:rPr>
        <w:t>ë</w:t>
      </w:r>
      <w:r w:rsidR="00F10601" w:rsidRPr="00776A98">
        <w:rPr>
          <w:rFonts w:ascii="Times New Roman" w:hAnsi="Times New Roman" w:cs="Times New Roman"/>
          <w:sz w:val="24"/>
          <w:szCs w:val="24"/>
        </w:rPr>
        <w:t xml:space="preserve"> nd</w:t>
      </w:r>
      <w:r w:rsidR="003A341A" w:rsidRPr="00776A98">
        <w:rPr>
          <w:rFonts w:ascii="Times New Roman" w:hAnsi="Times New Roman" w:cs="Times New Roman"/>
          <w:sz w:val="24"/>
          <w:szCs w:val="24"/>
        </w:rPr>
        <w:t>ë</w:t>
      </w:r>
      <w:r w:rsidR="00F10601" w:rsidRPr="00776A98">
        <w:rPr>
          <w:rFonts w:ascii="Times New Roman" w:hAnsi="Times New Roman" w:cs="Times New Roman"/>
          <w:sz w:val="24"/>
          <w:szCs w:val="24"/>
        </w:rPr>
        <w:t xml:space="preserve">rtim nuk </w:t>
      </w:r>
      <w:r w:rsidR="003A341A" w:rsidRPr="00776A98">
        <w:rPr>
          <w:rFonts w:ascii="Times New Roman" w:hAnsi="Times New Roman" w:cs="Times New Roman"/>
          <w:sz w:val="24"/>
          <w:szCs w:val="24"/>
        </w:rPr>
        <w:t>ë</w:t>
      </w:r>
      <w:r w:rsidR="00F10601" w:rsidRPr="00776A98">
        <w:rPr>
          <w:rFonts w:ascii="Times New Roman" w:hAnsi="Times New Roman" w:cs="Times New Roman"/>
          <w:sz w:val="24"/>
          <w:szCs w:val="24"/>
        </w:rPr>
        <w:t>sht</w:t>
      </w:r>
      <w:r w:rsidR="003A341A" w:rsidRPr="00776A98">
        <w:rPr>
          <w:rFonts w:ascii="Times New Roman" w:hAnsi="Times New Roman" w:cs="Times New Roman"/>
          <w:sz w:val="24"/>
          <w:szCs w:val="24"/>
        </w:rPr>
        <w:t>ë</w:t>
      </w:r>
      <w:r w:rsidR="00F10601" w:rsidRPr="00776A98">
        <w:rPr>
          <w:rFonts w:ascii="Times New Roman" w:hAnsi="Times New Roman" w:cs="Times New Roman"/>
          <w:sz w:val="24"/>
          <w:szCs w:val="24"/>
        </w:rPr>
        <w:t xml:space="preserve"> realizuar akoma ky tregues performance.</w:t>
      </w:r>
    </w:p>
    <w:p w14:paraId="2C555CAF" w14:textId="77777777" w:rsidR="00B84C88" w:rsidRDefault="00B84C88" w:rsidP="00461FB7">
      <w:pPr>
        <w:spacing w:after="0"/>
        <w:jc w:val="both"/>
        <w:rPr>
          <w:rFonts w:ascii="Times New Roman" w:hAnsi="Times New Roman" w:cs="Times New Roman"/>
          <w:sz w:val="24"/>
          <w:szCs w:val="24"/>
        </w:rPr>
      </w:pPr>
    </w:p>
    <w:p w14:paraId="61D15D8B" w14:textId="77777777" w:rsidR="00151BCA" w:rsidRPr="00461FB7" w:rsidRDefault="007E0DDC" w:rsidP="00461FB7">
      <w:pPr>
        <w:spacing w:after="0"/>
        <w:jc w:val="both"/>
        <w:rPr>
          <w:rFonts w:ascii="Times New Roman" w:hAnsi="Times New Roman" w:cs="Times New Roman"/>
          <w:sz w:val="24"/>
          <w:szCs w:val="24"/>
        </w:rPr>
      </w:pPr>
      <w:r w:rsidRPr="00461FB7">
        <w:rPr>
          <w:rFonts w:ascii="Times New Roman" w:hAnsi="Times New Roman" w:cs="Times New Roman"/>
          <w:sz w:val="24"/>
          <w:szCs w:val="24"/>
        </w:rPr>
        <w:lastRenderedPageBreak/>
        <w:t>Sipas parashikimeve, ndërtimi dhe vënia në funksionim e impiantit</w:t>
      </w:r>
      <w:r w:rsidR="00151BCA" w:rsidRPr="00461FB7">
        <w:rPr>
          <w:rFonts w:ascii="Times New Roman" w:hAnsi="Times New Roman" w:cs="Times New Roman"/>
          <w:sz w:val="24"/>
          <w:szCs w:val="24"/>
        </w:rPr>
        <w:t xml:space="preserve"> do t</w:t>
      </w:r>
      <w:r w:rsidR="00360365" w:rsidRPr="00461FB7">
        <w:rPr>
          <w:rFonts w:ascii="Times New Roman" w:hAnsi="Times New Roman" w:cs="Times New Roman"/>
          <w:sz w:val="24"/>
          <w:szCs w:val="24"/>
        </w:rPr>
        <w:t>ë</w:t>
      </w:r>
      <w:r w:rsidRPr="00461FB7">
        <w:rPr>
          <w:rFonts w:ascii="Times New Roman" w:hAnsi="Times New Roman" w:cs="Times New Roman"/>
          <w:sz w:val="24"/>
          <w:szCs w:val="24"/>
        </w:rPr>
        <w:t xml:space="preserve"> përfundon</w:t>
      </w:r>
      <w:r w:rsidR="00151BCA" w:rsidRPr="00461FB7">
        <w:rPr>
          <w:rFonts w:ascii="Times New Roman" w:hAnsi="Times New Roman" w:cs="Times New Roman"/>
          <w:sz w:val="24"/>
          <w:szCs w:val="24"/>
        </w:rPr>
        <w:t>te</w:t>
      </w:r>
      <w:r w:rsidRPr="00461FB7">
        <w:rPr>
          <w:rFonts w:ascii="Times New Roman" w:hAnsi="Times New Roman" w:cs="Times New Roman"/>
          <w:sz w:val="24"/>
          <w:szCs w:val="24"/>
        </w:rPr>
        <w:t xml:space="preserve"> në muajin Shtator 2019.</w:t>
      </w:r>
      <w:r w:rsidR="00151BCA" w:rsidRPr="00461FB7">
        <w:rPr>
          <w:rFonts w:ascii="Times New Roman" w:hAnsi="Times New Roman" w:cs="Times New Roman"/>
          <w:b/>
          <w:sz w:val="24"/>
          <w:szCs w:val="24"/>
        </w:rPr>
        <w:t xml:space="preserve"> </w:t>
      </w:r>
      <w:r w:rsidR="00151BCA" w:rsidRPr="00461FB7">
        <w:rPr>
          <w:rFonts w:ascii="Times New Roman" w:hAnsi="Times New Roman" w:cs="Times New Roman"/>
          <w:sz w:val="24"/>
          <w:szCs w:val="24"/>
        </w:rPr>
        <w:t>Por Autoriteti ka raportuar se jan</w:t>
      </w:r>
      <w:r w:rsidR="00360365" w:rsidRPr="00461FB7">
        <w:rPr>
          <w:rFonts w:ascii="Times New Roman" w:hAnsi="Times New Roman" w:cs="Times New Roman"/>
          <w:sz w:val="24"/>
          <w:szCs w:val="24"/>
        </w:rPr>
        <w:t>ë</w:t>
      </w:r>
      <w:r w:rsidR="00151BCA" w:rsidRPr="00461FB7">
        <w:rPr>
          <w:rFonts w:ascii="Times New Roman" w:hAnsi="Times New Roman" w:cs="Times New Roman"/>
          <w:b/>
          <w:sz w:val="24"/>
          <w:szCs w:val="24"/>
        </w:rPr>
        <w:t xml:space="preserve"> </w:t>
      </w:r>
      <w:r w:rsidR="00CA0BAB" w:rsidRPr="00461FB7">
        <w:rPr>
          <w:rFonts w:ascii="Times New Roman" w:hAnsi="Times New Roman" w:cs="Times New Roman"/>
          <w:sz w:val="24"/>
          <w:szCs w:val="24"/>
        </w:rPr>
        <w:t xml:space="preserve">realizuar 95% e punimeve civile. Problem </w:t>
      </w:r>
      <w:r w:rsidR="00B401FF" w:rsidRPr="00461FB7">
        <w:rPr>
          <w:rFonts w:ascii="Times New Roman" w:hAnsi="Times New Roman" w:cs="Times New Roman"/>
          <w:sz w:val="24"/>
          <w:szCs w:val="24"/>
        </w:rPr>
        <w:t xml:space="preserve">mbetet </w:t>
      </w:r>
      <w:r w:rsidR="00CA0BAB" w:rsidRPr="00461FB7">
        <w:rPr>
          <w:rFonts w:ascii="Times New Roman" w:hAnsi="Times New Roman" w:cs="Times New Roman"/>
          <w:sz w:val="24"/>
          <w:szCs w:val="24"/>
        </w:rPr>
        <w:t xml:space="preserve">instalimi i makinerive dhe pajisjeve elektromekanike si dhe lidhja me sistemin elektroenergjitik. </w:t>
      </w:r>
      <w:r w:rsidR="00784E17" w:rsidRPr="00461FB7">
        <w:rPr>
          <w:rFonts w:ascii="Times New Roman" w:hAnsi="Times New Roman" w:cs="Times New Roman"/>
          <w:sz w:val="24"/>
          <w:szCs w:val="24"/>
        </w:rPr>
        <w:t>N</w:t>
      </w:r>
      <w:r w:rsidR="0024371E" w:rsidRPr="00461FB7">
        <w:rPr>
          <w:rFonts w:ascii="Times New Roman" w:hAnsi="Times New Roman" w:cs="Times New Roman"/>
          <w:sz w:val="24"/>
          <w:szCs w:val="24"/>
        </w:rPr>
        <w:t>ga ana e koncesionarit është kërkuar shtyr</w:t>
      </w:r>
      <w:r w:rsidR="00784E17" w:rsidRPr="00461FB7">
        <w:rPr>
          <w:rFonts w:ascii="Times New Roman" w:hAnsi="Times New Roman" w:cs="Times New Roman"/>
          <w:sz w:val="24"/>
          <w:szCs w:val="24"/>
        </w:rPr>
        <w:t xml:space="preserve">ja e afatit kohor të kontratës, proces i cili </w:t>
      </w:r>
      <w:r w:rsidR="00BD4472" w:rsidRPr="00461FB7">
        <w:rPr>
          <w:rFonts w:ascii="Times New Roman" w:hAnsi="Times New Roman" w:cs="Times New Roman"/>
          <w:sz w:val="24"/>
          <w:szCs w:val="24"/>
        </w:rPr>
        <w:t>ë</w:t>
      </w:r>
      <w:r w:rsidR="00784E17" w:rsidRPr="00461FB7">
        <w:rPr>
          <w:rFonts w:ascii="Times New Roman" w:hAnsi="Times New Roman" w:cs="Times New Roman"/>
          <w:sz w:val="24"/>
          <w:szCs w:val="24"/>
        </w:rPr>
        <w:t>sht</w:t>
      </w:r>
      <w:r w:rsidR="00BD4472" w:rsidRPr="00461FB7">
        <w:rPr>
          <w:rFonts w:ascii="Times New Roman" w:hAnsi="Times New Roman" w:cs="Times New Roman"/>
          <w:sz w:val="24"/>
          <w:szCs w:val="24"/>
        </w:rPr>
        <w:t>ë</w:t>
      </w:r>
      <w:r w:rsidR="003A60D5" w:rsidRPr="00461FB7">
        <w:rPr>
          <w:rFonts w:ascii="Times New Roman" w:hAnsi="Times New Roman" w:cs="Times New Roman"/>
          <w:sz w:val="24"/>
          <w:szCs w:val="24"/>
        </w:rPr>
        <w:t xml:space="preserve"> n</w:t>
      </w:r>
      <w:r w:rsidR="00BD4472" w:rsidRPr="00461FB7">
        <w:rPr>
          <w:rFonts w:ascii="Times New Roman" w:hAnsi="Times New Roman" w:cs="Times New Roman"/>
          <w:sz w:val="24"/>
          <w:szCs w:val="24"/>
        </w:rPr>
        <w:t>ë</w:t>
      </w:r>
      <w:r w:rsidR="00784E17" w:rsidRPr="00461FB7">
        <w:rPr>
          <w:rFonts w:ascii="Times New Roman" w:hAnsi="Times New Roman" w:cs="Times New Roman"/>
          <w:sz w:val="24"/>
          <w:szCs w:val="24"/>
        </w:rPr>
        <w:t xml:space="preserve"> faz</w:t>
      </w:r>
      <w:r w:rsidR="00BD4472" w:rsidRPr="00461FB7">
        <w:rPr>
          <w:rFonts w:ascii="Times New Roman" w:hAnsi="Times New Roman" w:cs="Times New Roman"/>
          <w:sz w:val="24"/>
          <w:szCs w:val="24"/>
        </w:rPr>
        <w:t>ë</w:t>
      </w:r>
      <w:r w:rsidR="00784E17" w:rsidRPr="00461FB7">
        <w:rPr>
          <w:rFonts w:ascii="Times New Roman" w:hAnsi="Times New Roman" w:cs="Times New Roman"/>
          <w:sz w:val="24"/>
          <w:szCs w:val="24"/>
        </w:rPr>
        <w:t xml:space="preserve"> shqyrtimi. </w:t>
      </w:r>
    </w:p>
    <w:p w14:paraId="37FE91A3" w14:textId="77777777" w:rsidR="00360365" w:rsidRPr="009B6417" w:rsidRDefault="00360365" w:rsidP="00360365">
      <w:pPr>
        <w:pStyle w:val="ListParagraph"/>
        <w:jc w:val="both"/>
        <w:rPr>
          <w:rFonts w:ascii="Times New Roman" w:hAnsi="Times New Roman" w:cs="Times New Roman"/>
          <w:b/>
          <w:sz w:val="24"/>
          <w:szCs w:val="24"/>
        </w:rPr>
      </w:pPr>
    </w:p>
    <w:p w14:paraId="3C25E285" w14:textId="77777777" w:rsidR="00447463" w:rsidRDefault="00332569" w:rsidP="004C1F25">
      <w:pPr>
        <w:pStyle w:val="ListParagraph"/>
        <w:numPr>
          <w:ilvl w:val="2"/>
          <w:numId w:val="32"/>
        </w:numPr>
        <w:tabs>
          <w:tab w:val="left" w:pos="4320"/>
        </w:tabs>
        <w:spacing w:after="0"/>
        <w:jc w:val="both"/>
        <w:rPr>
          <w:rFonts w:ascii="Times New Roman" w:eastAsia="Times New Roman" w:hAnsi="Times New Roman" w:cs="Times New Roman"/>
          <w:b/>
          <w:sz w:val="24"/>
          <w:szCs w:val="24"/>
        </w:rPr>
      </w:pPr>
      <w:r w:rsidRPr="009B6417">
        <w:rPr>
          <w:rFonts w:ascii="Times New Roman" w:eastAsia="Times New Roman" w:hAnsi="Times New Roman" w:cs="Times New Roman"/>
          <w:b/>
          <w:sz w:val="24"/>
          <w:szCs w:val="24"/>
        </w:rPr>
        <w:t xml:space="preserve">Risqet </w:t>
      </w:r>
    </w:p>
    <w:p w14:paraId="146FED06" w14:textId="77777777" w:rsidR="00BD4472" w:rsidRDefault="005D60E3" w:rsidP="00447463">
      <w:pPr>
        <w:tabs>
          <w:tab w:val="left" w:pos="4320"/>
        </w:tabs>
        <w:spacing w:after="0"/>
        <w:jc w:val="both"/>
        <w:rPr>
          <w:rFonts w:ascii="Times New Roman" w:hAnsi="Times New Roman" w:cs="Times New Roman"/>
          <w:sz w:val="24"/>
          <w:szCs w:val="24"/>
        </w:rPr>
      </w:pPr>
      <w:r w:rsidRPr="00447463">
        <w:rPr>
          <w:rFonts w:ascii="Times New Roman" w:hAnsi="Times New Roman" w:cs="Times New Roman"/>
          <w:sz w:val="24"/>
          <w:szCs w:val="24"/>
        </w:rPr>
        <w:t xml:space="preserve">Autoriteti ka raportuar në lidhje me risqet e kontratës sipas formatit të përcaktuar, duke specifikuar përcaktimin e palës që merr përsipër riskun, impaktin fiskal nëse është materializuar, probabilitetin e ndodhjes në të ardhmen dhe impaktin e pritshëm nëse ndodh. Sipas raportimeve, </w:t>
      </w:r>
      <w:r w:rsidR="00151BCA" w:rsidRPr="00447463">
        <w:rPr>
          <w:rFonts w:ascii="Times New Roman" w:hAnsi="Times New Roman" w:cs="Times New Roman"/>
          <w:sz w:val="24"/>
          <w:szCs w:val="24"/>
        </w:rPr>
        <w:t xml:space="preserve">Autoriteti Kontraktues ka mbajtur riskun </w:t>
      </w:r>
      <w:r w:rsidRPr="00447463">
        <w:rPr>
          <w:rFonts w:ascii="Times New Roman" w:hAnsi="Times New Roman" w:cs="Times New Roman"/>
          <w:sz w:val="24"/>
          <w:szCs w:val="24"/>
        </w:rPr>
        <w:t>e qeverisjes,</w:t>
      </w:r>
      <w:r w:rsidR="00151BCA" w:rsidRPr="00447463">
        <w:rPr>
          <w:rFonts w:ascii="Times New Roman" w:hAnsi="Times New Roman" w:cs="Times New Roman"/>
          <w:sz w:val="24"/>
          <w:szCs w:val="24"/>
        </w:rPr>
        <w:t xml:space="preserve"> </w:t>
      </w:r>
      <w:r w:rsidRPr="00447463">
        <w:rPr>
          <w:rFonts w:ascii="Times New Roman" w:hAnsi="Times New Roman" w:cs="Times New Roman"/>
          <w:sz w:val="24"/>
          <w:szCs w:val="24"/>
        </w:rPr>
        <w:t xml:space="preserve">riskun </w:t>
      </w:r>
      <w:r w:rsidR="00151BCA" w:rsidRPr="00447463">
        <w:rPr>
          <w:rFonts w:ascii="Times New Roman" w:hAnsi="Times New Roman" w:cs="Times New Roman"/>
          <w:sz w:val="24"/>
          <w:szCs w:val="24"/>
        </w:rPr>
        <w:t xml:space="preserve"> politik </w:t>
      </w:r>
      <w:r w:rsidRPr="00447463">
        <w:rPr>
          <w:rFonts w:ascii="Times New Roman" w:hAnsi="Times New Roman" w:cs="Times New Roman"/>
          <w:sz w:val="24"/>
          <w:szCs w:val="24"/>
        </w:rPr>
        <w:t xml:space="preserve">dhe riskun e ndryshimeve ligjore, </w:t>
      </w:r>
      <w:r w:rsidR="00151BCA" w:rsidRPr="00447463">
        <w:rPr>
          <w:rFonts w:ascii="Times New Roman" w:hAnsi="Times New Roman" w:cs="Times New Roman"/>
          <w:sz w:val="24"/>
          <w:szCs w:val="24"/>
        </w:rPr>
        <w:t xml:space="preserve">ndërsa </w:t>
      </w:r>
      <w:r w:rsidR="00151BCA" w:rsidRPr="006B6D4D">
        <w:rPr>
          <w:rFonts w:ascii="Times New Roman" w:hAnsi="Times New Roman" w:cs="Times New Roman"/>
          <w:sz w:val="24"/>
          <w:szCs w:val="24"/>
        </w:rPr>
        <w:t xml:space="preserve">partneri privat ka mbajtur riskun financiar, riskun e </w:t>
      </w:r>
      <w:r w:rsidRPr="006B6D4D">
        <w:rPr>
          <w:rFonts w:ascii="Times New Roman" w:hAnsi="Times New Roman" w:cs="Times New Roman"/>
          <w:sz w:val="24"/>
          <w:szCs w:val="24"/>
        </w:rPr>
        <w:t>vendodhjes, riskun e operimit (menaxhimi i impiantit, menaxhimi i mbetjeve)</w:t>
      </w:r>
      <w:r w:rsidR="00151BCA" w:rsidRPr="006B6D4D">
        <w:rPr>
          <w:rFonts w:ascii="Times New Roman" w:hAnsi="Times New Roman" w:cs="Times New Roman"/>
          <w:sz w:val="24"/>
          <w:szCs w:val="24"/>
        </w:rPr>
        <w:t xml:space="preserve"> dhe riskun e transferimit të aseteve. Ndërkohë risku i forcës m</w:t>
      </w:r>
      <w:r w:rsidRPr="006B6D4D">
        <w:rPr>
          <w:rFonts w:ascii="Times New Roman" w:hAnsi="Times New Roman" w:cs="Times New Roman"/>
          <w:sz w:val="24"/>
          <w:szCs w:val="24"/>
        </w:rPr>
        <w:t xml:space="preserve">adhore, risku i rinegocimit, </w:t>
      </w:r>
      <w:r w:rsidR="00151BCA" w:rsidRPr="006B6D4D">
        <w:rPr>
          <w:rFonts w:ascii="Times New Roman" w:hAnsi="Times New Roman" w:cs="Times New Roman"/>
          <w:sz w:val="24"/>
          <w:szCs w:val="24"/>
        </w:rPr>
        <w:t>risku i ndërprerjes së kontratës</w:t>
      </w:r>
      <w:r w:rsidRPr="006B6D4D">
        <w:rPr>
          <w:rFonts w:ascii="Times New Roman" w:hAnsi="Times New Roman" w:cs="Times New Roman"/>
          <w:sz w:val="24"/>
          <w:szCs w:val="24"/>
        </w:rPr>
        <w:t>,</w:t>
      </w:r>
      <w:r w:rsidR="00A467F5" w:rsidRPr="006B6D4D">
        <w:rPr>
          <w:rFonts w:ascii="Times New Roman" w:hAnsi="Times New Roman" w:cs="Times New Roman"/>
          <w:sz w:val="24"/>
          <w:szCs w:val="24"/>
        </w:rPr>
        <w:t xml:space="preserve"> </w:t>
      </w:r>
      <w:r w:rsidRPr="006B6D4D">
        <w:rPr>
          <w:rFonts w:ascii="Times New Roman" w:hAnsi="Times New Roman" w:cs="Times New Roman"/>
          <w:sz w:val="24"/>
          <w:szCs w:val="24"/>
        </w:rPr>
        <w:t>risku i k</w:t>
      </w:r>
      <w:r w:rsidR="006A445E" w:rsidRPr="006B6D4D">
        <w:rPr>
          <w:rFonts w:ascii="Times New Roman" w:hAnsi="Times New Roman" w:cs="Times New Roman"/>
          <w:sz w:val="24"/>
          <w:szCs w:val="24"/>
        </w:rPr>
        <w:t>ë</w:t>
      </w:r>
      <w:r w:rsidRPr="006B6D4D">
        <w:rPr>
          <w:rFonts w:ascii="Times New Roman" w:hAnsi="Times New Roman" w:cs="Times New Roman"/>
          <w:sz w:val="24"/>
          <w:szCs w:val="24"/>
        </w:rPr>
        <w:t>rkes</w:t>
      </w:r>
      <w:r w:rsidR="006A445E" w:rsidRPr="006B6D4D">
        <w:rPr>
          <w:rFonts w:ascii="Times New Roman" w:hAnsi="Times New Roman" w:cs="Times New Roman"/>
          <w:sz w:val="24"/>
          <w:szCs w:val="24"/>
        </w:rPr>
        <w:t>ë</w:t>
      </w:r>
      <w:r w:rsidRPr="006B6D4D">
        <w:rPr>
          <w:rFonts w:ascii="Times New Roman" w:hAnsi="Times New Roman" w:cs="Times New Roman"/>
          <w:sz w:val="24"/>
          <w:szCs w:val="24"/>
        </w:rPr>
        <w:t>s dhe risku i nd</w:t>
      </w:r>
      <w:r w:rsidR="006A445E" w:rsidRPr="006B6D4D">
        <w:rPr>
          <w:rFonts w:ascii="Times New Roman" w:hAnsi="Times New Roman" w:cs="Times New Roman"/>
          <w:sz w:val="24"/>
          <w:szCs w:val="24"/>
        </w:rPr>
        <w:t>ë</w:t>
      </w:r>
      <w:r w:rsidRPr="006B6D4D">
        <w:rPr>
          <w:rFonts w:ascii="Times New Roman" w:hAnsi="Times New Roman" w:cs="Times New Roman"/>
          <w:sz w:val="24"/>
          <w:szCs w:val="24"/>
        </w:rPr>
        <w:t>rtimit</w:t>
      </w:r>
      <w:r w:rsidR="00151BCA" w:rsidRPr="006B6D4D">
        <w:rPr>
          <w:rFonts w:ascii="Times New Roman" w:hAnsi="Times New Roman" w:cs="Times New Roman"/>
          <w:sz w:val="24"/>
          <w:szCs w:val="24"/>
        </w:rPr>
        <w:t xml:space="preserve"> </w:t>
      </w:r>
      <w:r w:rsidR="00BA37CE" w:rsidRPr="006B6D4D">
        <w:rPr>
          <w:rFonts w:ascii="Times New Roman" w:hAnsi="Times New Roman" w:cs="Times New Roman"/>
          <w:sz w:val="24"/>
          <w:szCs w:val="24"/>
        </w:rPr>
        <w:t>janë ndarë mes të dyja palëve.</w:t>
      </w:r>
      <w:r w:rsidR="00BD4472" w:rsidRPr="006B6D4D">
        <w:rPr>
          <w:rFonts w:ascii="Times New Roman" w:hAnsi="Times New Roman" w:cs="Times New Roman"/>
          <w:sz w:val="24"/>
          <w:szCs w:val="24"/>
        </w:rPr>
        <w:t xml:space="preserve"> Me probabilitet </w:t>
      </w:r>
      <w:r w:rsidR="00F10601" w:rsidRPr="006B6D4D">
        <w:rPr>
          <w:rFonts w:ascii="Times New Roman" w:hAnsi="Times New Roman" w:cs="Times New Roman"/>
          <w:sz w:val="24"/>
          <w:szCs w:val="24"/>
        </w:rPr>
        <w:t>mesatar</w:t>
      </w:r>
      <w:r w:rsidR="00BD4472" w:rsidRPr="006B6D4D">
        <w:rPr>
          <w:rFonts w:ascii="Times New Roman" w:hAnsi="Times New Roman" w:cs="Times New Roman"/>
          <w:sz w:val="24"/>
          <w:szCs w:val="24"/>
        </w:rPr>
        <w:t xml:space="preserve"> për të ndodhur është vlerësuar </w:t>
      </w:r>
      <w:r w:rsidR="00BD4472" w:rsidRPr="006B6D4D">
        <w:rPr>
          <w:rFonts w:ascii="Times New Roman" w:hAnsi="Times New Roman" w:cs="Times New Roman"/>
          <w:i/>
          <w:sz w:val="24"/>
          <w:szCs w:val="24"/>
        </w:rPr>
        <w:t>risku i kërkesës</w:t>
      </w:r>
      <w:r w:rsidR="00BD4472" w:rsidRPr="006B6D4D">
        <w:rPr>
          <w:rFonts w:ascii="Times New Roman" w:hAnsi="Times New Roman" w:cs="Times New Roman"/>
          <w:sz w:val="24"/>
          <w:szCs w:val="24"/>
        </w:rPr>
        <w:t xml:space="preserve"> që ka të bëjë me  sigurimin e sasisë së mjaftueshme të mbetjeve urbane që duhet të dorëzohen në impiant </w:t>
      </w:r>
      <w:r w:rsidR="0021185F" w:rsidRPr="006B6D4D">
        <w:rPr>
          <w:rFonts w:ascii="Times New Roman" w:hAnsi="Times New Roman" w:cs="Times New Roman"/>
          <w:sz w:val="24"/>
          <w:szCs w:val="24"/>
        </w:rPr>
        <w:t>.</w:t>
      </w:r>
    </w:p>
    <w:p w14:paraId="24E4B774" w14:textId="77777777" w:rsidR="0021185F" w:rsidRDefault="0021185F" w:rsidP="004D3885">
      <w:pPr>
        <w:spacing w:after="0"/>
        <w:jc w:val="both"/>
        <w:rPr>
          <w:rFonts w:ascii="Times New Roman" w:hAnsi="Times New Roman" w:cs="Times New Roman"/>
          <w:sz w:val="24"/>
          <w:szCs w:val="24"/>
        </w:rPr>
      </w:pPr>
    </w:p>
    <w:p w14:paraId="755EA06C" w14:textId="77777777" w:rsidR="004D3885" w:rsidRDefault="004D3885" w:rsidP="004C1F25">
      <w:pPr>
        <w:pStyle w:val="Heading2"/>
        <w:numPr>
          <w:ilvl w:val="1"/>
          <w:numId w:val="32"/>
        </w:numPr>
        <w:jc w:val="both"/>
        <w:rPr>
          <w:rFonts w:ascii="Times New Roman" w:hAnsi="Times New Roman" w:cs="Times New Roman"/>
          <w:b/>
          <w:sz w:val="24"/>
          <w:szCs w:val="24"/>
        </w:rPr>
      </w:pPr>
      <w:bookmarkStart w:id="52" w:name="_Toc37196694"/>
      <w:r w:rsidRPr="009B6417">
        <w:rPr>
          <w:rFonts w:ascii="Times New Roman" w:hAnsi="Times New Roman" w:cs="Times New Roman"/>
          <w:b/>
          <w:sz w:val="24"/>
          <w:szCs w:val="24"/>
        </w:rPr>
        <w:t>Kontrata Koncesionare</w:t>
      </w:r>
      <w:r>
        <w:rPr>
          <w:rFonts w:ascii="Times New Roman" w:hAnsi="Times New Roman" w:cs="Times New Roman"/>
          <w:b/>
          <w:sz w:val="24"/>
          <w:szCs w:val="24"/>
        </w:rPr>
        <w:t>/PPP</w:t>
      </w:r>
      <w:r w:rsidRPr="009B6417">
        <w:rPr>
          <w:rFonts w:ascii="Times New Roman" w:hAnsi="Times New Roman" w:cs="Times New Roman"/>
          <w:b/>
          <w:sz w:val="24"/>
          <w:szCs w:val="24"/>
        </w:rPr>
        <w:t xml:space="preserve"> “</w:t>
      </w:r>
      <w:r w:rsidRPr="00AE31FE">
        <w:rPr>
          <w:rFonts w:ascii="Times New Roman" w:hAnsi="Times New Roman" w:cs="Times New Roman"/>
          <w:b/>
          <w:i/>
          <w:sz w:val="24"/>
        </w:rPr>
        <w:t>Ndërtimi, operimi dhe transferimi e inceneratorit për përpunimin e mbetjeve urbane të Bashkisë së Elbasanit</w:t>
      </w:r>
      <w:r w:rsidRPr="009B6417">
        <w:rPr>
          <w:rFonts w:ascii="Times New Roman" w:hAnsi="Times New Roman" w:cs="Times New Roman"/>
          <w:b/>
          <w:sz w:val="24"/>
          <w:szCs w:val="24"/>
        </w:rPr>
        <w:t>”</w:t>
      </w:r>
      <w:bookmarkEnd w:id="52"/>
      <w:r w:rsidRPr="009B6417">
        <w:rPr>
          <w:rFonts w:ascii="Times New Roman" w:hAnsi="Times New Roman" w:cs="Times New Roman"/>
          <w:b/>
          <w:sz w:val="24"/>
          <w:szCs w:val="24"/>
        </w:rPr>
        <w:t xml:space="preserve"> </w:t>
      </w:r>
    </w:p>
    <w:p w14:paraId="4A3D53C8" w14:textId="77777777" w:rsidR="00FE1AD3" w:rsidRPr="00FE1AD3" w:rsidRDefault="00FE1AD3" w:rsidP="00FE1AD3">
      <w:pPr>
        <w:rPr>
          <w:sz w:val="10"/>
        </w:rPr>
      </w:pPr>
    </w:p>
    <w:p w14:paraId="2DC405EF" w14:textId="77777777" w:rsidR="004D3885" w:rsidRPr="009B6417" w:rsidRDefault="004D3885" w:rsidP="004C1F25">
      <w:pPr>
        <w:pStyle w:val="ListParagraph"/>
        <w:numPr>
          <w:ilvl w:val="2"/>
          <w:numId w:val="32"/>
        </w:numPr>
        <w:tabs>
          <w:tab w:val="left" w:pos="3553"/>
        </w:tabs>
        <w:jc w:val="both"/>
        <w:rPr>
          <w:rFonts w:ascii="Times New Roman" w:eastAsia="Times New Roman" w:hAnsi="Times New Roman" w:cs="Times New Roman"/>
          <w:i/>
          <w:sz w:val="24"/>
          <w:szCs w:val="24"/>
        </w:rPr>
      </w:pPr>
      <w:r w:rsidRPr="009B6417">
        <w:rPr>
          <w:rFonts w:ascii="Times New Roman" w:eastAsia="Times New Roman" w:hAnsi="Times New Roman" w:cs="Times New Roman"/>
          <w:b/>
          <w:i/>
          <w:sz w:val="24"/>
          <w:szCs w:val="24"/>
        </w:rPr>
        <w:t xml:space="preserve">Prezantimi i përgjithshëm i projektit </w:t>
      </w:r>
    </w:p>
    <w:p w14:paraId="54247957" w14:textId="77777777" w:rsidR="00FE1AD3" w:rsidRDefault="00B84C88" w:rsidP="006E1EA4">
      <w:pPr>
        <w:jc w:val="both"/>
        <w:rPr>
          <w:rFonts w:ascii="Times New Roman" w:hAnsi="Times New Roman" w:cs="Times New Roman"/>
          <w:sz w:val="24"/>
          <w:szCs w:val="24"/>
          <w:lang w:val="en-US"/>
        </w:rPr>
      </w:pPr>
      <w:r>
        <w:rPr>
          <w:rFonts w:ascii="Times New Roman" w:hAnsi="Times New Roman" w:cs="Times New Roman"/>
          <w:i/>
          <w:noProof/>
          <w:sz w:val="24"/>
          <w:szCs w:val="24"/>
          <w:lang w:val="en-US"/>
        </w:rPr>
        <mc:AlternateContent>
          <mc:Choice Requires="wps">
            <w:drawing>
              <wp:anchor distT="91440" distB="91440" distL="91440" distR="320040" simplePos="0" relativeHeight="251670528" behindDoc="1" locked="0" layoutInCell="1" allowOverlap="1" wp14:anchorId="63B31DF4" wp14:editId="69911652">
                <wp:simplePos x="0" y="0"/>
                <wp:positionH relativeFrom="margin">
                  <wp:posOffset>3438525</wp:posOffset>
                </wp:positionH>
                <wp:positionV relativeFrom="page">
                  <wp:posOffset>5095875</wp:posOffset>
                </wp:positionV>
                <wp:extent cx="3276600" cy="2381250"/>
                <wp:effectExtent l="0" t="0" r="19050" b="19050"/>
                <wp:wrapTight wrapText="bothSides">
                  <wp:wrapPolygon edited="0">
                    <wp:start x="0" y="0"/>
                    <wp:lineTo x="0" y="21600"/>
                    <wp:lineTo x="21600" y="21600"/>
                    <wp:lineTo x="21600" y="0"/>
                    <wp:lineTo x="0" y="0"/>
                  </wp:wrapPolygon>
                </wp:wrapTight>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381250"/>
                        </a:xfrm>
                        <a:prstGeom prst="rect">
                          <a:avLst/>
                        </a:prstGeom>
                        <a:pattFill prst="pct50">
                          <a:fgClr>
                            <a:schemeClr val="bg2">
                              <a:lumMod val="100000"/>
                              <a:lumOff val="0"/>
                            </a:schemeClr>
                          </a:fgClr>
                          <a:bgClr>
                            <a:schemeClr val="bg1">
                              <a:lumMod val="100000"/>
                              <a:lumOff val="0"/>
                            </a:schemeClr>
                          </a:bgClr>
                        </a:pattFill>
                        <a:ln w="6350" cap="rnd">
                          <a:solidFill>
                            <a:schemeClr val="bg2">
                              <a:lumMod val="75000"/>
                              <a:lumOff val="0"/>
                            </a:schemeClr>
                          </a:solidFill>
                          <a:miter lim="800000"/>
                          <a:headEnd/>
                          <a:tailEnd/>
                        </a:ln>
                      </wps:spPr>
                      <wps:txbx>
                        <w:txbxContent>
                          <w:p w14:paraId="50BF6635" w14:textId="77777777" w:rsidR="0025668C" w:rsidRPr="002A4518" w:rsidRDefault="0025668C" w:rsidP="00F20848">
                            <w:pPr>
                              <w:pBdr>
                                <w:left w:val="single" w:sz="80" w:space="3" w:color="7F7F7F" w:themeColor="text1" w:themeTint="80"/>
                                <w:bottom w:val="single" w:sz="8" w:space="0" w:color="7F7F7F" w:themeColor="text1" w:themeTint="80"/>
                              </w:pBdr>
                              <w:spacing w:before="40" w:line="288" w:lineRule="auto"/>
                              <w:jc w:val="both"/>
                              <w:rPr>
                                <w:rFonts w:ascii="Times New Roman" w:hAnsi="Times New Roman" w:cs="Times New Roman"/>
                                <w:b/>
                                <w:i/>
                                <w:color w:val="4A442A" w:themeColor="background2" w:themeShade="40"/>
                                <w:sz w:val="20"/>
                                <w:szCs w:val="20"/>
                              </w:rPr>
                            </w:pPr>
                            <w:r w:rsidRPr="002A4518">
                              <w:rPr>
                                <w:rFonts w:ascii="Times New Roman" w:hAnsi="Times New Roman" w:cs="Times New Roman"/>
                                <w:b/>
                                <w:color w:val="4A442A" w:themeColor="background2" w:themeShade="40"/>
                                <w:sz w:val="20"/>
                                <w:szCs w:val="20"/>
                                <w:lang w:val="en-US"/>
                              </w:rPr>
                              <w:t>Kontrata Koncesionare “</w:t>
                            </w:r>
                            <w:r w:rsidRPr="00F20848">
                              <w:rPr>
                                <w:rFonts w:ascii="Times New Roman" w:hAnsi="Times New Roman" w:cs="Times New Roman"/>
                                <w:b/>
                                <w:i/>
                                <w:color w:val="4A442A" w:themeColor="background2" w:themeShade="40"/>
                                <w:sz w:val="20"/>
                                <w:szCs w:val="20"/>
                                <w:lang w:val="en-US"/>
                              </w:rPr>
                              <w:t>Ndërtimi, operimi dhe transferimi e inceneratorit për përpunimin e mbetjeve urbane të Bashkisë së Elbasanit”</w:t>
                            </w:r>
                          </w:p>
                          <w:p w14:paraId="59C0CE01" w14:textId="77777777" w:rsidR="0025668C" w:rsidRPr="00992982" w:rsidRDefault="0025668C" w:rsidP="006E1EA4">
                            <w:pPr>
                              <w:pStyle w:val="ListParagraph"/>
                              <w:numPr>
                                <w:ilvl w:val="0"/>
                                <w:numId w:val="4"/>
                              </w:numPr>
                              <w:ind w:left="90"/>
                              <w:jc w:val="both"/>
                              <w:rPr>
                                <w:rFonts w:ascii="Times New Roman" w:hAnsi="Times New Roman" w:cs="Times New Roman"/>
                                <w:color w:val="000000" w:themeColor="text1"/>
                              </w:rPr>
                            </w:pPr>
                            <w:r w:rsidRPr="00992982">
                              <w:rPr>
                                <w:rFonts w:ascii="Times New Roman" w:hAnsi="Times New Roman" w:cs="Times New Roman"/>
                                <w:b/>
                                <w:color w:val="000000" w:themeColor="text1"/>
                              </w:rPr>
                              <w:t>Autoriteti Kontraktues:</w:t>
                            </w:r>
                            <w:r w:rsidRPr="00992982">
                              <w:rPr>
                                <w:rFonts w:ascii="Times New Roman" w:hAnsi="Times New Roman" w:cs="Times New Roman"/>
                                <w:color w:val="000000" w:themeColor="text1"/>
                              </w:rPr>
                              <w:t xml:space="preserve">  Ministria e Infrastrukturës dhe Energjisë (zbatues Bashkia Elbasan)</w:t>
                            </w:r>
                          </w:p>
                          <w:p w14:paraId="54ABD288" w14:textId="77777777" w:rsidR="0025668C" w:rsidRPr="00992982" w:rsidRDefault="0025668C" w:rsidP="004D3885">
                            <w:pPr>
                              <w:pStyle w:val="ListParagraph"/>
                              <w:numPr>
                                <w:ilvl w:val="0"/>
                                <w:numId w:val="4"/>
                              </w:numPr>
                              <w:ind w:left="90"/>
                              <w:jc w:val="both"/>
                              <w:rPr>
                                <w:rFonts w:ascii="Times New Roman" w:hAnsi="Times New Roman" w:cs="Times New Roman"/>
                                <w:color w:val="000000" w:themeColor="text1"/>
                              </w:rPr>
                            </w:pPr>
                            <w:r w:rsidRPr="00992982">
                              <w:rPr>
                                <w:rFonts w:ascii="Times New Roman" w:hAnsi="Times New Roman" w:cs="Times New Roman"/>
                                <w:b/>
                                <w:color w:val="000000" w:themeColor="text1"/>
                              </w:rPr>
                              <w:t>SPV:</w:t>
                            </w:r>
                            <w:r w:rsidRPr="0099298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992982">
                              <w:rPr>
                                <w:rFonts w:ascii="Times New Roman" w:hAnsi="Times New Roman" w:cs="Times New Roman"/>
                                <w:color w:val="000000" w:themeColor="text1"/>
                              </w:rPr>
                              <w:t xml:space="preserve">  “AlbTek Energy” sh.p.k</w:t>
                            </w:r>
                          </w:p>
                          <w:p w14:paraId="5EB880E6" w14:textId="77777777" w:rsidR="0025668C" w:rsidRPr="00992982" w:rsidRDefault="0025668C" w:rsidP="004D3885">
                            <w:pPr>
                              <w:pStyle w:val="ListParagraph"/>
                              <w:numPr>
                                <w:ilvl w:val="0"/>
                                <w:numId w:val="4"/>
                              </w:numPr>
                              <w:ind w:left="90"/>
                              <w:jc w:val="both"/>
                              <w:rPr>
                                <w:rFonts w:ascii="Times New Roman" w:hAnsi="Times New Roman" w:cs="Times New Roman"/>
                                <w:color w:val="000000" w:themeColor="text1"/>
                              </w:rPr>
                            </w:pPr>
                            <w:r w:rsidRPr="00992982">
                              <w:rPr>
                                <w:rFonts w:ascii="Times New Roman" w:hAnsi="Times New Roman" w:cs="Times New Roman"/>
                                <w:b/>
                                <w:color w:val="000000" w:themeColor="text1"/>
                              </w:rPr>
                              <w:t>Vlera e Investimit:</w:t>
                            </w:r>
                            <w:r w:rsidRPr="00992982">
                              <w:rPr>
                                <w:rFonts w:ascii="Times New Roman" w:hAnsi="Times New Roman" w:cs="Times New Roman"/>
                                <w:color w:val="000000" w:themeColor="text1"/>
                              </w:rPr>
                              <w:t xml:space="preserve">                 3 miliardë Lek</w:t>
                            </w:r>
                          </w:p>
                          <w:p w14:paraId="6735DB0F" w14:textId="77777777" w:rsidR="0025668C" w:rsidRPr="00992982" w:rsidRDefault="0025668C" w:rsidP="004D3885">
                            <w:pPr>
                              <w:pStyle w:val="ListParagraph"/>
                              <w:numPr>
                                <w:ilvl w:val="0"/>
                                <w:numId w:val="4"/>
                              </w:numPr>
                              <w:ind w:left="90"/>
                              <w:jc w:val="both"/>
                              <w:rPr>
                                <w:rFonts w:ascii="Times New Roman" w:hAnsi="Times New Roman" w:cs="Times New Roman"/>
                                <w:color w:val="000000" w:themeColor="text1"/>
                              </w:rPr>
                            </w:pPr>
                            <w:r w:rsidRPr="00992982">
                              <w:rPr>
                                <w:rFonts w:ascii="Times New Roman" w:hAnsi="Times New Roman" w:cs="Times New Roman"/>
                                <w:b/>
                                <w:color w:val="000000" w:themeColor="text1"/>
                              </w:rPr>
                              <w:t>Data e fillimit të kontratës:</w:t>
                            </w:r>
                            <w:r w:rsidRPr="00992982">
                              <w:rPr>
                                <w:rFonts w:ascii="Times New Roman" w:hAnsi="Times New Roman" w:cs="Times New Roman"/>
                                <w:color w:val="000000" w:themeColor="text1"/>
                              </w:rPr>
                              <w:t xml:space="preserve">   16 Dhjetor 2014</w:t>
                            </w:r>
                          </w:p>
                          <w:p w14:paraId="1821B0AF" w14:textId="77777777" w:rsidR="0025668C" w:rsidRPr="00992982" w:rsidRDefault="0025668C" w:rsidP="004D3885">
                            <w:pPr>
                              <w:pStyle w:val="ListParagraph"/>
                              <w:numPr>
                                <w:ilvl w:val="0"/>
                                <w:numId w:val="4"/>
                              </w:numPr>
                              <w:ind w:left="90"/>
                              <w:jc w:val="both"/>
                              <w:rPr>
                                <w:rFonts w:ascii="Times New Roman" w:hAnsi="Times New Roman" w:cs="Times New Roman"/>
                                <w:color w:val="000000" w:themeColor="text1"/>
                              </w:rPr>
                            </w:pPr>
                            <w:r w:rsidRPr="00992982">
                              <w:rPr>
                                <w:rFonts w:ascii="Times New Roman" w:hAnsi="Times New Roman" w:cs="Times New Roman"/>
                                <w:b/>
                                <w:color w:val="000000" w:themeColor="text1"/>
                              </w:rPr>
                              <w:t>Kohëzgjatja e kontratës:</w:t>
                            </w:r>
                            <w:r w:rsidRPr="00992982">
                              <w:rPr>
                                <w:rFonts w:ascii="Times New Roman" w:hAnsi="Times New Roman" w:cs="Times New Roman"/>
                                <w:color w:val="000000" w:themeColor="text1"/>
                              </w:rPr>
                              <w:t xml:space="preserve">       7 vjet</w:t>
                            </w:r>
                          </w:p>
                          <w:p w14:paraId="5F83E212" w14:textId="77777777" w:rsidR="0025668C" w:rsidRPr="00992982" w:rsidRDefault="0025668C" w:rsidP="004D3885">
                            <w:pPr>
                              <w:pStyle w:val="ListParagraph"/>
                              <w:numPr>
                                <w:ilvl w:val="0"/>
                                <w:numId w:val="4"/>
                              </w:numPr>
                              <w:ind w:left="90"/>
                              <w:jc w:val="both"/>
                              <w:rPr>
                                <w:rFonts w:ascii="Times New Roman" w:hAnsi="Times New Roman" w:cs="Times New Roman"/>
                                <w:color w:val="000000" w:themeColor="text1"/>
                              </w:rPr>
                            </w:pPr>
                            <w:r w:rsidRPr="00992982">
                              <w:rPr>
                                <w:rFonts w:ascii="Times New Roman" w:hAnsi="Times New Roman" w:cs="Times New Roman"/>
                                <w:b/>
                                <w:color w:val="000000" w:themeColor="text1"/>
                              </w:rPr>
                              <w:t>Faza aktuale e projektit:       Operim</w:t>
                            </w:r>
                          </w:p>
                          <w:p w14:paraId="6184A4BA" w14:textId="77777777" w:rsidR="0025668C" w:rsidRDefault="0025668C" w:rsidP="004D3885">
                            <w:pPr>
                              <w:rPr>
                                <w:color w:val="808080" w:themeColor="background1" w:themeShade="8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A900BF" id="Text Box 14" o:spid="_x0000_s1038" type="#_x0000_t202" style="position:absolute;left:0;text-align:left;margin-left:270.75pt;margin-top:401.25pt;width:258pt;height:187.5pt;z-index:-251645952;visibility:visible;mso-wrap-style:square;mso-width-percent:0;mso-height-percent:0;mso-wrap-distance-left:7.2pt;mso-wrap-distance-top:7.2pt;mso-wrap-distance-right:25.2pt;mso-wrap-distance-bottom:7.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" fillcolor="#eeece1 [3214]" strokecolor="#c4bc96 [2414]" strokeweight=".5pt">
                <v:fill r:id="rId10" o:title="" color2="white [3212]" type="pattern"/>
                <v:stroke endcap="round"/>
                <v:textbox inset="14.4pt,0,10.8pt,0">
                  <w:txbxContent>
                    <w:p w:rsidR="0025668C" w:rsidRPr="002A4518" w:rsidRDefault="0025668C" w:rsidP="00F20848">
                      <w:pPr>
                        <w:pBdr>
                          <w:left w:val="single" w:sz="80" w:space="3" w:color="7F7F7F" w:themeColor="text1" w:themeTint="80"/>
                          <w:bottom w:val="single" w:sz="8" w:space="0" w:color="7F7F7F" w:themeColor="text1" w:themeTint="80"/>
                        </w:pBdr>
                        <w:spacing w:before="40" w:line="288" w:lineRule="auto"/>
                        <w:jc w:val="both"/>
                        <w:rPr>
                          <w:rFonts w:ascii="Times New Roman" w:hAnsi="Times New Roman" w:cs="Times New Roman"/>
                          <w:b/>
                          <w:i/>
                          <w:color w:val="4A442A" w:themeColor="background2" w:themeShade="40"/>
                          <w:sz w:val="20"/>
                          <w:szCs w:val="20"/>
                        </w:rPr>
                      </w:pPr>
                      <w:r w:rsidRPr="002A4518">
                        <w:rPr>
                          <w:rFonts w:ascii="Times New Roman" w:hAnsi="Times New Roman" w:cs="Times New Roman"/>
                          <w:b/>
                          <w:color w:val="4A442A" w:themeColor="background2" w:themeShade="40"/>
                          <w:sz w:val="20"/>
                          <w:szCs w:val="20"/>
                          <w:lang w:val="en-US"/>
                        </w:rPr>
                        <w:t>Kontrata Koncesionare “</w:t>
                      </w:r>
                      <w:r w:rsidRPr="00F20848">
                        <w:rPr>
                          <w:rFonts w:ascii="Times New Roman" w:hAnsi="Times New Roman" w:cs="Times New Roman"/>
                          <w:b/>
                          <w:i/>
                          <w:color w:val="4A442A" w:themeColor="background2" w:themeShade="40"/>
                          <w:sz w:val="20"/>
                          <w:szCs w:val="20"/>
                          <w:lang w:val="en-US"/>
                        </w:rPr>
                        <w:t>Ndërtimi, operimi dhe transferimi e inceneratorit për përpunimin e mbetjeve urbane të Bashkisë së Elbasanit”</w:t>
                      </w:r>
                    </w:p>
                    <w:p w:rsidR="0025668C" w:rsidRPr="00992982" w:rsidRDefault="0025668C" w:rsidP="006E1EA4">
                      <w:pPr>
                        <w:pStyle w:val="ListParagraph"/>
                        <w:numPr>
                          <w:ilvl w:val="0"/>
                          <w:numId w:val="4"/>
                        </w:numPr>
                        <w:ind w:left="90"/>
                        <w:jc w:val="both"/>
                        <w:rPr>
                          <w:rFonts w:ascii="Times New Roman" w:hAnsi="Times New Roman" w:cs="Times New Roman"/>
                          <w:color w:val="000000" w:themeColor="text1"/>
                        </w:rPr>
                      </w:pPr>
                      <w:r w:rsidRPr="00992982">
                        <w:rPr>
                          <w:rFonts w:ascii="Times New Roman" w:hAnsi="Times New Roman" w:cs="Times New Roman"/>
                          <w:b/>
                          <w:color w:val="000000" w:themeColor="text1"/>
                        </w:rPr>
                        <w:t>Autoriteti Kontraktues:</w:t>
                      </w:r>
                      <w:r w:rsidRPr="00992982">
                        <w:rPr>
                          <w:rFonts w:ascii="Times New Roman" w:hAnsi="Times New Roman" w:cs="Times New Roman"/>
                          <w:color w:val="000000" w:themeColor="text1"/>
                        </w:rPr>
                        <w:t xml:space="preserve">  Ministria e Infrastrukturës dhe Energjisë (zbatues Bashkia Elbasan)</w:t>
                      </w:r>
                    </w:p>
                    <w:p w:rsidR="0025668C" w:rsidRPr="00992982" w:rsidRDefault="0025668C" w:rsidP="004D3885">
                      <w:pPr>
                        <w:pStyle w:val="ListParagraph"/>
                        <w:numPr>
                          <w:ilvl w:val="0"/>
                          <w:numId w:val="4"/>
                        </w:numPr>
                        <w:ind w:left="90"/>
                        <w:jc w:val="both"/>
                        <w:rPr>
                          <w:rFonts w:ascii="Times New Roman" w:hAnsi="Times New Roman" w:cs="Times New Roman"/>
                          <w:color w:val="000000" w:themeColor="text1"/>
                        </w:rPr>
                      </w:pPr>
                      <w:r w:rsidRPr="00992982">
                        <w:rPr>
                          <w:rFonts w:ascii="Times New Roman" w:hAnsi="Times New Roman" w:cs="Times New Roman"/>
                          <w:b/>
                          <w:color w:val="000000" w:themeColor="text1"/>
                        </w:rPr>
                        <w:t>SPV:</w:t>
                      </w:r>
                      <w:r w:rsidRPr="0099298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992982">
                        <w:rPr>
                          <w:rFonts w:ascii="Times New Roman" w:hAnsi="Times New Roman" w:cs="Times New Roman"/>
                          <w:color w:val="000000" w:themeColor="text1"/>
                        </w:rPr>
                        <w:t xml:space="preserve">  “AlbTek Energy” sh.p.k</w:t>
                      </w:r>
                    </w:p>
                    <w:p w:rsidR="0025668C" w:rsidRPr="00992982" w:rsidRDefault="0025668C" w:rsidP="004D3885">
                      <w:pPr>
                        <w:pStyle w:val="ListParagraph"/>
                        <w:numPr>
                          <w:ilvl w:val="0"/>
                          <w:numId w:val="4"/>
                        </w:numPr>
                        <w:ind w:left="90"/>
                        <w:jc w:val="both"/>
                        <w:rPr>
                          <w:rFonts w:ascii="Times New Roman" w:hAnsi="Times New Roman" w:cs="Times New Roman"/>
                          <w:color w:val="000000" w:themeColor="text1"/>
                        </w:rPr>
                      </w:pPr>
                      <w:r w:rsidRPr="00992982">
                        <w:rPr>
                          <w:rFonts w:ascii="Times New Roman" w:hAnsi="Times New Roman" w:cs="Times New Roman"/>
                          <w:b/>
                          <w:color w:val="000000" w:themeColor="text1"/>
                        </w:rPr>
                        <w:t>Vlera e Investimit:</w:t>
                      </w:r>
                      <w:r w:rsidRPr="00992982">
                        <w:rPr>
                          <w:rFonts w:ascii="Times New Roman" w:hAnsi="Times New Roman" w:cs="Times New Roman"/>
                          <w:color w:val="000000" w:themeColor="text1"/>
                        </w:rPr>
                        <w:t xml:space="preserve">                 3 miliardë Lek</w:t>
                      </w:r>
                    </w:p>
                    <w:p w:rsidR="0025668C" w:rsidRPr="00992982" w:rsidRDefault="0025668C" w:rsidP="004D3885">
                      <w:pPr>
                        <w:pStyle w:val="ListParagraph"/>
                        <w:numPr>
                          <w:ilvl w:val="0"/>
                          <w:numId w:val="4"/>
                        </w:numPr>
                        <w:ind w:left="90"/>
                        <w:jc w:val="both"/>
                        <w:rPr>
                          <w:rFonts w:ascii="Times New Roman" w:hAnsi="Times New Roman" w:cs="Times New Roman"/>
                          <w:color w:val="000000" w:themeColor="text1"/>
                        </w:rPr>
                      </w:pPr>
                      <w:r w:rsidRPr="00992982">
                        <w:rPr>
                          <w:rFonts w:ascii="Times New Roman" w:hAnsi="Times New Roman" w:cs="Times New Roman"/>
                          <w:b/>
                          <w:color w:val="000000" w:themeColor="text1"/>
                        </w:rPr>
                        <w:t>Data e fillimit të kontratës:</w:t>
                      </w:r>
                      <w:r w:rsidRPr="00992982">
                        <w:rPr>
                          <w:rFonts w:ascii="Times New Roman" w:hAnsi="Times New Roman" w:cs="Times New Roman"/>
                          <w:color w:val="000000" w:themeColor="text1"/>
                        </w:rPr>
                        <w:t xml:space="preserve">   16 Dhjetor 2014</w:t>
                      </w:r>
                    </w:p>
                    <w:p w:rsidR="0025668C" w:rsidRPr="00992982" w:rsidRDefault="0025668C" w:rsidP="004D3885">
                      <w:pPr>
                        <w:pStyle w:val="ListParagraph"/>
                        <w:numPr>
                          <w:ilvl w:val="0"/>
                          <w:numId w:val="4"/>
                        </w:numPr>
                        <w:ind w:left="90"/>
                        <w:jc w:val="both"/>
                        <w:rPr>
                          <w:rFonts w:ascii="Times New Roman" w:hAnsi="Times New Roman" w:cs="Times New Roman"/>
                          <w:color w:val="000000" w:themeColor="text1"/>
                        </w:rPr>
                      </w:pPr>
                      <w:r w:rsidRPr="00992982">
                        <w:rPr>
                          <w:rFonts w:ascii="Times New Roman" w:hAnsi="Times New Roman" w:cs="Times New Roman"/>
                          <w:b/>
                          <w:color w:val="000000" w:themeColor="text1"/>
                        </w:rPr>
                        <w:t>Kohëzgjatja e kontratës:</w:t>
                      </w:r>
                      <w:r w:rsidRPr="00992982">
                        <w:rPr>
                          <w:rFonts w:ascii="Times New Roman" w:hAnsi="Times New Roman" w:cs="Times New Roman"/>
                          <w:color w:val="000000" w:themeColor="text1"/>
                        </w:rPr>
                        <w:t xml:space="preserve">       7 vjet</w:t>
                      </w:r>
                    </w:p>
                    <w:p w:rsidR="0025668C" w:rsidRPr="00992982" w:rsidRDefault="0025668C" w:rsidP="004D3885">
                      <w:pPr>
                        <w:pStyle w:val="ListParagraph"/>
                        <w:numPr>
                          <w:ilvl w:val="0"/>
                          <w:numId w:val="4"/>
                        </w:numPr>
                        <w:ind w:left="90"/>
                        <w:jc w:val="both"/>
                        <w:rPr>
                          <w:rFonts w:ascii="Times New Roman" w:hAnsi="Times New Roman" w:cs="Times New Roman"/>
                          <w:color w:val="000000" w:themeColor="text1"/>
                        </w:rPr>
                      </w:pPr>
                      <w:r w:rsidRPr="00992982">
                        <w:rPr>
                          <w:rFonts w:ascii="Times New Roman" w:hAnsi="Times New Roman" w:cs="Times New Roman"/>
                          <w:b/>
                          <w:color w:val="000000" w:themeColor="text1"/>
                        </w:rPr>
                        <w:t>Faza aktuale e projektit:       Operim</w:t>
                      </w:r>
                    </w:p>
                    <w:p w:rsidR="0025668C" w:rsidRDefault="0025668C" w:rsidP="004D3885">
                      <w:pPr>
                        <w:rPr>
                          <w:color w:val="808080" w:themeColor="background1" w:themeShade="80"/>
                        </w:rPr>
                      </w:pPr>
                    </w:p>
                  </w:txbxContent>
                </v:textbox>
                <w10:wrap type="tight" anchorx="margin" anchory="page"/>
              </v:shape>
            </w:pict>
          </mc:Fallback>
        </mc:AlternateContent>
      </w:r>
      <w:r w:rsidR="006E1EA4" w:rsidRPr="006E1EA4">
        <w:rPr>
          <w:rFonts w:ascii="Times New Roman" w:hAnsi="Times New Roman" w:cs="Times New Roman"/>
          <w:sz w:val="24"/>
          <w:szCs w:val="24"/>
        </w:rPr>
        <w:t>Kjo kontrat</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 xml:space="preserve"> koncesioni </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sht</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 xml:space="preserve"> nj</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 xml:space="preserve"> projekt i form</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s BOT (nd</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rtim, operim dhe transferim), n</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p</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rmjet t</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 xml:space="preserve"> cil</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s Autoriteti Kontraktues i jep koncesionarit financimin, projektimin, nd</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rtimin dhe v</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nien n</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 xml:space="preserve"> pun</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 admin</w:t>
      </w:r>
      <w:r w:rsidR="003276E7">
        <w:rPr>
          <w:rFonts w:ascii="Times New Roman" w:hAnsi="Times New Roman" w:cs="Times New Roman"/>
          <w:sz w:val="24"/>
          <w:szCs w:val="24"/>
        </w:rPr>
        <w:t xml:space="preserve">istrimin, </w:t>
      </w:r>
      <w:r w:rsidR="006E1EA4" w:rsidRPr="006E1EA4">
        <w:rPr>
          <w:rFonts w:ascii="Times New Roman" w:hAnsi="Times New Roman" w:cs="Times New Roman"/>
          <w:sz w:val="24"/>
          <w:szCs w:val="24"/>
        </w:rPr>
        <w:t>mir</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mbajtjen dhe transferimin n</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 xml:space="preserve"> p</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rfundim t</w:t>
      </w:r>
      <w:r w:rsidR="001E3A70">
        <w:rPr>
          <w:rFonts w:ascii="Times New Roman" w:hAnsi="Times New Roman" w:cs="Times New Roman"/>
          <w:sz w:val="24"/>
          <w:szCs w:val="24"/>
        </w:rPr>
        <w:t>ë</w:t>
      </w:r>
      <w:r w:rsidR="006E1EA4" w:rsidRPr="006E1EA4">
        <w:rPr>
          <w:rFonts w:ascii="Times New Roman" w:hAnsi="Times New Roman" w:cs="Times New Roman"/>
          <w:sz w:val="24"/>
          <w:szCs w:val="24"/>
        </w:rPr>
        <w:t xml:space="preserve"> afatit. </w:t>
      </w:r>
      <w:r w:rsidR="00686577">
        <w:rPr>
          <w:rFonts w:ascii="Times New Roman" w:hAnsi="Times New Roman" w:cs="Times New Roman"/>
          <w:sz w:val="24"/>
          <w:szCs w:val="24"/>
        </w:rPr>
        <w:t>Kontrata</w:t>
      </w:r>
      <w:r w:rsidR="006E1EA4" w:rsidRPr="009B6417">
        <w:rPr>
          <w:rFonts w:ascii="Times New Roman" w:hAnsi="Times New Roman" w:cs="Times New Roman"/>
          <w:sz w:val="24"/>
          <w:szCs w:val="24"/>
        </w:rPr>
        <w:t xml:space="preserve"> </w:t>
      </w:r>
      <w:r w:rsidR="006E1EA4" w:rsidRPr="009B6417">
        <w:rPr>
          <w:rFonts w:ascii="Times New Roman" w:eastAsia="Times New Roman" w:hAnsi="Times New Roman" w:cs="Times New Roman"/>
          <w:sz w:val="24"/>
          <w:szCs w:val="24"/>
        </w:rPr>
        <w:t>ka</w:t>
      </w:r>
      <w:r w:rsidR="006E1EA4">
        <w:rPr>
          <w:rFonts w:ascii="Times New Roman" w:eastAsia="Times New Roman" w:hAnsi="Times New Roman" w:cs="Times New Roman"/>
          <w:sz w:val="24"/>
          <w:szCs w:val="24"/>
        </w:rPr>
        <w:t xml:space="preserve"> një kohëzgjatje prej 7 </w:t>
      </w:r>
      <w:r w:rsidR="006E1EA4" w:rsidRPr="009B6417">
        <w:rPr>
          <w:rFonts w:ascii="Times New Roman" w:eastAsia="Times New Roman" w:hAnsi="Times New Roman" w:cs="Times New Roman"/>
          <w:sz w:val="24"/>
          <w:szCs w:val="24"/>
        </w:rPr>
        <w:t xml:space="preserve">vjetësh dhe kosto totale të investimit prej </w:t>
      </w:r>
      <w:r w:rsidR="006E1EA4">
        <w:rPr>
          <w:rFonts w:ascii="Times New Roman" w:eastAsia="Times New Roman" w:hAnsi="Times New Roman" w:cs="Times New Roman"/>
          <w:sz w:val="24"/>
          <w:szCs w:val="24"/>
        </w:rPr>
        <w:t>3 miliardë Lek</w:t>
      </w:r>
      <w:r w:rsidR="006E1EA4" w:rsidRPr="009B6417">
        <w:rPr>
          <w:rFonts w:ascii="Times New Roman" w:eastAsia="Times New Roman" w:hAnsi="Times New Roman" w:cs="Times New Roman"/>
          <w:sz w:val="24"/>
          <w:szCs w:val="24"/>
        </w:rPr>
        <w:t xml:space="preserve">. </w:t>
      </w:r>
      <w:r w:rsidR="006E1EA4" w:rsidRPr="009B6417">
        <w:rPr>
          <w:rFonts w:ascii="Times New Roman" w:hAnsi="Times New Roman" w:cs="Times New Roman"/>
          <w:sz w:val="24"/>
          <w:szCs w:val="24"/>
          <w:lang w:val="en-US"/>
        </w:rPr>
        <w:t xml:space="preserve">Nëpërmjet këtij koncesioni, </w:t>
      </w:r>
      <w:r w:rsidR="00AD724F">
        <w:rPr>
          <w:rFonts w:ascii="Times New Roman" w:hAnsi="Times New Roman" w:cs="Times New Roman"/>
          <w:sz w:val="24"/>
          <w:szCs w:val="24"/>
          <w:lang w:val="en-US"/>
        </w:rPr>
        <w:t xml:space="preserve">synohet zgjidhja e </w:t>
      </w:r>
      <w:r w:rsidR="006E1EA4" w:rsidRPr="009B6417">
        <w:rPr>
          <w:rFonts w:ascii="Times New Roman" w:hAnsi="Times New Roman" w:cs="Times New Roman"/>
          <w:sz w:val="24"/>
          <w:szCs w:val="24"/>
          <w:lang w:val="en-US"/>
        </w:rPr>
        <w:t xml:space="preserve">problemit të menaxhimit aktual të mbetjeve në qytetin e </w:t>
      </w:r>
      <w:r w:rsidR="006E1EA4">
        <w:rPr>
          <w:rFonts w:ascii="Times New Roman" w:hAnsi="Times New Roman" w:cs="Times New Roman"/>
          <w:sz w:val="24"/>
          <w:szCs w:val="24"/>
          <w:lang w:val="en-US"/>
        </w:rPr>
        <w:t>Elbasanit</w:t>
      </w:r>
      <w:r w:rsidR="00AD724F">
        <w:rPr>
          <w:rFonts w:ascii="Times New Roman" w:hAnsi="Times New Roman" w:cs="Times New Roman"/>
          <w:sz w:val="24"/>
          <w:szCs w:val="24"/>
          <w:lang w:val="en-US"/>
        </w:rPr>
        <w:t xml:space="preserve"> dhe në fund të periu</w:t>
      </w:r>
      <w:r w:rsidR="00461FB7">
        <w:rPr>
          <w:rFonts w:ascii="Times New Roman" w:hAnsi="Times New Roman" w:cs="Times New Roman"/>
          <w:sz w:val="24"/>
          <w:szCs w:val="24"/>
          <w:lang w:val="en-US"/>
        </w:rPr>
        <w:t xml:space="preserve">dhës së kontratës koncesionare </w:t>
      </w:r>
      <w:r w:rsidR="00AD724F">
        <w:rPr>
          <w:rFonts w:ascii="Times New Roman" w:hAnsi="Times New Roman" w:cs="Times New Roman"/>
          <w:sz w:val="24"/>
          <w:szCs w:val="24"/>
          <w:lang w:val="en-US"/>
        </w:rPr>
        <w:t>ky aset i kalon në pronësi Bashkisë Elbasan.</w:t>
      </w:r>
    </w:p>
    <w:p w14:paraId="164FDE71" w14:textId="77777777" w:rsidR="00AF2738" w:rsidRPr="00AF2738" w:rsidRDefault="00AF2738" w:rsidP="004C1F25">
      <w:pPr>
        <w:pStyle w:val="ListParagraph"/>
        <w:numPr>
          <w:ilvl w:val="2"/>
          <w:numId w:val="32"/>
        </w:numPr>
        <w:jc w:val="both"/>
        <w:rPr>
          <w:rFonts w:ascii="Times New Roman" w:hAnsi="Times New Roman" w:cs="Times New Roman"/>
          <w:sz w:val="24"/>
          <w:szCs w:val="24"/>
        </w:rPr>
      </w:pPr>
      <w:r w:rsidRPr="009B6417">
        <w:rPr>
          <w:rFonts w:ascii="Times New Roman" w:eastAsia="Times New Roman" w:hAnsi="Times New Roman" w:cs="Times New Roman"/>
          <w:b/>
          <w:i/>
          <w:sz w:val="24"/>
          <w:szCs w:val="24"/>
        </w:rPr>
        <w:t>Performanca e projektit dhe lloji i financimit</w:t>
      </w:r>
    </w:p>
    <w:p w14:paraId="111554BE" w14:textId="77777777" w:rsidR="00F20848" w:rsidRPr="009B6417" w:rsidRDefault="00AF2738" w:rsidP="00F20848">
      <w:pPr>
        <w:spacing w:after="0"/>
        <w:jc w:val="both"/>
        <w:rPr>
          <w:rFonts w:ascii="Times New Roman" w:hAnsi="Times New Roman" w:cs="Times New Roman"/>
          <w:sz w:val="24"/>
          <w:szCs w:val="24"/>
        </w:rPr>
      </w:pPr>
      <w:r>
        <w:rPr>
          <w:rFonts w:ascii="Times New Roman" w:hAnsi="Times New Roman" w:cs="Times New Roman"/>
          <w:sz w:val="24"/>
          <w:szCs w:val="24"/>
        </w:rPr>
        <w:t>Ak</w:t>
      </w:r>
      <w:r w:rsidR="00855861">
        <w:rPr>
          <w:rFonts w:ascii="Times New Roman" w:hAnsi="Times New Roman" w:cs="Times New Roman"/>
          <w:sz w:val="24"/>
          <w:szCs w:val="24"/>
        </w:rPr>
        <w:t xml:space="preserve">tualisht projekti </w:t>
      </w:r>
      <w:r w:rsidR="001E3A70">
        <w:rPr>
          <w:rFonts w:ascii="Times New Roman" w:hAnsi="Times New Roman" w:cs="Times New Roman"/>
          <w:sz w:val="24"/>
          <w:szCs w:val="24"/>
        </w:rPr>
        <w:t>ë</w:t>
      </w:r>
      <w:r w:rsidR="00855861">
        <w:rPr>
          <w:rFonts w:ascii="Times New Roman" w:hAnsi="Times New Roman" w:cs="Times New Roman"/>
          <w:sz w:val="24"/>
          <w:szCs w:val="24"/>
        </w:rPr>
        <w:t>sht</w:t>
      </w:r>
      <w:r w:rsidR="001E3A70">
        <w:rPr>
          <w:rFonts w:ascii="Times New Roman" w:hAnsi="Times New Roman" w:cs="Times New Roman"/>
          <w:sz w:val="24"/>
          <w:szCs w:val="24"/>
        </w:rPr>
        <w:t>ë</w:t>
      </w:r>
      <w:r w:rsidR="00855861">
        <w:rPr>
          <w:rFonts w:ascii="Times New Roman" w:hAnsi="Times New Roman" w:cs="Times New Roman"/>
          <w:sz w:val="24"/>
          <w:szCs w:val="24"/>
        </w:rPr>
        <w:t xml:space="preserve"> n</w:t>
      </w:r>
      <w:r w:rsidR="001E3A70">
        <w:rPr>
          <w:rFonts w:ascii="Times New Roman" w:hAnsi="Times New Roman" w:cs="Times New Roman"/>
          <w:sz w:val="24"/>
          <w:szCs w:val="24"/>
        </w:rPr>
        <w:t>ë</w:t>
      </w:r>
      <w:r w:rsidR="00855861">
        <w:rPr>
          <w:rFonts w:ascii="Times New Roman" w:hAnsi="Times New Roman" w:cs="Times New Roman"/>
          <w:sz w:val="24"/>
          <w:szCs w:val="24"/>
        </w:rPr>
        <w:t xml:space="preserve"> faz</w:t>
      </w:r>
      <w:r w:rsidR="001E3A70">
        <w:rPr>
          <w:rFonts w:ascii="Times New Roman" w:hAnsi="Times New Roman" w:cs="Times New Roman"/>
          <w:sz w:val="24"/>
          <w:szCs w:val="24"/>
        </w:rPr>
        <w:t>ë</w:t>
      </w:r>
      <w:r w:rsidR="00855861">
        <w:rPr>
          <w:rFonts w:ascii="Times New Roman" w:hAnsi="Times New Roman" w:cs="Times New Roman"/>
          <w:sz w:val="24"/>
          <w:szCs w:val="24"/>
        </w:rPr>
        <w:t xml:space="preserve">n e operimit. </w:t>
      </w:r>
      <w:r w:rsidR="00F20848" w:rsidRPr="009B6417">
        <w:rPr>
          <w:rFonts w:ascii="Times New Roman" w:hAnsi="Times New Roman" w:cs="Times New Roman"/>
          <w:sz w:val="24"/>
          <w:szCs w:val="24"/>
        </w:rPr>
        <w:t xml:space="preserve">Për </w:t>
      </w:r>
      <w:r w:rsidR="00F20848">
        <w:rPr>
          <w:rFonts w:ascii="Times New Roman" w:hAnsi="Times New Roman" w:cs="Times New Roman"/>
          <w:sz w:val="24"/>
          <w:szCs w:val="24"/>
        </w:rPr>
        <w:t>koncesionin e Inceneratorit të Elbasanit</w:t>
      </w:r>
      <w:r w:rsidR="00F20848" w:rsidRPr="009B6417">
        <w:rPr>
          <w:rFonts w:ascii="Times New Roman" w:hAnsi="Times New Roman" w:cs="Times New Roman"/>
          <w:sz w:val="24"/>
          <w:szCs w:val="24"/>
        </w:rPr>
        <w:t xml:space="preserve">, treguesi kryesor për realizimin e nivelit të përmbushjes së shërbimit të ofruar është sasia e mbetjeve urbane të rikuperuara dhe të përdorura si lëndë djegëse për prodhimin e energjisë. </w:t>
      </w:r>
    </w:p>
    <w:p w14:paraId="7A60BFA2" w14:textId="77777777" w:rsidR="00BD5E13" w:rsidRPr="00BD5E13" w:rsidRDefault="00855861" w:rsidP="00BD5E13">
      <w:pPr>
        <w:jc w:val="both"/>
        <w:rPr>
          <w:rFonts w:ascii="Times New Roman" w:hAnsi="Times New Roman" w:cs="Times New Roman"/>
          <w:sz w:val="24"/>
          <w:szCs w:val="24"/>
        </w:rPr>
      </w:pPr>
      <w:r>
        <w:rPr>
          <w:rFonts w:ascii="Times New Roman" w:hAnsi="Times New Roman" w:cs="Times New Roman"/>
          <w:sz w:val="24"/>
          <w:szCs w:val="24"/>
        </w:rPr>
        <w:t>Sasia e mbetjeve t</w:t>
      </w:r>
      <w:r w:rsidR="001E3A70">
        <w:rPr>
          <w:rFonts w:ascii="Times New Roman" w:hAnsi="Times New Roman" w:cs="Times New Roman"/>
          <w:sz w:val="24"/>
          <w:szCs w:val="24"/>
        </w:rPr>
        <w:t>ë</w:t>
      </w:r>
      <w:r>
        <w:rPr>
          <w:rFonts w:ascii="Times New Roman" w:hAnsi="Times New Roman" w:cs="Times New Roman"/>
          <w:sz w:val="24"/>
          <w:szCs w:val="24"/>
        </w:rPr>
        <w:t xml:space="preserve"> rikuperuara n</w:t>
      </w:r>
      <w:r w:rsidR="001E3A70">
        <w:rPr>
          <w:rFonts w:ascii="Times New Roman" w:hAnsi="Times New Roman" w:cs="Times New Roman"/>
          <w:sz w:val="24"/>
          <w:szCs w:val="24"/>
        </w:rPr>
        <w:t>ë</w:t>
      </w:r>
      <w:r>
        <w:rPr>
          <w:rFonts w:ascii="Times New Roman" w:hAnsi="Times New Roman" w:cs="Times New Roman"/>
          <w:sz w:val="24"/>
          <w:szCs w:val="24"/>
        </w:rPr>
        <w:t xml:space="preserve"> vit e parashikuar n</w:t>
      </w:r>
      <w:r w:rsidR="001E3A70">
        <w:rPr>
          <w:rFonts w:ascii="Times New Roman" w:hAnsi="Times New Roman" w:cs="Times New Roman"/>
          <w:sz w:val="24"/>
          <w:szCs w:val="24"/>
        </w:rPr>
        <w:t>ë</w:t>
      </w:r>
      <w:r>
        <w:rPr>
          <w:rFonts w:ascii="Times New Roman" w:hAnsi="Times New Roman" w:cs="Times New Roman"/>
          <w:sz w:val="24"/>
          <w:szCs w:val="24"/>
        </w:rPr>
        <w:t xml:space="preserve"> kontrat</w:t>
      </w:r>
      <w:r w:rsidR="001E3A70">
        <w:rPr>
          <w:rFonts w:ascii="Times New Roman" w:hAnsi="Times New Roman" w:cs="Times New Roman"/>
          <w:sz w:val="24"/>
          <w:szCs w:val="24"/>
        </w:rPr>
        <w:t>ë</w:t>
      </w:r>
      <w:r>
        <w:rPr>
          <w:rFonts w:ascii="Times New Roman" w:hAnsi="Times New Roman" w:cs="Times New Roman"/>
          <w:sz w:val="24"/>
          <w:szCs w:val="24"/>
        </w:rPr>
        <w:t xml:space="preserve"> </w:t>
      </w:r>
      <w:r w:rsidR="001E3A70">
        <w:rPr>
          <w:rFonts w:ascii="Times New Roman" w:hAnsi="Times New Roman" w:cs="Times New Roman"/>
          <w:sz w:val="24"/>
          <w:szCs w:val="24"/>
        </w:rPr>
        <w:t>ë</w:t>
      </w:r>
      <w:r>
        <w:rPr>
          <w:rFonts w:ascii="Times New Roman" w:hAnsi="Times New Roman" w:cs="Times New Roman"/>
          <w:sz w:val="24"/>
          <w:szCs w:val="24"/>
        </w:rPr>
        <w:t>sht</w:t>
      </w:r>
      <w:r w:rsidR="001E3A70">
        <w:rPr>
          <w:rFonts w:ascii="Times New Roman" w:hAnsi="Times New Roman" w:cs="Times New Roman"/>
          <w:sz w:val="24"/>
          <w:szCs w:val="24"/>
        </w:rPr>
        <w:t>ë</w:t>
      </w:r>
      <w:r>
        <w:rPr>
          <w:rFonts w:ascii="Times New Roman" w:hAnsi="Times New Roman" w:cs="Times New Roman"/>
          <w:sz w:val="24"/>
          <w:szCs w:val="24"/>
        </w:rPr>
        <w:t xml:space="preserve"> 43,200 ton/vit. P</w:t>
      </w:r>
      <w:r w:rsidR="001E3A70">
        <w:rPr>
          <w:rFonts w:ascii="Times New Roman" w:hAnsi="Times New Roman" w:cs="Times New Roman"/>
          <w:sz w:val="24"/>
          <w:szCs w:val="24"/>
        </w:rPr>
        <w:t>ë</w:t>
      </w:r>
      <w:r>
        <w:rPr>
          <w:rFonts w:ascii="Times New Roman" w:hAnsi="Times New Roman" w:cs="Times New Roman"/>
          <w:sz w:val="24"/>
          <w:szCs w:val="24"/>
        </w:rPr>
        <w:t>r vitin 2019 jan</w:t>
      </w:r>
      <w:r w:rsidR="001E3A70">
        <w:rPr>
          <w:rFonts w:ascii="Times New Roman" w:hAnsi="Times New Roman" w:cs="Times New Roman"/>
          <w:sz w:val="24"/>
          <w:szCs w:val="24"/>
        </w:rPr>
        <w:t>ë</w:t>
      </w:r>
      <w:r>
        <w:rPr>
          <w:rFonts w:ascii="Times New Roman" w:hAnsi="Times New Roman" w:cs="Times New Roman"/>
          <w:sz w:val="24"/>
          <w:szCs w:val="24"/>
        </w:rPr>
        <w:t xml:space="preserve"> rikuperuar 33,104 ton apo 23,4% m</w:t>
      </w:r>
      <w:r w:rsidR="001E3A70">
        <w:rPr>
          <w:rFonts w:ascii="Times New Roman" w:hAnsi="Times New Roman" w:cs="Times New Roman"/>
          <w:sz w:val="24"/>
          <w:szCs w:val="24"/>
        </w:rPr>
        <w:t>ë</w:t>
      </w:r>
      <w:r>
        <w:rPr>
          <w:rFonts w:ascii="Times New Roman" w:hAnsi="Times New Roman" w:cs="Times New Roman"/>
          <w:sz w:val="24"/>
          <w:szCs w:val="24"/>
        </w:rPr>
        <w:t xml:space="preserve"> pak se sasia e parashikuar n</w:t>
      </w:r>
      <w:r w:rsidR="001E3A70">
        <w:rPr>
          <w:rFonts w:ascii="Times New Roman" w:hAnsi="Times New Roman" w:cs="Times New Roman"/>
          <w:sz w:val="24"/>
          <w:szCs w:val="24"/>
        </w:rPr>
        <w:t>ë</w:t>
      </w:r>
      <w:r>
        <w:rPr>
          <w:rFonts w:ascii="Times New Roman" w:hAnsi="Times New Roman" w:cs="Times New Roman"/>
          <w:sz w:val="24"/>
          <w:szCs w:val="24"/>
        </w:rPr>
        <w:t xml:space="preserve"> kontrat</w:t>
      </w:r>
      <w:r w:rsidR="001E3A70">
        <w:rPr>
          <w:rFonts w:ascii="Times New Roman" w:hAnsi="Times New Roman" w:cs="Times New Roman"/>
          <w:sz w:val="24"/>
          <w:szCs w:val="24"/>
        </w:rPr>
        <w:t>ë</w:t>
      </w:r>
      <w:r>
        <w:rPr>
          <w:rFonts w:ascii="Times New Roman" w:hAnsi="Times New Roman" w:cs="Times New Roman"/>
          <w:sz w:val="24"/>
          <w:szCs w:val="24"/>
        </w:rPr>
        <w:t>, p</w:t>
      </w:r>
      <w:r w:rsidR="001E3A70">
        <w:rPr>
          <w:rFonts w:ascii="Times New Roman" w:hAnsi="Times New Roman" w:cs="Times New Roman"/>
          <w:sz w:val="24"/>
          <w:szCs w:val="24"/>
        </w:rPr>
        <w:t>ë</w:t>
      </w:r>
      <w:r>
        <w:rPr>
          <w:rFonts w:ascii="Times New Roman" w:hAnsi="Times New Roman" w:cs="Times New Roman"/>
          <w:sz w:val="24"/>
          <w:szCs w:val="24"/>
        </w:rPr>
        <w:t>r shkak se jo t</w:t>
      </w:r>
      <w:r w:rsidR="001E3A70">
        <w:rPr>
          <w:rFonts w:ascii="Times New Roman" w:hAnsi="Times New Roman" w:cs="Times New Roman"/>
          <w:sz w:val="24"/>
          <w:szCs w:val="24"/>
        </w:rPr>
        <w:t>ë</w:t>
      </w:r>
      <w:r>
        <w:rPr>
          <w:rFonts w:ascii="Times New Roman" w:hAnsi="Times New Roman" w:cs="Times New Roman"/>
          <w:sz w:val="24"/>
          <w:szCs w:val="24"/>
        </w:rPr>
        <w:t xml:space="preserve"> gjitha </w:t>
      </w:r>
      <w:r>
        <w:rPr>
          <w:rFonts w:ascii="Times New Roman" w:hAnsi="Times New Roman" w:cs="Times New Roman"/>
          <w:sz w:val="24"/>
          <w:szCs w:val="24"/>
        </w:rPr>
        <w:lastRenderedPageBreak/>
        <w:t>Bashkit</w:t>
      </w:r>
      <w:r w:rsidR="001E3A70">
        <w:rPr>
          <w:rFonts w:ascii="Times New Roman" w:hAnsi="Times New Roman" w:cs="Times New Roman"/>
          <w:sz w:val="24"/>
          <w:szCs w:val="24"/>
        </w:rPr>
        <w:t>ë</w:t>
      </w:r>
      <w:r>
        <w:rPr>
          <w:rFonts w:ascii="Times New Roman" w:hAnsi="Times New Roman" w:cs="Times New Roman"/>
          <w:sz w:val="24"/>
          <w:szCs w:val="24"/>
        </w:rPr>
        <w:t xml:space="preserve"> e Qarkut t</w:t>
      </w:r>
      <w:r w:rsidR="001E3A70">
        <w:rPr>
          <w:rFonts w:ascii="Times New Roman" w:hAnsi="Times New Roman" w:cs="Times New Roman"/>
          <w:sz w:val="24"/>
          <w:szCs w:val="24"/>
        </w:rPr>
        <w:t>ë</w:t>
      </w:r>
      <w:r>
        <w:rPr>
          <w:rFonts w:ascii="Times New Roman" w:hAnsi="Times New Roman" w:cs="Times New Roman"/>
          <w:sz w:val="24"/>
          <w:szCs w:val="24"/>
        </w:rPr>
        <w:t xml:space="preserve"> Elbasanit (Peqin, Prrenjas, Gramsh dhe Belsh) i d</w:t>
      </w:r>
      <w:r w:rsidR="001E3A70">
        <w:rPr>
          <w:rFonts w:ascii="Times New Roman" w:hAnsi="Times New Roman" w:cs="Times New Roman"/>
          <w:sz w:val="24"/>
          <w:szCs w:val="24"/>
        </w:rPr>
        <w:t>ë</w:t>
      </w:r>
      <w:r>
        <w:rPr>
          <w:rFonts w:ascii="Times New Roman" w:hAnsi="Times New Roman" w:cs="Times New Roman"/>
          <w:sz w:val="24"/>
          <w:szCs w:val="24"/>
        </w:rPr>
        <w:t>rgojn</w:t>
      </w:r>
      <w:r w:rsidR="001E3A70">
        <w:rPr>
          <w:rFonts w:ascii="Times New Roman" w:hAnsi="Times New Roman" w:cs="Times New Roman"/>
          <w:sz w:val="24"/>
          <w:szCs w:val="24"/>
        </w:rPr>
        <w:t>ë</w:t>
      </w:r>
      <w:r>
        <w:rPr>
          <w:rFonts w:ascii="Times New Roman" w:hAnsi="Times New Roman" w:cs="Times New Roman"/>
          <w:sz w:val="24"/>
          <w:szCs w:val="24"/>
        </w:rPr>
        <w:t xml:space="preserve"> mbetjet n</w:t>
      </w:r>
      <w:r w:rsidR="001E3A70">
        <w:rPr>
          <w:rFonts w:ascii="Times New Roman" w:hAnsi="Times New Roman" w:cs="Times New Roman"/>
          <w:sz w:val="24"/>
          <w:szCs w:val="24"/>
        </w:rPr>
        <w:t>ë</w:t>
      </w:r>
      <w:r>
        <w:rPr>
          <w:rFonts w:ascii="Times New Roman" w:hAnsi="Times New Roman" w:cs="Times New Roman"/>
          <w:sz w:val="24"/>
          <w:szCs w:val="24"/>
        </w:rPr>
        <w:t xml:space="preserve"> impiantin e nd</w:t>
      </w:r>
      <w:r w:rsidR="001E3A70">
        <w:rPr>
          <w:rFonts w:ascii="Times New Roman" w:hAnsi="Times New Roman" w:cs="Times New Roman"/>
          <w:sz w:val="24"/>
          <w:szCs w:val="24"/>
        </w:rPr>
        <w:t>ë</w:t>
      </w:r>
      <w:r>
        <w:rPr>
          <w:rFonts w:ascii="Times New Roman" w:hAnsi="Times New Roman" w:cs="Times New Roman"/>
          <w:sz w:val="24"/>
          <w:szCs w:val="24"/>
        </w:rPr>
        <w:t>rtuar.</w:t>
      </w:r>
    </w:p>
    <w:p w14:paraId="6CA4960C" w14:textId="77777777" w:rsidR="00F20848" w:rsidRDefault="00855861" w:rsidP="00855861">
      <w:pPr>
        <w:spacing w:before="240" w:after="0"/>
        <w:jc w:val="both"/>
        <w:rPr>
          <w:rFonts w:ascii="Times New Roman" w:hAnsi="Times New Roman" w:cs="Times New Roman"/>
          <w:sz w:val="24"/>
          <w:szCs w:val="24"/>
        </w:rPr>
      </w:pPr>
      <w:r>
        <w:rPr>
          <w:rFonts w:ascii="Times New Roman" w:hAnsi="Times New Roman" w:cs="Times New Roman"/>
          <w:sz w:val="24"/>
          <w:szCs w:val="24"/>
        </w:rPr>
        <w:t>Pagesat faktike të vitit</w:t>
      </w:r>
      <w:r w:rsidRPr="009B6417">
        <w:rPr>
          <w:rFonts w:ascii="Times New Roman" w:hAnsi="Times New Roman" w:cs="Times New Roman"/>
          <w:sz w:val="24"/>
          <w:szCs w:val="24"/>
        </w:rPr>
        <w:t xml:space="preserve"> 2019 janë në masën rreth </w:t>
      </w:r>
      <w:r>
        <w:rPr>
          <w:rFonts w:ascii="Times New Roman" w:hAnsi="Times New Roman" w:cs="Times New Roman"/>
          <w:sz w:val="24"/>
          <w:szCs w:val="24"/>
        </w:rPr>
        <w:t>631,3</w:t>
      </w:r>
      <w:r w:rsidRPr="009B6417">
        <w:rPr>
          <w:rFonts w:ascii="Times New Roman" w:hAnsi="Times New Roman" w:cs="Times New Roman"/>
          <w:sz w:val="24"/>
          <w:szCs w:val="24"/>
        </w:rPr>
        <w:t xml:space="preserve"> milionë lekë, duke rezultuar me një realizim prej </w:t>
      </w:r>
      <w:r>
        <w:rPr>
          <w:rFonts w:ascii="Times New Roman" w:hAnsi="Times New Roman" w:cs="Times New Roman"/>
          <w:sz w:val="24"/>
          <w:szCs w:val="24"/>
        </w:rPr>
        <w:t>95.4</w:t>
      </w:r>
      <w:r w:rsidRPr="009B6417">
        <w:rPr>
          <w:rFonts w:ascii="Times New Roman" w:hAnsi="Times New Roman" w:cs="Times New Roman"/>
          <w:sz w:val="24"/>
          <w:szCs w:val="24"/>
        </w:rPr>
        <w:t>% përqind</w:t>
      </w:r>
      <w:r>
        <w:rPr>
          <w:rFonts w:ascii="Times New Roman" w:hAnsi="Times New Roman" w:cs="Times New Roman"/>
          <w:sz w:val="24"/>
          <w:szCs w:val="24"/>
        </w:rPr>
        <w:t xml:space="preserve"> nga plani vjetor 2019.</w:t>
      </w:r>
    </w:p>
    <w:p w14:paraId="011D2F4B" w14:textId="77777777" w:rsidR="00F20848" w:rsidRPr="00F20848" w:rsidRDefault="00F20848" w:rsidP="00855861">
      <w:pPr>
        <w:spacing w:before="240" w:after="0"/>
        <w:jc w:val="both"/>
        <w:rPr>
          <w:rFonts w:ascii="Times New Roman" w:hAnsi="Times New Roman" w:cs="Times New Roman"/>
          <w:sz w:val="2"/>
          <w:szCs w:val="24"/>
        </w:rPr>
      </w:pPr>
    </w:p>
    <w:p w14:paraId="57ABF722" w14:textId="77777777" w:rsidR="00855861" w:rsidRPr="009B6417" w:rsidRDefault="00F20848" w:rsidP="006B6D4D">
      <w:pPr>
        <w:pStyle w:val="Caption"/>
      </w:pPr>
      <w:bookmarkStart w:id="53" w:name="_Toc40422394"/>
      <w:r>
        <w:t xml:space="preserve">Tabela </w:t>
      </w:r>
      <w:r w:rsidR="00E54EC8">
        <w:fldChar w:fldCharType="begin"/>
      </w:r>
      <w:r>
        <w:instrText xml:space="preserve"> SEQ Tabela \* ARABIC </w:instrText>
      </w:r>
      <w:r w:rsidR="00E54EC8">
        <w:fldChar w:fldCharType="separate"/>
      </w:r>
      <w:r>
        <w:rPr>
          <w:noProof/>
        </w:rPr>
        <w:t>11</w:t>
      </w:r>
      <w:r w:rsidR="00E54EC8">
        <w:fldChar w:fldCharType="end"/>
      </w:r>
      <w:r w:rsidR="00855861" w:rsidRPr="009B6417">
        <w:t xml:space="preserve">: Pagesat Buxhetore për projektin “Inceneratori i </w:t>
      </w:r>
      <w:r>
        <w:t>Elbasanit</w:t>
      </w:r>
      <w:r w:rsidR="00855861" w:rsidRPr="009B6417">
        <w:t>”</w:t>
      </w:r>
      <w:bookmarkEnd w:id="53"/>
    </w:p>
    <w:tbl>
      <w:tblPr>
        <w:tblStyle w:val="PlainTable1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98"/>
        <w:gridCol w:w="1053"/>
        <w:gridCol w:w="1307"/>
        <w:gridCol w:w="1260"/>
        <w:gridCol w:w="1350"/>
        <w:gridCol w:w="1710"/>
        <w:gridCol w:w="1597"/>
      </w:tblGrid>
      <w:tr w:rsidR="00855861" w:rsidRPr="003C2F4F" w14:paraId="0E4EA7B0" w14:textId="77777777" w:rsidTr="00824566">
        <w:trPr>
          <w:cnfStyle w:val="100000000000" w:firstRow="1" w:lastRow="0" w:firstColumn="0" w:lastColumn="0" w:oddVBand="0" w:evenVBand="0" w:oddHBand="0" w:evenHBand="0" w:firstRowFirstColumn="0" w:firstRowLastColumn="0" w:lastRowFirstColumn="0" w:lastRowLastColumn="0"/>
          <w:trHeight w:hRule="exact" w:val="253"/>
        </w:trPr>
        <w:tc>
          <w:tcPr>
            <w:tcW w:w="1798" w:type="dxa"/>
            <w:vMerge w:val="restart"/>
            <w:shd w:val="clear" w:color="auto" w:fill="DDD9C3" w:themeFill="background2" w:themeFillShade="E6"/>
            <w:hideMark/>
          </w:tcPr>
          <w:p w14:paraId="7B34B79A" w14:textId="77777777" w:rsidR="00855861" w:rsidRPr="001173AF" w:rsidRDefault="00855861" w:rsidP="00824566">
            <w:pPr>
              <w:pStyle w:val="NoSpacing"/>
              <w:spacing w:line="276" w:lineRule="auto"/>
              <w:jc w:val="both"/>
              <w:rPr>
                <w:rFonts w:ascii="Times New Roman" w:hAnsi="Times New Roman" w:cs="Times New Roman"/>
                <w:i/>
                <w:sz w:val="20"/>
                <w:szCs w:val="24"/>
                <w:lang w:val="sq-AL"/>
              </w:rPr>
            </w:pPr>
            <w:r w:rsidRPr="001173AF">
              <w:rPr>
                <w:rFonts w:ascii="Times New Roman" w:hAnsi="Times New Roman" w:cs="Times New Roman"/>
                <w:i/>
                <w:sz w:val="20"/>
                <w:szCs w:val="24"/>
                <w:lang w:val="sq-AL"/>
              </w:rPr>
              <w:t>Viti</w:t>
            </w:r>
          </w:p>
        </w:tc>
        <w:tc>
          <w:tcPr>
            <w:tcW w:w="2360" w:type="dxa"/>
            <w:gridSpan w:val="2"/>
            <w:shd w:val="clear" w:color="auto" w:fill="DDD9C3" w:themeFill="background2" w:themeFillShade="E6"/>
            <w:hideMark/>
          </w:tcPr>
          <w:p w14:paraId="30749BF6" w14:textId="77777777" w:rsidR="00855861" w:rsidRPr="001173AF" w:rsidRDefault="00855861" w:rsidP="00824566">
            <w:pPr>
              <w:pStyle w:val="NoSpacing"/>
              <w:spacing w:line="276" w:lineRule="auto"/>
              <w:jc w:val="center"/>
              <w:rPr>
                <w:rFonts w:ascii="Times New Roman" w:hAnsi="Times New Roman" w:cs="Times New Roman"/>
                <w:i/>
                <w:sz w:val="20"/>
                <w:szCs w:val="24"/>
                <w:lang w:val="sq-AL"/>
              </w:rPr>
            </w:pPr>
            <w:r w:rsidRPr="001173AF">
              <w:rPr>
                <w:rFonts w:ascii="Times New Roman" w:hAnsi="Times New Roman" w:cs="Times New Roman"/>
                <w:i/>
                <w:sz w:val="20"/>
                <w:szCs w:val="24"/>
                <w:lang w:val="sq-AL"/>
              </w:rPr>
              <w:t>2018</w:t>
            </w:r>
          </w:p>
        </w:tc>
        <w:tc>
          <w:tcPr>
            <w:tcW w:w="2610" w:type="dxa"/>
            <w:gridSpan w:val="2"/>
            <w:shd w:val="clear" w:color="auto" w:fill="DDD9C3" w:themeFill="background2" w:themeFillShade="E6"/>
            <w:hideMark/>
          </w:tcPr>
          <w:p w14:paraId="04900084" w14:textId="77777777" w:rsidR="00855861" w:rsidRPr="001173AF" w:rsidRDefault="00855861" w:rsidP="00824566">
            <w:pPr>
              <w:pStyle w:val="NoSpacing"/>
              <w:spacing w:line="276" w:lineRule="auto"/>
              <w:jc w:val="center"/>
              <w:rPr>
                <w:rFonts w:ascii="Times New Roman" w:hAnsi="Times New Roman" w:cs="Times New Roman"/>
                <w:i/>
                <w:sz w:val="20"/>
                <w:szCs w:val="24"/>
                <w:lang w:val="sq-AL"/>
              </w:rPr>
            </w:pPr>
            <w:r w:rsidRPr="001173AF">
              <w:rPr>
                <w:rFonts w:ascii="Times New Roman" w:hAnsi="Times New Roman" w:cs="Times New Roman"/>
                <w:i/>
                <w:sz w:val="20"/>
                <w:szCs w:val="24"/>
                <w:lang w:val="sq-AL"/>
              </w:rPr>
              <w:t>2019</w:t>
            </w:r>
          </w:p>
        </w:tc>
        <w:tc>
          <w:tcPr>
            <w:tcW w:w="1710" w:type="dxa"/>
            <w:shd w:val="clear" w:color="auto" w:fill="DDD9C3" w:themeFill="background2" w:themeFillShade="E6"/>
            <w:hideMark/>
          </w:tcPr>
          <w:p w14:paraId="23707AC2" w14:textId="77777777" w:rsidR="00855861" w:rsidRPr="001173AF" w:rsidRDefault="00855861" w:rsidP="00824566">
            <w:pPr>
              <w:pStyle w:val="NoSpacing"/>
              <w:spacing w:line="276" w:lineRule="auto"/>
              <w:jc w:val="center"/>
              <w:rPr>
                <w:rFonts w:ascii="Times New Roman" w:hAnsi="Times New Roman" w:cs="Times New Roman"/>
                <w:i/>
                <w:sz w:val="20"/>
                <w:szCs w:val="24"/>
                <w:lang w:val="sq-AL"/>
              </w:rPr>
            </w:pPr>
            <w:r w:rsidRPr="001173AF">
              <w:rPr>
                <w:rFonts w:ascii="Times New Roman" w:hAnsi="Times New Roman" w:cs="Times New Roman"/>
                <w:i/>
                <w:sz w:val="20"/>
                <w:szCs w:val="24"/>
                <w:lang w:val="sq-AL"/>
              </w:rPr>
              <w:t>2020</w:t>
            </w:r>
          </w:p>
          <w:p w14:paraId="2D221DCC" w14:textId="77777777" w:rsidR="00855861" w:rsidRPr="001173AF" w:rsidRDefault="00855861" w:rsidP="00824566">
            <w:pPr>
              <w:pStyle w:val="NoSpacing"/>
              <w:spacing w:line="276" w:lineRule="auto"/>
              <w:jc w:val="center"/>
              <w:rPr>
                <w:rFonts w:ascii="Times New Roman" w:hAnsi="Times New Roman" w:cs="Times New Roman"/>
                <w:i/>
                <w:sz w:val="20"/>
                <w:szCs w:val="24"/>
                <w:lang w:val="sq-AL"/>
              </w:rPr>
            </w:pPr>
          </w:p>
          <w:p w14:paraId="10DDF33A" w14:textId="77777777" w:rsidR="00855861" w:rsidRPr="001173AF" w:rsidRDefault="00855861" w:rsidP="00824566">
            <w:pPr>
              <w:pStyle w:val="NoSpacing"/>
              <w:spacing w:line="276" w:lineRule="auto"/>
              <w:jc w:val="center"/>
              <w:rPr>
                <w:rFonts w:ascii="Times New Roman" w:hAnsi="Times New Roman" w:cs="Times New Roman"/>
                <w:i/>
                <w:sz w:val="20"/>
                <w:szCs w:val="24"/>
                <w:lang w:val="sq-AL"/>
              </w:rPr>
            </w:pPr>
          </w:p>
        </w:tc>
        <w:tc>
          <w:tcPr>
            <w:tcW w:w="1597" w:type="dxa"/>
            <w:shd w:val="clear" w:color="auto" w:fill="DDD9C3" w:themeFill="background2" w:themeFillShade="E6"/>
            <w:hideMark/>
          </w:tcPr>
          <w:p w14:paraId="2DC8C2ED" w14:textId="77777777" w:rsidR="00855861" w:rsidRPr="001173AF" w:rsidRDefault="00855861" w:rsidP="00824566">
            <w:pPr>
              <w:pStyle w:val="NoSpacing"/>
              <w:spacing w:line="276" w:lineRule="auto"/>
              <w:jc w:val="center"/>
              <w:rPr>
                <w:rFonts w:ascii="Times New Roman" w:hAnsi="Times New Roman" w:cs="Times New Roman"/>
                <w:i/>
                <w:sz w:val="20"/>
                <w:szCs w:val="24"/>
                <w:lang w:val="sq-AL"/>
              </w:rPr>
            </w:pPr>
            <w:r w:rsidRPr="001173AF">
              <w:rPr>
                <w:rFonts w:ascii="Times New Roman" w:hAnsi="Times New Roman" w:cs="Times New Roman"/>
                <w:i/>
                <w:sz w:val="20"/>
                <w:szCs w:val="24"/>
                <w:lang w:val="sq-AL"/>
              </w:rPr>
              <w:t>2021</w:t>
            </w:r>
          </w:p>
          <w:p w14:paraId="09EAC32F" w14:textId="77777777" w:rsidR="00855861" w:rsidRPr="001173AF" w:rsidRDefault="00855861" w:rsidP="00824566">
            <w:pPr>
              <w:pStyle w:val="NoSpacing"/>
              <w:spacing w:line="276" w:lineRule="auto"/>
              <w:jc w:val="center"/>
              <w:rPr>
                <w:rFonts w:ascii="Times New Roman" w:hAnsi="Times New Roman" w:cs="Times New Roman"/>
                <w:i/>
                <w:sz w:val="20"/>
                <w:szCs w:val="24"/>
                <w:lang w:val="sq-AL"/>
              </w:rPr>
            </w:pPr>
          </w:p>
        </w:tc>
      </w:tr>
      <w:tr w:rsidR="00855861" w:rsidRPr="003C2F4F" w14:paraId="237AE87D" w14:textId="77777777" w:rsidTr="00824566">
        <w:trPr>
          <w:cnfStyle w:val="000000100000" w:firstRow="0" w:lastRow="0" w:firstColumn="0" w:lastColumn="0" w:oddVBand="0" w:evenVBand="0" w:oddHBand="1" w:evenHBand="0" w:firstRowFirstColumn="0" w:firstRowLastColumn="0" w:lastRowFirstColumn="0" w:lastRowLastColumn="0"/>
          <w:trHeight w:val="242"/>
        </w:trPr>
        <w:tc>
          <w:tcPr>
            <w:tcW w:w="1798" w:type="dxa"/>
            <w:vMerge/>
            <w:shd w:val="clear" w:color="auto" w:fill="DDD9C3" w:themeFill="background2" w:themeFillShade="E6"/>
          </w:tcPr>
          <w:p w14:paraId="7A83B498" w14:textId="77777777" w:rsidR="00855861" w:rsidRPr="001173AF" w:rsidRDefault="00855861" w:rsidP="00824566">
            <w:pPr>
              <w:pStyle w:val="NoSpacing"/>
              <w:spacing w:line="276" w:lineRule="auto"/>
              <w:jc w:val="both"/>
              <w:rPr>
                <w:rFonts w:ascii="Times New Roman" w:hAnsi="Times New Roman" w:cs="Times New Roman"/>
                <w:i/>
                <w:sz w:val="20"/>
                <w:szCs w:val="24"/>
                <w:lang w:val="sq-AL"/>
              </w:rPr>
            </w:pPr>
          </w:p>
        </w:tc>
        <w:tc>
          <w:tcPr>
            <w:tcW w:w="1053" w:type="dxa"/>
            <w:shd w:val="clear" w:color="auto" w:fill="DDD9C3" w:themeFill="background2" w:themeFillShade="E6"/>
          </w:tcPr>
          <w:p w14:paraId="29B42B1F" w14:textId="77777777" w:rsidR="00855861" w:rsidRPr="001173AF" w:rsidRDefault="00855861" w:rsidP="00824566">
            <w:pPr>
              <w:pStyle w:val="NoSpacing"/>
              <w:spacing w:line="276" w:lineRule="auto"/>
              <w:jc w:val="both"/>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Plan</w:t>
            </w:r>
          </w:p>
        </w:tc>
        <w:tc>
          <w:tcPr>
            <w:tcW w:w="1307" w:type="dxa"/>
            <w:shd w:val="clear" w:color="auto" w:fill="DDD9C3" w:themeFill="background2" w:themeFillShade="E6"/>
          </w:tcPr>
          <w:p w14:paraId="7FE7207F" w14:textId="77777777" w:rsidR="00855861" w:rsidRPr="001173AF" w:rsidRDefault="00855861" w:rsidP="00824566">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Fakt</w:t>
            </w:r>
          </w:p>
        </w:tc>
        <w:tc>
          <w:tcPr>
            <w:tcW w:w="1260" w:type="dxa"/>
            <w:shd w:val="clear" w:color="auto" w:fill="DDD9C3" w:themeFill="background2" w:themeFillShade="E6"/>
          </w:tcPr>
          <w:p w14:paraId="60D698FA" w14:textId="77777777" w:rsidR="00855861" w:rsidRPr="001173AF" w:rsidRDefault="00855861" w:rsidP="00824566">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Plan</w:t>
            </w:r>
          </w:p>
        </w:tc>
        <w:tc>
          <w:tcPr>
            <w:tcW w:w="1350" w:type="dxa"/>
            <w:shd w:val="clear" w:color="auto" w:fill="DDD9C3" w:themeFill="background2" w:themeFillShade="E6"/>
          </w:tcPr>
          <w:p w14:paraId="23B79DF1" w14:textId="77777777" w:rsidR="00855861" w:rsidRPr="001173AF" w:rsidRDefault="00855861" w:rsidP="00824566">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Fakt</w:t>
            </w:r>
          </w:p>
        </w:tc>
        <w:tc>
          <w:tcPr>
            <w:tcW w:w="1710" w:type="dxa"/>
            <w:shd w:val="clear" w:color="auto" w:fill="DDD9C3" w:themeFill="background2" w:themeFillShade="E6"/>
          </w:tcPr>
          <w:p w14:paraId="5632E856" w14:textId="77777777" w:rsidR="00855861" w:rsidRPr="001173AF" w:rsidRDefault="00855861" w:rsidP="00824566">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Projektuar</w:t>
            </w:r>
          </w:p>
        </w:tc>
        <w:tc>
          <w:tcPr>
            <w:tcW w:w="1597" w:type="dxa"/>
            <w:shd w:val="clear" w:color="auto" w:fill="DDD9C3" w:themeFill="background2" w:themeFillShade="E6"/>
          </w:tcPr>
          <w:p w14:paraId="7A081783" w14:textId="77777777" w:rsidR="00855861" w:rsidRPr="001173AF" w:rsidRDefault="00855861" w:rsidP="00824566">
            <w:pPr>
              <w:pStyle w:val="NoSpacing"/>
              <w:spacing w:line="276" w:lineRule="auto"/>
              <w:jc w:val="center"/>
              <w:rPr>
                <w:rFonts w:ascii="Times New Roman" w:hAnsi="Times New Roman" w:cs="Times New Roman"/>
                <w:b/>
                <w:i/>
                <w:sz w:val="20"/>
                <w:szCs w:val="24"/>
                <w:lang w:val="sq-AL"/>
              </w:rPr>
            </w:pPr>
            <w:r w:rsidRPr="001173AF">
              <w:rPr>
                <w:rFonts w:ascii="Times New Roman" w:hAnsi="Times New Roman" w:cs="Times New Roman"/>
                <w:b/>
                <w:i/>
                <w:sz w:val="20"/>
                <w:szCs w:val="24"/>
                <w:lang w:val="sq-AL"/>
              </w:rPr>
              <w:t>Projektuar</w:t>
            </w:r>
          </w:p>
        </w:tc>
      </w:tr>
      <w:tr w:rsidR="00855861" w:rsidRPr="003C2F4F" w14:paraId="30EAC4E2" w14:textId="77777777" w:rsidTr="00824566">
        <w:trPr>
          <w:trHeight w:val="422"/>
        </w:trPr>
        <w:tc>
          <w:tcPr>
            <w:tcW w:w="1798" w:type="dxa"/>
            <w:shd w:val="clear" w:color="auto" w:fill="EEECE1" w:themeFill="background2"/>
            <w:hideMark/>
          </w:tcPr>
          <w:p w14:paraId="3D35CC77" w14:textId="77777777" w:rsidR="00855861" w:rsidRPr="001173AF" w:rsidRDefault="00855861" w:rsidP="00824566">
            <w:pPr>
              <w:pStyle w:val="NoSpacing"/>
              <w:spacing w:line="276" w:lineRule="auto"/>
              <w:jc w:val="both"/>
              <w:rPr>
                <w:rFonts w:ascii="Times New Roman" w:hAnsi="Times New Roman" w:cs="Times New Roman"/>
                <w:b/>
                <w:i/>
                <w:sz w:val="20"/>
                <w:szCs w:val="24"/>
                <w:lang w:val="sq-AL"/>
              </w:rPr>
            </w:pPr>
            <w:r w:rsidRPr="001173AF">
              <w:rPr>
                <w:rFonts w:ascii="Times New Roman" w:hAnsi="Times New Roman" w:cs="Times New Roman"/>
                <w:b/>
                <w:bCs/>
                <w:i/>
                <w:sz w:val="20"/>
                <w:szCs w:val="24"/>
                <w:lang w:val="sq-AL"/>
              </w:rPr>
              <w:t>Pagesat Buxhetore (në mijë lekë)</w:t>
            </w:r>
          </w:p>
        </w:tc>
        <w:tc>
          <w:tcPr>
            <w:tcW w:w="1053" w:type="dxa"/>
            <w:shd w:val="clear" w:color="auto" w:fill="EEECE1" w:themeFill="background2"/>
            <w:hideMark/>
          </w:tcPr>
          <w:p w14:paraId="53F1CEE4" w14:textId="77777777" w:rsidR="00855861" w:rsidRPr="001173AF" w:rsidRDefault="00855861" w:rsidP="00824566">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661,500</w:t>
            </w:r>
          </w:p>
        </w:tc>
        <w:tc>
          <w:tcPr>
            <w:tcW w:w="1307" w:type="dxa"/>
            <w:shd w:val="clear" w:color="auto" w:fill="EEECE1" w:themeFill="background2"/>
          </w:tcPr>
          <w:p w14:paraId="7E9ADC9D" w14:textId="77777777" w:rsidR="00855861" w:rsidRPr="001173AF" w:rsidRDefault="00855861" w:rsidP="00824566">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601,429</w:t>
            </w:r>
          </w:p>
        </w:tc>
        <w:tc>
          <w:tcPr>
            <w:tcW w:w="1260" w:type="dxa"/>
            <w:shd w:val="clear" w:color="auto" w:fill="EEECE1" w:themeFill="background2"/>
            <w:hideMark/>
          </w:tcPr>
          <w:p w14:paraId="160E606F" w14:textId="77777777" w:rsidR="00855861" w:rsidRPr="001173AF" w:rsidRDefault="00855861" w:rsidP="00824566">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661,500</w:t>
            </w:r>
          </w:p>
        </w:tc>
        <w:tc>
          <w:tcPr>
            <w:tcW w:w="1350" w:type="dxa"/>
            <w:shd w:val="clear" w:color="auto" w:fill="EEECE1" w:themeFill="background2"/>
          </w:tcPr>
          <w:p w14:paraId="40963D4B" w14:textId="77777777" w:rsidR="00855861" w:rsidRPr="001173AF" w:rsidRDefault="00855861" w:rsidP="00824566">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631,317</w:t>
            </w:r>
          </w:p>
        </w:tc>
        <w:tc>
          <w:tcPr>
            <w:tcW w:w="1710" w:type="dxa"/>
            <w:shd w:val="clear" w:color="auto" w:fill="EEECE1" w:themeFill="background2"/>
            <w:hideMark/>
          </w:tcPr>
          <w:p w14:paraId="5EBA3E36" w14:textId="77777777" w:rsidR="00855861" w:rsidRPr="001173AF" w:rsidRDefault="00F20848" w:rsidP="00824566">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661,500</w:t>
            </w:r>
          </w:p>
        </w:tc>
        <w:tc>
          <w:tcPr>
            <w:tcW w:w="1597" w:type="dxa"/>
            <w:shd w:val="clear" w:color="auto" w:fill="EEECE1" w:themeFill="background2"/>
            <w:hideMark/>
          </w:tcPr>
          <w:p w14:paraId="29F180E6" w14:textId="77777777" w:rsidR="00855861" w:rsidRPr="001173AF" w:rsidRDefault="00F20848" w:rsidP="00824566">
            <w:pPr>
              <w:pStyle w:val="NoSpacing"/>
              <w:spacing w:line="276" w:lineRule="auto"/>
              <w:jc w:val="center"/>
              <w:rPr>
                <w:rFonts w:ascii="Times New Roman" w:hAnsi="Times New Roman" w:cs="Times New Roman"/>
                <w:b/>
                <w:i/>
                <w:sz w:val="20"/>
                <w:szCs w:val="24"/>
                <w:lang w:val="sq-AL"/>
              </w:rPr>
            </w:pPr>
            <w:r w:rsidRPr="00F20848">
              <w:rPr>
                <w:rFonts w:ascii="Times New Roman" w:hAnsi="Times New Roman" w:cs="Times New Roman"/>
                <w:b/>
                <w:i/>
                <w:sz w:val="20"/>
                <w:szCs w:val="24"/>
                <w:lang w:val="sq-AL"/>
              </w:rPr>
              <w:t>331</w:t>
            </w:r>
            <w:r>
              <w:rPr>
                <w:rFonts w:ascii="Times New Roman" w:hAnsi="Times New Roman" w:cs="Times New Roman"/>
                <w:b/>
                <w:i/>
                <w:sz w:val="20"/>
                <w:szCs w:val="24"/>
                <w:lang w:val="sq-AL"/>
              </w:rPr>
              <w:t>,</w:t>
            </w:r>
            <w:r w:rsidRPr="00F20848">
              <w:rPr>
                <w:rFonts w:ascii="Times New Roman" w:hAnsi="Times New Roman" w:cs="Times New Roman"/>
                <w:b/>
                <w:i/>
                <w:sz w:val="20"/>
                <w:szCs w:val="24"/>
                <w:lang w:val="sq-AL"/>
              </w:rPr>
              <w:t>000</w:t>
            </w:r>
          </w:p>
        </w:tc>
      </w:tr>
    </w:tbl>
    <w:p w14:paraId="398FD6F6" w14:textId="77777777" w:rsidR="00855861" w:rsidRPr="009B6417" w:rsidRDefault="00855861" w:rsidP="00855861">
      <w:pPr>
        <w:pStyle w:val="ListParagraph"/>
        <w:jc w:val="both"/>
        <w:rPr>
          <w:rFonts w:ascii="Times New Roman" w:hAnsi="Times New Roman" w:cs="Times New Roman"/>
          <w:b/>
          <w:sz w:val="24"/>
          <w:szCs w:val="24"/>
        </w:rPr>
      </w:pPr>
    </w:p>
    <w:p w14:paraId="5E36726F" w14:textId="77777777" w:rsidR="00F20848" w:rsidRPr="00F20848" w:rsidRDefault="00F20848" w:rsidP="004C1F25">
      <w:pPr>
        <w:pStyle w:val="ListParagraph"/>
        <w:numPr>
          <w:ilvl w:val="2"/>
          <w:numId w:val="32"/>
        </w:numPr>
        <w:tabs>
          <w:tab w:val="left" w:pos="4320"/>
        </w:tabs>
        <w:spacing w:after="0"/>
        <w:jc w:val="both"/>
        <w:rPr>
          <w:rFonts w:ascii="Times New Roman" w:eastAsia="Times New Roman" w:hAnsi="Times New Roman" w:cs="Times New Roman"/>
          <w:b/>
          <w:sz w:val="24"/>
          <w:szCs w:val="24"/>
        </w:rPr>
      </w:pPr>
      <w:r w:rsidRPr="009B6417">
        <w:rPr>
          <w:rFonts w:ascii="Times New Roman" w:eastAsia="Times New Roman" w:hAnsi="Times New Roman" w:cs="Times New Roman"/>
          <w:b/>
          <w:sz w:val="24"/>
          <w:szCs w:val="24"/>
        </w:rPr>
        <w:t xml:space="preserve">Risqet </w:t>
      </w:r>
    </w:p>
    <w:p w14:paraId="69D0E8B5" w14:textId="77777777" w:rsidR="00F20848" w:rsidRPr="00F20848" w:rsidRDefault="00F20848" w:rsidP="00F20848">
      <w:pPr>
        <w:spacing w:after="0"/>
        <w:jc w:val="both"/>
        <w:rPr>
          <w:rFonts w:ascii="Times New Roman" w:hAnsi="Times New Roman" w:cs="Times New Roman"/>
          <w:sz w:val="24"/>
          <w:szCs w:val="24"/>
        </w:rPr>
      </w:pPr>
      <w:r w:rsidRPr="00F20848">
        <w:rPr>
          <w:rFonts w:ascii="Times New Roman" w:hAnsi="Times New Roman" w:cs="Times New Roman"/>
          <w:sz w:val="24"/>
          <w:szCs w:val="24"/>
        </w:rPr>
        <w:t>Autoriteti nuk ka raportuar në li</w:t>
      </w:r>
      <w:r w:rsidR="001E3A70">
        <w:rPr>
          <w:rFonts w:ascii="Times New Roman" w:hAnsi="Times New Roman" w:cs="Times New Roman"/>
          <w:sz w:val="24"/>
          <w:szCs w:val="24"/>
        </w:rPr>
        <w:t>dhje me risqet e kësaj kontrate</w:t>
      </w:r>
      <w:r w:rsidRPr="00F20848">
        <w:rPr>
          <w:rFonts w:ascii="Times New Roman" w:hAnsi="Times New Roman" w:cs="Times New Roman"/>
          <w:sz w:val="24"/>
          <w:szCs w:val="24"/>
        </w:rPr>
        <w:t xml:space="preserve"> </w:t>
      </w:r>
      <w:r w:rsidR="001E3A70">
        <w:rPr>
          <w:rFonts w:ascii="Times New Roman" w:hAnsi="Times New Roman" w:cs="Times New Roman"/>
          <w:sz w:val="24"/>
          <w:szCs w:val="24"/>
        </w:rPr>
        <w:t>.</w:t>
      </w:r>
    </w:p>
    <w:p w14:paraId="0E7C6689" w14:textId="77777777" w:rsidR="005A09B8" w:rsidRDefault="005A09B8" w:rsidP="004D3885"/>
    <w:p w14:paraId="55765622" w14:textId="77777777" w:rsidR="00F20848" w:rsidRDefault="00F20848" w:rsidP="004C1F25">
      <w:pPr>
        <w:pStyle w:val="Heading2"/>
        <w:numPr>
          <w:ilvl w:val="1"/>
          <w:numId w:val="32"/>
        </w:numPr>
        <w:jc w:val="both"/>
        <w:rPr>
          <w:rFonts w:ascii="Times New Roman" w:hAnsi="Times New Roman" w:cs="Times New Roman"/>
          <w:b/>
          <w:i/>
          <w:sz w:val="24"/>
          <w:szCs w:val="24"/>
        </w:rPr>
      </w:pPr>
      <w:bookmarkStart w:id="54" w:name="_Toc37196695"/>
      <w:r w:rsidRPr="009B6417">
        <w:rPr>
          <w:rFonts w:ascii="Times New Roman" w:hAnsi="Times New Roman" w:cs="Times New Roman"/>
          <w:b/>
          <w:sz w:val="24"/>
          <w:szCs w:val="24"/>
        </w:rPr>
        <w:t>Kontrata Koncesionare</w:t>
      </w:r>
      <w:r>
        <w:rPr>
          <w:rFonts w:ascii="Times New Roman" w:hAnsi="Times New Roman" w:cs="Times New Roman"/>
          <w:b/>
          <w:sz w:val="24"/>
          <w:szCs w:val="24"/>
        </w:rPr>
        <w:t>/PPP</w:t>
      </w:r>
      <w:r w:rsidRPr="009B6417">
        <w:rPr>
          <w:rFonts w:ascii="Times New Roman" w:hAnsi="Times New Roman" w:cs="Times New Roman"/>
          <w:b/>
          <w:sz w:val="24"/>
          <w:szCs w:val="24"/>
        </w:rPr>
        <w:t xml:space="preserve"> “</w:t>
      </w:r>
      <w:r w:rsidRPr="00F20848">
        <w:rPr>
          <w:rFonts w:ascii="Times New Roman" w:hAnsi="Times New Roman" w:cs="Times New Roman"/>
          <w:b/>
          <w:i/>
          <w:sz w:val="24"/>
          <w:szCs w:val="24"/>
        </w:rPr>
        <w:t>Për dhënien me konçesion/</w:t>
      </w:r>
      <w:r w:rsidR="00AA176F">
        <w:rPr>
          <w:rFonts w:ascii="Times New Roman" w:hAnsi="Times New Roman" w:cs="Times New Roman"/>
          <w:b/>
          <w:i/>
          <w:sz w:val="24"/>
          <w:szCs w:val="24"/>
        </w:rPr>
        <w:t>PPP</w:t>
      </w:r>
      <w:r w:rsidRPr="00F20848">
        <w:rPr>
          <w:rFonts w:ascii="Times New Roman" w:hAnsi="Times New Roman" w:cs="Times New Roman"/>
          <w:b/>
          <w:i/>
          <w:sz w:val="24"/>
          <w:szCs w:val="24"/>
        </w:rPr>
        <w:t xml:space="preserve"> të shërbimit të pastrimit, grumbullimit, transportimit, dhe seleksionimit të mbetjeve </w:t>
      </w:r>
      <w:r w:rsidR="006735E7">
        <w:rPr>
          <w:rFonts w:ascii="Times New Roman" w:hAnsi="Times New Roman" w:cs="Times New Roman"/>
          <w:b/>
          <w:i/>
          <w:sz w:val="24"/>
          <w:szCs w:val="24"/>
        </w:rPr>
        <w:t xml:space="preserve">urbane </w:t>
      </w:r>
      <w:r w:rsidRPr="00F20848">
        <w:rPr>
          <w:rFonts w:ascii="Times New Roman" w:hAnsi="Times New Roman" w:cs="Times New Roman"/>
          <w:b/>
          <w:i/>
          <w:sz w:val="24"/>
          <w:szCs w:val="24"/>
        </w:rPr>
        <w:t>të Bashkisë Kamëz"”</w:t>
      </w:r>
      <w:bookmarkEnd w:id="54"/>
      <w:r w:rsidRPr="00F20848">
        <w:rPr>
          <w:rFonts w:ascii="Times New Roman" w:hAnsi="Times New Roman" w:cs="Times New Roman"/>
          <w:b/>
          <w:i/>
          <w:sz w:val="24"/>
          <w:szCs w:val="24"/>
        </w:rPr>
        <w:t xml:space="preserve"> </w:t>
      </w:r>
    </w:p>
    <w:p w14:paraId="37D33151" w14:textId="77777777" w:rsidR="00B84C88" w:rsidRPr="00B84C88" w:rsidRDefault="00B84C88" w:rsidP="00B84C88"/>
    <w:p w14:paraId="3C17B789" w14:textId="77777777" w:rsidR="00F20848" w:rsidRPr="00F20848" w:rsidRDefault="00F20848" w:rsidP="004C1F25">
      <w:pPr>
        <w:pStyle w:val="ListParagraph"/>
        <w:numPr>
          <w:ilvl w:val="2"/>
          <w:numId w:val="32"/>
        </w:numPr>
        <w:tabs>
          <w:tab w:val="left" w:pos="3553"/>
        </w:tabs>
        <w:jc w:val="both"/>
        <w:rPr>
          <w:rFonts w:ascii="Times New Roman" w:eastAsia="Times New Roman" w:hAnsi="Times New Roman" w:cs="Times New Roman"/>
          <w:i/>
          <w:sz w:val="24"/>
          <w:szCs w:val="24"/>
        </w:rPr>
      </w:pPr>
      <w:r w:rsidRPr="009B6417">
        <w:rPr>
          <w:rFonts w:ascii="Times New Roman" w:eastAsia="Times New Roman" w:hAnsi="Times New Roman" w:cs="Times New Roman"/>
          <w:b/>
          <w:i/>
          <w:sz w:val="24"/>
          <w:szCs w:val="24"/>
        </w:rPr>
        <w:t xml:space="preserve">Prezantimi i përgjithshëm i projektit </w:t>
      </w:r>
    </w:p>
    <w:p w14:paraId="74E8C4B4" w14:textId="77777777" w:rsidR="006735E7" w:rsidRDefault="00B84C88" w:rsidP="00F20848">
      <w:pPr>
        <w:tabs>
          <w:tab w:val="left" w:pos="3553"/>
        </w:tabs>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91440" distB="91440" distL="91440" distR="320040" simplePos="0" relativeHeight="251671552" behindDoc="1" locked="0" layoutInCell="1" allowOverlap="1" wp14:anchorId="7E122B37" wp14:editId="1A10DE9C">
                <wp:simplePos x="0" y="0"/>
                <wp:positionH relativeFrom="margin">
                  <wp:posOffset>3400425</wp:posOffset>
                </wp:positionH>
                <wp:positionV relativeFrom="page">
                  <wp:posOffset>4914900</wp:posOffset>
                </wp:positionV>
                <wp:extent cx="3276600" cy="1857375"/>
                <wp:effectExtent l="0" t="0" r="19050" b="28575"/>
                <wp:wrapTight wrapText="bothSides">
                  <wp:wrapPolygon edited="0">
                    <wp:start x="0" y="0"/>
                    <wp:lineTo x="0" y="21711"/>
                    <wp:lineTo x="21600" y="21711"/>
                    <wp:lineTo x="21600" y="0"/>
                    <wp:lineTo x="0" y="0"/>
                  </wp:wrapPolygon>
                </wp:wrapTight>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857375"/>
                        </a:xfrm>
                        <a:prstGeom prst="rect">
                          <a:avLst/>
                        </a:prstGeom>
                        <a:pattFill prst="pct50">
                          <a:fgClr>
                            <a:schemeClr val="bg2">
                              <a:lumMod val="100000"/>
                              <a:lumOff val="0"/>
                            </a:schemeClr>
                          </a:fgClr>
                          <a:bgClr>
                            <a:schemeClr val="bg1">
                              <a:lumMod val="100000"/>
                              <a:lumOff val="0"/>
                            </a:schemeClr>
                          </a:bgClr>
                        </a:pattFill>
                        <a:ln w="6350" cap="rnd">
                          <a:solidFill>
                            <a:schemeClr val="bg2">
                              <a:lumMod val="75000"/>
                              <a:lumOff val="0"/>
                            </a:schemeClr>
                          </a:solidFill>
                          <a:miter lim="800000"/>
                          <a:headEnd/>
                          <a:tailEnd/>
                        </a:ln>
                      </wps:spPr>
                      <wps:txbx>
                        <w:txbxContent>
                          <w:p w14:paraId="6322B270" w14:textId="77777777" w:rsidR="0025668C" w:rsidRPr="002A4518" w:rsidRDefault="0025668C" w:rsidP="00B84C88">
                            <w:pPr>
                              <w:pBdr>
                                <w:left w:val="single" w:sz="80" w:space="3" w:color="7F7F7F" w:themeColor="text1" w:themeTint="80"/>
                                <w:bottom w:val="single" w:sz="8" w:space="1" w:color="7F7F7F" w:themeColor="text1" w:themeTint="80"/>
                              </w:pBdr>
                              <w:spacing w:before="40" w:line="288" w:lineRule="auto"/>
                              <w:jc w:val="both"/>
                              <w:rPr>
                                <w:rFonts w:ascii="Times New Roman" w:hAnsi="Times New Roman" w:cs="Times New Roman"/>
                                <w:b/>
                                <w:i/>
                                <w:color w:val="4A442A" w:themeColor="background2" w:themeShade="40"/>
                                <w:sz w:val="20"/>
                                <w:szCs w:val="20"/>
                              </w:rPr>
                            </w:pPr>
                            <w:r>
                              <w:rPr>
                                <w:rFonts w:ascii="Times New Roman" w:hAnsi="Times New Roman" w:cs="Times New Roman"/>
                                <w:b/>
                                <w:color w:val="4A442A" w:themeColor="background2" w:themeShade="40"/>
                                <w:sz w:val="20"/>
                                <w:szCs w:val="20"/>
                                <w:lang w:val="en-US"/>
                              </w:rPr>
                              <w:t>Kontrata Koncesionare “</w:t>
                            </w:r>
                            <w:r w:rsidRPr="00682621">
                              <w:rPr>
                                <w:rFonts w:ascii="Times New Roman" w:hAnsi="Times New Roman" w:cs="Times New Roman"/>
                                <w:b/>
                                <w:i/>
                                <w:color w:val="4A442A" w:themeColor="background2" w:themeShade="40"/>
                                <w:sz w:val="20"/>
                                <w:szCs w:val="20"/>
                                <w:lang w:val="en-US"/>
                              </w:rPr>
                              <w:t xml:space="preserve">Për dhënien me konçesion/ppp të shërbimit të pastrimit, grumbullimit, transportimit, dhe seleksionimit të mbetjeve </w:t>
                            </w:r>
                            <w:r>
                              <w:rPr>
                                <w:rFonts w:ascii="Times New Roman" w:hAnsi="Times New Roman" w:cs="Times New Roman"/>
                                <w:b/>
                                <w:i/>
                                <w:color w:val="4A442A" w:themeColor="background2" w:themeShade="40"/>
                                <w:sz w:val="20"/>
                                <w:szCs w:val="20"/>
                                <w:lang w:val="en-US"/>
                              </w:rPr>
                              <w:t xml:space="preserve">urbane </w:t>
                            </w:r>
                            <w:r w:rsidRPr="00682621">
                              <w:rPr>
                                <w:rFonts w:ascii="Times New Roman" w:hAnsi="Times New Roman" w:cs="Times New Roman"/>
                                <w:b/>
                                <w:i/>
                                <w:color w:val="4A442A" w:themeColor="background2" w:themeShade="40"/>
                                <w:sz w:val="20"/>
                                <w:szCs w:val="20"/>
                                <w:lang w:val="en-US"/>
                              </w:rPr>
                              <w:t>të Bashkisë Kamëz</w:t>
                            </w:r>
                            <w:r w:rsidRPr="00682621">
                              <w:rPr>
                                <w:rFonts w:ascii="Times New Roman" w:hAnsi="Times New Roman" w:cs="Times New Roman"/>
                                <w:b/>
                                <w:color w:val="4A442A" w:themeColor="background2" w:themeShade="40"/>
                                <w:sz w:val="20"/>
                                <w:szCs w:val="20"/>
                                <w:lang w:val="en-US"/>
                              </w:rPr>
                              <w:t>"</w:t>
                            </w:r>
                          </w:p>
                          <w:p w14:paraId="45245F09" w14:textId="77777777" w:rsidR="0025668C" w:rsidRDefault="0025668C" w:rsidP="00B606D6">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Pr>
                                <w:rFonts w:ascii="Times New Roman" w:hAnsi="Times New Roman" w:cs="Times New Roman"/>
                                <w:color w:val="000000" w:themeColor="text1"/>
                              </w:rPr>
                              <w:t xml:space="preserve">  Bashkia Kamëz</w:t>
                            </w:r>
                          </w:p>
                          <w:p w14:paraId="1F5EA8C6" w14:textId="77777777" w:rsidR="0025668C" w:rsidRPr="003838B0" w:rsidRDefault="0025668C" w:rsidP="00B606D6">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 “Eco Cleaning” sh.p.k</w:t>
                            </w:r>
                            <w:r w:rsidRPr="003838B0">
                              <w:rPr>
                                <w:rFonts w:ascii="Times New Roman" w:hAnsi="Times New Roman" w:cs="Times New Roman"/>
                                <w:color w:val="000000" w:themeColor="text1"/>
                              </w:rPr>
                              <w:t xml:space="preserve"> </w:t>
                            </w:r>
                          </w:p>
                          <w:p w14:paraId="0D7D78DE" w14:textId="77777777" w:rsidR="0025668C" w:rsidRPr="00EF5479" w:rsidRDefault="0025668C" w:rsidP="00B606D6">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1.35 miliardë Lek</w:t>
                            </w:r>
                          </w:p>
                          <w:p w14:paraId="21929453" w14:textId="77777777" w:rsidR="0025668C" w:rsidRPr="00EF5479" w:rsidRDefault="0025668C" w:rsidP="00B606D6">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12 Maj 2018</w:t>
                            </w:r>
                          </w:p>
                          <w:p w14:paraId="0F50E60F" w14:textId="77777777" w:rsidR="0025668C" w:rsidRPr="00EF5479" w:rsidRDefault="0025668C" w:rsidP="00B606D6">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12 vjet</w:t>
                            </w:r>
                          </w:p>
                          <w:p w14:paraId="2D967FE1" w14:textId="77777777" w:rsidR="0025668C" w:rsidRPr="00EF5479" w:rsidRDefault="0025668C" w:rsidP="00B606D6">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1E3A70">
                              <w:rPr>
                                <w:rFonts w:ascii="Times New Roman" w:hAnsi="Times New Roman" w:cs="Times New Roman"/>
                                <w:color w:val="000000" w:themeColor="text1"/>
                              </w:rPr>
                              <w:t>Ndërtim dhe operim</w:t>
                            </w:r>
                          </w:p>
                          <w:p w14:paraId="01B49796" w14:textId="77777777" w:rsidR="0025668C" w:rsidRDefault="0025668C" w:rsidP="00B606D6">
                            <w:pPr>
                              <w:rPr>
                                <w:color w:val="808080" w:themeColor="background1" w:themeShade="8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E9913" id="Text Box 7" o:spid="_x0000_s1039" type="#_x0000_t202" style="position:absolute;left:0;text-align:left;margin-left:267.75pt;margin-top:387pt;width:258pt;height:146.25pt;z-index:-251644928;visibility:visible;mso-wrap-style:square;mso-width-percent:0;mso-height-percent:0;mso-wrap-distance-left:7.2pt;mso-wrap-distance-top:7.2pt;mso-wrap-distance-right:25.2pt;mso-wrap-distance-bottom:7.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" fillcolor="#eeece1 [3214]" strokecolor="#c4bc96 [2414]" strokeweight=".5pt">
                <v:fill r:id="rId10" o:title="" color2="white [3212]" type="pattern"/>
                <v:stroke endcap="round"/>
                <v:textbox inset="14.4pt,0,10.8pt,0">
                  <w:txbxContent>
                    <w:p w:rsidR="0025668C" w:rsidRPr="002A4518" w:rsidRDefault="0025668C" w:rsidP="00B84C88">
                      <w:pPr>
                        <w:pBdr>
                          <w:left w:val="single" w:sz="80" w:space="3" w:color="7F7F7F" w:themeColor="text1" w:themeTint="80"/>
                          <w:bottom w:val="single" w:sz="8" w:space="1" w:color="7F7F7F" w:themeColor="text1" w:themeTint="80"/>
                        </w:pBdr>
                        <w:spacing w:before="40" w:line="288" w:lineRule="auto"/>
                        <w:jc w:val="both"/>
                        <w:rPr>
                          <w:rFonts w:ascii="Times New Roman" w:hAnsi="Times New Roman" w:cs="Times New Roman"/>
                          <w:b/>
                          <w:i/>
                          <w:color w:val="4A442A" w:themeColor="background2" w:themeShade="40"/>
                          <w:sz w:val="20"/>
                          <w:szCs w:val="20"/>
                        </w:rPr>
                      </w:pPr>
                      <w:r>
                        <w:rPr>
                          <w:rFonts w:ascii="Times New Roman" w:hAnsi="Times New Roman" w:cs="Times New Roman"/>
                          <w:b/>
                          <w:color w:val="4A442A" w:themeColor="background2" w:themeShade="40"/>
                          <w:sz w:val="20"/>
                          <w:szCs w:val="20"/>
                          <w:lang w:val="en-US"/>
                        </w:rPr>
                        <w:t>Kontrata Koncesionare “</w:t>
                      </w:r>
                      <w:r w:rsidRPr="00682621">
                        <w:rPr>
                          <w:rFonts w:ascii="Times New Roman" w:hAnsi="Times New Roman" w:cs="Times New Roman"/>
                          <w:b/>
                          <w:i/>
                          <w:color w:val="4A442A" w:themeColor="background2" w:themeShade="40"/>
                          <w:sz w:val="20"/>
                          <w:szCs w:val="20"/>
                          <w:lang w:val="en-US"/>
                        </w:rPr>
                        <w:t xml:space="preserve">Për dhënien me konçesion/ppp të shërbimit të pastrimit, grumbullimit, transportimit, dhe seleksionimit të mbetjeve </w:t>
                      </w:r>
                      <w:r>
                        <w:rPr>
                          <w:rFonts w:ascii="Times New Roman" w:hAnsi="Times New Roman" w:cs="Times New Roman"/>
                          <w:b/>
                          <w:i/>
                          <w:color w:val="4A442A" w:themeColor="background2" w:themeShade="40"/>
                          <w:sz w:val="20"/>
                          <w:szCs w:val="20"/>
                          <w:lang w:val="en-US"/>
                        </w:rPr>
                        <w:t xml:space="preserve">urbane </w:t>
                      </w:r>
                      <w:r w:rsidRPr="00682621">
                        <w:rPr>
                          <w:rFonts w:ascii="Times New Roman" w:hAnsi="Times New Roman" w:cs="Times New Roman"/>
                          <w:b/>
                          <w:i/>
                          <w:color w:val="4A442A" w:themeColor="background2" w:themeShade="40"/>
                          <w:sz w:val="20"/>
                          <w:szCs w:val="20"/>
                          <w:lang w:val="en-US"/>
                        </w:rPr>
                        <w:t>të Bashkisë Kamëz</w:t>
                      </w:r>
                      <w:r w:rsidRPr="00682621">
                        <w:rPr>
                          <w:rFonts w:ascii="Times New Roman" w:hAnsi="Times New Roman" w:cs="Times New Roman"/>
                          <w:b/>
                          <w:color w:val="4A442A" w:themeColor="background2" w:themeShade="40"/>
                          <w:sz w:val="20"/>
                          <w:szCs w:val="20"/>
                          <w:lang w:val="en-US"/>
                        </w:rPr>
                        <w:t>"</w:t>
                      </w:r>
                    </w:p>
                    <w:p w:rsidR="0025668C" w:rsidRDefault="0025668C" w:rsidP="00B606D6">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Pr>
                          <w:rFonts w:ascii="Times New Roman" w:hAnsi="Times New Roman" w:cs="Times New Roman"/>
                          <w:color w:val="000000" w:themeColor="text1"/>
                        </w:rPr>
                        <w:t xml:space="preserve">  Bashkia Kamëz</w:t>
                      </w:r>
                    </w:p>
                    <w:p w:rsidR="0025668C" w:rsidRPr="003838B0" w:rsidRDefault="0025668C" w:rsidP="00B606D6">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 “Eco Cleaning” sh.p.k</w:t>
                      </w:r>
                      <w:r w:rsidRPr="003838B0">
                        <w:rPr>
                          <w:rFonts w:ascii="Times New Roman" w:hAnsi="Times New Roman" w:cs="Times New Roman"/>
                          <w:color w:val="000000" w:themeColor="text1"/>
                        </w:rPr>
                        <w:t xml:space="preserve"> </w:t>
                      </w:r>
                    </w:p>
                    <w:p w:rsidR="0025668C" w:rsidRPr="00EF5479" w:rsidRDefault="0025668C" w:rsidP="00B606D6">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1.35 miliardë Lek</w:t>
                      </w:r>
                    </w:p>
                    <w:p w:rsidR="0025668C" w:rsidRPr="00EF5479" w:rsidRDefault="0025668C" w:rsidP="00B606D6">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12 Maj 2018</w:t>
                      </w:r>
                    </w:p>
                    <w:p w:rsidR="0025668C" w:rsidRPr="00EF5479" w:rsidRDefault="0025668C" w:rsidP="00B606D6">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12 vjet</w:t>
                      </w:r>
                    </w:p>
                    <w:p w:rsidR="0025668C" w:rsidRPr="00EF5479" w:rsidRDefault="0025668C" w:rsidP="00B606D6">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1E3A70">
                        <w:rPr>
                          <w:rFonts w:ascii="Times New Roman" w:hAnsi="Times New Roman" w:cs="Times New Roman"/>
                          <w:color w:val="000000" w:themeColor="text1"/>
                        </w:rPr>
                        <w:t>Ndërtim dhe operim</w:t>
                      </w:r>
                    </w:p>
                    <w:p w:rsidR="0025668C" w:rsidRDefault="0025668C" w:rsidP="00B606D6">
                      <w:pPr>
                        <w:rPr>
                          <w:color w:val="808080" w:themeColor="background1" w:themeShade="80"/>
                        </w:rPr>
                      </w:pPr>
                    </w:p>
                  </w:txbxContent>
                </v:textbox>
                <w10:wrap type="tight" anchorx="margin" anchory="page"/>
              </v:shape>
            </w:pict>
          </mc:Fallback>
        </mc:AlternateContent>
      </w:r>
      <w:r w:rsidR="006735E7">
        <w:rPr>
          <w:rFonts w:ascii="Times New Roman" w:eastAsia="Times New Roman" w:hAnsi="Times New Roman" w:cs="Times New Roman"/>
          <w:sz w:val="24"/>
          <w:szCs w:val="24"/>
        </w:rPr>
        <w:t>Kjo kontrat</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koncesioni </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sht</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lidhur mes Bashkis</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Kam</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z si Autoritet Kontraktues dhe </w:t>
      </w:r>
      <w:r w:rsidR="00AD724F">
        <w:rPr>
          <w:rFonts w:ascii="Times New Roman" w:eastAsia="Times New Roman" w:hAnsi="Times New Roman" w:cs="Times New Roman"/>
          <w:sz w:val="24"/>
          <w:szCs w:val="24"/>
        </w:rPr>
        <w:t xml:space="preserve">shoqërisë koncesionare </w:t>
      </w:r>
      <w:r w:rsidR="006735E7">
        <w:rPr>
          <w:rFonts w:ascii="Times New Roman" w:eastAsia="Times New Roman" w:hAnsi="Times New Roman" w:cs="Times New Roman"/>
          <w:sz w:val="24"/>
          <w:szCs w:val="24"/>
        </w:rPr>
        <w:t>“Eco Cleaning” sh.p.k dhe konsiston n</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financimin, v</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nien n</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pun</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t</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sh</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rbimit t</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pastrimit, grumbullimit, transportit dhe seleksionimit t</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mbetjeve urbane n</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p</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rmjet impiantit t</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diferencimit t</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mbetjeve p</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r qytetin e Kamz</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s, depozitimin e mbetjeve n</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vendet p</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rkat</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se dhe transferimin e sh</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rbimit nga Koncesionari tek Autoriteti Kontraktues n</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fund t</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 periudh</w:t>
      </w:r>
      <w:r w:rsidR="001E3A70">
        <w:rPr>
          <w:rFonts w:ascii="Times New Roman" w:eastAsia="Times New Roman" w:hAnsi="Times New Roman" w:cs="Times New Roman"/>
          <w:sz w:val="24"/>
          <w:szCs w:val="24"/>
        </w:rPr>
        <w:t>ë</w:t>
      </w:r>
      <w:r w:rsidR="006735E7">
        <w:rPr>
          <w:rFonts w:ascii="Times New Roman" w:eastAsia="Times New Roman" w:hAnsi="Times New Roman" w:cs="Times New Roman"/>
          <w:sz w:val="24"/>
          <w:szCs w:val="24"/>
        </w:rPr>
        <w:t xml:space="preserve">s 12 vjeçare. </w:t>
      </w:r>
      <w:r w:rsidR="00351E1B">
        <w:rPr>
          <w:rFonts w:ascii="Times New Roman" w:eastAsia="Times New Roman" w:hAnsi="Times New Roman" w:cs="Times New Roman"/>
          <w:sz w:val="24"/>
          <w:szCs w:val="24"/>
        </w:rPr>
        <w:t>Data efektive e kontrat</w:t>
      </w:r>
      <w:r w:rsidR="00D949E1">
        <w:rPr>
          <w:rFonts w:ascii="Times New Roman" w:eastAsia="Times New Roman" w:hAnsi="Times New Roman" w:cs="Times New Roman"/>
          <w:sz w:val="24"/>
          <w:szCs w:val="24"/>
        </w:rPr>
        <w:t>ë</w:t>
      </w:r>
      <w:r w:rsidR="00351E1B">
        <w:rPr>
          <w:rFonts w:ascii="Times New Roman" w:eastAsia="Times New Roman" w:hAnsi="Times New Roman" w:cs="Times New Roman"/>
          <w:sz w:val="24"/>
          <w:szCs w:val="24"/>
        </w:rPr>
        <w:t xml:space="preserve">s </w:t>
      </w:r>
      <w:r w:rsidR="00D949E1">
        <w:rPr>
          <w:rFonts w:ascii="Times New Roman" w:eastAsia="Times New Roman" w:hAnsi="Times New Roman" w:cs="Times New Roman"/>
          <w:sz w:val="24"/>
          <w:szCs w:val="24"/>
        </w:rPr>
        <w:t>ë</w:t>
      </w:r>
      <w:r w:rsidR="00351E1B">
        <w:rPr>
          <w:rFonts w:ascii="Times New Roman" w:eastAsia="Times New Roman" w:hAnsi="Times New Roman" w:cs="Times New Roman"/>
          <w:sz w:val="24"/>
          <w:szCs w:val="24"/>
        </w:rPr>
        <w:t>sht</w:t>
      </w:r>
      <w:r w:rsidR="00D949E1">
        <w:rPr>
          <w:rFonts w:ascii="Times New Roman" w:eastAsia="Times New Roman" w:hAnsi="Times New Roman" w:cs="Times New Roman"/>
          <w:sz w:val="24"/>
          <w:szCs w:val="24"/>
        </w:rPr>
        <w:t>ë</w:t>
      </w:r>
      <w:r w:rsidR="00351E1B">
        <w:rPr>
          <w:rFonts w:ascii="Times New Roman" w:eastAsia="Times New Roman" w:hAnsi="Times New Roman" w:cs="Times New Roman"/>
          <w:sz w:val="24"/>
          <w:szCs w:val="24"/>
        </w:rPr>
        <w:t xml:space="preserve"> data 24.05.2018.</w:t>
      </w:r>
    </w:p>
    <w:p w14:paraId="20CF279A" w14:textId="77777777" w:rsidR="00447463" w:rsidRPr="00447463" w:rsidRDefault="00447463" w:rsidP="004C1F25">
      <w:pPr>
        <w:pStyle w:val="ListParagraph"/>
        <w:numPr>
          <w:ilvl w:val="2"/>
          <w:numId w:val="32"/>
        </w:numPr>
        <w:jc w:val="both"/>
        <w:rPr>
          <w:rFonts w:ascii="Times New Roman" w:hAnsi="Times New Roman" w:cs="Times New Roman"/>
          <w:sz w:val="24"/>
          <w:szCs w:val="24"/>
        </w:rPr>
      </w:pPr>
      <w:r w:rsidRPr="009B6417">
        <w:rPr>
          <w:rFonts w:ascii="Times New Roman" w:eastAsia="Times New Roman" w:hAnsi="Times New Roman" w:cs="Times New Roman"/>
          <w:b/>
          <w:i/>
          <w:sz w:val="24"/>
          <w:szCs w:val="24"/>
        </w:rPr>
        <w:t>Performanca e projektit dhe lloji i financimit</w:t>
      </w:r>
    </w:p>
    <w:p w14:paraId="462EFC50" w14:textId="77777777" w:rsidR="00447463" w:rsidRPr="00461FB7" w:rsidRDefault="00447463" w:rsidP="00461F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 projekt nuk </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sht</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me mb</w:t>
      </w:r>
      <w:r w:rsidR="001E3A70">
        <w:rPr>
          <w:rFonts w:ascii="Times New Roman" w:eastAsia="Times New Roman" w:hAnsi="Times New Roman" w:cs="Times New Roman"/>
          <w:sz w:val="24"/>
          <w:szCs w:val="24"/>
        </w:rPr>
        <w:t>ë</w:t>
      </w:r>
      <w:r w:rsidR="00A111F1">
        <w:rPr>
          <w:rFonts w:ascii="Times New Roman" w:eastAsia="Times New Roman" w:hAnsi="Times New Roman" w:cs="Times New Roman"/>
          <w:sz w:val="24"/>
          <w:szCs w:val="24"/>
        </w:rPr>
        <w:t xml:space="preserve">shtetje </w:t>
      </w:r>
      <w:r w:rsidR="00BD5E13">
        <w:rPr>
          <w:rFonts w:ascii="Times New Roman" w:eastAsia="Times New Roman" w:hAnsi="Times New Roman" w:cs="Times New Roman"/>
          <w:sz w:val="24"/>
          <w:szCs w:val="24"/>
        </w:rPr>
        <w:t>buxhetore. S</w:t>
      </w:r>
      <w:r>
        <w:rPr>
          <w:rFonts w:ascii="Times New Roman" w:eastAsia="Times New Roman" w:hAnsi="Times New Roman" w:cs="Times New Roman"/>
          <w:sz w:val="24"/>
          <w:szCs w:val="24"/>
        </w:rPr>
        <w:t>h</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rbimi i pastrimit, grumbullimit, transportimit dhe seleksionimit t</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mbetjeve urbane n</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p</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rmjet impiantit t</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diferencimit t</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mbetjeve zhvillohet n</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qytetin e Kamz</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s dhe konsiston n</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rmbushjen e disa objektivave t</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cilat gjithashtu jan</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mat</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s t</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performanc</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s s</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pun</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s s</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shoq</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koncesionare. </w:t>
      </w:r>
      <w:r w:rsidR="00461FB7">
        <w:rPr>
          <w:rFonts w:ascii="Times New Roman" w:eastAsia="Times New Roman" w:hAnsi="Times New Roman" w:cs="Times New Roman"/>
          <w:sz w:val="24"/>
          <w:szCs w:val="24"/>
        </w:rPr>
        <w:t>Për</w:t>
      </w:r>
      <w:r>
        <w:rPr>
          <w:rFonts w:ascii="Times New Roman" w:eastAsia="Times New Roman" w:hAnsi="Times New Roman" w:cs="Times New Roman"/>
          <w:sz w:val="24"/>
          <w:szCs w:val="24"/>
        </w:rPr>
        <w:t xml:space="preserve"> vitin 2019 jan</w:t>
      </w:r>
      <w:r w:rsidR="001E3A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realizuar objektivat si:</w:t>
      </w:r>
      <w:r w:rsidR="00461FB7">
        <w:rPr>
          <w:rFonts w:ascii="Times New Roman" w:eastAsia="Times New Roman" w:hAnsi="Times New Roman" w:cs="Times New Roman"/>
          <w:sz w:val="24"/>
          <w:szCs w:val="24"/>
        </w:rPr>
        <w:t xml:space="preserve"> </w:t>
      </w:r>
      <w:r w:rsidR="00461FB7">
        <w:rPr>
          <w:rFonts w:ascii="Times New Roman" w:hAnsi="Times New Roman" w:cs="Times New Roman"/>
          <w:sz w:val="24"/>
        </w:rPr>
        <w:t>g</w:t>
      </w:r>
      <w:r w:rsidRPr="00461FB7">
        <w:rPr>
          <w:rFonts w:ascii="Times New Roman" w:hAnsi="Times New Roman" w:cs="Times New Roman"/>
          <w:sz w:val="24"/>
        </w:rPr>
        <w:t>rumbullimi dhe transportimi i mbetjeve urbane dhe tregjeve; Larje dhe dezifektimi i kontenjereve; Mirëmbajtje të vendgrumbullimeve të mbetjeve gjatë ditës; Grumbullimi i mbetjeve ndërtimore dhe të vëllimshme; Fshirja e rrugëve dhe trotuareve me krahë; Fshirje e rrugëve me makineri; Larje e rrugëve njëherë në ditë; Transportimi dhe depozitimi i mbetjeve në vendet përkatëse të miratuara nga autoritetet përkatëse.</w:t>
      </w:r>
    </w:p>
    <w:p w14:paraId="139259D7" w14:textId="77777777" w:rsidR="00447463" w:rsidRPr="00BD5E13" w:rsidRDefault="00447463" w:rsidP="00BD5E13">
      <w:pPr>
        <w:spacing w:after="0"/>
        <w:jc w:val="both"/>
        <w:rPr>
          <w:rFonts w:ascii="Times New Roman" w:hAnsi="Times New Roman" w:cs="Times New Roman"/>
          <w:b/>
          <w:sz w:val="24"/>
        </w:rPr>
      </w:pPr>
    </w:p>
    <w:p w14:paraId="708D393C" w14:textId="77777777" w:rsidR="00447463" w:rsidRPr="00447463" w:rsidRDefault="00447463" w:rsidP="004C1F25">
      <w:pPr>
        <w:pStyle w:val="ListParagraph"/>
        <w:numPr>
          <w:ilvl w:val="2"/>
          <w:numId w:val="32"/>
        </w:numPr>
        <w:jc w:val="both"/>
        <w:rPr>
          <w:rFonts w:ascii="Times New Roman" w:eastAsia="Times New Roman" w:hAnsi="Times New Roman" w:cs="Times New Roman"/>
          <w:b/>
          <w:i/>
          <w:sz w:val="28"/>
          <w:szCs w:val="24"/>
        </w:rPr>
      </w:pPr>
      <w:r w:rsidRPr="00447463">
        <w:rPr>
          <w:rFonts w:ascii="Times New Roman" w:eastAsia="Times New Roman" w:hAnsi="Times New Roman" w:cs="Times New Roman"/>
          <w:b/>
          <w:i/>
          <w:sz w:val="24"/>
          <w:szCs w:val="24"/>
        </w:rPr>
        <w:t>Risqet</w:t>
      </w:r>
      <w:r w:rsidRPr="00447463">
        <w:rPr>
          <w:rFonts w:ascii="Times New Roman" w:eastAsia="Times New Roman" w:hAnsi="Times New Roman" w:cs="Times New Roman"/>
          <w:b/>
          <w:i/>
          <w:sz w:val="28"/>
          <w:szCs w:val="24"/>
        </w:rPr>
        <w:t xml:space="preserve"> </w:t>
      </w:r>
    </w:p>
    <w:p w14:paraId="74D9B279" w14:textId="77777777" w:rsidR="006735E7" w:rsidRDefault="00447463" w:rsidP="00447463">
      <w:pPr>
        <w:pStyle w:val="ListParagraph"/>
        <w:spacing w:after="0"/>
        <w:ind w:left="0"/>
        <w:jc w:val="both"/>
        <w:rPr>
          <w:rFonts w:ascii="Times New Roman" w:hAnsi="Times New Roman" w:cs="Times New Roman"/>
          <w:sz w:val="24"/>
          <w:szCs w:val="24"/>
        </w:rPr>
      </w:pPr>
      <w:r w:rsidRPr="009B6417">
        <w:rPr>
          <w:rFonts w:ascii="Times New Roman" w:hAnsi="Times New Roman" w:cs="Times New Roman"/>
          <w:sz w:val="24"/>
          <w:szCs w:val="24"/>
        </w:rPr>
        <w:t xml:space="preserve">Autoriteti ka raportuar në lidhje me risqet e kontratës sipas formatit të përcaktuar, duke specifikuar përcaktimin e palës që merr përsipër riskun, impaktin fiskal nëse është materializuar, probabilitetin e ndodhjes në të ardhmen dhe impaktin e pritshëm nëse ndodh. Sipas raportimeve, Autoriteti Kontraktues ka mbajtur riskun e qeverisjes, riskun </w:t>
      </w:r>
      <w:r w:rsidR="004C7936">
        <w:rPr>
          <w:rFonts w:ascii="Times New Roman" w:hAnsi="Times New Roman" w:cs="Times New Roman"/>
          <w:sz w:val="24"/>
          <w:szCs w:val="24"/>
        </w:rPr>
        <w:t>material nga vendimet</w:t>
      </w:r>
      <w:r w:rsidRPr="009B6417">
        <w:rPr>
          <w:rFonts w:ascii="Times New Roman" w:hAnsi="Times New Roman" w:cs="Times New Roman"/>
          <w:sz w:val="24"/>
          <w:szCs w:val="24"/>
        </w:rPr>
        <w:t xml:space="preserve"> politik</w:t>
      </w:r>
      <w:r w:rsidR="004C7936">
        <w:rPr>
          <w:rFonts w:ascii="Times New Roman" w:hAnsi="Times New Roman" w:cs="Times New Roman"/>
          <w:sz w:val="24"/>
          <w:szCs w:val="24"/>
        </w:rPr>
        <w:t>e, riskun e ndryshimeve ligjore dhe riskun e rinegocimit,</w:t>
      </w:r>
      <w:r w:rsidRPr="009B6417">
        <w:rPr>
          <w:rFonts w:ascii="Times New Roman" w:hAnsi="Times New Roman" w:cs="Times New Roman"/>
          <w:sz w:val="24"/>
          <w:szCs w:val="24"/>
        </w:rPr>
        <w:t xml:space="preserve"> ndërsa partneri privat ka mbajtur</w:t>
      </w:r>
      <w:r w:rsidR="004C7936">
        <w:rPr>
          <w:rFonts w:ascii="Times New Roman" w:hAnsi="Times New Roman" w:cs="Times New Roman"/>
          <w:sz w:val="24"/>
          <w:szCs w:val="24"/>
        </w:rPr>
        <w:t xml:space="preserve"> riskun e ndërtimit</w:t>
      </w:r>
      <w:r w:rsidRPr="009B6417">
        <w:rPr>
          <w:rFonts w:ascii="Times New Roman" w:hAnsi="Times New Roman" w:cs="Times New Roman"/>
          <w:sz w:val="24"/>
          <w:szCs w:val="24"/>
        </w:rPr>
        <w:t>, riskun e operimit (menaxhimi i i</w:t>
      </w:r>
      <w:r w:rsidR="004C7936">
        <w:rPr>
          <w:rFonts w:ascii="Times New Roman" w:hAnsi="Times New Roman" w:cs="Times New Roman"/>
          <w:sz w:val="24"/>
          <w:szCs w:val="24"/>
        </w:rPr>
        <w:t>mpiantit, menaxhimi i mbetjeve), riskun e ribalancimit t</w:t>
      </w:r>
      <w:r w:rsidR="00D949E1">
        <w:rPr>
          <w:rFonts w:ascii="Times New Roman" w:hAnsi="Times New Roman" w:cs="Times New Roman"/>
          <w:sz w:val="24"/>
          <w:szCs w:val="24"/>
        </w:rPr>
        <w:t>ë</w:t>
      </w:r>
      <w:r w:rsidR="004C7936">
        <w:rPr>
          <w:rFonts w:ascii="Times New Roman" w:hAnsi="Times New Roman" w:cs="Times New Roman"/>
          <w:sz w:val="24"/>
          <w:szCs w:val="24"/>
        </w:rPr>
        <w:t xml:space="preserve"> ekuilibrit financiar </w:t>
      </w:r>
      <w:r w:rsidRPr="009B6417">
        <w:rPr>
          <w:rFonts w:ascii="Times New Roman" w:hAnsi="Times New Roman" w:cs="Times New Roman"/>
          <w:sz w:val="24"/>
          <w:szCs w:val="24"/>
        </w:rPr>
        <w:t xml:space="preserve">dhe riskun e transferimit të aseteve. Ndërkohë </w:t>
      </w:r>
      <w:r w:rsidR="004C7936">
        <w:rPr>
          <w:rFonts w:ascii="Times New Roman" w:hAnsi="Times New Roman" w:cs="Times New Roman"/>
          <w:sz w:val="24"/>
          <w:szCs w:val="24"/>
        </w:rPr>
        <w:t xml:space="preserve">risku i forcës madhore, </w:t>
      </w:r>
      <w:r w:rsidRPr="009B6417">
        <w:rPr>
          <w:rFonts w:ascii="Times New Roman" w:hAnsi="Times New Roman" w:cs="Times New Roman"/>
          <w:sz w:val="24"/>
          <w:szCs w:val="24"/>
        </w:rPr>
        <w:t xml:space="preserve">risku i ndërprerjes së kontratës, </w:t>
      </w:r>
      <w:r w:rsidR="004C7936">
        <w:rPr>
          <w:rFonts w:ascii="Times New Roman" w:hAnsi="Times New Roman" w:cs="Times New Roman"/>
          <w:sz w:val="24"/>
          <w:szCs w:val="24"/>
        </w:rPr>
        <w:t xml:space="preserve">risku financiar </w:t>
      </w:r>
      <w:r w:rsidRPr="009B6417">
        <w:rPr>
          <w:rFonts w:ascii="Times New Roman" w:hAnsi="Times New Roman" w:cs="Times New Roman"/>
          <w:sz w:val="24"/>
          <w:szCs w:val="24"/>
        </w:rPr>
        <w:t>janë ndarë mes të dyja palëve.</w:t>
      </w:r>
      <w:r>
        <w:rPr>
          <w:rFonts w:ascii="Times New Roman" w:hAnsi="Times New Roman" w:cs="Times New Roman"/>
          <w:sz w:val="24"/>
          <w:szCs w:val="24"/>
        </w:rPr>
        <w:t xml:space="preserve"> </w:t>
      </w:r>
    </w:p>
    <w:p w14:paraId="5EA0B993" w14:textId="77777777" w:rsidR="00447463" w:rsidRPr="00447463" w:rsidRDefault="00461FB7" w:rsidP="00461FB7">
      <w:pPr>
        <w:pStyle w:val="ListParagraph"/>
        <w:tabs>
          <w:tab w:val="left" w:pos="7335"/>
        </w:tabs>
        <w:spacing w:after="0"/>
        <w:ind w:left="0"/>
        <w:jc w:val="both"/>
        <w:rPr>
          <w:rFonts w:ascii="Times New Roman" w:hAnsi="Times New Roman" w:cs="Times New Roman"/>
          <w:sz w:val="12"/>
          <w:szCs w:val="24"/>
        </w:rPr>
      </w:pPr>
      <w:r>
        <w:rPr>
          <w:rFonts w:ascii="Times New Roman" w:hAnsi="Times New Roman" w:cs="Times New Roman"/>
          <w:sz w:val="12"/>
          <w:szCs w:val="24"/>
        </w:rPr>
        <w:tab/>
      </w:r>
    </w:p>
    <w:p w14:paraId="56FC32B7" w14:textId="77777777" w:rsidR="00447463" w:rsidRDefault="00447463" w:rsidP="00447463">
      <w:pPr>
        <w:pStyle w:val="ListParagraph"/>
        <w:spacing w:after="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Autoriteti ka raportuar </w:t>
      </w:r>
      <w:r w:rsidRPr="00447463">
        <w:rPr>
          <w:rFonts w:ascii="Times New Roman" w:hAnsi="Times New Roman" w:cs="Times New Roman"/>
          <w:sz w:val="24"/>
          <w:szCs w:val="24"/>
        </w:rPr>
        <w:t>materializim t</w:t>
      </w:r>
      <w:r w:rsidR="001E3A70">
        <w:rPr>
          <w:rFonts w:ascii="Times New Roman" w:hAnsi="Times New Roman" w:cs="Times New Roman"/>
          <w:sz w:val="24"/>
          <w:szCs w:val="24"/>
        </w:rPr>
        <w:t>ë</w:t>
      </w:r>
      <w:r w:rsidRPr="00447463">
        <w:rPr>
          <w:rFonts w:ascii="Times New Roman" w:hAnsi="Times New Roman" w:cs="Times New Roman"/>
          <w:sz w:val="24"/>
          <w:szCs w:val="24"/>
        </w:rPr>
        <w:t xml:space="preserve"> riskut t</w:t>
      </w:r>
      <w:r w:rsidR="001E3A70">
        <w:rPr>
          <w:rFonts w:ascii="Times New Roman" w:hAnsi="Times New Roman" w:cs="Times New Roman"/>
          <w:sz w:val="24"/>
          <w:szCs w:val="24"/>
        </w:rPr>
        <w:t>ë</w:t>
      </w:r>
      <w:r w:rsidRPr="00447463">
        <w:rPr>
          <w:rFonts w:ascii="Times New Roman" w:hAnsi="Times New Roman" w:cs="Times New Roman"/>
          <w:sz w:val="24"/>
          <w:szCs w:val="24"/>
        </w:rPr>
        <w:t xml:space="preserve"> lejeve, pasi nuk nuk është realizuar pajisja me leje mjedisore për ndërtimin e stacionit të transferimit. Koncesionari është në proces gjyqësor me Agjencinë Rajonale Mjedisore përsa i përket mosdhënies së lejes mjedisore.  Koncesionari është në negocimin e një marrëveshjeje me koncesionarin e Landfillit të Sharrës për lidhjen e një marrëveshjeje që të zgjidhë çështjen e marrjes së lejes mjedisore  për ndërtimin e stacionit të transferimit. Për këtë mospërmbushje detyrimi nuk ka patur penalitete për Autoritetin Kontraktues.</w:t>
      </w:r>
    </w:p>
    <w:p w14:paraId="2432690E" w14:textId="77777777" w:rsidR="002C66FB" w:rsidRDefault="002C66FB" w:rsidP="00447463">
      <w:pPr>
        <w:pStyle w:val="ListParagraph"/>
        <w:spacing w:after="0"/>
        <w:ind w:left="0"/>
        <w:jc w:val="both"/>
        <w:rPr>
          <w:rFonts w:ascii="Times New Roman" w:eastAsia="Times New Roman" w:hAnsi="Times New Roman" w:cs="Times New Roman"/>
          <w:sz w:val="24"/>
          <w:szCs w:val="24"/>
        </w:rPr>
      </w:pPr>
    </w:p>
    <w:p w14:paraId="3CF4F802" w14:textId="77777777" w:rsidR="002C66FB" w:rsidRPr="00447463" w:rsidRDefault="002C66FB" w:rsidP="00447463">
      <w:pPr>
        <w:pStyle w:val="ListParagraph"/>
        <w:spacing w:after="0"/>
        <w:ind w:left="0"/>
        <w:jc w:val="both"/>
        <w:rPr>
          <w:rFonts w:ascii="Times New Roman" w:eastAsia="Times New Roman" w:hAnsi="Times New Roman" w:cs="Times New Roman"/>
          <w:sz w:val="24"/>
          <w:szCs w:val="24"/>
        </w:rPr>
      </w:pPr>
    </w:p>
    <w:p w14:paraId="1CDB27DD" w14:textId="77777777" w:rsidR="004D3885" w:rsidRDefault="004D3885" w:rsidP="004D3885">
      <w:pPr>
        <w:spacing w:after="0"/>
        <w:jc w:val="both"/>
        <w:rPr>
          <w:rFonts w:ascii="Times New Roman" w:hAnsi="Times New Roman" w:cs="Times New Roman"/>
          <w:sz w:val="24"/>
          <w:szCs w:val="24"/>
        </w:rPr>
      </w:pPr>
    </w:p>
    <w:p w14:paraId="1E951989" w14:textId="77777777" w:rsidR="002064BE" w:rsidRPr="009B6417" w:rsidRDefault="002064BE" w:rsidP="00645B95">
      <w:pPr>
        <w:pStyle w:val="ListParagraph"/>
        <w:numPr>
          <w:ilvl w:val="0"/>
          <w:numId w:val="3"/>
        </w:numPr>
        <w:tabs>
          <w:tab w:val="left" w:pos="3553"/>
        </w:tabs>
        <w:jc w:val="both"/>
        <w:rPr>
          <w:rFonts w:ascii="Times New Roman" w:hAnsi="Times New Roman" w:cs="Times New Roman"/>
          <w:b/>
          <w:color w:val="0070C0"/>
          <w:sz w:val="24"/>
          <w:szCs w:val="24"/>
        </w:rPr>
      </w:pPr>
      <w:r w:rsidRPr="009B6417">
        <w:rPr>
          <w:rFonts w:ascii="Times New Roman" w:hAnsi="Times New Roman" w:cs="Times New Roman"/>
          <w:b/>
          <w:color w:val="0070C0"/>
          <w:sz w:val="24"/>
          <w:szCs w:val="24"/>
        </w:rPr>
        <w:t>Sektori i Shëndetësisë</w:t>
      </w:r>
    </w:p>
    <w:p w14:paraId="590164D9" w14:textId="77777777" w:rsidR="00AD724F" w:rsidRDefault="00FA41FD" w:rsidP="005A09B8">
      <w:pPr>
        <w:tabs>
          <w:tab w:val="left" w:pos="3553"/>
        </w:tabs>
        <w:jc w:val="both"/>
        <w:rPr>
          <w:rFonts w:ascii="Times New Roman" w:hAnsi="Times New Roman" w:cs="Times New Roman"/>
          <w:sz w:val="24"/>
          <w:szCs w:val="24"/>
        </w:rPr>
      </w:pPr>
      <w:r w:rsidRPr="009B6417">
        <w:rPr>
          <w:rFonts w:ascii="Times New Roman" w:hAnsi="Times New Roman" w:cs="Times New Roman"/>
          <w:sz w:val="24"/>
          <w:szCs w:val="24"/>
        </w:rPr>
        <w:t xml:space="preserve">Në sektorin e shëndetësisë janë miratuar 4 kontrata koncesionare/PPP që kanë si Autoritet Kontraktues Ministrinë e Shëndetësisë dhe Mbrojtjes Sociale, dhe kanë si qëllim ofrimin e një shërbimi sa më </w:t>
      </w:r>
      <w:r w:rsidR="00BD5E13">
        <w:rPr>
          <w:rFonts w:ascii="Times New Roman" w:hAnsi="Times New Roman" w:cs="Times New Roman"/>
          <w:sz w:val="24"/>
          <w:szCs w:val="24"/>
        </w:rPr>
        <w:t>cilësor, më të shpejtë dhe efekti</w:t>
      </w:r>
      <w:r w:rsidRPr="009B6417">
        <w:rPr>
          <w:rFonts w:ascii="Times New Roman" w:hAnsi="Times New Roman" w:cs="Times New Roman"/>
          <w:sz w:val="24"/>
          <w:szCs w:val="24"/>
        </w:rPr>
        <w:t>v në li</w:t>
      </w:r>
      <w:r w:rsidR="00AD724F">
        <w:rPr>
          <w:rFonts w:ascii="Times New Roman" w:hAnsi="Times New Roman" w:cs="Times New Roman"/>
          <w:sz w:val="24"/>
          <w:szCs w:val="24"/>
        </w:rPr>
        <w:t>dhje me shëndetin e qytetarëve.</w:t>
      </w:r>
    </w:p>
    <w:p w14:paraId="2586CEFF" w14:textId="77777777" w:rsidR="0021185F" w:rsidRPr="005A09B8" w:rsidRDefault="0021185F" w:rsidP="005A09B8">
      <w:pPr>
        <w:tabs>
          <w:tab w:val="left" w:pos="3553"/>
        </w:tabs>
        <w:jc w:val="both"/>
        <w:rPr>
          <w:rFonts w:ascii="Times New Roman" w:hAnsi="Times New Roman" w:cs="Times New Roman"/>
          <w:sz w:val="24"/>
          <w:szCs w:val="24"/>
        </w:rPr>
      </w:pPr>
    </w:p>
    <w:p w14:paraId="3FBFD145" w14:textId="77777777" w:rsidR="00AD724F" w:rsidRDefault="00DC1921" w:rsidP="004C1F25">
      <w:pPr>
        <w:pStyle w:val="Heading2"/>
        <w:numPr>
          <w:ilvl w:val="1"/>
          <w:numId w:val="32"/>
        </w:numPr>
        <w:ind w:left="270"/>
        <w:jc w:val="both"/>
        <w:rPr>
          <w:rFonts w:ascii="Times New Roman" w:hAnsi="Times New Roman" w:cs="Times New Roman"/>
          <w:b/>
          <w:i/>
          <w:sz w:val="24"/>
          <w:szCs w:val="24"/>
        </w:rPr>
      </w:pPr>
      <w:bookmarkStart w:id="55" w:name="_Toc37196696"/>
      <w:r w:rsidRPr="009B6417">
        <w:rPr>
          <w:rFonts w:ascii="Times New Roman" w:hAnsi="Times New Roman" w:cs="Times New Roman"/>
          <w:b/>
          <w:sz w:val="24"/>
          <w:szCs w:val="24"/>
        </w:rPr>
        <w:t>Kontrata Koncesionare</w:t>
      </w:r>
      <w:r>
        <w:rPr>
          <w:rFonts w:ascii="Times New Roman" w:hAnsi="Times New Roman" w:cs="Times New Roman"/>
          <w:b/>
          <w:sz w:val="24"/>
          <w:szCs w:val="24"/>
        </w:rPr>
        <w:t>/PPP</w:t>
      </w:r>
      <w:r w:rsidRPr="009B6417">
        <w:rPr>
          <w:rFonts w:ascii="Times New Roman" w:hAnsi="Times New Roman" w:cs="Times New Roman"/>
          <w:b/>
          <w:sz w:val="24"/>
          <w:szCs w:val="24"/>
        </w:rPr>
        <w:t xml:space="preserve"> </w:t>
      </w:r>
      <w:r w:rsidR="003D35C7" w:rsidRPr="009B6417">
        <w:rPr>
          <w:rFonts w:ascii="Times New Roman" w:hAnsi="Times New Roman" w:cs="Times New Roman"/>
          <w:b/>
          <w:sz w:val="24"/>
          <w:szCs w:val="24"/>
        </w:rPr>
        <w:t>“</w:t>
      </w:r>
      <w:r w:rsidR="003D35C7" w:rsidRPr="009B6417">
        <w:rPr>
          <w:rFonts w:ascii="Times New Roman" w:hAnsi="Times New Roman" w:cs="Times New Roman"/>
          <w:b/>
          <w:i/>
          <w:sz w:val="24"/>
          <w:szCs w:val="24"/>
        </w:rPr>
        <w:t>Për shërbime të integruara për ofrimin e setit të përsonalizuar të instrumenteve kirurgjikal, furnizimin me material mjekësor steril njëpërdorimësh në sallat kirurgjikale, si dhe trajtimin e mbetjeve me rrezik biologjik dhe dezinfektimin e sallave kirurgjikale</w:t>
      </w:r>
      <w:bookmarkStart w:id="56" w:name="_Toc18256678"/>
      <w:bookmarkStart w:id="57" w:name="_Toc19882251"/>
      <w:r w:rsidR="003D35C7" w:rsidRPr="009B6417">
        <w:rPr>
          <w:rFonts w:ascii="Times New Roman" w:hAnsi="Times New Roman" w:cs="Times New Roman"/>
          <w:b/>
          <w:i/>
          <w:sz w:val="24"/>
          <w:szCs w:val="24"/>
        </w:rPr>
        <w:t>”</w:t>
      </w:r>
      <w:bookmarkEnd w:id="55"/>
    </w:p>
    <w:p w14:paraId="3CCC2C98" w14:textId="77777777" w:rsidR="00AD724F" w:rsidRPr="00AD724F" w:rsidRDefault="002C66FB" w:rsidP="00AD724F">
      <w:r>
        <w:rPr>
          <w:rFonts w:ascii="Times New Roman" w:hAnsi="Times New Roman" w:cs="Times New Roman"/>
          <w:b/>
          <w:noProof/>
          <w:color w:val="4A442A" w:themeColor="background2" w:themeShade="40"/>
          <w:sz w:val="24"/>
          <w:szCs w:val="24"/>
          <w:lang w:val="en-US"/>
        </w:rPr>
        <mc:AlternateContent>
          <mc:Choice Requires="wps">
            <w:drawing>
              <wp:anchor distT="91440" distB="0" distL="91440" distR="320040" simplePos="0" relativeHeight="251649024" behindDoc="0" locked="0" layoutInCell="1" allowOverlap="1" wp14:anchorId="1438C371" wp14:editId="60AE8570">
                <wp:simplePos x="0" y="0"/>
                <wp:positionH relativeFrom="margin">
                  <wp:posOffset>3305175</wp:posOffset>
                </wp:positionH>
                <wp:positionV relativeFrom="margin">
                  <wp:posOffset>6268720</wp:posOffset>
                </wp:positionV>
                <wp:extent cx="3181985" cy="2362200"/>
                <wp:effectExtent l="0" t="0" r="18415" b="19050"/>
                <wp:wrapSquare wrapText="bothSides"/>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2362200"/>
                        </a:xfrm>
                        <a:prstGeom prst="rect">
                          <a:avLst/>
                        </a:prstGeom>
                        <a:pattFill prst="pct50">
                          <a:fgClr>
                            <a:schemeClr val="bg2">
                              <a:lumMod val="100000"/>
                              <a:lumOff val="0"/>
                            </a:schemeClr>
                          </a:fgClr>
                          <a:bgClr>
                            <a:schemeClr val="bg1">
                              <a:lumMod val="100000"/>
                              <a:lumOff val="0"/>
                            </a:schemeClr>
                          </a:bgClr>
                        </a:pattFill>
                        <a:ln w="6350" cap="rnd">
                          <a:solidFill>
                            <a:schemeClr val="bg2">
                              <a:lumMod val="75000"/>
                              <a:lumOff val="0"/>
                            </a:schemeClr>
                          </a:solidFill>
                          <a:miter lim="800000"/>
                          <a:headEnd/>
                          <a:tailEnd/>
                        </a:ln>
                      </wps:spPr>
                      <wps:txbx>
                        <w:txbxContent>
                          <w:p w14:paraId="00018566" w14:textId="77777777" w:rsidR="0025668C" w:rsidRPr="005129AE" w:rsidRDefault="0025668C" w:rsidP="00BD5E13">
                            <w:pPr>
                              <w:pBdr>
                                <w:left w:val="single" w:sz="80" w:space="3" w:color="7F7F7F" w:themeColor="text1" w:themeTint="80"/>
                                <w:bottom w:val="single" w:sz="8" w:space="2" w:color="7F7F7F" w:themeColor="text1" w:themeTint="80"/>
                              </w:pBdr>
                              <w:spacing w:before="40" w:line="288" w:lineRule="auto"/>
                              <w:jc w:val="both"/>
                              <w:rPr>
                                <w:rFonts w:ascii="Times New Roman" w:hAnsi="Times New Roman" w:cs="Times New Roman"/>
                                <w:i/>
                                <w:color w:val="4A442A" w:themeColor="background2" w:themeShade="40"/>
                                <w:sz w:val="18"/>
                                <w:szCs w:val="18"/>
                              </w:rPr>
                            </w:pPr>
                            <w:r w:rsidRPr="005129AE">
                              <w:rPr>
                                <w:rFonts w:ascii="Times New Roman" w:hAnsi="Times New Roman" w:cs="Times New Roman"/>
                                <w:color w:val="4A442A" w:themeColor="background2" w:themeShade="40"/>
                                <w:sz w:val="18"/>
                                <w:szCs w:val="18"/>
                                <w:lang w:val="en-US"/>
                              </w:rPr>
                              <w:t xml:space="preserve">Kontrata Koncesionare </w:t>
                            </w:r>
                            <w:r w:rsidRPr="005129AE">
                              <w:rPr>
                                <w:rFonts w:ascii="Times New Roman" w:hAnsi="Times New Roman" w:cs="Times New Roman"/>
                                <w:color w:val="1D1B11" w:themeColor="background2" w:themeShade="1A"/>
                                <w:sz w:val="18"/>
                                <w:szCs w:val="18"/>
                                <w:lang w:val="en-US"/>
                              </w:rPr>
                              <w:t>“</w:t>
                            </w:r>
                            <w:r w:rsidRPr="005129AE">
                              <w:rPr>
                                <w:rFonts w:ascii="Times New Roman" w:hAnsi="Times New Roman" w:cs="Times New Roman"/>
                                <w:i/>
                                <w:color w:val="1D1B11" w:themeColor="background2" w:themeShade="1A"/>
                                <w:sz w:val="18"/>
                                <w:szCs w:val="18"/>
                                <w:lang w:val="en-US"/>
                              </w:rPr>
                              <w:t>P</w:t>
                            </w:r>
                            <w:r>
                              <w:rPr>
                                <w:rFonts w:ascii="Times New Roman" w:hAnsi="Times New Roman" w:cs="Times New Roman"/>
                                <w:i/>
                                <w:color w:val="1D1B11" w:themeColor="background2" w:themeShade="1A"/>
                                <w:sz w:val="18"/>
                                <w:szCs w:val="18"/>
                                <w:lang w:val="en-US"/>
                              </w:rPr>
                              <w:t>ë</w:t>
                            </w:r>
                            <w:r w:rsidRPr="005129AE">
                              <w:rPr>
                                <w:rFonts w:ascii="Times New Roman" w:hAnsi="Times New Roman" w:cs="Times New Roman"/>
                                <w:i/>
                                <w:color w:val="1D1B11" w:themeColor="background2" w:themeShade="1A"/>
                                <w:sz w:val="18"/>
                                <w:szCs w:val="18"/>
                                <w:lang w:val="en-US"/>
                              </w:rPr>
                              <w:t>r sh</w:t>
                            </w:r>
                            <w:r>
                              <w:rPr>
                                <w:rFonts w:ascii="Times New Roman" w:hAnsi="Times New Roman" w:cs="Times New Roman"/>
                                <w:i/>
                                <w:color w:val="1D1B11" w:themeColor="background2" w:themeShade="1A"/>
                                <w:sz w:val="18"/>
                                <w:szCs w:val="18"/>
                                <w:lang w:val="en-US"/>
                              </w:rPr>
                              <w:t>ë</w:t>
                            </w:r>
                            <w:r w:rsidRPr="005129AE">
                              <w:rPr>
                                <w:rFonts w:ascii="Times New Roman" w:hAnsi="Times New Roman" w:cs="Times New Roman"/>
                                <w:i/>
                                <w:color w:val="1D1B11" w:themeColor="background2" w:themeShade="1A"/>
                                <w:sz w:val="18"/>
                                <w:szCs w:val="18"/>
                                <w:lang w:val="en-US"/>
                              </w:rPr>
                              <w:t>rbime t</w:t>
                            </w:r>
                            <w:r>
                              <w:rPr>
                                <w:rFonts w:ascii="Times New Roman" w:hAnsi="Times New Roman" w:cs="Times New Roman"/>
                                <w:i/>
                                <w:color w:val="1D1B11" w:themeColor="background2" w:themeShade="1A"/>
                                <w:sz w:val="18"/>
                                <w:szCs w:val="18"/>
                                <w:lang w:val="en-US"/>
                              </w:rPr>
                              <w:t>ë</w:t>
                            </w:r>
                            <w:r w:rsidRPr="005129AE">
                              <w:rPr>
                                <w:rFonts w:ascii="Times New Roman" w:hAnsi="Times New Roman" w:cs="Times New Roman"/>
                                <w:i/>
                                <w:color w:val="1D1B11" w:themeColor="background2" w:themeShade="1A"/>
                                <w:sz w:val="18"/>
                                <w:szCs w:val="18"/>
                                <w:lang w:val="en-US"/>
                              </w:rPr>
                              <w:t xml:space="preserve"> integruara për ofrimin e setit të përsonalizuar të instrumenteve kirurgjikal, furnizimin me material mjekësor steril njëpërdorimësh në sallat kirurgjikale, si dhe trajtimin e mbetjeve me rrezik biologjik dhe dezinfektimin e sallave kirurgjikale</w:t>
                            </w:r>
                            <w:r w:rsidRPr="005129AE">
                              <w:rPr>
                                <w:rFonts w:ascii="Times New Roman" w:hAnsi="Times New Roman" w:cs="Times New Roman"/>
                                <w:sz w:val="18"/>
                                <w:szCs w:val="18"/>
                                <w:lang w:val="en-US"/>
                              </w:rPr>
                              <w:t>”</w:t>
                            </w:r>
                          </w:p>
                          <w:p w14:paraId="55673B03" w14:textId="77777777" w:rsidR="0025668C" w:rsidRPr="005129AE" w:rsidRDefault="0025668C" w:rsidP="00645B95">
                            <w:pPr>
                              <w:pStyle w:val="ListParagraph"/>
                              <w:numPr>
                                <w:ilvl w:val="0"/>
                                <w:numId w:val="4"/>
                              </w:numPr>
                              <w:ind w:left="90"/>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sidRPr="005129AE">
                              <w:rPr>
                                <w:rFonts w:ascii="Times New Roman" w:hAnsi="Times New Roman" w:cs="Times New Roman"/>
                                <w:color w:val="000000" w:themeColor="text1"/>
                              </w:rPr>
                              <w:t>Ministria e Sh</w:t>
                            </w:r>
                            <w:r>
                              <w:rPr>
                                <w:rFonts w:ascii="Times New Roman" w:hAnsi="Times New Roman" w:cs="Times New Roman"/>
                                <w:color w:val="000000" w:themeColor="text1"/>
                              </w:rPr>
                              <w:t>ë</w:t>
                            </w:r>
                            <w:r w:rsidRPr="005129AE">
                              <w:rPr>
                                <w:rFonts w:ascii="Times New Roman" w:hAnsi="Times New Roman" w:cs="Times New Roman"/>
                                <w:color w:val="000000" w:themeColor="text1"/>
                              </w:rPr>
                              <w:t>ndet</w:t>
                            </w:r>
                            <w:r>
                              <w:rPr>
                                <w:rFonts w:ascii="Times New Roman" w:hAnsi="Times New Roman" w:cs="Times New Roman"/>
                                <w:color w:val="000000" w:themeColor="text1"/>
                              </w:rPr>
                              <w:t>ë</w:t>
                            </w:r>
                            <w:r w:rsidRPr="005129AE">
                              <w:rPr>
                                <w:rFonts w:ascii="Times New Roman" w:hAnsi="Times New Roman" w:cs="Times New Roman"/>
                                <w:color w:val="000000" w:themeColor="text1"/>
                              </w:rPr>
                              <w:t>sis</w:t>
                            </w:r>
                            <w:r>
                              <w:rPr>
                                <w:rFonts w:ascii="Times New Roman" w:hAnsi="Times New Roman" w:cs="Times New Roman"/>
                                <w:color w:val="000000" w:themeColor="text1"/>
                              </w:rPr>
                              <w:t>ë</w:t>
                            </w:r>
                            <w:r w:rsidRPr="005129AE">
                              <w:rPr>
                                <w:rFonts w:ascii="Times New Roman" w:hAnsi="Times New Roman" w:cs="Times New Roman"/>
                                <w:color w:val="000000" w:themeColor="text1"/>
                              </w:rPr>
                              <w:t xml:space="preserve"> dhe Mbrojtjes Sociale</w:t>
                            </w:r>
                          </w:p>
                          <w:p w14:paraId="744FD009" w14:textId="77777777" w:rsidR="0025668C"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0B0C8F">
                              <w:rPr>
                                <w:rFonts w:ascii="Times New Roman" w:hAnsi="Times New Roman" w:cs="Times New Roman"/>
                                <w:szCs w:val="24"/>
                              </w:rPr>
                              <w:t>Sani Service sh.p.k</w:t>
                            </w:r>
                            <w:r>
                              <w:rPr>
                                <w:rFonts w:ascii="Times New Roman" w:hAnsi="Times New Roman" w:cs="Times New Roman"/>
                                <w:color w:val="000000" w:themeColor="text1"/>
                              </w:rPr>
                              <w:t xml:space="preserve">                     </w:t>
                            </w:r>
                          </w:p>
                          <w:p w14:paraId="34ECEA39"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1.5 miliardë Lek               </w:t>
                            </w:r>
                          </w:p>
                          <w:p w14:paraId="7FE25768"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10 Dhjetor 2015</w:t>
                            </w:r>
                          </w:p>
                          <w:p w14:paraId="294034A8"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10 vite</w:t>
                            </w:r>
                          </w:p>
                          <w:p w14:paraId="1F30DEE2"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Pr>
                                <w:rFonts w:ascii="Times New Roman" w:hAnsi="Times New Roman" w:cs="Times New Roman"/>
                                <w:color w:val="000000" w:themeColor="text1"/>
                              </w:rPr>
                              <w:t>Operim</w:t>
                            </w:r>
                          </w:p>
                          <w:p w14:paraId="30E35360" w14:textId="77777777" w:rsidR="0025668C" w:rsidRDefault="0025668C" w:rsidP="002064BE">
                            <w:pPr>
                              <w:rPr>
                                <w:color w:val="808080" w:themeColor="background1" w:themeShade="8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320C7" id="_x0000_s1040" type="#_x0000_t202" style="position:absolute;margin-left:260.25pt;margin-top:493.6pt;width:250.55pt;height:186pt;z-index:251649024;visibility:visible;mso-wrap-style:square;mso-width-percent:0;mso-height-percent:0;mso-wrap-distance-left:7.2pt;mso-wrap-distance-top:7.2pt;mso-wrap-distance-right:25.2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" fillcolor="#eeece1 [3214]" strokecolor="#c4bc96 [2414]" strokeweight=".5pt">
                <v:fill r:id="rId10" o:title="" color2="white [3212]" type="pattern"/>
                <v:stroke endcap="round"/>
                <v:textbox inset="14.4pt,0,10.8pt,0">
                  <w:txbxContent>
                    <w:p w:rsidR="0025668C" w:rsidRPr="005129AE" w:rsidRDefault="0025668C" w:rsidP="00BD5E13">
                      <w:pPr>
                        <w:pBdr>
                          <w:left w:val="single" w:sz="80" w:space="3" w:color="7F7F7F" w:themeColor="text1" w:themeTint="80"/>
                          <w:bottom w:val="single" w:sz="8" w:space="2" w:color="7F7F7F" w:themeColor="text1" w:themeTint="80"/>
                        </w:pBdr>
                        <w:spacing w:before="40" w:line="288" w:lineRule="auto"/>
                        <w:jc w:val="both"/>
                        <w:rPr>
                          <w:rFonts w:ascii="Times New Roman" w:hAnsi="Times New Roman" w:cs="Times New Roman"/>
                          <w:i/>
                          <w:color w:val="4A442A" w:themeColor="background2" w:themeShade="40"/>
                          <w:sz w:val="18"/>
                          <w:szCs w:val="18"/>
                        </w:rPr>
                      </w:pPr>
                      <w:r w:rsidRPr="005129AE">
                        <w:rPr>
                          <w:rFonts w:ascii="Times New Roman" w:hAnsi="Times New Roman" w:cs="Times New Roman"/>
                          <w:color w:val="4A442A" w:themeColor="background2" w:themeShade="40"/>
                          <w:sz w:val="18"/>
                          <w:szCs w:val="18"/>
                          <w:lang w:val="en-US"/>
                        </w:rPr>
                        <w:t xml:space="preserve">Kontrata Koncesionare </w:t>
                      </w:r>
                      <w:r w:rsidRPr="005129AE">
                        <w:rPr>
                          <w:rFonts w:ascii="Times New Roman" w:hAnsi="Times New Roman" w:cs="Times New Roman"/>
                          <w:color w:val="1D1B11" w:themeColor="background2" w:themeShade="1A"/>
                          <w:sz w:val="18"/>
                          <w:szCs w:val="18"/>
                          <w:lang w:val="en-US"/>
                        </w:rPr>
                        <w:t>“</w:t>
                      </w:r>
                      <w:r w:rsidRPr="005129AE">
                        <w:rPr>
                          <w:rFonts w:ascii="Times New Roman" w:hAnsi="Times New Roman" w:cs="Times New Roman"/>
                          <w:i/>
                          <w:color w:val="1D1B11" w:themeColor="background2" w:themeShade="1A"/>
                          <w:sz w:val="18"/>
                          <w:szCs w:val="18"/>
                          <w:lang w:val="en-US"/>
                        </w:rPr>
                        <w:t>P</w:t>
                      </w:r>
                      <w:r>
                        <w:rPr>
                          <w:rFonts w:ascii="Times New Roman" w:hAnsi="Times New Roman" w:cs="Times New Roman"/>
                          <w:i/>
                          <w:color w:val="1D1B11" w:themeColor="background2" w:themeShade="1A"/>
                          <w:sz w:val="18"/>
                          <w:szCs w:val="18"/>
                          <w:lang w:val="en-US"/>
                        </w:rPr>
                        <w:t>ë</w:t>
                      </w:r>
                      <w:r w:rsidRPr="005129AE">
                        <w:rPr>
                          <w:rFonts w:ascii="Times New Roman" w:hAnsi="Times New Roman" w:cs="Times New Roman"/>
                          <w:i/>
                          <w:color w:val="1D1B11" w:themeColor="background2" w:themeShade="1A"/>
                          <w:sz w:val="18"/>
                          <w:szCs w:val="18"/>
                          <w:lang w:val="en-US"/>
                        </w:rPr>
                        <w:t>r sh</w:t>
                      </w:r>
                      <w:r>
                        <w:rPr>
                          <w:rFonts w:ascii="Times New Roman" w:hAnsi="Times New Roman" w:cs="Times New Roman"/>
                          <w:i/>
                          <w:color w:val="1D1B11" w:themeColor="background2" w:themeShade="1A"/>
                          <w:sz w:val="18"/>
                          <w:szCs w:val="18"/>
                          <w:lang w:val="en-US"/>
                        </w:rPr>
                        <w:t>ë</w:t>
                      </w:r>
                      <w:r w:rsidRPr="005129AE">
                        <w:rPr>
                          <w:rFonts w:ascii="Times New Roman" w:hAnsi="Times New Roman" w:cs="Times New Roman"/>
                          <w:i/>
                          <w:color w:val="1D1B11" w:themeColor="background2" w:themeShade="1A"/>
                          <w:sz w:val="18"/>
                          <w:szCs w:val="18"/>
                          <w:lang w:val="en-US"/>
                        </w:rPr>
                        <w:t>rbime t</w:t>
                      </w:r>
                      <w:r>
                        <w:rPr>
                          <w:rFonts w:ascii="Times New Roman" w:hAnsi="Times New Roman" w:cs="Times New Roman"/>
                          <w:i/>
                          <w:color w:val="1D1B11" w:themeColor="background2" w:themeShade="1A"/>
                          <w:sz w:val="18"/>
                          <w:szCs w:val="18"/>
                          <w:lang w:val="en-US"/>
                        </w:rPr>
                        <w:t>ë</w:t>
                      </w:r>
                      <w:r w:rsidRPr="005129AE">
                        <w:rPr>
                          <w:rFonts w:ascii="Times New Roman" w:hAnsi="Times New Roman" w:cs="Times New Roman"/>
                          <w:i/>
                          <w:color w:val="1D1B11" w:themeColor="background2" w:themeShade="1A"/>
                          <w:sz w:val="18"/>
                          <w:szCs w:val="18"/>
                          <w:lang w:val="en-US"/>
                        </w:rPr>
                        <w:t xml:space="preserve"> integruara për ofrimin e setit të përsonalizuar të instrumenteve kirurgjikal, furnizimin me material mjekësor steril njëpërdorimësh në sallat kirurgjikale, si dhe trajtimin e mbetjeve me rrezik biologjik dhe dezinfektimin e sallave kirurgjikale</w:t>
                      </w:r>
                      <w:r w:rsidRPr="005129AE">
                        <w:rPr>
                          <w:rFonts w:ascii="Times New Roman" w:hAnsi="Times New Roman" w:cs="Times New Roman"/>
                          <w:sz w:val="18"/>
                          <w:szCs w:val="18"/>
                          <w:lang w:val="en-US"/>
                        </w:rPr>
                        <w:t>”</w:t>
                      </w:r>
                    </w:p>
                    <w:p w:rsidR="0025668C" w:rsidRPr="005129AE" w:rsidRDefault="0025668C" w:rsidP="00645B95">
                      <w:pPr>
                        <w:pStyle w:val="ListParagraph"/>
                        <w:numPr>
                          <w:ilvl w:val="0"/>
                          <w:numId w:val="4"/>
                        </w:numPr>
                        <w:ind w:left="90"/>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sidRPr="005129AE">
                        <w:rPr>
                          <w:rFonts w:ascii="Times New Roman" w:hAnsi="Times New Roman" w:cs="Times New Roman"/>
                          <w:color w:val="000000" w:themeColor="text1"/>
                        </w:rPr>
                        <w:t>Ministria e Sh</w:t>
                      </w:r>
                      <w:r>
                        <w:rPr>
                          <w:rFonts w:ascii="Times New Roman" w:hAnsi="Times New Roman" w:cs="Times New Roman"/>
                          <w:color w:val="000000" w:themeColor="text1"/>
                        </w:rPr>
                        <w:t>ë</w:t>
                      </w:r>
                      <w:r w:rsidRPr="005129AE">
                        <w:rPr>
                          <w:rFonts w:ascii="Times New Roman" w:hAnsi="Times New Roman" w:cs="Times New Roman"/>
                          <w:color w:val="000000" w:themeColor="text1"/>
                        </w:rPr>
                        <w:t>ndet</w:t>
                      </w:r>
                      <w:r>
                        <w:rPr>
                          <w:rFonts w:ascii="Times New Roman" w:hAnsi="Times New Roman" w:cs="Times New Roman"/>
                          <w:color w:val="000000" w:themeColor="text1"/>
                        </w:rPr>
                        <w:t>ë</w:t>
                      </w:r>
                      <w:r w:rsidRPr="005129AE">
                        <w:rPr>
                          <w:rFonts w:ascii="Times New Roman" w:hAnsi="Times New Roman" w:cs="Times New Roman"/>
                          <w:color w:val="000000" w:themeColor="text1"/>
                        </w:rPr>
                        <w:t>sis</w:t>
                      </w:r>
                      <w:r>
                        <w:rPr>
                          <w:rFonts w:ascii="Times New Roman" w:hAnsi="Times New Roman" w:cs="Times New Roman"/>
                          <w:color w:val="000000" w:themeColor="text1"/>
                        </w:rPr>
                        <w:t>ë</w:t>
                      </w:r>
                      <w:r w:rsidRPr="005129AE">
                        <w:rPr>
                          <w:rFonts w:ascii="Times New Roman" w:hAnsi="Times New Roman" w:cs="Times New Roman"/>
                          <w:color w:val="000000" w:themeColor="text1"/>
                        </w:rPr>
                        <w:t xml:space="preserve"> dhe Mbrojtjes Sociale</w:t>
                      </w:r>
                    </w:p>
                    <w:p w:rsidR="0025668C"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0B0C8F">
                        <w:rPr>
                          <w:rFonts w:ascii="Times New Roman" w:hAnsi="Times New Roman" w:cs="Times New Roman"/>
                          <w:szCs w:val="24"/>
                        </w:rPr>
                        <w:t>Sani Service sh.p.k</w:t>
                      </w:r>
                      <w:r>
                        <w:rPr>
                          <w:rFonts w:ascii="Times New Roman" w:hAnsi="Times New Roman" w:cs="Times New Roman"/>
                          <w:color w:val="000000" w:themeColor="text1"/>
                        </w:rPr>
                        <w:t xml:space="preserve">                     </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1.5 miliardë Lek               </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10 Dhjetor 2015</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10 vite</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Pr>
                          <w:rFonts w:ascii="Times New Roman" w:hAnsi="Times New Roman" w:cs="Times New Roman"/>
                          <w:color w:val="000000" w:themeColor="text1"/>
                        </w:rPr>
                        <w:t>Operim</w:t>
                      </w:r>
                    </w:p>
                    <w:p w:rsidR="0025668C" w:rsidRDefault="0025668C" w:rsidP="002064BE">
                      <w:pPr>
                        <w:rPr>
                          <w:color w:val="808080" w:themeColor="background1" w:themeShade="80"/>
                        </w:rPr>
                      </w:pPr>
                    </w:p>
                  </w:txbxContent>
                </v:textbox>
                <w10:wrap type="square" anchorx="margin" anchory="margin"/>
              </v:shape>
            </w:pict>
          </mc:Fallback>
        </mc:AlternateContent>
      </w:r>
    </w:p>
    <w:p w14:paraId="7FD7859A" w14:textId="77777777" w:rsidR="002064BE" w:rsidRPr="009B6417" w:rsidRDefault="00FA41FD" w:rsidP="004C1F25">
      <w:pPr>
        <w:pStyle w:val="Heading2"/>
        <w:numPr>
          <w:ilvl w:val="2"/>
          <w:numId w:val="32"/>
        </w:numPr>
        <w:rPr>
          <w:rFonts w:ascii="Times New Roman" w:hAnsi="Times New Roman" w:cs="Times New Roman"/>
          <w:color w:val="auto"/>
          <w:sz w:val="24"/>
          <w:szCs w:val="24"/>
        </w:rPr>
      </w:pPr>
      <w:bookmarkStart w:id="58" w:name="_Toc21689805"/>
      <w:bookmarkStart w:id="59" w:name="_Toc23765727"/>
      <w:r w:rsidRPr="009B6417">
        <w:rPr>
          <w:rFonts w:ascii="Times New Roman" w:hAnsi="Times New Roman" w:cs="Times New Roman"/>
          <w:b/>
          <w:i/>
          <w:color w:val="auto"/>
          <w:sz w:val="24"/>
          <w:szCs w:val="24"/>
        </w:rPr>
        <w:t xml:space="preserve"> </w:t>
      </w:r>
      <w:bookmarkStart w:id="60" w:name="_Toc37196697"/>
      <w:r w:rsidR="002064BE" w:rsidRPr="009B6417">
        <w:rPr>
          <w:rFonts w:ascii="Times New Roman" w:hAnsi="Times New Roman" w:cs="Times New Roman"/>
          <w:b/>
          <w:i/>
          <w:color w:val="auto"/>
          <w:sz w:val="24"/>
          <w:szCs w:val="24"/>
        </w:rPr>
        <w:t>Përshkrimi i  përgjithshëm i projektit</w:t>
      </w:r>
      <w:bookmarkEnd w:id="56"/>
      <w:bookmarkEnd w:id="57"/>
      <w:bookmarkEnd w:id="58"/>
      <w:bookmarkEnd w:id="59"/>
      <w:bookmarkEnd w:id="60"/>
    </w:p>
    <w:p w14:paraId="0A2D629B" w14:textId="77777777" w:rsidR="002064BE" w:rsidRPr="009B6417" w:rsidRDefault="002064BE" w:rsidP="00FA41FD">
      <w:pPr>
        <w:tabs>
          <w:tab w:val="left" w:pos="3553"/>
        </w:tabs>
        <w:spacing w:after="0"/>
        <w:jc w:val="both"/>
        <w:rPr>
          <w:rFonts w:ascii="Times New Roman" w:hAnsi="Times New Roman" w:cs="Times New Roman"/>
          <w:sz w:val="24"/>
          <w:szCs w:val="24"/>
        </w:rPr>
      </w:pPr>
      <w:r w:rsidRPr="009B6417">
        <w:rPr>
          <w:rFonts w:ascii="Times New Roman" w:hAnsi="Times New Roman" w:cs="Times New Roman"/>
          <w:sz w:val="24"/>
          <w:szCs w:val="24"/>
        </w:rPr>
        <w:t>Ky  projekt është propozim i kërkuar nga Ministria e Shëndetësisë dhe Mbrojtjes Sociale, i nënshkruar në vitin 2015 me shoqërinë koncesionare ‘Sani Service sh.p.k,” dhe ka si qëllim menaxhimin e qendrës së sterilizimit, ofrimin e instrumenteve kirurgjikale sterile sip</w:t>
      </w:r>
      <w:r w:rsidR="007846B1" w:rsidRPr="009B6417">
        <w:rPr>
          <w:rFonts w:ascii="Times New Roman" w:hAnsi="Times New Roman" w:cs="Times New Roman"/>
          <w:sz w:val="24"/>
          <w:szCs w:val="24"/>
        </w:rPr>
        <w:t>as setit të personalizuar, vesh</w:t>
      </w:r>
      <w:r w:rsidRPr="009B6417">
        <w:rPr>
          <w:rFonts w:ascii="Times New Roman" w:hAnsi="Times New Roman" w:cs="Times New Roman"/>
          <w:sz w:val="24"/>
          <w:szCs w:val="24"/>
        </w:rPr>
        <w:t>jet në sallat kirurgjikale</w:t>
      </w:r>
      <w:r w:rsidR="007846B1" w:rsidRPr="009B6417">
        <w:rPr>
          <w:rFonts w:ascii="Times New Roman" w:hAnsi="Times New Roman" w:cs="Times New Roman"/>
          <w:sz w:val="24"/>
          <w:szCs w:val="24"/>
        </w:rPr>
        <w:t>,</w:t>
      </w:r>
      <w:r w:rsidRPr="009B6417">
        <w:rPr>
          <w:rFonts w:ascii="Times New Roman" w:hAnsi="Times New Roman" w:cs="Times New Roman"/>
          <w:sz w:val="24"/>
          <w:szCs w:val="24"/>
        </w:rPr>
        <w:t xml:space="preserve"> trajtimin e mbetjeve mjekësore me rrezik biologjik dhe dezinfektimin e sallave kirurgjikale ku do të ofrohet ky shërbim. </w:t>
      </w:r>
    </w:p>
    <w:p w14:paraId="0A2C78F4" w14:textId="77777777" w:rsidR="002064BE" w:rsidRDefault="002064BE" w:rsidP="00BD5E13">
      <w:pPr>
        <w:tabs>
          <w:tab w:val="left" w:pos="3553"/>
        </w:tabs>
        <w:spacing w:after="0"/>
        <w:jc w:val="both"/>
        <w:rPr>
          <w:rFonts w:ascii="Times New Roman" w:hAnsi="Times New Roman" w:cs="Times New Roman"/>
          <w:sz w:val="24"/>
          <w:szCs w:val="24"/>
        </w:rPr>
      </w:pPr>
      <w:r w:rsidRPr="009B6417">
        <w:rPr>
          <w:rFonts w:ascii="Times New Roman" w:hAnsi="Times New Roman" w:cs="Times New Roman"/>
          <w:sz w:val="24"/>
          <w:szCs w:val="24"/>
        </w:rPr>
        <w:lastRenderedPageBreak/>
        <w:t xml:space="preserve">Projekti shtrihet në të gjitha spitalet </w:t>
      </w:r>
      <w:r w:rsidR="007846B1" w:rsidRPr="009B6417">
        <w:rPr>
          <w:rFonts w:ascii="Times New Roman" w:hAnsi="Times New Roman" w:cs="Times New Roman"/>
          <w:sz w:val="24"/>
          <w:szCs w:val="24"/>
        </w:rPr>
        <w:t>u</w:t>
      </w:r>
      <w:r w:rsidRPr="009B6417">
        <w:rPr>
          <w:rFonts w:ascii="Times New Roman" w:hAnsi="Times New Roman" w:cs="Times New Roman"/>
          <w:sz w:val="24"/>
          <w:szCs w:val="24"/>
        </w:rPr>
        <w:t>niversitare, rajonale dhe spitalet bashkiakë. Shërbimi kryhet pranë sallave kirurgjikale, ambienteve ku ka aktivitet kirugjikal, mikrokirurgjikal</w:t>
      </w:r>
      <w:r w:rsidR="007846B1" w:rsidRPr="009B6417">
        <w:rPr>
          <w:rFonts w:ascii="Times New Roman" w:hAnsi="Times New Roman" w:cs="Times New Roman"/>
          <w:sz w:val="24"/>
          <w:szCs w:val="24"/>
        </w:rPr>
        <w:t>,</w:t>
      </w:r>
      <w:r w:rsidRPr="009B6417">
        <w:rPr>
          <w:rFonts w:ascii="Times New Roman" w:hAnsi="Times New Roman" w:cs="Times New Roman"/>
          <w:sz w:val="24"/>
          <w:szCs w:val="24"/>
        </w:rPr>
        <w:t xml:space="preserve"> ambulator dhe urgjencat e spital</w:t>
      </w:r>
      <w:r w:rsidR="00AD724F">
        <w:rPr>
          <w:rFonts w:ascii="Times New Roman" w:hAnsi="Times New Roman" w:cs="Times New Roman"/>
          <w:sz w:val="24"/>
          <w:szCs w:val="24"/>
        </w:rPr>
        <w:t>eve universitare dhe rajonale. Ky partneritet synon</w:t>
      </w:r>
      <w:r w:rsidRPr="009B6417">
        <w:rPr>
          <w:rFonts w:ascii="Times New Roman" w:hAnsi="Times New Roman" w:cs="Times New Roman"/>
          <w:sz w:val="24"/>
          <w:szCs w:val="24"/>
        </w:rPr>
        <w:t xml:space="preserve"> një menaxhim më të mirë të situatës së sallave operative në spitalet e vendit.</w:t>
      </w:r>
    </w:p>
    <w:p w14:paraId="6728D54C" w14:textId="77777777" w:rsidR="00AD724F" w:rsidRPr="00AD724F" w:rsidRDefault="00AD724F" w:rsidP="00BD5E13">
      <w:pPr>
        <w:tabs>
          <w:tab w:val="left" w:pos="3553"/>
        </w:tabs>
        <w:spacing w:after="0"/>
        <w:jc w:val="both"/>
        <w:rPr>
          <w:rFonts w:ascii="Times New Roman" w:hAnsi="Times New Roman" w:cs="Times New Roman"/>
          <w:sz w:val="16"/>
          <w:szCs w:val="24"/>
        </w:rPr>
      </w:pPr>
    </w:p>
    <w:p w14:paraId="248BA857" w14:textId="77777777" w:rsidR="00FA41FD" w:rsidRDefault="002064BE" w:rsidP="004C1F25">
      <w:pPr>
        <w:pStyle w:val="Heading2"/>
        <w:numPr>
          <w:ilvl w:val="2"/>
          <w:numId w:val="32"/>
        </w:numPr>
        <w:rPr>
          <w:rFonts w:ascii="Times New Roman" w:eastAsia="Times New Roman" w:hAnsi="Times New Roman" w:cs="Times New Roman"/>
          <w:b/>
          <w:i/>
          <w:color w:val="auto"/>
          <w:sz w:val="24"/>
          <w:szCs w:val="24"/>
        </w:rPr>
      </w:pPr>
      <w:bookmarkStart w:id="61" w:name="_Toc19882252"/>
      <w:bookmarkStart w:id="62" w:name="_Toc21689806"/>
      <w:bookmarkStart w:id="63" w:name="_Toc23765728"/>
      <w:bookmarkStart w:id="64" w:name="_Toc37196698"/>
      <w:r w:rsidRPr="009B6417">
        <w:rPr>
          <w:rFonts w:ascii="Times New Roman" w:eastAsia="Times New Roman" w:hAnsi="Times New Roman" w:cs="Times New Roman"/>
          <w:b/>
          <w:i/>
          <w:color w:val="auto"/>
          <w:sz w:val="24"/>
          <w:szCs w:val="24"/>
        </w:rPr>
        <w:t>Performanca e projektit dhe lloji i financimit</w:t>
      </w:r>
      <w:bookmarkEnd w:id="61"/>
      <w:bookmarkEnd w:id="62"/>
      <w:bookmarkEnd w:id="63"/>
      <w:bookmarkEnd w:id="64"/>
    </w:p>
    <w:p w14:paraId="1CC5E261" w14:textId="77777777" w:rsidR="00C34D0A" w:rsidRPr="00C34D0A" w:rsidRDefault="00C34D0A" w:rsidP="00C34D0A">
      <w:pPr>
        <w:rPr>
          <w:sz w:val="2"/>
        </w:rPr>
      </w:pPr>
    </w:p>
    <w:p w14:paraId="6E8A75BB" w14:textId="77777777" w:rsidR="00984DF3" w:rsidRDefault="002064BE" w:rsidP="00494CA9">
      <w:pPr>
        <w:pStyle w:val="NoSpacing"/>
        <w:spacing w:line="276" w:lineRule="auto"/>
        <w:jc w:val="both"/>
        <w:rPr>
          <w:rFonts w:ascii="Times New Roman" w:hAnsi="Times New Roman" w:cs="Times New Roman"/>
          <w:sz w:val="24"/>
          <w:szCs w:val="24"/>
          <w:lang w:val="sq-AL"/>
        </w:rPr>
      </w:pPr>
      <w:r w:rsidRPr="009B6417">
        <w:rPr>
          <w:rFonts w:ascii="Times New Roman" w:hAnsi="Times New Roman" w:cs="Times New Roman"/>
          <w:sz w:val="24"/>
          <w:szCs w:val="24"/>
          <w:lang w:val="sq-AL"/>
        </w:rPr>
        <w:t xml:space="preserve">Në bazë të të dhënave të raportuara, lidhur me aktivitetin e financimit të kësaj kontrate, numri i ndërhyrjeve dhe vlera e rimbursuar e këtij shërbimi ka ardhur në rritje ndër vite. </w:t>
      </w:r>
    </w:p>
    <w:p w14:paraId="50D3869C" w14:textId="77777777" w:rsidR="00B35C85" w:rsidRPr="00B35C85" w:rsidRDefault="00B35C85" w:rsidP="00494CA9">
      <w:pPr>
        <w:pStyle w:val="NoSpacing"/>
        <w:spacing w:line="276" w:lineRule="auto"/>
        <w:jc w:val="both"/>
        <w:rPr>
          <w:rFonts w:ascii="Times New Roman" w:hAnsi="Times New Roman" w:cs="Times New Roman"/>
          <w:sz w:val="8"/>
          <w:szCs w:val="24"/>
          <w:lang w:val="sq-AL"/>
        </w:rPr>
      </w:pPr>
    </w:p>
    <w:p w14:paraId="5DDFFC4A" w14:textId="77777777" w:rsidR="000967C3" w:rsidRPr="009B6417" w:rsidRDefault="00494CA9" w:rsidP="00494CA9">
      <w:pPr>
        <w:pStyle w:val="NoSpacing"/>
        <w:spacing w:line="276" w:lineRule="auto"/>
        <w:jc w:val="both"/>
        <w:rPr>
          <w:rFonts w:ascii="Times New Roman" w:hAnsi="Times New Roman" w:cs="Times New Roman"/>
          <w:sz w:val="24"/>
          <w:szCs w:val="24"/>
          <w:lang w:val="sq-AL"/>
        </w:rPr>
      </w:pPr>
      <w:r w:rsidRPr="009B6417">
        <w:rPr>
          <w:rFonts w:ascii="Times New Roman" w:hAnsi="Times New Roman" w:cs="Times New Roman"/>
          <w:sz w:val="24"/>
          <w:szCs w:val="24"/>
          <w:lang w:val="sq-AL"/>
        </w:rPr>
        <w:t xml:space="preserve">Për vitin 2019 janë realizuar </w:t>
      </w:r>
      <w:r w:rsidR="001817A0">
        <w:rPr>
          <w:rFonts w:ascii="Times New Roman" w:hAnsi="Times New Roman" w:cs="Times New Roman"/>
          <w:sz w:val="24"/>
          <w:szCs w:val="24"/>
          <w:lang w:val="sq-AL"/>
        </w:rPr>
        <w:t>63,269</w:t>
      </w:r>
      <w:r w:rsidR="00453A92" w:rsidRPr="009B6417">
        <w:rPr>
          <w:rFonts w:ascii="Times New Roman" w:hAnsi="Times New Roman" w:cs="Times New Roman"/>
          <w:sz w:val="24"/>
          <w:szCs w:val="24"/>
          <w:lang w:val="sq-AL"/>
        </w:rPr>
        <w:t xml:space="preserve"> ndërhyrje, ose rreth </w:t>
      </w:r>
      <w:r w:rsidR="00615395">
        <w:rPr>
          <w:rFonts w:ascii="Times New Roman" w:hAnsi="Times New Roman" w:cs="Times New Roman"/>
          <w:sz w:val="24"/>
          <w:szCs w:val="24"/>
          <w:lang w:val="sq-AL"/>
        </w:rPr>
        <w:t>99.5</w:t>
      </w:r>
      <w:r w:rsidR="00453A92" w:rsidRPr="009B6417">
        <w:rPr>
          <w:rFonts w:ascii="Times New Roman" w:hAnsi="Times New Roman" w:cs="Times New Roman"/>
          <w:sz w:val="24"/>
          <w:szCs w:val="24"/>
          <w:lang w:val="sq-AL"/>
        </w:rPr>
        <w:t xml:space="preserve"> p</w:t>
      </w:r>
      <w:r w:rsidR="00C743C1" w:rsidRPr="009B6417">
        <w:rPr>
          <w:rFonts w:ascii="Times New Roman" w:hAnsi="Times New Roman" w:cs="Times New Roman"/>
          <w:sz w:val="24"/>
          <w:szCs w:val="24"/>
          <w:lang w:val="sq-AL"/>
        </w:rPr>
        <w:t>ë</w:t>
      </w:r>
      <w:r w:rsidR="00453A92" w:rsidRPr="009B6417">
        <w:rPr>
          <w:rFonts w:ascii="Times New Roman" w:hAnsi="Times New Roman" w:cs="Times New Roman"/>
          <w:sz w:val="24"/>
          <w:szCs w:val="24"/>
          <w:lang w:val="sq-AL"/>
        </w:rPr>
        <w:t>rqind e planit vjetor t</w:t>
      </w:r>
      <w:r w:rsidR="00C743C1" w:rsidRPr="009B6417">
        <w:rPr>
          <w:rFonts w:ascii="Times New Roman" w:hAnsi="Times New Roman" w:cs="Times New Roman"/>
          <w:sz w:val="24"/>
          <w:szCs w:val="24"/>
          <w:lang w:val="sq-AL"/>
        </w:rPr>
        <w:t>ë</w:t>
      </w:r>
      <w:r w:rsidR="00B35C85">
        <w:rPr>
          <w:rFonts w:ascii="Times New Roman" w:hAnsi="Times New Roman" w:cs="Times New Roman"/>
          <w:sz w:val="24"/>
          <w:szCs w:val="24"/>
          <w:lang w:val="sq-AL"/>
        </w:rPr>
        <w:t xml:space="preserve"> parashikuar</w:t>
      </w:r>
      <w:r w:rsidR="00510421">
        <w:rPr>
          <w:rFonts w:ascii="Times New Roman" w:hAnsi="Times New Roman" w:cs="Times New Roman"/>
          <w:sz w:val="24"/>
          <w:szCs w:val="24"/>
          <w:lang w:val="sq-AL"/>
        </w:rPr>
        <w:t xml:space="preserve"> (63,600 ndërhyrje) </w:t>
      </w:r>
      <w:r w:rsidR="00B35C85">
        <w:rPr>
          <w:rFonts w:ascii="Times New Roman" w:hAnsi="Times New Roman" w:cs="Times New Roman"/>
          <w:sz w:val="24"/>
          <w:szCs w:val="24"/>
          <w:lang w:val="sq-AL"/>
        </w:rPr>
        <w:t xml:space="preserve">pa përfshirë paketimet me avull, që për të njëjtën periudhë janë </w:t>
      </w:r>
      <w:r w:rsidR="001817A0">
        <w:rPr>
          <w:rFonts w:ascii="Times New Roman" w:hAnsi="Times New Roman" w:cs="Times New Roman"/>
          <w:sz w:val="24"/>
          <w:szCs w:val="24"/>
          <w:lang w:val="sq-AL"/>
        </w:rPr>
        <w:t>70,029</w:t>
      </w:r>
      <w:r w:rsidR="00615395">
        <w:rPr>
          <w:rFonts w:ascii="Times New Roman" w:hAnsi="Times New Roman" w:cs="Times New Roman"/>
          <w:sz w:val="24"/>
          <w:szCs w:val="24"/>
          <w:lang w:val="sq-AL"/>
        </w:rPr>
        <w:t>.</w:t>
      </w:r>
    </w:p>
    <w:p w14:paraId="74DE991E" w14:textId="77777777" w:rsidR="000967C3" w:rsidRPr="000967C3" w:rsidRDefault="000967C3" w:rsidP="00453A92">
      <w:pPr>
        <w:pStyle w:val="NoSpacing"/>
        <w:spacing w:line="276" w:lineRule="auto"/>
        <w:jc w:val="both"/>
        <w:rPr>
          <w:rFonts w:ascii="Times New Roman" w:hAnsi="Times New Roman" w:cs="Times New Roman"/>
          <w:sz w:val="8"/>
          <w:szCs w:val="24"/>
          <w:lang w:val="sq-AL"/>
        </w:rPr>
      </w:pPr>
    </w:p>
    <w:p w14:paraId="1AA505DE" w14:textId="77777777" w:rsidR="00984DF3" w:rsidRDefault="000967C3" w:rsidP="00453A92">
      <w:pPr>
        <w:pStyle w:val="NoSpacing"/>
        <w:spacing w:line="276" w:lineRule="auto"/>
        <w:jc w:val="both"/>
        <w:rPr>
          <w:rFonts w:ascii="Times New Roman" w:hAnsi="Times New Roman" w:cs="Times New Roman"/>
          <w:sz w:val="24"/>
          <w:szCs w:val="24"/>
          <w:lang w:val="sq-AL"/>
        </w:rPr>
      </w:pPr>
      <w:r w:rsidRPr="000967C3">
        <w:rPr>
          <w:rFonts w:ascii="Times New Roman" w:hAnsi="Times New Roman" w:cs="Times New Roman"/>
          <w:sz w:val="24"/>
          <w:szCs w:val="24"/>
          <w:lang w:val="sq-AL"/>
        </w:rPr>
        <w:t xml:space="preserve">Ky projekt financohet tërësisht me fonde publike sipas metodës (pay x use) në varësi të numrit të pacientëve të cilët do të duhet të  </w:t>
      </w:r>
      <w:r w:rsidRPr="001817A0">
        <w:rPr>
          <w:rFonts w:ascii="Times New Roman" w:hAnsi="Times New Roman" w:cs="Times New Roman"/>
          <w:sz w:val="24"/>
          <w:szCs w:val="24"/>
          <w:lang w:val="sq-AL"/>
        </w:rPr>
        <w:t>ma</w:t>
      </w:r>
      <w:r w:rsidR="003276E7">
        <w:rPr>
          <w:rFonts w:ascii="Times New Roman" w:hAnsi="Times New Roman" w:cs="Times New Roman"/>
          <w:sz w:val="24"/>
          <w:szCs w:val="24"/>
          <w:lang w:val="sq-AL"/>
        </w:rPr>
        <w:t>r</w:t>
      </w:r>
      <w:r w:rsidRPr="001817A0">
        <w:rPr>
          <w:rFonts w:ascii="Times New Roman" w:hAnsi="Times New Roman" w:cs="Times New Roman"/>
          <w:sz w:val="24"/>
          <w:szCs w:val="24"/>
          <w:lang w:val="sq-AL"/>
        </w:rPr>
        <w:t xml:space="preserve">rin shërbimin. Për shkak se në këtë lloj shërbimi nuk mund të parashikohet me saktësi risku i kërkesës, atëherë mund të implikohet kosto shtesë për buxhetin në rast të tejkalimit të numrit të pacientëve. </w:t>
      </w:r>
      <w:r w:rsidR="001817A0" w:rsidRPr="001817A0">
        <w:rPr>
          <w:rFonts w:ascii="Times New Roman" w:hAnsi="Times New Roman" w:cs="Times New Roman"/>
          <w:sz w:val="24"/>
          <w:szCs w:val="24"/>
          <w:lang w:val="sq-AL"/>
        </w:rPr>
        <w:t>P</w:t>
      </w:r>
      <w:r w:rsidR="0021185F">
        <w:rPr>
          <w:rFonts w:ascii="Times New Roman" w:hAnsi="Times New Roman" w:cs="Times New Roman"/>
          <w:sz w:val="24"/>
          <w:szCs w:val="24"/>
          <w:lang w:val="sq-AL"/>
        </w:rPr>
        <w:t>ë</w:t>
      </w:r>
      <w:r w:rsidR="001817A0" w:rsidRPr="001817A0">
        <w:rPr>
          <w:rFonts w:ascii="Times New Roman" w:hAnsi="Times New Roman" w:cs="Times New Roman"/>
          <w:sz w:val="24"/>
          <w:szCs w:val="24"/>
          <w:lang w:val="sq-AL"/>
        </w:rPr>
        <w:t>r vitin 2019,</w:t>
      </w:r>
      <w:r w:rsidR="00191DEE" w:rsidRPr="001817A0">
        <w:rPr>
          <w:rFonts w:ascii="Times New Roman" w:hAnsi="Times New Roman" w:cs="Times New Roman"/>
          <w:sz w:val="24"/>
          <w:szCs w:val="24"/>
          <w:lang w:val="sq-AL"/>
        </w:rPr>
        <w:t xml:space="preserve"> pesha specifike e llojit t</w:t>
      </w:r>
      <w:r w:rsidR="00EA5C20" w:rsidRPr="001817A0">
        <w:rPr>
          <w:rFonts w:ascii="Times New Roman" w:hAnsi="Times New Roman" w:cs="Times New Roman"/>
          <w:sz w:val="24"/>
          <w:szCs w:val="24"/>
          <w:lang w:val="sq-AL"/>
        </w:rPr>
        <w:t>ë</w:t>
      </w:r>
      <w:r w:rsidR="00191DEE" w:rsidRPr="001817A0">
        <w:rPr>
          <w:rFonts w:ascii="Times New Roman" w:hAnsi="Times New Roman" w:cs="Times New Roman"/>
          <w:sz w:val="24"/>
          <w:szCs w:val="24"/>
          <w:lang w:val="sq-AL"/>
        </w:rPr>
        <w:t xml:space="preserve"> nd</w:t>
      </w:r>
      <w:r w:rsidR="00EA5C20" w:rsidRPr="001817A0">
        <w:rPr>
          <w:rFonts w:ascii="Times New Roman" w:hAnsi="Times New Roman" w:cs="Times New Roman"/>
          <w:sz w:val="24"/>
          <w:szCs w:val="24"/>
          <w:lang w:val="sq-AL"/>
        </w:rPr>
        <w:t>ë</w:t>
      </w:r>
      <w:r w:rsidR="00191DEE" w:rsidRPr="001817A0">
        <w:rPr>
          <w:rFonts w:ascii="Times New Roman" w:hAnsi="Times New Roman" w:cs="Times New Roman"/>
          <w:sz w:val="24"/>
          <w:szCs w:val="24"/>
          <w:lang w:val="sq-AL"/>
        </w:rPr>
        <w:t>rhyrjeve t</w:t>
      </w:r>
      <w:r w:rsidR="00EA5C20" w:rsidRPr="001817A0">
        <w:rPr>
          <w:rFonts w:ascii="Times New Roman" w:hAnsi="Times New Roman" w:cs="Times New Roman"/>
          <w:sz w:val="24"/>
          <w:szCs w:val="24"/>
          <w:lang w:val="sq-AL"/>
        </w:rPr>
        <w:t>ë</w:t>
      </w:r>
      <w:r w:rsidR="00191DEE" w:rsidRPr="001817A0">
        <w:rPr>
          <w:rFonts w:ascii="Times New Roman" w:hAnsi="Times New Roman" w:cs="Times New Roman"/>
          <w:sz w:val="24"/>
          <w:szCs w:val="24"/>
          <w:lang w:val="sq-AL"/>
        </w:rPr>
        <w:t xml:space="preserve"> p</w:t>
      </w:r>
      <w:r w:rsidR="00EA5C20" w:rsidRPr="001817A0">
        <w:rPr>
          <w:rFonts w:ascii="Times New Roman" w:hAnsi="Times New Roman" w:cs="Times New Roman"/>
          <w:sz w:val="24"/>
          <w:szCs w:val="24"/>
          <w:lang w:val="sq-AL"/>
        </w:rPr>
        <w:t>ë</w:t>
      </w:r>
      <w:r w:rsidR="001817A0" w:rsidRPr="001817A0">
        <w:rPr>
          <w:rFonts w:ascii="Times New Roman" w:hAnsi="Times New Roman" w:cs="Times New Roman"/>
          <w:sz w:val="24"/>
          <w:szCs w:val="24"/>
          <w:lang w:val="sq-AL"/>
        </w:rPr>
        <w:t>rdorur ka q</w:t>
      </w:r>
      <w:r w:rsidR="0021185F">
        <w:rPr>
          <w:rFonts w:ascii="Times New Roman" w:hAnsi="Times New Roman" w:cs="Times New Roman"/>
          <w:sz w:val="24"/>
          <w:szCs w:val="24"/>
          <w:lang w:val="sq-AL"/>
        </w:rPr>
        <w:t>ë</w:t>
      </w:r>
      <w:r w:rsidR="001817A0" w:rsidRPr="001817A0">
        <w:rPr>
          <w:rFonts w:ascii="Times New Roman" w:hAnsi="Times New Roman" w:cs="Times New Roman"/>
          <w:sz w:val="24"/>
          <w:szCs w:val="24"/>
          <w:lang w:val="sq-AL"/>
        </w:rPr>
        <w:t>n</w:t>
      </w:r>
      <w:r w:rsidR="0021185F">
        <w:rPr>
          <w:rFonts w:ascii="Times New Roman" w:hAnsi="Times New Roman" w:cs="Times New Roman"/>
          <w:sz w:val="24"/>
          <w:szCs w:val="24"/>
          <w:lang w:val="sq-AL"/>
        </w:rPr>
        <w:t>ë</w:t>
      </w:r>
      <w:r w:rsidR="00191DEE" w:rsidRPr="001817A0">
        <w:rPr>
          <w:rFonts w:ascii="Times New Roman" w:hAnsi="Times New Roman" w:cs="Times New Roman"/>
          <w:sz w:val="24"/>
          <w:szCs w:val="24"/>
          <w:lang w:val="sq-AL"/>
        </w:rPr>
        <w:t xml:space="preserve"> sipas tabel</w:t>
      </w:r>
      <w:r w:rsidR="00EA5C20" w:rsidRPr="001817A0">
        <w:rPr>
          <w:rFonts w:ascii="Times New Roman" w:hAnsi="Times New Roman" w:cs="Times New Roman"/>
          <w:sz w:val="24"/>
          <w:szCs w:val="24"/>
          <w:lang w:val="sq-AL"/>
        </w:rPr>
        <w:t>ë</w:t>
      </w:r>
      <w:r w:rsidR="00191DEE" w:rsidRPr="001817A0">
        <w:rPr>
          <w:rFonts w:ascii="Times New Roman" w:hAnsi="Times New Roman" w:cs="Times New Roman"/>
          <w:sz w:val="24"/>
          <w:szCs w:val="24"/>
          <w:lang w:val="sq-AL"/>
        </w:rPr>
        <w:t>s si m</w:t>
      </w:r>
      <w:r w:rsidR="00EA5C20" w:rsidRPr="001817A0">
        <w:rPr>
          <w:rFonts w:ascii="Times New Roman" w:hAnsi="Times New Roman" w:cs="Times New Roman"/>
          <w:sz w:val="24"/>
          <w:szCs w:val="24"/>
          <w:lang w:val="sq-AL"/>
        </w:rPr>
        <w:t>ë</w:t>
      </w:r>
      <w:r w:rsidR="00191DEE" w:rsidRPr="001817A0">
        <w:rPr>
          <w:rFonts w:ascii="Times New Roman" w:hAnsi="Times New Roman" w:cs="Times New Roman"/>
          <w:sz w:val="24"/>
          <w:szCs w:val="24"/>
          <w:lang w:val="sq-AL"/>
        </w:rPr>
        <w:t xml:space="preserve"> posht</w:t>
      </w:r>
      <w:r w:rsidR="00EA5C20" w:rsidRPr="001817A0">
        <w:rPr>
          <w:rFonts w:ascii="Times New Roman" w:hAnsi="Times New Roman" w:cs="Times New Roman"/>
          <w:sz w:val="24"/>
          <w:szCs w:val="24"/>
          <w:lang w:val="sq-AL"/>
        </w:rPr>
        <w:t>ë</w:t>
      </w:r>
      <w:r w:rsidR="00191DEE" w:rsidRPr="001817A0">
        <w:rPr>
          <w:rFonts w:ascii="Times New Roman" w:hAnsi="Times New Roman" w:cs="Times New Roman"/>
          <w:sz w:val="24"/>
          <w:szCs w:val="24"/>
          <w:lang w:val="sq-AL"/>
        </w:rPr>
        <w:t>:</w:t>
      </w:r>
    </w:p>
    <w:p w14:paraId="47DED3C4" w14:textId="77777777" w:rsidR="00191DEE" w:rsidRPr="001817A0" w:rsidRDefault="00191DEE" w:rsidP="00453A92">
      <w:pPr>
        <w:pStyle w:val="NoSpacing"/>
        <w:spacing w:line="276" w:lineRule="auto"/>
        <w:jc w:val="both"/>
        <w:rPr>
          <w:rFonts w:ascii="Times New Roman" w:hAnsi="Times New Roman" w:cs="Times New Roman"/>
          <w:b/>
          <w:sz w:val="12"/>
          <w:szCs w:val="24"/>
          <w:lang w:val="sq-AL"/>
        </w:rPr>
      </w:pPr>
    </w:p>
    <w:p w14:paraId="4A6ECFEF" w14:textId="77777777" w:rsidR="00191DEE" w:rsidRPr="001817A0" w:rsidRDefault="00191DEE" w:rsidP="006B6D4D">
      <w:pPr>
        <w:pStyle w:val="Caption"/>
      </w:pPr>
      <w:bookmarkStart w:id="65" w:name="_Toc40422395"/>
      <w:r w:rsidRPr="0021185F">
        <w:t xml:space="preserve">Tabela </w:t>
      </w:r>
      <w:r w:rsidR="00E54EC8" w:rsidRPr="0021185F">
        <w:fldChar w:fldCharType="begin"/>
      </w:r>
      <w:r w:rsidRPr="0021185F">
        <w:instrText xml:space="preserve"> SEQ Tabela \* ARABIC </w:instrText>
      </w:r>
      <w:r w:rsidR="00E54EC8" w:rsidRPr="0021185F">
        <w:fldChar w:fldCharType="separate"/>
      </w:r>
      <w:r w:rsidR="00F20848" w:rsidRPr="0021185F">
        <w:rPr>
          <w:noProof/>
        </w:rPr>
        <w:t>12</w:t>
      </w:r>
      <w:r w:rsidR="00E54EC8" w:rsidRPr="0021185F">
        <w:fldChar w:fldCharType="end"/>
      </w:r>
      <w:r w:rsidRPr="0021185F">
        <w:t>: Pesha specifike e llojit t</w:t>
      </w:r>
      <w:r w:rsidR="00EA5C20" w:rsidRPr="0021185F">
        <w:t>ë</w:t>
      </w:r>
      <w:r w:rsidRPr="0021185F">
        <w:t xml:space="preserve"> nd</w:t>
      </w:r>
      <w:r w:rsidR="00EA5C20" w:rsidRPr="0021185F">
        <w:t>ë</w:t>
      </w:r>
      <w:r w:rsidRPr="0021185F">
        <w:t>rhyrjeve t</w:t>
      </w:r>
      <w:r w:rsidR="00EA5C20" w:rsidRPr="0021185F">
        <w:t>ë</w:t>
      </w:r>
      <w:r w:rsidRPr="0021185F">
        <w:t xml:space="preserve"> p</w:t>
      </w:r>
      <w:r w:rsidR="00EA5C20" w:rsidRPr="0021185F">
        <w:t>ë</w:t>
      </w:r>
      <w:r w:rsidRPr="0021185F">
        <w:t>rdorura</w:t>
      </w:r>
      <w:bookmarkEnd w:id="65"/>
      <w:r w:rsidRPr="0021185F">
        <w:t xml:space="preserve"> </w:t>
      </w:r>
    </w:p>
    <w:p w14:paraId="182BD37A" w14:textId="77777777" w:rsidR="00A63B69" w:rsidRPr="00191DEE" w:rsidRDefault="00A63B69" w:rsidP="00453A92">
      <w:pPr>
        <w:pStyle w:val="NoSpacing"/>
        <w:spacing w:line="276" w:lineRule="auto"/>
        <w:jc w:val="both"/>
        <w:rPr>
          <w:rFonts w:ascii="Times New Roman" w:hAnsi="Times New Roman" w:cs="Times New Roman"/>
          <w:sz w:val="14"/>
          <w:szCs w:val="24"/>
          <w:lang w:val="sq-AL"/>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790"/>
        <w:gridCol w:w="2700"/>
        <w:gridCol w:w="2520"/>
      </w:tblGrid>
      <w:tr w:rsidR="00A63B69" w:rsidRPr="000967C3" w14:paraId="51F97830" w14:textId="77777777" w:rsidTr="000967C3">
        <w:trPr>
          <w:trHeight w:val="365"/>
        </w:trPr>
        <w:tc>
          <w:tcPr>
            <w:tcW w:w="2070" w:type="dxa"/>
            <w:shd w:val="clear" w:color="auto" w:fill="DDD9C3" w:themeFill="background2" w:themeFillShade="E6"/>
            <w:noWrap/>
            <w:vAlign w:val="center"/>
            <w:hideMark/>
          </w:tcPr>
          <w:p w14:paraId="645CA604" w14:textId="77777777" w:rsidR="00A63B69" w:rsidRPr="000967C3" w:rsidRDefault="00191DEE" w:rsidP="00191DEE">
            <w:pPr>
              <w:spacing w:after="0" w:line="240" w:lineRule="auto"/>
              <w:jc w:val="center"/>
              <w:rPr>
                <w:rFonts w:ascii="Times New Roman" w:eastAsia="Times New Roman" w:hAnsi="Times New Roman" w:cs="Times New Roman"/>
                <w:b/>
                <w:sz w:val="20"/>
                <w:szCs w:val="20"/>
                <w:lang w:val="en-US"/>
              </w:rPr>
            </w:pPr>
            <w:r w:rsidRPr="000967C3">
              <w:rPr>
                <w:rFonts w:ascii="Times New Roman" w:eastAsia="Times New Roman" w:hAnsi="Times New Roman" w:cs="Times New Roman"/>
                <w:b/>
                <w:sz w:val="20"/>
                <w:szCs w:val="20"/>
                <w:lang w:val="en-US"/>
              </w:rPr>
              <w:t>Viti</w:t>
            </w:r>
          </w:p>
        </w:tc>
        <w:tc>
          <w:tcPr>
            <w:tcW w:w="2790" w:type="dxa"/>
            <w:shd w:val="clear" w:color="auto" w:fill="DDD9C3" w:themeFill="background2" w:themeFillShade="E6"/>
            <w:vAlign w:val="center"/>
            <w:hideMark/>
          </w:tcPr>
          <w:p w14:paraId="5159D838" w14:textId="77777777" w:rsidR="00A63B69" w:rsidRPr="000967C3" w:rsidRDefault="00A63B69" w:rsidP="00A63B69">
            <w:pPr>
              <w:spacing w:after="0" w:line="240" w:lineRule="auto"/>
              <w:jc w:val="center"/>
              <w:rPr>
                <w:rFonts w:ascii="Times New Roman" w:eastAsia="Times New Roman" w:hAnsi="Times New Roman" w:cs="Times New Roman"/>
                <w:b/>
                <w:sz w:val="20"/>
                <w:szCs w:val="20"/>
                <w:lang w:val="en-US"/>
              </w:rPr>
            </w:pPr>
            <w:r w:rsidRPr="000967C3">
              <w:rPr>
                <w:rFonts w:ascii="Times New Roman" w:eastAsia="Times New Roman" w:hAnsi="Times New Roman" w:cs="Times New Roman"/>
                <w:b/>
                <w:sz w:val="20"/>
                <w:szCs w:val="20"/>
                <w:lang w:val="en-US"/>
              </w:rPr>
              <w:t xml:space="preserve"> Nd</w:t>
            </w:r>
            <w:r w:rsidR="00191DEE" w:rsidRPr="000967C3">
              <w:rPr>
                <w:rFonts w:ascii="Times New Roman" w:eastAsia="Times New Roman" w:hAnsi="Times New Roman" w:cs="Times New Roman"/>
                <w:b/>
                <w:sz w:val="20"/>
                <w:szCs w:val="20"/>
                <w:lang w:val="en-US"/>
              </w:rPr>
              <w:t>ërhyrje me kompleksitet të lartë</w:t>
            </w:r>
            <w:r w:rsidRPr="000967C3">
              <w:rPr>
                <w:rFonts w:ascii="Times New Roman" w:eastAsia="Times New Roman" w:hAnsi="Times New Roman" w:cs="Times New Roman"/>
                <w:b/>
                <w:sz w:val="20"/>
                <w:szCs w:val="20"/>
                <w:lang w:val="en-US"/>
              </w:rPr>
              <w:t xml:space="preserve"> </w:t>
            </w:r>
          </w:p>
        </w:tc>
        <w:tc>
          <w:tcPr>
            <w:tcW w:w="2700" w:type="dxa"/>
            <w:shd w:val="clear" w:color="auto" w:fill="DDD9C3" w:themeFill="background2" w:themeFillShade="E6"/>
            <w:vAlign w:val="center"/>
            <w:hideMark/>
          </w:tcPr>
          <w:p w14:paraId="7EC8C457" w14:textId="77777777" w:rsidR="00A63B69" w:rsidRPr="000967C3" w:rsidRDefault="00A63B69" w:rsidP="00A63B69">
            <w:pPr>
              <w:spacing w:after="0" w:line="240" w:lineRule="auto"/>
              <w:jc w:val="center"/>
              <w:rPr>
                <w:rFonts w:ascii="Times New Roman" w:eastAsia="Times New Roman" w:hAnsi="Times New Roman" w:cs="Times New Roman"/>
                <w:b/>
                <w:sz w:val="20"/>
                <w:szCs w:val="20"/>
                <w:lang w:val="en-US"/>
              </w:rPr>
            </w:pPr>
            <w:r w:rsidRPr="000967C3">
              <w:rPr>
                <w:rFonts w:ascii="Times New Roman" w:eastAsia="Times New Roman" w:hAnsi="Times New Roman" w:cs="Times New Roman"/>
                <w:b/>
                <w:sz w:val="20"/>
                <w:szCs w:val="20"/>
                <w:lang w:val="en-US"/>
              </w:rPr>
              <w:t xml:space="preserve"> Nd</w:t>
            </w:r>
            <w:r w:rsidR="00191DEE" w:rsidRPr="000967C3">
              <w:rPr>
                <w:rFonts w:ascii="Times New Roman" w:eastAsia="Times New Roman" w:hAnsi="Times New Roman" w:cs="Times New Roman"/>
                <w:b/>
                <w:sz w:val="20"/>
                <w:szCs w:val="20"/>
                <w:lang w:val="en-US"/>
              </w:rPr>
              <w:t>ë</w:t>
            </w:r>
            <w:r w:rsidRPr="000967C3">
              <w:rPr>
                <w:rFonts w:ascii="Times New Roman" w:eastAsia="Times New Roman" w:hAnsi="Times New Roman" w:cs="Times New Roman"/>
                <w:b/>
                <w:sz w:val="20"/>
                <w:szCs w:val="20"/>
                <w:lang w:val="en-US"/>
              </w:rPr>
              <w:t>rhyrje me kompleksitet t</w:t>
            </w:r>
            <w:r w:rsidR="00191DEE" w:rsidRPr="000967C3">
              <w:rPr>
                <w:rFonts w:ascii="Times New Roman" w:eastAsia="Times New Roman" w:hAnsi="Times New Roman" w:cs="Times New Roman"/>
                <w:b/>
                <w:sz w:val="20"/>
                <w:szCs w:val="20"/>
                <w:lang w:val="en-US"/>
              </w:rPr>
              <w:t>ë</w:t>
            </w:r>
            <w:r w:rsidRPr="000967C3">
              <w:rPr>
                <w:rFonts w:ascii="Times New Roman" w:eastAsia="Times New Roman" w:hAnsi="Times New Roman" w:cs="Times New Roman"/>
                <w:b/>
                <w:sz w:val="20"/>
                <w:szCs w:val="20"/>
                <w:lang w:val="en-US"/>
              </w:rPr>
              <w:t xml:space="preserve"> mes</w:t>
            </w:r>
            <w:r w:rsidR="00191DEE" w:rsidRPr="000967C3">
              <w:rPr>
                <w:rFonts w:ascii="Times New Roman" w:eastAsia="Times New Roman" w:hAnsi="Times New Roman" w:cs="Times New Roman"/>
                <w:b/>
                <w:sz w:val="20"/>
                <w:szCs w:val="20"/>
                <w:lang w:val="en-US"/>
              </w:rPr>
              <w:t>ë</w:t>
            </w:r>
            <w:r w:rsidRPr="000967C3">
              <w:rPr>
                <w:rFonts w:ascii="Times New Roman" w:eastAsia="Times New Roman" w:hAnsi="Times New Roman" w:cs="Times New Roman"/>
                <w:b/>
                <w:sz w:val="20"/>
                <w:szCs w:val="20"/>
                <w:lang w:val="en-US"/>
              </w:rPr>
              <w:t xml:space="preserve">m </w:t>
            </w:r>
          </w:p>
        </w:tc>
        <w:tc>
          <w:tcPr>
            <w:tcW w:w="2520" w:type="dxa"/>
            <w:shd w:val="clear" w:color="auto" w:fill="DDD9C3" w:themeFill="background2" w:themeFillShade="E6"/>
            <w:vAlign w:val="center"/>
            <w:hideMark/>
          </w:tcPr>
          <w:p w14:paraId="7721424D" w14:textId="77777777" w:rsidR="00A63B69" w:rsidRPr="000967C3" w:rsidRDefault="00A63B69" w:rsidP="00A63B69">
            <w:pPr>
              <w:spacing w:after="0" w:line="240" w:lineRule="auto"/>
              <w:jc w:val="center"/>
              <w:rPr>
                <w:rFonts w:ascii="Times New Roman" w:eastAsia="Times New Roman" w:hAnsi="Times New Roman" w:cs="Times New Roman"/>
                <w:b/>
                <w:sz w:val="20"/>
                <w:szCs w:val="20"/>
                <w:lang w:val="en-US"/>
              </w:rPr>
            </w:pPr>
            <w:r w:rsidRPr="000967C3">
              <w:rPr>
                <w:rFonts w:ascii="Times New Roman" w:eastAsia="Times New Roman" w:hAnsi="Times New Roman" w:cs="Times New Roman"/>
                <w:b/>
                <w:sz w:val="20"/>
                <w:szCs w:val="20"/>
                <w:lang w:val="en-US"/>
              </w:rPr>
              <w:t xml:space="preserve"> Nd</w:t>
            </w:r>
            <w:r w:rsidR="00191DEE" w:rsidRPr="000967C3">
              <w:rPr>
                <w:rFonts w:ascii="Times New Roman" w:eastAsia="Times New Roman" w:hAnsi="Times New Roman" w:cs="Times New Roman"/>
                <w:b/>
                <w:sz w:val="20"/>
                <w:szCs w:val="20"/>
                <w:lang w:val="en-US"/>
              </w:rPr>
              <w:t>ë</w:t>
            </w:r>
            <w:r w:rsidRPr="000967C3">
              <w:rPr>
                <w:rFonts w:ascii="Times New Roman" w:eastAsia="Times New Roman" w:hAnsi="Times New Roman" w:cs="Times New Roman"/>
                <w:b/>
                <w:sz w:val="20"/>
                <w:szCs w:val="20"/>
                <w:lang w:val="en-US"/>
              </w:rPr>
              <w:t>rhyrje me kompleksitet t</w:t>
            </w:r>
            <w:r w:rsidR="00191DEE" w:rsidRPr="000967C3">
              <w:rPr>
                <w:rFonts w:ascii="Times New Roman" w:eastAsia="Times New Roman" w:hAnsi="Times New Roman" w:cs="Times New Roman"/>
                <w:b/>
                <w:sz w:val="20"/>
                <w:szCs w:val="20"/>
                <w:lang w:val="en-US"/>
              </w:rPr>
              <w:t>ë</w:t>
            </w:r>
            <w:r w:rsidRPr="000967C3">
              <w:rPr>
                <w:rFonts w:ascii="Times New Roman" w:eastAsia="Times New Roman" w:hAnsi="Times New Roman" w:cs="Times New Roman"/>
                <w:b/>
                <w:sz w:val="20"/>
                <w:szCs w:val="20"/>
                <w:lang w:val="en-US"/>
              </w:rPr>
              <w:t xml:space="preserve"> ul</w:t>
            </w:r>
            <w:r w:rsidR="00191DEE" w:rsidRPr="000967C3">
              <w:rPr>
                <w:rFonts w:ascii="Times New Roman" w:eastAsia="Times New Roman" w:hAnsi="Times New Roman" w:cs="Times New Roman"/>
                <w:b/>
                <w:sz w:val="20"/>
                <w:szCs w:val="20"/>
                <w:lang w:val="en-US"/>
              </w:rPr>
              <w:t>ë</w:t>
            </w:r>
            <w:r w:rsidRPr="000967C3">
              <w:rPr>
                <w:rFonts w:ascii="Times New Roman" w:eastAsia="Times New Roman" w:hAnsi="Times New Roman" w:cs="Times New Roman"/>
                <w:b/>
                <w:sz w:val="20"/>
                <w:szCs w:val="20"/>
                <w:lang w:val="en-US"/>
              </w:rPr>
              <w:t xml:space="preserve">t </w:t>
            </w:r>
          </w:p>
        </w:tc>
      </w:tr>
      <w:tr w:rsidR="00A63B69" w:rsidRPr="000967C3" w14:paraId="08BC44E1" w14:textId="77777777" w:rsidTr="0052510B">
        <w:trPr>
          <w:trHeight w:val="332"/>
        </w:trPr>
        <w:tc>
          <w:tcPr>
            <w:tcW w:w="2070" w:type="dxa"/>
            <w:shd w:val="clear" w:color="auto" w:fill="EEECE1" w:themeFill="background2"/>
            <w:vAlign w:val="bottom"/>
            <w:hideMark/>
          </w:tcPr>
          <w:p w14:paraId="6A8498C9" w14:textId="77777777" w:rsidR="00A63B69" w:rsidRPr="000967C3" w:rsidRDefault="001817A0" w:rsidP="0052510B">
            <w:pPr>
              <w:spacing w:after="0" w:line="240" w:lineRule="auto"/>
              <w:rPr>
                <w:rFonts w:ascii="Times New Roman" w:eastAsia="Times New Roman" w:hAnsi="Times New Roman" w:cs="Times New Roman"/>
                <w:b/>
                <w:i/>
                <w:sz w:val="20"/>
                <w:szCs w:val="20"/>
                <w:lang w:val="en-US"/>
              </w:rPr>
            </w:pPr>
            <w:r>
              <w:rPr>
                <w:rFonts w:ascii="Times New Roman" w:eastAsia="Times New Roman" w:hAnsi="Times New Roman" w:cs="Times New Roman"/>
                <w:b/>
                <w:i/>
                <w:sz w:val="20"/>
                <w:szCs w:val="20"/>
                <w:lang w:val="en-US"/>
              </w:rPr>
              <w:t>2019</w:t>
            </w:r>
          </w:p>
        </w:tc>
        <w:tc>
          <w:tcPr>
            <w:tcW w:w="2790" w:type="dxa"/>
            <w:shd w:val="clear" w:color="auto" w:fill="EEECE1" w:themeFill="background2"/>
            <w:noWrap/>
            <w:vAlign w:val="bottom"/>
            <w:hideMark/>
          </w:tcPr>
          <w:p w14:paraId="7BE63E91" w14:textId="77777777" w:rsidR="00A63B69" w:rsidRPr="000967C3" w:rsidRDefault="001817A0" w:rsidP="00191DEE">
            <w:pPr>
              <w:spacing w:after="0" w:line="240" w:lineRule="auto"/>
              <w:jc w:val="center"/>
              <w:rPr>
                <w:rFonts w:ascii="Times New Roman" w:eastAsia="Times New Roman" w:hAnsi="Times New Roman" w:cs="Times New Roman"/>
                <w:b/>
                <w:i/>
                <w:sz w:val="20"/>
                <w:szCs w:val="20"/>
                <w:lang w:val="en-US"/>
              </w:rPr>
            </w:pPr>
            <w:r>
              <w:rPr>
                <w:rFonts w:ascii="Times New Roman" w:eastAsia="Times New Roman" w:hAnsi="Times New Roman" w:cs="Times New Roman"/>
                <w:b/>
                <w:i/>
                <w:sz w:val="20"/>
                <w:szCs w:val="20"/>
                <w:lang w:val="en-US"/>
              </w:rPr>
              <w:t>20.2</w:t>
            </w:r>
            <w:r w:rsidR="00A63B69" w:rsidRPr="000967C3">
              <w:rPr>
                <w:rFonts w:ascii="Times New Roman" w:eastAsia="Times New Roman" w:hAnsi="Times New Roman" w:cs="Times New Roman"/>
                <w:b/>
                <w:i/>
                <w:sz w:val="20"/>
                <w:szCs w:val="20"/>
                <w:lang w:val="en-US"/>
              </w:rPr>
              <w:t>%</w:t>
            </w:r>
          </w:p>
        </w:tc>
        <w:tc>
          <w:tcPr>
            <w:tcW w:w="2700" w:type="dxa"/>
            <w:shd w:val="clear" w:color="auto" w:fill="EEECE1" w:themeFill="background2"/>
            <w:noWrap/>
            <w:vAlign w:val="bottom"/>
            <w:hideMark/>
          </w:tcPr>
          <w:p w14:paraId="4AFB41ED" w14:textId="77777777" w:rsidR="00A63B69" w:rsidRPr="000967C3" w:rsidRDefault="001817A0" w:rsidP="00191DEE">
            <w:pPr>
              <w:spacing w:after="0" w:line="240" w:lineRule="auto"/>
              <w:jc w:val="center"/>
              <w:rPr>
                <w:rFonts w:ascii="Times New Roman" w:eastAsia="Times New Roman" w:hAnsi="Times New Roman" w:cs="Times New Roman"/>
                <w:b/>
                <w:i/>
                <w:sz w:val="20"/>
                <w:szCs w:val="20"/>
                <w:lang w:val="en-US"/>
              </w:rPr>
            </w:pPr>
            <w:r>
              <w:rPr>
                <w:rFonts w:ascii="Times New Roman" w:eastAsia="Times New Roman" w:hAnsi="Times New Roman" w:cs="Times New Roman"/>
                <w:b/>
                <w:i/>
                <w:sz w:val="20"/>
                <w:szCs w:val="20"/>
                <w:lang w:val="en-US"/>
              </w:rPr>
              <w:t>39</w:t>
            </w:r>
            <w:r w:rsidR="00A63B69" w:rsidRPr="000967C3">
              <w:rPr>
                <w:rFonts w:ascii="Times New Roman" w:eastAsia="Times New Roman" w:hAnsi="Times New Roman" w:cs="Times New Roman"/>
                <w:b/>
                <w:i/>
                <w:sz w:val="20"/>
                <w:szCs w:val="20"/>
                <w:lang w:val="en-US"/>
              </w:rPr>
              <w:t>%</w:t>
            </w:r>
          </w:p>
        </w:tc>
        <w:tc>
          <w:tcPr>
            <w:tcW w:w="2520" w:type="dxa"/>
            <w:shd w:val="clear" w:color="auto" w:fill="EEECE1" w:themeFill="background2"/>
            <w:noWrap/>
            <w:vAlign w:val="bottom"/>
            <w:hideMark/>
          </w:tcPr>
          <w:p w14:paraId="241D07AD" w14:textId="77777777" w:rsidR="00A63B69" w:rsidRPr="000967C3" w:rsidRDefault="001817A0" w:rsidP="00191DEE">
            <w:pPr>
              <w:spacing w:after="0" w:line="240" w:lineRule="auto"/>
              <w:jc w:val="center"/>
              <w:rPr>
                <w:rFonts w:ascii="Times New Roman" w:eastAsia="Times New Roman" w:hAnsi="Times New Roman" w:cs="Times New Roman"/>
                <w:b/>
                <w:i/>
                <w:sz w:val="20"/>
                <w:szCs w:val="20"/>
                <w:lang w:val="en-US"/>
              </w:rPr>
            </w:pPr>
            <w:r>
              <w:rPr>
                <w:rFonts w:ascii="Times New Roman" w:eastAsia="Times New Roman" w:hAnsi="Times New Roman" w:cs="Times New Roman"/>
                <w:b/>
                <w:i/>
                <w:sz w:val="20"/>
                <w:szCs w:val="20"/>
                <w:lang w:val="en-US"/>
              </w:rPr>
              <w:t>40.8</w:t>
            </w:r>
            <w:r w:rsidR="00A63B69" w:rsidRPr="000967C3">
              <w:rPr>
                <w:rFonts w:ascii="Times New Roman" w:eastAsia="Times New Roman" w:hAnsi="Times New Roman" w:cs="Times New Roman"/>
                <w:b/>
                <w:i/>
                <w:sz w:val="20"/>
                <w:szCs w:val="20"/>
                <w:lang w:val="en-US"/>
              </w:rPr>
              <w:t>%</w:t>
            </w:r>
          </w:p>
        </w:tc>
      </w:tr>
    </w:tbl>
    <w:p w14:paraId="39AB14BA" w14:textId="77777777" w:rsidR="00A63B69" w:rsidRPr="00191DEE" w:rsidRDefault="00A63B69" w:rsidP="00453A92">
      <w:pPr>
        <w:pStyle w:val="NoSpacing"/>
        <w:spacing w:line="276" w:lineRule="auto"/>
        <w:jc w:val="both"/>
        <w:rPr>
          <w:rFonts w:ascii="Times New Roman" w:hAnsi="Times New Roman" w:cs="Times New Roman"/>
          <w:sz w:val="14"/>
          <w:szCs w:val="24"/>
          <w:lang w:val="sq-AL"/>
        </w:rPr>
      </w:pPr>
    </w:p>
    <w:p w14:paraId="7346E4C1" w14:textId="77777777" w:rsidR="004D4D01" w:rsidRPr="004D4D01" w:rsidRDefault="004D4D01" w:rsidP="00453A92">
      <w:pPr>
        <w:pStyle w:val="NoSpacing"/>
        <w:spacing w:line="276" w:lineRule="auto"/>
        <w:jc w:val="both"/>
        <w:rPr>
          <w:rFonts w:ascii="Times New Roman" w:hAnsi="Times New Roman" w:cs="Times New Roman"/>
          <w:sz w:val="8"/>
          <w:szCs w:val="24"/>
          <w:lang w:val="sq-AL"/>
        </w:rPr>
      </w:pPr>
    </w:p>
    <w:p w14:paraId="01C2C15E" w14:textId="77777777" w:rsidR="000967C3" w:rsidRDefault="00077CA0" w:rsidP="00453A92">
      <w:pPr>
        <w:pStyle w:val="NoSpacing"/>
        <w:spacing w:line="276" w:lineRule="auto"/>
        <w:jc w:val="both"/>
        <w:rPr>
          <w:rFonts w:ascii="Times New Roman" w:hAnsi="Times New Roman" w:cs="Times New Roman"/>
          <w:sz w:val="24"/>
          <w:szCs w:val="24"/>
        </w:rPr>
      </w:pPr>
      <w:r w:rsidRPr="009B6417">
        <w:rPr>
          <w:rFonts w:ascii="Times New Roman" w:hAnsi="Times New Roman" w:cs="Times New Roman"/>
          <w:sz w:val="24"/>
          <w:szCs w:val="24"/>
        </w:rPr>
        <w:t xml:space="preserve">Pagesat e vitit 2019 janë rreth </w:t>
      </w:r>
      <w:r w:rsidR="00BD4472">
        <w:rPr>
          <w:rFonts w:ascii="Times New Roman" w:hAnsi="Times New Roman" w:cs="Times New Roman"/>
          <w:sz w:val="24"/>
          <w:szCs w:val="24"/>
        </w:rPr>
        <w:t>2.16</w:t>
      </w:r>
      <w:r w:rsidR="00494CA9" w:rsidRPr="009B6417">
        <w:rPr>
          <w:rFonts w:ascii="Times New Roman" w:hAnsi="Times New Roman" w:cs="Times New Roman"/>
          <w:sz w:val="24"/>
          <w:szCs w:val="24"/>
        </w:rPr>
        <w:t xml:space="preserve"> miliard</w:t>
      </w:r>
      <w:r w:rsidR="00C743C1" w:rsidRPr="009B6417">
        <w:rPr>
          <w:rFonts w:ascii="Times New Roman" w:hAnsi="Times New Roman" w:cs="Times New Roman"/>
          <w:sz w:val="24"/>
          <w:szCs w:val="24"/>
        </w:rPr>
        <w:t>ë</w:t>
      </w:r>
      <w:r w:rsidR="00494CA9" w:rsidRPr="009B6417">
        <w:rPr>
          <w:rFonts w:ascii="Times New Roman" w:hAnsi="Times New Roman" w:cs="Times New Roman"/>
          <w:sz w:val="24"/>
          <w:szCs w:val="24"/>
        </w:rPr>
        <w:t xml:space="preserve"> lekë ose rreth </w:t>
      </w:r>
      <w:r w:rsidR="00BD4472">
        <w:rPr>
          <w:rFonts w:ascii="Times New Roman" w:hAnsi="Times New Roman" w:cs="Times New Roman"/>
          <w:sz w:val="24"/>
          <w:szCs w:val="24"/>
        </w:rPr>
        <w:t>99.</w:t>
      </w:r>
      <w:r w:rsidRPr="009B6417">
        <w:rPr>
          <w:rFonts w:ascii="Times New Roman" w:hAnsi="Times New Roman" w:cs="Times New Roman"/>
          <w:sz w:val="24"/>
          <w:szCs w:val="24"/>
        </w:rPr>
        <w:t>7</w:t>
      </w:r>
      <w:r w:rsidR="001F5BD9">
        <w:rPr>
          <w:rFonts w:ascii="Times New Roman" w:hAnsi="Times New Roman" w:cs="Times New Roman"/>
          <w:sz w:val="24"/>
          <w:szCs w:val="24"/>
        </w:rPr>
        <w:t xml:space="preserve"> përqind e planit</w:t>
      </w:r>
      <w:r w:rsidR="00494CA9" w:rsidRPr="009B6417">
        <w:rPr>
          <w:rFonts w:ascii="Times New Roman" w:hAnsi="Times New Roman" w:cs="Times New Roman"/>
          <w:sz w:val="24"/>
          <w:szCs w:val="24"/>
        </w:rPr>
        <w:t xml:space="preserve"> të</w:t>
      </w:r>
      <w:r w:rsidR="001F5BD9">
        <w:rPr>
          <w:rFonts w:ascii="Times New Roman" w:hAnsi="Times New Roman" w:cs="Times New Roman"/>
          <w:sz w:val="24"/>
          <w:szCs w:val="24"/>
        </w:rPr>
        <w:t xml:space="preserve"> rishikuar vjetor të</w:t>
      </w:r>
      <w:r w:rsidR="00494CA9" w:rsidRPr="009B6417">
        <w:rPr>
          <w:rFonts w:ascii="Times New Roman" w:hAnsi="Times New Roman" w:cs="Times New Roman"/>
          <w:sz w:val="24"/>
          <w:szCs w:val="24"/>
        </w:rPr>
        <w:t xml:space="preserve"> pagesave të parashikuara për vitin 2019. </w:t>
      </w:r>
      <w:r w:rsidR="001817A0">
        <w:rPr>
          <w:rFonts w:ascii="Times New Roman" w:hAnsi="Times New Roman" w:cs="Times New Roman"/>
          <w:sz w:val="24"/>
          <w:szCs w:val="24"/>
        </w:rPr>
        <w:t>Kjo vler</w:t>
      </w:r>
      <w:r w:rsidR="0021185F">
        <w:rPr>
          <w:rFonts w:ascii="Times New Roman" w:hAnsi="Times New Roman" w:cs="Times New Roman"/>
          <w:sz w:val="24"/>
          <w:szCs w:val="24"/>
        </w:rPr>
        <w:t>ë</w:t>
      </w:r>
      <w:r w:rsidR="001817A0">
        <w:rPr>
          <w:rFonts w:ascii="Times New Roman" w:hAnsi="Times New Roman" w:cs="Times New Roman"/>
          <w:sz w:val="24"/>
          <w:szCs w:val="24"/>
        </w:rPr>
        <w:t xml:space="preserve"> p</w:t>
      </w:r>
      <w:r w:rsidR="0021185F">
        <w:rPr>
          <w:rFonts w:ascii="Times New Roman" w:hAnsi="Times New Roman" w:cs="Times New Roman"/>
          <w:sz w:val="24"/>
          <w:szCs w:val="24"/>
        </w:rPr>
        <w:t>ë</w:t>
      </w:r>
      <w:r w:rsidR="001817A0">
        <w:rPr>
          <w:rFonts w:ascii="Times New Roman" w:hAnsi="Times New Roman" w:cs="Times New Roman"/>
          <w:sz w:val="24"/>
          <w:szCs w:val="24"/>
        </w:rPr>
        <w:t>rfshin edhe pagesat e detyrimeve p</w:t>
      </w:r>
      <w:r w:rsidR="0021185F">
        <w:rPr>
          <w:rFonts w:ascii="Times New Roman" w:hAnsi="Times New Roman" w:cs="Times New Roman"/>
          <w:sz w:val="24"/>
          <w:szCs w:val="24"/>
        </w:rPr>
        <w:t>ë</w:t>
      </w:r>
      <w:r w:rsidR="001817A0">
        <w:rPr>
          <w:rFonts w:ascii="Times New Roman" w:hAnsi="Times New Roman" w:cs="Times New Roman"/>
          <w:sz w:val="24"/>
          <w:szCs w:val="24"/>
        </w:rPr>
        <w:t>r vitin 2018 (609 milion</w:t>
      </w:r>
      <w:r w:rsidR="0021185F">
        <w:rPr>
          <w:rFonts w:ascii="Times New Roman" w:hAnsi="Times New Roman" w:cs="Times New Roman"/>
          <w:sz w:val="24"/>
          <w:szCs w:val="24"/>
        </w:rPr>
        <w:t>ë</w:t>
      </w:r>
      <w:r w:rsidR="001817A0">
        <w:rPr>
          <w:rFonts w:ascii="Times New Roman" w:hAnsi="Times New Roman" w:cs="Times New Roman"/>
          <w:sz w:val="24"/>
          <w:szCs w:val="24"/>
        </w:rPr>
        <w:t xml:space="preserve"> lek</w:t>
      </w:r>
      <w:r w:rsidR="0021185F">
        <w:rPr>
          <w:rFonts w:ascii="Times New Roman" w:hAnsi="Times New Roman" w:cs="Times New Roman"/>
          <w:sz w:val="24"/>
          <w:szCs w:val="24"/>
        </w:rPr>
        <w:t>ë</w:t>
      </w:r>
      <w:r w:rsidR="001817A0">
        <w:rPr>
          <w:rFonts w:ascii="Times New Roman" w:hAnsi="Times New Roman" w:cs="Times New Roman"/>
          <w:sz w:val="24"/>
          <w:szCs w:val="24"/>
        </w:rPr>
        <w:t>), nd</w:t>
      </w:r>
      <w:r w:rsidR="0021185F">
        <w:rPr>
          <w:rFonts w:ascii="Times New Roman" w:hAnsi="Times New Roman" w:cs="Times New Roman"/>
          <w:sz w:val="24"/>
          <w:szCs w:val="24"/>
        </w:rPr>
        <w:t>ë</w:t>
      </w:r>
      <w:r w:rsidR="001817A0">
        <w:rPr>
          <w:rFonts w:ascii="Times New Roman" w:hAnsi="Times New Roman" w:cs="Times New Roman"/>
          <w:sz w:val="24"/>
          <w:szCs w:val="24"/>
        </w:rPr>
        <w:t>rkoh</w:t>
      </w:r>
      <w:r w:rsidR="0021185F">
        <w:rPr>
          <w:rFonts w:ascii="Times New Roman" w:hAnsi="Times New Roman" w:cs="Times New Roman"/>
          <w:sz w:val="24"/>
          <w:szCs w:val="24"/>
        </w:rPr>
        <w:t>ë</w:t>
      </w:r>
      <w:r w:rsidR="001817A0">
        <w:rPr>
          <w:rFonts w:ascii="Times New Roman" w:hAnsi="Times New Roman" w:cs="Times New Roman"/>
          <w:sz w:val="24"/>
          <w:szCs w:val="24"/>
        </w:rPr>
        <w:t xml:space="preserve"> q</w:t>
      </w:r>
      <w:r w:rsidR="0021185F">
        <w:rPr>
          <w:rFonts w:ascii="Times New Roman" w:hAnsi="Times New Roman" w:cs="Times New Roman"/>
          <w:sz w:val="24"/>
          <w:szCs w:val="24"/>
        </w:rPr>
        <w:t>ë</w:t>
      </w:r>
      <w:r w:rsidR="001817A0">
        <w:rPr>
          <w:rFonts w:ascii="Times New Roman" w:hAnsi="Times New Roman" w:cs="Times New Roman"/>
          <w:sz w:val="24"/>
          <w:szCs w:val="24"/>
        </w:rPr>
        <w:t xml:space="preserve"> vlera e realizuar e sh</w:t>
      </w:r>
      <w:r w:rsidR="0021185F">
        <w:rPr>
          <w:rFonts w:ascii="Times New Roman" w:hAnsi="Times New Roman" w:cs="Times New Roman"/>
          <w:sz w:val="24"/>
          <w:szCs w:val="24"/>
        </w:rPr>
        <w:t>ë</w:t>
      </w:r>
      <w:r w:rsidR="001817A0">
        <w:rPr>
          <w:rFonts w:ascii="Times New Roman" w:hAnsi="Times New Roman" w:cs="Times New Roman"/>
          <w:sz w:val="24"/>
          <w:szCs w:val="24"/>
        </w:rPr>
        <w:t>rbimit p</w:t>
      </w:r>
      <w:r w:rsidR="0021185F">
        <w:rPr>
          <w:rFonts w:ascii="Times New Roman" w:hAnsi="Times New Roman" w:cs="Times New Roman"/>
          <w:sz w:val="24"/>
          <w:szCs w:val="24"/>
        </w:rPr>
        <w:t>ë</w:t>
      </w:r>
      <w:r w:rsidR="001817A0">
        <w:rPr>
          <w:rFonts w:ascii="Times New Roman" w:hAnsi="Times New Roman" w:cs="Times New Roman"/>
          <w:sz w:val="24"/>
          <w:szCs w:val="24"/>
        </w:rPr>
        <w:t>r vitin 2019 rezulton 1.69 miliard</w:t>
      </w:r>
      <w:r w:rsidR="0021185F">
        <w:rPr>
          <w:rFonts w:ascii="Times New Roman" w:hAnsi="Times New Roman" w:cs="Times New Roman"/>
          <w:sz w:val="24"/>
          <w:szCs w:val="24"/>
        </w:rPr>
        <w:t>ë</w:t>
      </w:r>
      <w:r w:rsidR="001817A0">
        <w:rPr>
          <w:rFonts w:ascii="Times New Roman" w:hAnsi="Times New Roman" w:cs="Times New Roman"/>
          <w:sz w:val="24"/>
          <w:szCs w:val="24"/>
        </w:rPr>
        <w:t xml:space="preserve"> lek</w:t>
      </w:r>
      <w:r w:rsidR="0021185F">
        <w:rPr>
          <w:rFonts w:ascii="Times New Roman" w:hAnsi="Times New Roman" w:cs="Times New Roman"/>
          <w:sz w:val="24"/>
          <w:szCs w:val="24"/>
        </w:rPr>
        <w:t>ë</w:t>
      </w:r>
      <w:r w:rsidR="001817A0">
        <w:rPr>
          <w:rFonts w:ascii="Times New Roman" w:hAnsi="Times New Roman" w:cs="Times New Roman"/>
          <w:sz w:val="24"/>
          <w:szCs w:val="24"/>
        </w:rPr>
        <w:t>.</w:t>
      </w:r>
      <w:r w:rsidR="001F5BD9">
        <w:rPr>
          <w:rFonts w:ascii="Times New Roman" w:hAnsi="Times New Roman" w:cs="Times New Roman"/>
          <w:sz w:val="24"/>
          <w:szCs w:val="24"/>
        </w:rPr>
        <w:t xml:space="preserve">). </w:t>
      </w:r>
    </w:p>
    <w:p w14:paraId="2780F35D" w14:textId="77777777" w:rsidR="0021185F" w:rsidRDefault="0021185F" w:rsidP="00453A92">
      <w:pPr>
        <w:pStyle w:val="NoSpacing"/>
        <w:spacing w:line="276" w:lineRule="auto"/>
        <w:jc w:val="both"/>
        <w:rPr>
          <w:rFonts w:ascii="Times New Roman" w:hAnsi="Times New Roman" w:cs="Times New Roman"/>
          <w:sz w:val="24"/>
          <w:szCs w:val="24"/>
        </w:rPr>
      </w:pPr>
    </w:p>
    <w:p w14:paraId="190503D1" w14:textId="77777777" w:rsidR="0021185F" w:rsidRDefault="0021185F" w:rsidP="00453A92">
      <w:pPr>
        <w:pStyle w:val="NoSpacing"/>
        <w:spacing w:line="276" w:lineRule="auto"/>
        <w:jc w:val="both"/>
        <w:rPr>
          <w:rFonts w:ascii="Times New Roman" w:hAnsi="Times New Roman" w:cs="Times New Roman"/>
          <w:sz w:val="24"/>
          <w:szCs w:val="24"/>
        </w:rPr>
      </w:pPr>
    </w:p>
    <w:p w14:paraId="707028E9" w14:textId="77777777" w:rsidR="001F5BD9" w:rsidRPr="001F5BD9" w:rsidRDefault="001F5BD9" w:rsidP="00453A92">
      <w:pPr>
        <w:pStyle w:val="NoSpacing"/>
        <w:spacing w:line="276" w:lineRule="auto"/>
        <w:jc w:val="both"/>
        <w:rPr>
          <w:rFonts w:ascii="Times New Roman" w:hAnsi="Times New Roman" w:cs="Times New Roman"/>
          <w:sz w:val="12"/>
          <w:szCs w:val="24"/>
          <w:lang w:val="sq-AL"/>
        </w:rPr>
      </w:pPr>
    </w:p>
    <w:p w14:paraId="19DE777F" w14:textId="77777777" w:rsidR="002064BE" w:rsidRPr="009B6417" w:rsidRDefault="0052775C" w:rsidP="006B6D4D">
      <w:pPr>
        <w:pStyle w:val="Caption"/>
      </w:pPr>
      <w:bookmarkStart w:id="66" w:name="_Toc18259191"/>
      <w:bookmarkStart w:id="67" w:name="_Toc40422396"/>
      <w:r w:rsidRPr="009B6417">
        <w:t xml:space="preserve">Tabela </w:t>
      </w:r>
      <w:r w:rsidR="00E54EC8">
        <w:fldChar w:fldCharType="begin"/>
      </w:r>
      <w:r w:rsidR="00815B1B">
        <w:instrText xml:space="preserve"> SEQ Tabela \* ARABIC </w:instrText>
      </w:r>
      <w:r w:rsidR="00E54EC8">
        <w:fldChar w:fldCharType="separate"/>
      </w:r>
      <w:r w:rsidR="00F20848">
        <w:rPr>
          <w:noProof/>
        </w:rPr>
        <w:t>13</w:t>
      </w:r>
      <w:r w:rsidR="00E54EC8">
        <w:rPr>
          <w:noProof/>
        </w:rPr>
        <w:fldChar w:fldCharType="end"/>
      </w:r>
      <w:r w:rsidR="00097410" w:rsidRPr="009B6417">
        <w:t>:</w:t>
      </w:r>
      <w:r w:rsidR="002064BE" w:rsidRPr="009B6417">
        <w:t xml:space="preserve"> Pagesat Buxhetore për projektin “Setet Kirugjikale”</w:t>
      </w:r>
      <w:bookmarkEnd w:id="66"/>
      <w:bookmarkEnd w:id="67"/>
    </w:p>
    <w:tbl>
      <w:tblPr>
        <w:tblStyle w:val="PlainTable1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98"/>
        <w:gridCol w:w="1053"/>
        <w:gridCol w:w="1307"/>
        <w:gridCol w:w="1260"/>
        <w:gridCol w:w="1350"/>
        <w:gridCol w:w="1710"/>
        <w:gridCol w:w="1818"/>
      </w:tblGrid>
      <w:tr w:rsidR="00FF5723" w:rsidRPr="003C2F4F" w14:paraId="017AF231" w14:textId="77777777" w:rsidTr="004F7100">
        <w:trPr>
          <w:cnfStyle w:val="100000000000" w:firstRow="1" w:lastRow="0" w:firstColumn="0" w:lastColumn="0" w:oddVBand="0" w:evenVBand="0" w:oddHBand="0" w:evenHBand="0" w:firstRowFirstColumn="0" w:firstRowLastColumn="0" w:lastRowFirstColumn="0" w:lastRowLastColumn="0"/>
          <w:trHeight w:hRule="exact" w:val="226"/>
        </w:trPr>
        <w:tc>
          <w:tcPr>
            <w:tcW w:w="1798" w:type="dxa"/>
            <w:vMerge w:val="restart"/>
            <w:shd w:val="clear" w:color="auto" w:fill="DDD9C3" w:themeFill="background2" w:themeFillShade="E6"/>
            <w:hideMark/>
          </w:tcPr>
          <w:p w14:paraId="069AF890" w14:textId="77777777" w:rsidR="005C27D3" w:rsidRPr="003C2F4F" w:rsidRDefault="005C27D3" w:rsidP="00631E0E">
            <w:pPr>
              <w:pStyle w:val="NoSpacing"/>
              <w:spacing w:line="276" w:lineRule="auto"/>
              <w:jc w:val="both"/>
              <w:rPr>
                <w:rFonts w:ascii="Times New Roman" w:hAnsi="Times New Roman" w:cs="Times New Roman"/>
                <w:i/>
                <w:sz w:val="20"/>
                <w:szCs w:val="24"/>
                <w:lang w:val="sq-AL"/>
              </w:rPr>
            </w:pPr>
            <w:r w:rsidRPr="003C2F4F">
              <w:rPr>
                <w:rFonts w:ascii="Times New Roman" w:hAnsi="Times New Roman" w:cs="Times New Roman"/>
                <w:i/>
                <w:sz w:val="20"/>
                <w:szCs w:val="24"/>
                <w:lang w:val="sq-AL"/>
              </w:rPr>
              <w:t>Viti</w:t>
            </w:r>
          </w:p>
        </w:tc>
        <w:tc>
          <w:tcPr>
            <w:tcW w:w="2360" w:type="dxa"/>
            <w:gridSpan w:val="2"/>
            <w:shd w:val="clear" w:color="auto" w:fill="DDD9C3" w:themeFill="background2" w:themeFillShade="E6"/>
            <w:hideMark/>
          </w:tcPr>
          <w:p w14:paraId="023E7359" w14:textId="77777777" w:rsidR="005C27D3" w:rsidRPr="003C2F4F" w:rsidRDefault="005C27D3" w:rsidP="00631E0E">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2018</w:t>
            </w:r>
          </w:p>
        </w:tc>
        <w:tc>
          <w:tcPr>
            <w:tcW w:w="2610" w:type="dxa"/>
            <w:gridSpan w:val="2"/>
            <w:shd w:val="clear" w:color="auto" w:fill="DDD9C3" w:themeFill="background2" w:themeFillShade="E6"/>
            <w:hideMark/>
          </w:tcPr>
          <w:p w14:paraId="30DBD84D" w14:textId="77777777" w:rsidR="005C27D3" w:rsidRPr="003C2F4F" w:rsidRDefault="005C27D3" w:rsidP="00631E0E">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2019</w:t>
            </w:r>
          </w:p>
        </w:tc>
        <w:tc>
          <w:tcPr>
            <w:tcW w:w="1710" w:type="dxa"/>
            <w:shd w:val="clear" w:color="auto" w:fill="DDD9C3" w:themeFill="background2" w:themeFillShade="E6"/>
            <w:hideMark/>
          </w:tcPr>
          <w:p w14:paraId="7D05D9F0" w14:textId="77777777" w:rsidR="005C27D3" w:rsidRPr="003C2F4F" w:rsidRDefault="005C27D3" w:rsidP="00631E0E">
            <w:pPr>
              <w:pStyle w:val="NoSpacing"/>
              <w:spacing w:line="276" w:lineRule="auto"/>
              <w:rPr>
                <w:rFonts w:ascii="Times New Roman" w:hAnsi="Times New Roman" w:cs="Times New Roman"/>
                <w:i/>
                <w:sz w:val="20"/>
                <w:szCs w:val="24"/>
                <w:lang w:val="sq-AL"/>
              </w:rPr>
            </w:pPr>
            <w:r w:rsidRPr="003C2F4F">
              <w:rPr>
                <w:rFonts w:ascii="Times New Roman" w:hAnsi="Times New Roman" w:cs="Times New Roman"/>
                <w:i/>
                <w:sz w:val="20"/>
                <w:szCs w:val="24"/>
                <w:lang w:val="sq-AL"/>
              </w:rPr>
              <w:t>2020</w:t>
            </w:r>
          </w:p>
          <w:p w14:paraId="6486C678" w14:textId="77777777" w:rsidR="005C27D3" w:rsidRPr="003C2F4F" w:rsidRDefault="005C27D3" w:rsidP="00631E0E">
            <w:pPr>
              <w:pStyle w:val="NoSpacing"/>
              <w:spacing w:line="276" w:lineRule="auto"/>
              <w:rPr>
                <w:rFonts w:ascii="Times New Roman" w:hAnsi="Times New Roman" w:cs="Times New Roman"/>
                <w:i/>
                <w:sz w:val="20"/>
                <w:szCs w:val="24"/>
                <w:lang w:val="sq-AL"/>
              </w:rPr>
            </w:pPr>
          </w:p>
          <w:p w14:paraId="2178D438" w14:textId="77777777" w:rsidR="005C27D3" w:rsidRPr="003C2F4F" w:rsidRDefault="005C27D3" w:rsidP="00631E0E">
            <w:pPr>
              <w:pStyle w:val="NoSpacing"/>
              <w:spacing w:line="276" w:lineRule="auto"/>
              <w:jc w:val="center"/>
              <w:rPr>
                <w:rFonts w:ascii="Times New Roman" w:hAnsi="Times New Roman" w:cs="Times New Roman"/>
                <w:i/>
                <w:sz w:val="20"/>
                <w:szCs w:val="24"/>
                <w:lang w:val="sq-AL"/>
              </w:rPr>
            </w:pPr>
          </w:p>
        </w:tc>
        <w:tc>
          <w:tcPr>
            <w:tcW w:w="1818" w:type="dxa"/>
            <w:shd w:val="clear" w:color="auto" w:fill="DDD9C3" w:themeFill="background2" w:themeFillShade="E6"/>
            <w:hideMark/>
          </w:tcPr>
          <w:p w14:paraId="33722E07" w14:textId="77777777" w:rsidR="005C27D3" w:rsidRPr="003C2F4F" w:rsidRDefault="005C27D3" w:rsidP="00631E0E">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2021</w:t>
            </w:r>
          </w:p>
          <w:p w14:paraId="3E5C9989" w14:textId="77777777" w:rsidR="005C27D3" w:rsidRPr="003C2F4F" w:rsidRDefault="005C27D3" w:rsidP="00631E0E">
            <w:pPr>
              <w:pStyle w:val="NoSpacing"/>
              <w:spacing w:line="276" w:lineRule="auto"/>
              <w:jc w:val="center"/>
              <w:rPr>
                <w:rFonts w:ascii="Times New Roman" w:hAnsi="Times New Roman" w:cs="Times New Roman"/>
                <w:i/>
                <w:sz w:val="20"/>
                <w:szCs w:val="24"/>
                <w:lang w:val="sq-AL"/>
              </w:rPr>
            </w:pPr>
          </w:p>
        </w:tc>
      </w:tr>
      <w:tr w:rsidR="00FF5723" w:rsidRPr="003C2F4F" w14:paraId="64676304" w14:textId="77777777" w:rsidTr="004F7100">
        <w:trPr>
          <w:cnfStyle w:val="000000100000" w:firstRow="0" w:lastRow="0" w:firstColumn="0" w:lastColumn="0" w:oddVBand="0" w:evenVBand="0" w:oddHBand="1" w:evenHBand="0" w:firstRowFirstColumn="0" w:firstRowLastColumn="0" w:lastRowFirstColumn="0" w:lastRowLastColumn="0"/>
          <w:trHeight w:hRule="exact" w:val="253"/>
        </w:trPr>
        <w:tc>
          <w:tcPr>
            <w:tcW w:w="1798" w:type="dxa"/>
            <w:vMerge/>
            <w:shd w:val="clear" w:color="auto" w:fill="DDD9C3" w:themeFill="background2" w:themeFillShade="E6"/>
          </w:tcPr>
          <w:p w14:paraId="64A9F7F9" w14:textId="77777777" w:rsidR="005C27D3" w:rsidRPr="003C2F4F" w:rsidRDefault="005C27D3" w:rsidP="00631E0E">
            <w:pPr>
              <w:pStyle w:val="NoSpacing"/>
              <w:spacing w:line="276" w:lineRule="auto"/>
              <w:jc w:val="both"/>
              <w:rPr>
                <w:rFonts w:ascii="Times New Roman" w:hAnsi="Times New Roman" w:cs="Times New Roman"/>
                <w:i/>
                <w:sz w:val="20"/>
                <w:szCs w:val="24"/>
                <w:lang w:val="sq-AL"/>
              </w:rPr>
            </w:pPr>
          </w:p>
        </w:tc>
        <w:tc>
          <w:tcPr>
            <w:tcW w:w="1053" w:type="dxa"/>
            <w:shd w:val="clear" w:color="auto" w:fill="DDD9C3" w:themeFill="background2" w:themeFillShade="E6"/>
          </w:tcPr>
          <w:p w14:paraId="679AF1CF" w14:textId="77777777" w:rsidR="005C27D3" w:rsidRPr="003C2F4F" w:rsidRDefault="005C27D3" w:rsidP="00631E0E">
            <w:pPr>
              <w:pStyle w:val="NoSpacing"/>
              <w:spacing w:line="276" w:lineRule="auto"/>
              <w:jc w:val="both"/>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Plan</w:t>
            </w:r>
          </w:p>
        </w:tc>
        <w:tc>
          <w:tcPr>
            <w:tcW w:w="1307" w:type="dxa"/>
            <w:shd w:val="clear" w:color="auto" w:fill="DDD9C3" w:themeFill="background2" w:themeFillShade="E6"/>
          </w:tcPr>
          <w:p w14:paraId="3E3B7C26" w14:textId="77777777" w:rsidR="005C27D3" w:rsidRPr="003C2F4F" w:rsidRDefault="005C27D3" w:rsidP="00631E0E">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Fakt</w:t>
            </w:r>
          </w:p>
        </w:tc>
        <w:tc>
          <w:tcPr>
            <w:tcW w:w="1260" w:type="dxa"/>
            <w:shd w:val="clear" w:color="auto" w:fill="DDD9C3" w:themeFill="background2" w:themeFillShade="E6"/>
          </w:tcPr>
          <w:p w14:paraId="0B169181" w14:textId="77777777" w:rsidR="005C27D3" w:rsidRPr="003C2F4F" w:rsidRDefault="005C27D3" w:rsidP="00631E0E">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Plan</w:t>
            </w:r>
          </w:p>
        </w:tc>
        <w:tc>
          <w:tcPr>
            <w:tcW w:w="1350" w:type="dxa"/>
            <w:shd w:val="clear" w:color="auto" w:fill="DDD9C3" w:themeFill="background2" w:themeFillShade="E6"/>
          </w:tcPr>
          <w:p w14:paraId="7BD8B137" w14:textId="77777777" w:rsidR="005C27D3" w:rsidRPr="003C2F4F" w:rsidRDefault="00BD4472" w:rsidP="00BD4472">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Fakt</w:t>
            </w:r>
          </w:p>
        </w:tc>
        <w:tc>
          <w:tcPr>
            <w:tcW w:w="1710" w:type="dxa"/>
            <w:shd w:val="clear" w:color="auto" w:fill="DDD9C3" w:themeFill="background2" w:themeFillShade="E6"/>
          </w:tcPr>
          <w:p w14:paraId="43138364" w14:textId="77777777" w:rsidR="005C27D3" w:rsidRPr="003C2F4F" w:rsidRDefault="005C27D3" w:rsidP="00631E0E">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Projektuar</w:t>
            </w:r>
          </w:p>
        </w:tc>
        <w:tc>
          <w:tcPr>
            <w:tcW w:w="1818" w:type="dxa"/>
            <w:shd w:val="clear" w:color="auto" w:fill="DDD9C3" w:themeFill="background2" w:themeFillShade="E6"/>
          </w:tcPr>
          <w:p w14:paraId="5EA46945" w14:textId="77777777" w:rsidR="005C27D3" w:rsidRPr="003C2F4F" w:rsidRDefault="005C27D3" w:rsidP="00631E0E">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Projektuar</w:t>
            </w:r>
          </w:p>
        </w:tc>
      </w:tr>
      <w:tr w:rsidR="00FF5723" w:rsidRPr="003C2F4F" w14:paraId="6A9F8944" w14:textId="77777777" w:rsidTr="00BC6571">
        <w:trPr>
          <w:trHeight w:hRule="exact" w:val="559"/>
        </w:trPr>
        <w:tc>
          <w:tcPr>
            <w:tcW w:w="1798" w:type="dxa"/>
            <w:shd w:val="clear" w:color="auto" w:fill="EEECE1" w:themeFill="background2"/>
            <w:hideMark/>
          </w:tcPr>
          <w:p w14:paraId="6D4E8052" w14:textId="77777777" w:rsidR="005C27D3" w:rsidRPr="003C2F4F" w:rsidRDefault="005C27D3" w:rsidP="00631E0E">
            <w:pPr>
              <w:pStyle w:val="NoSpacing"/>
              <w:spacing w:line="276" w:lineRule="auto"/>
              <w:jc w:val="both"/>
              <w:rPr>
                <w:rFonts w:ascii="Times New Roman" w:hAnsi="Times New Roman" w:cs="Times New Roman"/>
                <w:b/>
                <w:i/>
                <w:sz w:val="20"/>
                <w:szCs w:val="24"/>
                <w:lang w:val="sq-AL"/>
              </w:rPr>
            </w:pPr>
            <w:r w:rsidRPr="003C2F4F">
              <w:rPr>
                <w:rFonts w:ascii="Times New Roman" w:hAnsi="Times New Roman" w:cs="Times New Roman"/>
                <w:b/>
                <w:bCs/>
                <w:i/>
                <w:sz w:val="20"/>
                <w:szCs w:val="24"/>
                <w:lang w:val="sq-AL"/>
              </w:rPr>
              <w:t>Pagesat Buxhetore (në mijë lekë)</w:t>
            </w:r>
          </w:p>
        </w:tc>
        <w:tc>
          <w:tcPr>
            <w:tcW w:w="1053" w:type="dxa"/>
            <w:shd w:val="clear" w:color="auto" w:fill="EEECE1" w:themeFill="background2"/>
            <w:vAlign w:val="center"/>
            <w:hideMark/>
          </w:tcPr>
          <w:p w14:paraId="779DAAE5" w14:textId="77777777" w:rsidR="005C27D3" w:rsidRPr="003C2F4F" w:rsidRDefault="005C27D3" w:rsidP="00BC6571">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bCs/>
                <w:i/>
                <w:color w:val="1D1B11" w:themeColor="background2" w:themeShade="1A"/>
                <w:kern w:val="24"/>
                <w:sz w:val="20"/>
                <w:szCs w:val="24"/>
                <w:lang w:val="sq-AL"/>
              </w:rPr>
              <w:t>1,625,581</w:t>
            </w:r>
          </w:p>
        </w:tc>
        <w:tc>
          <w:tcPr>
            <w:tcW w:w="1307" w:type="dxa"/>
            <w:shd w:val="clear" w:color="auto" w:fill="EEECE1" w:themeFill="background2"/>
            <w:vAlign w:val="center"/>
          </w:tcPr>
          <w:p w14:paraId="76B1FC9D" w14:textId="77777777" w:rsidR="005C27D3" w:rsidRPr="003C2F4F" w:rsidRDefault="005C27D3" w:rsidP="00BC6571">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bCs/>
                <w:i/>
                <w:color w:val="1D1B11" w:themeColor="background2" w:themeShade="1A"/>
                <w:kern w:val="24"/>
                <w:sz w:val="20"/>
                <w:szCs w:val="24"/>
                <w:lang w:val="sq-AL"/>
              </w:rPr>
              <w:t>1,625,581</w:t>
            </w:r>
          </w:p>
        </w:tc>
        <w:tc>
          <w:tcPr>
            <w:tcW w:w="1260" w:type="dxa"/>
            <w:shd w:val="clear" w:color="auto" w:fill="EEECE1" w:themeFill="background2"/>
            <w:vAlign w:val="center"/>
            <w:hideMark/>
          </w:tcPr>
          <w:p w14:paraId="253502C1" w14:textId="77777777" w:rsidR="005C27D3" w:rsidRPr="003C2F4F" w:rsidRDefault="00BD4472" w:rsidP="00BC6571">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2,168,827</w:t>
            </w:r>
          </w:p>
        </w:tc>
        <w:tc>
          <w:tcPr>
            <w:tcW w:w="1350" w:type="dxa"/>
            <w:shd w:val="clear" w:color="auto" w:fill="EEECE1" w:themeFill="background2"/>
            <w:vAlign w:val="center"/>
          </w:tcPr>
          <w:p w14:paraId="7DB7795B" w14:textId="77777777" w:rsidR="005C27D3" w:rsidRPr="003C2F4F" w:rsidRDefault="00BD4472" w:rsidP="00077CA0">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2,163,282</w:t>
            </w:r>
          </w:p>
        </w:tc>
        <w:tc>
          <w:tcPr>
            <w:tcW w:w="1710" w:type="dxa"/>
            <w:shd w:val="clear" w:color="auto" w:fill="EEECE1" w:themeFill="background2"/>
            <w:vAlign w:val="center"/>
            <w:hideMark/>
          </w:tcPr>
          <w:p w14:paraId="02B790B2" w14:textId="77777777" w:rsidR="005C27D3" w:rsidRPr="003C2F4F" w:rsidRDefault="005C27D3" w:rsidP="001817A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bCs/>
                <w:i/>
                <w:color w:val="1D1B11" w:themeColor="background2" w:themeShade="1A"/>
                <w:kern w:val="24"/>
                <w:sz w:val="20"/>
                <w:szCs w:val="24"/>
                <w:lang w:val="sq-AL"/>
              </w:rPr>
              <w:t>1,</w:t>
            </w:r>
            <w:r w:rsidR="001817A0">
              <w:rPr>
                <w:rFonts w:ascii="Times New Roman" w:hAnsi="Times New Roman" w:cs="Times New Roman"/>
                <w:b/>
                <w:bCs/>
                <w:i/>
                <w:color w:val="1D1B11" w:themeColor="background2" w:themeShade="1A"/>
                <w:kern w:val="24"/>
                <w:sz w:val="20"/>
                <w:szCs w:val="24"/>
                <w:lang w:val="sq-AL"/>
              </w:rPr>
              <w:t>310,000</w:t>
            </w:r>
          </w:p>
        </w:tc>
        <w:tc>
          <w:tcPr>
            <w:tcW w:w="1818" w:type="dxa"/>
            <w:shd w:val="clear" w:color="auto" w:fill="EEECE1" w:themeFill="background2"/>
            <w:vAlign w:val="center"/>
            <w:hideMark/>
          </w:tcPr>
          <w:p w14:paraId="5736C139" w14:textId="77777777" w:rsidR="005C27D3" w:rsidRPr="003C2F4F" w:rsidRDefault="005C27D3" w:rsidP="00BC6571">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bCs/>
                <w:i/>
                <w:color w:val="1D1B11" w:themeColor="background2" w:themeShade="1A"/>
                <w:kern w:val="24"/>
                <w:sz w:val="20"/>
                <w:szCs w:val="24"/>
                <w:lang w:val="sq-AL"/>
              </w:rPr>
              <w:t>1,</w:t>
            </w:r>
            <w:r w:rsidR="00FF5723" w:rsidRPr="003C2F4F">
              <w:rPr>
                <w:rFonts w:ascii="Times New Roman" w:hAnsi="Times New Roman" w:cs="Times New Roman"/>
                <w:b/>
                <w:bCs/>
                <w:i/>
                <w:color w:val="1D1B11" w:themeColor="background2" w:themeShade="1A"/>
                <w:kern w:val="24"/>
                <w:sz w:val="20"/>
                <w:szCs w:val="24"/>
                <w:lang w:val="sq-AL"/>
              </w:rPr>
              <w:t>704,982</w:t>
            </w:r>
          </w:p>
        </w:tc>
      </w:tr>
    </w:tbl>
    <w:p w14:paraId="0561D338" w14:textId="77777777" w:rsidR="001D33FD" w:rsidRPr="002A4EDE" w:rsidRDefault="001D33FD" w:rsidP="002064BE">
      <w:pPr>
        <w:jc w:val="both"/>
        <w:rPr>
          <w:rFonts w:ascii="Times New Roman" w:hAnsi="Times New Roman" w:cs="Times New Roman"/>
          <w:sz w:val="2"/>
          <w:szCs w:val="24"/>
        </w:rPr>
      </w:pPr>
    </w:p>
    <w:p w14:paraId="14F0B2D5" w14:textId="77777777" w:rsidR="002064BE" w:rsidRPr="009B6417" w:rsidRDefault="002064BE" w:rsidP="004C1F25">
      <w:pPr>
        <w:pStyle w:val="Heading2"/>
        <w:numPr>
          <w:ilvl w:val="2"/>
          <w:numId w:val="32"/>
        </w:numPr>
        <w:rPr>
          <w:rFonts w:ascii="Times New Roman" w:hAnsi="Times New Roman" w:cs="Times New Roman"/>
          <w:b/>
          <w:i/>
          <w:color w:val="auto"/>
          <w:sz w:val="24"/>
          <w:szCs w:val="24"/>
        </w:rPr>
      </w:pPr>
      <w:bookmarkStart w:id="68" w:name="_Toc19882253"/>
      <w:bookmarkStart w:id="69" w:name="_Toc21689807"/>
      <w:bookmarkStart w:id="70" w:name="_Toc23765729"/>
      <w:bookmarkStart w:id="71" w:name="_Toc37196699"/>
      <w:r w:rsidRPr="009B6417">
        <w:rPr>
          <w:rFonts w:ascii="Times New Roman" w:hAnsi="Times New Roman" w:cs="Times New Roman"/>
          <w:b/>
          <w:i/>
          <w:color w:val="auto"/>
          <w:sz w:val="24"/>
          <w:szCs w:val="24"/>
        </w:rPr>
        <w:t>Risqet</w:t>
      </w:r>
      <w:bookmarkEnd w:id="68"/>
      <w:bookmarkEnd w:id="69"/>
      <w:bookmarkEnd w:id="70"/>
      <w:bookmarkEnd w:id="71"/>
      <w:r w:rsidRPr="009B6417">
        <w:rPr>
          <w:rFonts w:ascii="Times New Roman" w:hAnsi="Times New Roman" w:cs="Times New Roman"/>
          <w:b/>
          <w:i/>
          <w:color w:val="auto"/>
          <w:sz w:val="24"/>
          <w:szCs w:val="24"/>
        </w:rPr>
        <w:t xml:space="preserve"> </w:t>
      </w:r>
    </w:p>
    <w:p w14:paraId="710964A6" w14:textId="77777777" w:rsidR="001817A0" w:rsidRDefault="00A72CA8" w:rsidP="001817A0">
      <w:pPr>
        <w:spacing w:after="0"/>
        <w:jc w:val="both"/>
        <w:rPr>
          <w:rFonts w:ascii="Times New Roman" w:hAnsi="Times New Roman" w:cs="Times New Roman"/>
          <w:sz w:val="24"/>
          <w:szCs w:val="24"/>
        </w:rPr>
      </w:pPr>
      <w:r w:rsidRPr="009B6417">
        <w:rPr>
          <w:rFonts w:ascii="Times New Roman" w:hAnsi="Times New Roman" w:cs="Times New Roman"/>
          <w:sz w:val="24"/>
          <w:szCs w:val="24"/>
        </w:rPr>
        <w:t xml:space="preserve">Autoriteti ka raportuar në lidhje me risqet e kontratës sipas formatit të përcaktuar, duke specifikuar përcaktimin e palës që merr përsipër riskun, impaktin fiskal nëse është materializuar, probabilitetin e ndodhjes në të ardhmen dhe impaktin e pritshëm nëse ndodh. Tek </w:t>
      </w:r>
      <w:r w:rsidR="002064BE" w:rsidRPr="009B6417">
        <w:rPr>
          <w:rFonts w:ascii="Times New Roman" w:hAnsi="Times New Roman" w:cs="Times New Roman"/>
          <w:sz w:val="24"/>
          <w:szCs w:val="24"/>
        </w:rPr>
        <w:t xml:space="preserve">pala private janë transferuar risku i projektimit, ndërtimit, </w:t>
      </w:r>
      <w:r w:rsidR="00C34D0A">
        <w:rPr>
          <w:rFonts w:ascii="Times New Roman" w:hAnsi="Times New Roman" w:cs="Times New Roman"/>
          <w:sz w:val="24"/>
          <w:szCs w:val="24"/>
        </w:rPr>
        <w:t>i operimit dhe performancës, si</w:t>
      </w:r>
      <w:r w:rsidR="002064BE" w:rsidRPr="009B6417">
        <w:rPr>
          <w:rFonts w:ascii="Times New Roman" w:hAnsi="Times New Roman" w:cs="Times New Roman"/>
          <w:sz w:val="24"/>
          <w:szCs w:val="24"/>
        </w:rPr>
        <w:t xml:space="preserve"> dhe risku i transferimit të aseteve, ndërsa risku i ndryshimeve ligjore, risku material nga vendimet politike dhe risku financiar i janë alokuar palës publike. Ndërkohë janë ndarë mes palëve risku i lejeve dhe licencave, risku i kërkesës, risku i forcës madhore, risku i rinegocimit dhe ri</w:t>
      </w:r>
      <w:r w:rsidR="000967C3">
        <w:rPr>
          <w:rFonts w:ascii="Times New Roman" w:hAnsi="Times New Roman" w:cs="Times New Roman"/>
          <w:sz w:val="24"/>
          <w:szCs w:val="24"/>
        </w:rPr>
        <w:t>sku i ndërprerjes së kontratës. Gjat</w:t>
      </w:r>
      <w:r w:rsidR="00AB3C00">
        <w:rPr>
          <w:rFonts w:ascii="Times New Roman" w:hAnsi="Times New Roman" w:cs="Times New Roman"/>
          <w:sz w:val="24"/>
          <w:szCs w:val="24"/>
        </w:rPr>
        <w:t>ë</w:t>
      </w:r>
      <w:r w:rsidR="000967C3">
        <w:rPr>
          <w:rFonts w:ascii="Times New Roman" w:hAnsi="Times New Roman" w:cs="Times New Roman"/>
          <w:sz w:val="24"/>
          <w:szCs w:val="24"/>
        </w:rPr>
        <w:t xml:space="preserve"> vitit 2019 </w:t>
      </w:r>
      <w:r w:rsidR="0021185F">
        <w:rPr>
          <w:rFonts w:ascii="Times New Roman" w:hAnsi="Times New Roman" w:cs="Times New Roman"/>
          <w:sz w:val="24"/>
          <w:szCs w:val="24"/>
        </w:rPr>
        <w:t>ë</w:t>
      </w:r>
      <w:r w:rsidR="001817A0">
        <w:rPr>
          <w:rFonts w:ascii="Times New Roman" w:hAnsi="Times New Roman" w:cs="Times New Roman"/>
          <w:sz w:val="24"/>
          <w:szCs w:val="24"/>
        </w:rPr>
        <w:t>sht</w:t>
      </w:r>
      <w:r w:rsidR="0021185F">
        <w:rPr>
          <w:rFonts w:ascii="Times New Roman" w:hAnsi="Times New Roman" w:cs="Times New Roman"/>
          <w:sz w:val="24"/>
          <w:szCs w:val="24"/>
        </w:rPr>
        <w:t>ë</w:t>
      </w:r>
      <w:r w:rsidR="001817A0">
        <w:rPr>
          <w:rFonts w:ascii="Times New Roman" w:hAnsi="Times New Roman" w:cs="Times New Roman"/>
          <w:sz w:val="24"/>
          <w:szCs w:val="24"/>
        </w:rPr>
        <w:t xml:space="preserve"> materializuar risku i </w:t>
      </w:r>
      <w:r w:rsidR="001817A0">
        <w:rPr>
          <w:rFonts w:ascii="Times New Roman" w:hAnsi="Times New Roman" w:cs="Times New Roman"/>
          <w:sz w:val="24"/>
          <w:szCs w:val="24"/>
        </w:rPr>
        <w:lastRenderedPageBreak/>
        <w:t xml:space="preserve">negocimit të kontratës, </w:t>
      </w:r>
      <w:r w:rsidR="001817A0" w:rsidRPr="00333713">
        <w:rPr>
          <w:rFonts w:ascii="Times New Roman" w:hAnsi="Times New Roman" w:cs="Times New Roman"/>
          <w:sz w:val="24"/>
          <w:szCs w:val="24"/>
        </w:rPr>
        <w:t>i cili ka rezultuar si pasojë e rritjes së numri</w:t>
      </w:r>
      <w:r w:rsidR="001817A0">
        <w:rPr>
          <w:rFonts w:ascii="Times New Roman" w:hAnsi="Times New Roman" w:cs="Times New Roman"/>
          <w:sz w:val="24"/>
          <w:szCs w:val="24"/>
        </w:rPr>
        <w:t>t</w:t>
      </w:r>
      <w:r w:rsidR="001817A0" w:rsidRPr="00333713">
        <w:rPr>
          <w:rFonts w:ascii="Times New Roman" w:hAnsi="Times New Roman" w:cs="Times New Roman"/>
          <w:sz w:val="24"/>
          <w:szCs w:val="24"/>
        </w:rPr>
        <w:t xml:space="preserve"> të kërkesës </w:t>
      </w:r>
      <w:r w:rsidR="001817A0">
        <w:rPr>
          <w:rFonts w:ascii="Times New Roman" w:hAnsi="Times New Roman" w:cs="Times New Roman"/>
          <w:sz w:val="24"/>
          <w:szCs w:val="24"/>
        </w:rPr>
        <w:t>p</w:t>
      </w:r>
      <w:r w:rsidR="0021185F">
        <w:rPr>
          <w:rFonts w:ascii="Times New Roman" w:hAnsi="Times New Roman" w:cs="Times New Roman"/>
          <w:sz w:val="24"/>
          <w:szCs w:val="24"/>
        </w:rPr>
        <w:t>ë</w:t>
      </w:r>
      <w:r w:rsidR="001817A0">
        <w:rPr>
          <w:rFonts w:ascii="Times New Roman" w:hAnsi="Times New Roman" w:cs="Times New Roman"/>
          <w:sz w:val="24"/>
          <w:szCs w:val="24"/>
        </w:rPr>
        <w:t>r k</w:t>
      </w:r>
      <w:r w:rsidR="0021185F">
        <w:rPr>
          <w:rFonts w:ascii="Times New Roman" w:hAnsi="Times New Roman" w:cs="Times New Roman"/>
          <w:sz w:val="24"/>
          <w:szCs w:val="24"/>
        </w:rPr>
        <w:t>ë</w:t>
      </w:r>
      <w:r w:rsidR="001817A0">
        <w:rPr>
          <w:rFonts w:ascii="Times New Roman" w:hAnsi="Times New Roman" w:cs="Times New Roman"/>
          <w:sz w:val="24"/>
          <w:szCs w:val="24"/>
        </w:rPr>
        <w:t>t</w:t>
      </w:r>
      <w:r w:rsidR="0021185F">
        <w:rPr>
          <w:rFonts w:ascii="Times New Roman" w:hAnsi="Times New Roman" w:cs="Times New Roman"/>
          <w:sz w:val="24"/>
          <w:szCs w:val="24"/>
        </w:rPr>
        <w:t>ë</w:t>
      </w:r>
      <w:r w:rsidR="001817A0">
        <w:rPr>
          <w:rFonts w:ascii="Times New Roman" w:hAnsi="Times New Roman" w:cs="Times New Roman"/>
          <w:sz w:val="24"/>
          <w:szCs w:val="24"/>
        </w:rPr>
        <w:t xml:space="preserve"> sh</w:t>
      </w:r>
      <w:r w:rsidR="0021185F">
        <w:rPr>
          <w:rFonts w:ascii="Times New Roman" w:hAnsi="Times New Roman" w:cs="Times New Roman"/>
          <w:sz w:val="24"/>
          <w:szCs w:val="24"/>
        </w:rPr>
        <w:t>ë</w:t>
      </w:r>
      <w:r w:rsidR="001817A0">
        <w:rPr>
          <w:rFonts w:ascii="Times New Roman" w:hAnsi="Times New Roman" w:cs="Times New Roman"/>
          <w:sz w:val="24"/>
          <w:szCs w:val="24"/>
        </w:rPr>
        <w:t xml:space="preserve">rbim. </w:t>
      </w:r>
      <w:r w:rsidR="001817A0" w:rsidRPr="00333713">
        <w:rPr>
          <w:rFonts w:ascii="Times New Roman" w:hAnsi="Times New Roman" w:cs="Times New Roman"/>
          <w:sz w:val="24"/>
          <w:szCs w:val="24"/>
        </w:rPr>
        <w:t xml:space="preserve">Për këtë arsye, kjo kontratë shkoi në proces rinegocimi dhe </w:t>
      </w:r>
      <w:r w:rsidR="001817A0">
        <w:rPr>
          <w:rFonts w:ascii="Times New Roman" w:hAnsi="Times New Roman" w:cs="Times New Roman"/>
          <w:sz w:val="24"/>
          <w:szCs w:val="24"/>
        </w:rPr>
        <w:t>është</w:t>
      </w:r>
      <w:r w:rsidR="001817A0" w:rsidRPr="00333713">
        <w:rPr>
          <w:rFonts w:ascii="Times New Roman" w:hAnsi="Times New Roman" w:cs="Times New Roman"/>
          <w:sz w:val="24"/>
          <w:szCs w:val="24"/>
        </w:rPr>
        <w:t xml:space="preserve"> dakord</w:t>
      </w:r>
      <w:r w:rsidR="001817A0">
        <w:rPr>
          <w:rFonts w:ascii="Times New Roman" w:hAnsi="Times New Roman" w:cs="Times New Roman"/>
          <w:sz w:val="24"/>
          <w:szCs w:val="24"/>
        </w:rPr>
        <w:t>ë</w:t>
      </w:r>
      <w:r w:rsidR="001817A0" w:rsidRPr="00333713">
        <w:rPr>
          <w:rFonts w:ascii="Times New Roman" w:hAnsi="Times New Roman" w:cs="Times New Roman"/>
          <w:sz w:val="24"/>
          <w:szCs w:val="24"/>
        </w:rPr>
        <w:t>sua</w:t>
      </w:r>
      <w:r w:rsidR="001817A0">
        <w:rPr>
          <w:rFonts w:ascii="Times New Roman" w:hAnsi="Times New Roman" w:cs="Times New Roman"/>
          <w:sz w:val="24"/>
          <w:szCs w:val="24"/>
        </w:rPr>
        <w:t>r amendimi i mëposhtëm</w:t>
      </w:r>
      <w:r w:rsidR="001817A0" w:rsidRPr="00333713">
        <w:rPr>
          <w:rFonts w:ascii="Times New Roman" w:hAnsi="Times New Roman" w:cs="Times New Roman"/>
          <w:sz w:val="24"/>
          <w:szCs w:val="24"/>
        </w:rPr>
        <w:t>:</w:t>
      </w:r>
    </w:p>
    <w:p w14:paraId="10673B41" w14:textId="77777777" w:rsidR="001817A0" w:rsidRDefault="001817A0" w:rsidP="001817A0">
      <w:pPr>
        <w:spacing w:after="0"/>
        <w:jc w:val="both"/>
        <w:rPr>
          <w:rFonts w:ascii="Times New Roman" w:hAnsi="Times New Roman" w:cs="Times New Roman"/>
          <w:sz w:val="24"/>
          <w:szCs w:val="24"/>
        </w:rPr>
      </w:pPr>
      <w:r w:rsidRPr="00333713">
        <w:rPr>
          <w:rFonts w:ascii="Times New Roman" w:hAnsi="Times New Roman" w:cs="Times New Roman"/>
          <w:sz w:val="24"/>
          <w:szCs w:val="24"/>
        </w:rPr>
        <w:t>“</w:t>
      </w:r>
      <w:r w:rsidRPr="00333713">
        <w:rPr>
          <w:rFonts w:ascii="Times New Roman" w:hAnsi="Times New Roman" w:cs="Times New Roman"/>
          <w:i/>
          <w:sz w:val="24"/>
          <w:szCs w:val="24"/>
        </w:rPr>
        <w:t>Për të gjitha ndërhyrjet kirurgjikale  dhe obstetri-gjinekologji të kryera në strukturat spitalore që do të tejkalojnë kufirin e 63,000 ndërhyrjeve në vit, do të aplikohet një zbritje e barabartë me 25% të çmimit. Zbritja si më lart do të aplikohet duke filluar nga fatura përmbledhëse mujore për muajin në të cilin  do të rezultojë dhe do të njoftohet nga koncesionari, tejkalimi i 63,000 ndërhyrjeve në vit</w:t>
      </w:r>
      <w:r w:rsidRPr="00333713">
        <w:rPr>
          <w:rFonts w:ascii="Times New Roman" w:hAnsi="Times New Roman" w:cs="Times New Roman"/>
          <w:sz w:val="24"/>
          <w:szCs w:val="24"/>
        </w:rPr>
        <w:t>.”</w:t>
      </w:r>
    </w:p>
    <w:p w14:paraId="6358E555" w14:textId="77777777" w:rsidR="001817A0" w:rsidRDefault="001817A0" w:rsidP="001817A0">
      <w:pPr>
        <w:spacing w:after="0"/>
        <w:jc w:val="both"/>
        <w:rPr>
          <w:rFonts w:ascii="Times New Roman" w:hAnsi="Times New Roman" w:cs="Times New Roman"/>
          <w:sz w:val="24"/>
          <w:szCs w:val="24"/>
        </w:rPr>
      </w:pPr>
    </w:p>
    <w:p w14:paraId="6462DAF9" w14:textId="77777777" w:rsidR="001817A0" w:rsidRPr="000967C3" w:rsidRDefault="001817A0" w:rsidP="001817A0">
      <w:pPr>
        <w:spacing w:after="0"/>
        <w:jc w:val="both"/>
        <w:rPr>
          <w:rFonts w:ascii="Times New Roman" w:hAnsi="Times New Roman" w:cs="Times New Roman"/>
          <w:sz w:val="24"/>
          <w:szCs w:val="24"/>
        </w:rPr>
      </w:pPr>
    </w:p>
    <w:p w14:paraId="3F776E47" w14:textId="77777777" w:rsidR="003C2F4F" w:rsidRPr="00BD4472" w:rsidRDefault="003C2F4F" w:rsidP="001817A0">
      <w:pPr>
        <w:spacing w:after="0"/>
        <w:jc w:val="both"/>
        <w:rPr>
          <w:rFonts w:ascii="Times New Roman" w:hAnsi="Times New Roman" w:cs="Times New Roman"/>
          <w:sz w:val="2"/>
          <w:szCs w:val="24"/>
        </w:rPr>
      </w:pPr>
    </w:p>
    <w:p w14:paraId="63CE823E" w14:textId="77777777" w:rsidR="0022192C" w:rsidRPr="009B6417" w:rsidRDefault="00DC1921" w:rsidP="004C1F25">
      <w:pPr>
        <w:pStyle w:val="Heading2"/>
        <w:numPr>
          <w:ilvl w:val="1"/>
          <w:numId w:val="32"/>
        </w:numPr>
        <w:jc w:val="both"/>
        <w:rPr>
          <w:rFonts w:ascii="Times New Roman" w:hAnsi="Times New Roman" w:cs="Times New Roman"/>
          <w:b/>
          <w:i/>
          <w:sz w:val="24"/>
          <w:szCs w:val="24"/>
        </w:rPr>
      </w:pPr>
      <w:bookmarkStart w:id="72" w:name="_Toc37196700"/>
      <w:r w:rsidRPr="009B6417">
        <w:rPr>
          <w:rFonts w:ascii="Times New Roman" w:hAnsi="Times New Roman" w:cs="Times New Roman"/>
          <w:b/>
          <w:sz w:val="24"/>
          <w:szCs w:val="24"/>
        </w:rPr>
        <w:t>Kontrata Koncesionare</w:t>
      </w:r>
      <w:r>
        <w:rPr>
          <w:rFonts w:ascii="Times New Roman" w:hAnsi="Times New Roman" w:cs="Times New Roman"/>
          <w:b/>
          <w:sz w:val="24"/>
          <w:szCs w:val="24"/>
        </w:rPr>
        <w:t>/PPP</w:t>
      </w:r>
      <w:r w:rsidRPr="009B6417">
        <w:rPr>
          <w:rFonts w:ascii="Times New Roman" w:hAnsi="Times New Roman" w:cs="Times New Roman"/>
          <w:b/>
          <w:sz w:val="24"/>
          <w:szCs w:val="24"/>
        </w:rPr>
        <w:t xml:space="preserve"> </w:t>
      </w:r>
      <w:r w:rsidR="003D35C7" w:rsidRPr="009B6417">
        <w:rPr>
          <w:rFonts w:ascii="Times New Roman" w:hAnsi="Times New Roman" w:cs="Times New Roman"/>
          <w:b/>
          <w:sz w:val="24"/>
          <w:szCs w:val="24"/>
        </w:rPr>
        <w:t>“</w:t>
      </w:r>
      <w:r w:rsidR="003D35C7" w:rsidRPr="009B6417">
        <w:rPr>
          <w:rFonts w:ascii="Times New Roman" w:hAnsi="Times New Roman" w:cs="Times New Roman"/>
          <w:b/>
          <w:i/>
          <w:sz w:val="24"/>
          <w:szCs w:val="24"/>
        </w:rPr>
        <w:t>Për paketën e shërbimeve të kontrollit mjekësor bazë për grupmoshat 35-70”</w:t>
      </w:r>
      <w:bookmarkEnd w:id="72"/>
    </w:p>
    <w:p w14:paraId="0467664F" w14:textId="77777777" w:rsidR="0022192C" w:rsidRPr="003C2F4F" w:rsidRDefault="0022192C" w:rsidP="0022192C">
      <w:pPr>
        <w:rPr>
          <w:rFonts w:ascii="Times New Roman" w:hAnsi="Times New Roman" w:cs="Times New Roman"/>
          <w:sz w:val="2"/>
          <w:szCs w:val="24"/>
        </w:rPr>
      </w:pPr>
    </w:p>
    <w:p w14:paraId="0DCC99C0" w14:textId="77777777" w:rsidR="00E52D00" w:rsidRPr="009B6417" w:rsidRDefault="0022192C" w:rsidP="004C1F25">
      <w:pPr>
        <w:pStyle w:val="Heading2"/>
        <w:numPr>
          <w:ilvl w:val="2"/>
          <w:numId w:val="32"/>
        </w:numPr>
        <w:spacing w:before="0"/>
        <w:rPr>
          <w:rFonts w:ascii="Times New Roman" w:hAnsi="Times New Roman" w:cs="Times New Roman"/>
          <w:b/>
          <w:i/>
          <w:color w:val="4A442A" w:themeColor="background2" w:themeShade="40"/>
          <w:sz w:val="24"/>
          <w:szCs w:val="24"/>
        </w:rPr>
      </w:pPr>
      <w:bookmarkStart w:id="73" w:name="_Toc21689809"/>
      <w:bookmarkStart w:id="74" w:name="_Toc23765731"/>
      <w:bookmarkStart w:id="75" w:name="_Toc37196701"/>
      <w:r w:rsidRPr="009B6417">
        <w:rPr>
          <w:rFonts w:ascii="Times New Roman" w:hAnsi="Times New Roman" w:cs="Times New Roman"/>
          <w:b/>
          <w:i/>
          <w:color w:val="auto"/>
          <w:sz w:val="24"/>
          <w:szCs w:val="24"/>
        </w:rPr>
        <w:t>Përshkrimi i  përgjithshëm i projektit</w:t>
      </w:r>
      <w:bookmarkEnd w:id="73"/>
      <w:bookmarkEnd w:id="74"/>
      <w:bookmarkEnd w:id="75"/>
    </w:p>
    <w:p w14:paraId="7D33254D" w14:textId="77777777" w:rsidR="00E52D00" w:rsidRPr="003C2F4F" w:rsidRDefault="00E52D00" w:rsidP="00E52D00">
      <w:pPr>
        <w:rPr>
          <w:rFonts w:ascii="Times New Roman" w:hAnsi="Times New Roman" w:cs="Times New Roman"/>
          <w:sz w:val="2"/>
          <w:szCs w:val="24"/>
        </w:rPr>
      </w:pPr>
    </w:p>
    <w:p w14:paraId="2E2AF0E9" w14:textId="77777777" w:rsidR="002C5DB9" w:rsidRPr="009B6417" w:rsidRDefault="002C66FB" w:rsidP="00D66E2E">
      <w:pPr>
        <w:tabs>
          <w:tab w:val="left" w:pos="3553"/>
        </w:tabs>
        <w:spacing w:after="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91440" distB="0" distL="91440" distR="320040" simplePos="0" relativeHeight="251667456" behindDoc="0" locked="0" layoutInCell="1" allowOverlap="1" wp14:anchorId="22420D27" wp14:editId="5AFF677C">
                <wp:simplePos x="0" y="0"/>
                <wp:positionH relativeFrom="margin">
                  <wp:posOffset>3333750</wp:posOffset>
                </wp:positionH>
                <wp:positionV relativeFrom="page">
                  <wp:posOffset>3571875</wp:posOffset>
                </wp:positionV>
                <wp:extent cx="3181985" cy="2076450"/>
                <wp:effectExtent l="0" t="0" r="18415" b="1905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2076450"/>
                        </a:xfrm>
                        <a:prstGeom prst="rect">
                          <a:avLst/>
                        </a:prstGeom>
                        <a:pattFill prst="pct50">
                          <a:fgClr>
                            <a:schemeClr val="bg2">
                              <a:lumMod val="100000"/>
                              <a:lumOff val="0"/>
                            </a:schemeClr>
                          </a:fgClr>
                          <a:bgClr>
                            <a:schemeClr val="bg1">
                              <a:lumMod val="100000"/>
                              <a:lumOff val="0"/>
                            </a:schemeClr>
                          </a:bgClr>
                        </a:pattFill>
                        <a:ln w="6350" cap="rnd">
                          <a:solidFill>
                            <a:schemeClr val="bg2">
                              <a:lumMod val="75000"/>
                              <a:lumOff val="0"/>
                            </a:schemeClr>
                          </a:solidFill>
                          <a:miter lim="800000"/>
                          <a:headEnd/>
                          <a:tailEnd/>
                        </a:ln>
                      </wps:spPr>
                      <wps:txbx>
                        <w:txbxContent>
                          <w:p w14:paraId="23BAE984" w14:textId="77777777" w:rsidR="0025668C" w:rsidRPr="004D5BED" w:rsidRDefault="0025668C" w:rsidP="00B93BE1">
                            <w:pPr>
                              <w:pBdr>
                                <w:left w:val="single" w:sz="80" w:space="3" w:color="7F7F7F" w:themeColor="text1" w:themeTint="80"/>
                                <w:bottom w:val="single" w:sz="8" w:space="6" w:color="7F7F7F" w:themeColor="text1" w:themeTint="80"/>
                              </w:pBdr>
                              <w:spacing w:before="40" w:line="288" w:lineRule="auto"/>
                              <w:jc w:val="both"/>
                              <w:rPr>
                                <w:rFonts w:ascii="Times New Roman" w:hAnsi="Times New Roman" w:cs="Times New Roman"/>
                                <w:i/>
                                <w:color w:val="4A442A" w:themeColor="background2" w:themeShade="40"/>
                                <w:sz w:val="20"/>
                                <w:szCs w:val="20"/>
                              </w:rPr>
                            </w:pPr>
                            <w:r w:rsidRPr="004D5BED">
                              <w:rPr>
                                <w:rFonts w:ascii="Times New Roman" w:hAnsi="Times New Roman" w:cs="Times New Roman"/>
                                <w:i/>
                                <w:color w:val="4A442A" w:themeColor="background2" w:themeShade="40"/>
                                <w:sz w:val="20"/>
                                <w:szCs w:val="20"/>
                                <w:lang w:val="en-US"/>
                              </w:rPr>
                              <w:t xml:space="preserve">Kontrata Koncesionare </w:t>
                            </w:r>
                            <w:r w:rsidRPr="004D5BED">
                              <w:rPr>
                                <w:rFonts w:ascii="Times New Roman" w:hAnsi="Times New Roman" w:cs="Times New Roman"/>
                                <w:i/>
                                <w:color w:val="1D1B11" w:themeColor="background2" w:themeShade="1A"/>
                                <w:sz w:val="20"/>
                                <w:szCs w:val="20"/>
                                <w:lang w:val="en-US"/>
                              </w:rPr>
                              <w:t>“</w:t>
                            </w:r>
                            <w:r>
                              <w:rPr>
                                <w:rFonts w:ascii="Times New Roman" w:hAnsi="Times New Roman" w:cs="Times New Roman"/>
                                <w:b/>
                                <w:i/>
                                <w:color w:val="4A442A" w:themeColor="background2" w:themeShade="40"/>
                                <w:sz w:val="20"/>
                                <w:szCs w:val="20"/>
                                <w:lang w:val="en-US"/>
                              </w:rPr>
                              <w:t>Për paketë</w:t>
                            </w:r>
                            <w:r w:rsidRPr="004D5BED">
                              <w:rPr>
                                <w:rFonts w:ascii="Times New Roman" w:hAnsi="Times New Roman" w:cs="Times New Roman"/>
                                <w:b/>
                                <w:i/>
                                <w:color w:val="4A442A" w:themeColor="background2" w:themeShade="40"/>
                                <w:sz w:val="20"/>
                                <w:szCs w:val="20"/>
                                <w:lang w:val="en-US"/>
                              </w:rPr>
                              <w:t>n e shërbimeve të kontrollit mjekësor bazë për grupmoshat 35-70</w:t>
                            </w:r>
                            <w:r w:rsidRPr="004D5BED">
                              <w:rPr>
                                <w:rFonts w:ascii="Times New Roman" w:hAnsi="Times New Roman" w:cs="Times New Roman"/>
                                <w:b/>
                                <w:i/>
                                <w:sz w:val="20"/>
                                <w:szCs w:val="20"/>
                                <w:lang w:val="en-US"/>
                              </w:rPr>
                              <w:t>”</w:t>
                            </w:r>
                          </w:p>
                          <w:p w14:paraId="549D2CB7" w14:textId="77777777" w:rsidR="0025668C" w:rsidRPr="005129AE" w:rsidRDefault="0025668C" w:rsidP="0022192C">
                            <w:pPr>
                              <w:pStyle w:val="ListParagraph"/>
                              <w:numPr>
                                <w:ilvl w:val="0"/>
                                <w:numId w:val="4"/>
                              </w:numPr>
                              <w:ind w:left="90"/>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sidRPr="005129AE">
                              <w:rPr>
                                <w:rFonts w:ascii="Times New Roman" w:hAnsi="Times New Roman" w:cs="Times New Roman"/>
                                <w:color w:val="000000" w:themeColor="text1"/>
                              </w:rPr>
                              <w:t>Ministria e Sh</w:t>
                            </w:r>
                            <w:r>
                              <w:rPr>
                                <w:rFonts w:ascii="Times New Roman" w:hAnsi="Times New Roman" w:cs="Times New Roman"/>
                                <w:color w:val="000000" w:themeColor="text1"/>
                              </w:rPr>
                              <w:t>ë</w:t>
                            </w:r>
                            <w:r w:rsidRPr="005129AE">
                              <w:rPr>
                                <w:rFonts w:ascii="Times New Roman" w:hAnsi="Times New Roman" w:cs="Times New Roman"/>
                                <w:color w:val="000000" w:themeColor="text1"/>
                              </w:rPr>
                              <w:t>ndet</w:t>
                            </w:r>
                            <w:r>
                              <w:rPr>
                                <w:rFonts w:ascii="Times New Roman" w:hAnsi="Times New Roman" w:cs="Times New Roman"/>
                                <w:color w:val="000000" w:themeColor="text1"/>
                              </w:rPr>
                              <w:t>ë</w:t>
                            </w:r>
                            <w:r w:rsidRPr="005129AE">
                              <w:rPr>
                                <w:rFonts w:ascii="Times New Roman" w:hAnsi="Times New Roman" w:cs="Times New Roman"/>
                                <w:color w:val="000000" w:themeColor="text1"/>
                              </w:rPr>
                              <w:t>sis</w:t>
                            </w:r>
                            <w:r>
                              <w:rPr>
                                <w:rFonts w:ascii="Times New Roman" w:hAnsi="Times New Roman" w:cs="Times New Roman"/>
                                <w:color w:val="000000" w:themeColor="text1"/>
                              </w:rPr>
                              <w:t>ë</w:t>
                            </w:r>
                            <w:r w:rsidRPr="005129AE">
                              <w:rPr>
                                <w:rFonts w:ascii="Times New Roman" w:hAnsi="Times New Roman" w:cs="Times New Roman"/>
                                <w:color w:val="000000" w:themeColor="text1"/>
                              </w:rPr>
                              <w:t xml:space="preserve"> dhe Mbrojtjes Sociale</w:t>
                            </w:r>
                          </w:p>
                          <w:p w14:paraId="2CC9586D" w14:textId="77777777" w:rsidR="0025668C" w:rsidRDefault="0025668C" w:rsidP="0022192C">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Pr>
                                <w:rFonts w:ascii="Times New Roman" w:hAnsi="Times New Roman" w:cs="Times New Roman"/>
                                <w:szCs w:val="24"/>
                              </w:rPr>
                              <w:t>3P Life Logistic</w:t>
                            </w:r>
                            <w:r w:rsidRPr="000B0C8F">
                              <w:rPr>
                                <w:rFonts w:ascii="Times New Roman" w:hAnsi="Times New Roman" w:cs="Times New Roman"/>
                                <w:szCs w:val="24"/>
                              </w:rPr>
                              <w:t xml:space="preserve"> sh.p.k</w:t>
                            </w:r>
                            <w:r>
                              <w:rPr>
                                <w:rFonts w:ascii="Times New Roman" w:hAnsi="Times New Roman" w:cs="Times New Roman"/>
                                <w:color w:val="000000" w:themeColor="text1"/>
                              </w:rPr>
                              <w:t xml:space="preserve">                     </w:t>
                            </w:r>
                          </w:p>
                          <w:p w14:paraId="43520F4F" w14:textId="77777777" w:rsidR="0025668C" w:rsidRPr="00EF5479" w:rsidRDefault="0025668C" w:rsidP="0022192C">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172 milionë Lekë               </w:t>
                            </w:r>
                          </w:p>
                          <w:p w14:paraId="3E222F01" w14:textId="77777777" w:rsidR="0025668C" w:rsidRPr="00EF5479" w:rsidRDefault="0025668C" w:rsidP="0022192C">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07.01.2015</w:t>
                            </w:r>
                          </w:p>
                          <w:p w14:paraId="40720305" w14:textId="77777777" w:rsidR="0025668C" w:rsidRPr="00EF5479" w:rsidRDefault="0025668C" w:rsidP="0022192C">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10 vite</w:t>
                            </w:r>
                          </w:p>
                          <w:p w14:paraId="70EA9F7F" w14:textId="77777777" w:rsidR="0025668C" w:rsidRPr="006A445E" w:rsidRDefault="0025668C" w:rsidP="0022192C">
                            <w:pPr>
                              <w:pStyle w:val="ListParagraph"/>
                              <w:numPr>
                                <w:ilvl w:val="0"/>
                                <w:numId w:val="4"/>
                              </w:numPr>
                              <w:ind w:left="90"/>
                              <w:jc w:val="both"/>
                              <w:rPr>
                                <w:rFonts w:ascii="Times New Roman" w:hAnsi="Times New Roman" w:cs="Times New Roman"/>
                                <w:color w:val="000000" w:themeColor="text1"/>
                              </w:rPr>
                            </w:pPr>
                            <w:r w:rsidRPr="001152B7">
                              <w:rPr>
                                <w:rFonts w:ascii="Times New Roman" w:hAnsi="Times New Roman" w:cs="Times New Roman"/>
                                <w:b/>
                                <w:color w:val="000000" w:themeColor="text1"/>
                              </w:rPr>
                              <w:t xml:space="preserve">Faza aktuale e projektit:       </w:t>
                            </w:r>
                            <w:r w:rsidRPr="001152B7">
                              <w:rPr>
                                <w:rFonts w:ascii="Times New Roman" w:hAnsi="Times New Roman" w:cs="Times New Roman"/>
                                <w:color w:val="000000" w:themeColor="text1"/>
                              </w:rPr>
                              <w:t>Operim</w:t>
                            </w: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D58F3" id="Text Box 8" o:spid="_x0000_s1041" type="#_x0000_t202" style="position:absolute;left:0;text-align:left;margin-left:262.5pt;margin-top:281.25pt;width:250.55pt;height:163.5pt;z-index:251667456;visibility:visible;mso-wrap-style:square;mso-width-percent:0;mso-height-percent:0;mso-wrap-distance-left:7.2pt;mso-wrap-distance-top:7.2pt;mso-wrap-distance-right:25.2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" fillcolor="#eeece1 [3214]" strokecolor="#c4bc96 [2414]" strokeweight=".5pt">
                <v:fill r:id="rId10" o:title="" color2="white [3212]" type="pattern"/>
                <v:stroke endcap="round"/>
                <v:textbox inset="14.4pt,0,10.8pt,0">
                  <w:txbxContent>
                    <w:p w:rsidR="0025668C" w:rsidRPr="004D5BED" w:rsidRDefault="0025668C" w:rsidP="00B93BE1">
                      <w:pPr>
                        <w:pBdr>
                          <w:left w:val="single" w:sz="80" w:space="3" w:color="7F7F7F" w:themeColor="text1" w:themeTint="80"/>
                          <w:bottom w:val="single" w:sz="8" w:space="6" w:color="7F7F7F" w:themeColor="text1" w:themeTint="80"/>
                        </w:pBdr>
                        <w:spacing w:before="40" w:line="288" w:lineRule="auto"/>
                        <w:jc w:val="both"/>
                        <w:rPr>
                          <w:rFonts w:ascii="Times New Roman" w:hAnsi="Times New Roman" w:cs="Times New Roman"/>
                          <w:i/>
                          <w:color w:val="4A442A" w:themeColor="background2" w:themeShade="40"/>
                          <w:sz w:val="20"/>
                          <w:szCs w:val="20"/>
                        </w:rPr>
                      </w:pPr>
                      <w:r w:rsidRPr="004D5BED">
                        <w:rPr>
                          <w:rFonts w:ascii="Times New Roman" w:hAnsi="Times New Roman" w:cs="Times New Roman"/>
                          <w:i/>
                          <w:color w:val="4A442A" w:themeColor="background2" w:themeShade="40"/>
                          <w:sz w:val="20"/>
                          <w:szCs w:val="20"/>
                          <w:lang w:val="en-US"/>
                        </w:rPr>
                        <w:t xml:space="preserve">Kontrata Koncesionare </w:t>
                      </w:r>
                      <w:r w:rsidRPr="004D5BED">
                        <w:rPr>
                          <w:rFonts w:ascii="Times New Roman" w:hAnsi="Times New Roman" w:cs="Times New Roman"/>
                          <w:i/>
                          <w:color w:val="1D1B11" w:themeColor="background2" w:themeShade="1A"/>
                          <w:sz w:val="20"/>
                          <w:szCs w:val="20"/>
                          <w:lang w:val="en-US"/>
                        </w:rPr>
                        <w:t>“</w:t>
                      </w:r>
                      <w:r>
                        <w:rPr>
                          <w:rFonts w:ascii="Times New Roman" w:hAnsi="Times New Roman" w:cs="Times New Roman"/>
                          <w:b/>
                          <w:i/>
                          <w:color w:val="4A442A" w:themeColor="background2" w:themeShade="40"/>
                          <w:sz w:val="20"/>
                          <w:szCs w:val="20"/>
                          <w:lang w:val="en-US"/>
                        </w:rPr>
                        <w:t>Për paketë</w:t>
                      </w:r>
                      <w:r w:rsidRPr="004D5BED">
                        <w:rPr>
                          <w:rFonts w:ascii="Times New Roman" w:hAnsi="Times New Roman" w:cs="Times New Roman"/>
                          <w:b/>
                          <w:i/>
                          <w:color w:val="4A442A" w:themeColor="background2" w:themeShade="40"/>
                          <w:sz w:val="20"/>
                          <w:szCs w:val="20"/>
                          <w:lang w:val="en-US"/>
                        </w:rPr>
                        <w:t>n e shërbimeve të kontrollit mjekësor bazë për grupmoshat 35-70</w:t>
                      </w:r>
                      <w:r w:rsidRPr="004D5BED">
                        <w:rPr>
                          <w:rFonts w:ascii="Times New Roman" w:hAnsi="Times New Roman" w:cs="Times New Roman"/>
                          <w:b/>
                          <w:i/>
                          <w:sz w:val="20"/>
                          <w:szCs w:val="20"/>
                          <w:lang w:val="en-US"/>
                        </w:rPr>
                        <w:t>”</w:t>
                      </w:r>
                    </w:p>
                    <w:p w:rsidR="0025668C" w:rsidRPr="005129AE" w:rsidRDefault="0025668C" w:rsidP="0022192C">
                      <w:pPr>
                        <w:pStyle w:val="ListParagraph"/>
                        <w:numPr>
                          <w:ilvl w:val="0"/>
                          <w:numId w:val="4"/>
                        </w:numPr>
                        <w:ind w:left="90"/>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sidRPr="005129AE">
                        <w:rPr>
                          <w:rFonts w:ascii="Times New Roman" w:hAnsi="Times New Roman" w:cs="Times New Roman"/>
                          <w:color w:val="000000" w:themeColor="text1"/>
                        </w:rPr>
                        <w:t>Ministria e Sh</w:t>
                      </w:r>
                      <w:r>
                        <w:rPr>
                          <w:rFonts w:ascii="Times New Roman" w:hAnsi="Times New Roman" w:cs="Times New Roman"/>
                          <w:color w:val="000000" w:themeColor="text1"/>
                        </w:rPr>
                        <w:t>ë</w:t>
                      </w:r>
                      <w:r w:rsidRPr="005129AE">
                        <w:rPr>
                          <w:rFonts w:ascii="Times New Roman" w:hAnsi="Times New Roman" w:cs="Times New Roman"/>
                          <w:color w:val="000000" w:themeColor="text1"/>
                        </w:rPr>
                        <w:t>ndet</w:t>
                      </w:r>
                      <w:r>
                        <w:rPr>
                          <w:rFonts w:ascii="Times New Roman" w:hAnsi="Times New Roman" w:cs="Times New Roman"/>
                          <w:color w:val="000000" w:themeColor="text1"/>
                        </w:rPr>
                        <w:t>ë</w:t>
                      </w:r>
                      <w:r w:rsidRPr="005129AE">
                        <w:rPr>
                          <w:rFonts w:ascii="Times New Roman" w:hAnsi="Times New Roman" w:cs="Times New Roman"/>
                          <w:color w:val="000000" w:themeColor="text1"/>
                        </w:rPr>
                        <w:t>sis</w:t>
                      </w:r>
                      <w:r>
                        <w:rPr>
                          <w:rFonts w:ascii="Times New Roman" w:hAnsi="Times New Roman" w:cs="Times New Roman"/>
                          <w:color w:val="000000" w:themeColor="text1"/>
                        </w:rPr>
                        <w:t>ë</w:t>
                      </w:r>
                      <w:r w:rsidRPr="005129AE">
                        <w:rPr>
                          <w:rFonts w:ascii="Times New Roman" w:hAnsi="Times New Roman" w:cs="Times New Roman"/>
                          <w:color w:val="000000" w:themeColor="text1"/>
                        </w:rPr>
                        <w:t xml:space="preserve"> dhe Mbrojtjes Sociale</w:t>
                      </w:r>
                    </w:p>
                    <w:p w:rsidR="0025668C" w:rsidRDefault="0025668C" w:rsidP="0022192C">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Pr>
                          <w:rFonts w:ascii="Times New Roman" w:hAnsi="Times New Roman" w:cs="Times New Roman"/>
                          <w:szCs w:val="24"/>
                        </w:rPr>
                        <w:t>3P Life Logistic</w:t>
                      </w:r>
                      <w:r w:rsidRPr="000B0C8F">
                        <w:rPr>
                          <w:rFonts w:ascii="Times New Roman" w:hAnsi="Times New Roman" w:cs="Times New Roman"/>
                          <w:szCs w:val="24"/>
                        </w:rPr>
                        <w:t xml:space="preserve"> sh.p.k</w:t>
                      </w:r>
                      <w:r>
                        <w:rPr>
                          <w:rFonts w:ascii="Times New Roman" w:hAnsi="Times New Roman" w:cs="Times New Roman"/>
                          <w:color w:val="000000" w:themeColor="text1"/>
                        </w:rPr>
                        <w:t xml:space="preserve">                     </w:t>
                      </w:r>
                    </w:p>
                    <w:p w:rsidR="0025668C" w:rsidRPr="00EF5479" w:rsidRDefault="0025668C" w:rsidP="0022192C">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172 milionë Lekë               </w:t>
                      </w:r>
                    </w:p>
                    <w:p w:rsidR="0025668C" w:rsidRPr="00EF5479" w:rsidRDefault="0025668C" w:rsidP="0022192C">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07.01.2015</w:t>
                      </w:r>
                    </w:p>
                    <w:p w:rsidR="0025668C" w:rsidRPr="00EF5479" w:rsidRDefault="0025668C" w:rsidP="0022192C">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10 vite</w:t>
                      </w:r>
                    </w:p>
                    <w:p w:rsidR="0025668C" w:rsidRPr="006A445E" w:rsidRDefault="0025668C" w:rsidP="0022192C">
                      <w:pPr>
                        <w:pStyle w:val="ListParagraph"/>
                        <w:numPr>
                          <w:ilvl w:val="0"/>
                          <w:numId w:val="4"/>
                        </w:numPr>
                        <w:ind w:left="90"/>
                        <w:jc w:val="both"/>
                        <w:rPr>
                          <w:rFonts w:ascii="Times New Roman" w:hAnsi="Times New Roman" w:cs="Times New Roman"/>
                          <w:color w:val="000000" w:themeColor="text1"/>
                        </w:rPr>
                      </w:pPr>
                      <w:r w:rsidRPr="001152B7">
                        <w:rPr>
                          <w:rFonts w:ascii="Times New Roman" w:hAnsi="Times New Roman" w:cs="Times New Roman"/>
                          <w:b/>
                          <w:color w:val="000000" w:themeColor="text1"/>
                        </w:rPr>
                        <w:t xml:space="preserve">Faza aktuale e projektit:       </w:t>
                      </w:r>
                      <w:r w:rsidRPr="001152B7">
                        <w:rPr>
                          <w:rFonts w:ascii="Times New Roman" w:hAnsi="Times New Roman" w:cs="Times New Roman"/>
                          <w:color w:val="000000" w:themeColor="text1"/>
                        </w:rPr>
                        <w:t>Operim</w:t>
                      </w:r>
                    </w:p>
                  </w:txbxContent>
                </v:textbox>
                <w10:wrap type="square" anchorx="margin" anchory="page"/>
              </v:shape>
            </w:pict>
          </mc:Fallback>
        </mc:AlternateContent>
      </w:r>
      <w:r w:rsidR="0022192C" w:rsidRPr="009B6417">
        <w:rPr>
          <w:rFonts w:ascii="Times New Roman" w:hAnsi="Times New Roman" w:cs="Times New Roman"/>
          <w:sz w:val="24"/>
          <w:szCs w:val="24"/>
        </w:rPr>
        <w:t xml:space="preserve">Ky  projekt është propozim i kërkuar nga Ministria e Shëndetësisë dhe Mbrojtjes Sociale, i nënshkruar në vitin </w:t>
      </w:r>
      <w:r w:rsidR="005179BC" w:rsidRPr="009B6417">
        <w:rPr>
          <w:rFonts w:ascii="Times New Roman" w:hAnsi="Times New Roman" w:cs="Times New Roman"/>
          <w:sz w:val="24"/>
          <w:szCs w:val="24"/>
        </w:rPr>
        <w:t>2015 me shoqërinë koncesionare “3P Life Logistic” dhe ka koh</w:t>
      </w:r>
      <w:r w:rsidR="00543F1B" w:rsidRPr="009B6417">
        <w:rPr>
          <w:rFonts w:ascii="Times New Roman" w:hAnsi="Times New Roman" w:cs="Times New Roman"/>
          <w:sz w:val="24"/>
          <w:szCs w:val="24"/>
        </w:rPr>
        <w:t>ë</w:t>
      </w:r>
      <w:r w:rsidR="005179BC" w:rsidRPr="009B6417">
        <w:rPr>
          <w:rFonts w:ascii="Times New Roman" w:hAnsi="Times New Roman" w:cs="Times New Roman"/>
          <w:sz w:val="24"/>
          <w:szCs w:val="24"/>
        </w:rPr>
        <w:t>zgjatje prej 10 vitesh.</w:t>
      </w:r>
    </w:p>
    <w:p w14:paraId="4068F0E3" w14:textId="77777777" w:rsidR="00D259F9" w:rsidRPr="009B6417" w:rsidRDefault="009E7CE3" w:rsidP="00D66E2E">
      <w:pPr>
        <w:spacing w:after="0"/>
        <w:jc w:val="both"/>
        <w:rPr>
          <w:rFonts w:ascii="Times New Roman" w:hAnsi="Times New Roman" w:cs="Times New Roman"/>
          <w:sz w:val="24"/>
          <w:szCs w:val="24"/>
          <w:lang w:val="en-US"/>
        </w:rPr>
      </w:pPr>
      <w:r w:rsidRPr="009B6417">
        <w:rPr>
          <w:rFonts w:ascii="Times New Roman" w:hAnsi="Times New Roman" w:cs="Times New Roman"/>
          <w:sz w:val="24"/>
          <w:szCs w:val="24"/>
        </w:rPr>
        <w:t>Ky partneritet p</w:t>
      </w:r>
      <w:r w:rsidR="00D8390C" w:rsidRPr="009B6417">
        <w:rPr>
          <w:rFonts w:ascii="Times New Roman" w:hAnsi="Times New Roman" w:cs="Times New Roman"/>
          <w:sz w:val="24"/>
          <w:szCs w:val="24"/>
        </w:rPr>
        <w:t>ublik-privat ka si q</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llim kontrollin mjek</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sor baz</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 xml:space="preserve"> q</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 xml:space="preserve"> </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sht</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 xml:space="preserve"> nj</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 xml:space="preserve"> program komb</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tar i cili synon depistimin e popullat</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s p</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r faktor</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t e rrezikut dhe s</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mundjet m</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 xml:space="preserve"> t</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 xml:space="preserve"> p</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rhapura</w:t>
      </w:r>
      <w:r w:rsidR="00C34D0A">
        <w:rPr>
          <w:rFonts w:ascii="Times New Roman" w:hAnsi="Times New Roman" w:cs="Times New Roman"/>
          <w:sz w:val="24"/>
          <w:szCs w:val="24"/>
        </w:rPr>
        <w:t>,</w:t>
      </w:r>
      <w:r w:rsidR="00D8390C" w:rsidRPr="009B6417">
        <w:rPr>
          <w:rFonts w:ascii="Times New Roman" w:hAnsi="Times New Roman" w:cs="Times New Roman"/>
          <w:sz w:val="24"/>
          <w:szCs w:val="24"/>
        </w:rPr>
        <w:t xml:space="preserve"> me q</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llim kujdesin p</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r sh</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ndetin, parandalimin e s</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mundjeve dhe komplikacioneve, zbulimin e hersh</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m t</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 xml:space="preserve"> çrregullimeve, mjekimin n</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 xml:space="preserve"> fazat e hershme dhe p</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rmir</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simin e kultur</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s sh</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ndet</w:t>
      </w:r>
      <w:r w:rsidR="00543F1B" w:rsidRPr="009B6417">
        <w:rPr>
          <w:rFonts w:ascii="Times New Roman" w:hAnsi="Times New Roman" w:cs="Times New Roman"/>
          <w:sz w:val="24"/>
          <w:szCs w:val="24"/>
        </w:rPr>
        <w:t>ë</w:t>
      </w:r>
      <w:r w:rsidR="00D8390C" w:rsidRPr="009B6417">
        <w:rPr>
          <w:rFonts w:ascii="Times New Roman" w:hAnsi="Times New Roman" w:cs="Times New Roman"/>
          <w:sz w:val="24"/>
          <w:szCs w:val="24"/>
        </w:rPr>
        <w:t>sore.</w:t>
      </w:r>
      <w:r w:rsidR="00D8390C" w:rsidRPr="009B6417">
        <w:rPr>
          <w:rFonts w:ascii="Times New Roman" w:hAnsi="Times New Roman" w:cs="Times New Roman"/>
          <w:sz w:val="24"/>
          <w:szCs w:val="24"/>
          <w:lang w:val="en-US"/>
        </w:rPr>
        <w:t xml:space="preserve"> </w:t>
      </w:r>
    </w:p>
    <w:p w14:paraId="14EE10EE" w14:textId="77777777" w:rsidR="00760261" w:rsidRDefault="00D259F9" w:rsidP="00D66E2E">
      <w:pPr>
        <w:spacing w:after="0"/>
        <w:jc w:val="both"/>
        <w:rPr>
          <w:rFonts w:ascii="Times New Roman" w:hAnsi="Times New Roman" w:cs="Times New Roman"/>
          <w:sz w:val="24"/>
          <w:szCs w:val="24"/>
          <w:lang w:val="en-US"/>
        </w:rPr>
      </w:pPr>
      <w:r w:rsidRPr="009B6417">
        <w:rPr>
          <w:rFonts w:ascii="Times New Roman" w:hAnsi="Times New Roman" w:cs="Times New Roman"/>
          <w:sz w:val="24"/>
          <w:szCs w:val="24"/>
          <w:lang w:val="en-US"/>
        </w:rPr>
        <w:t>Kjo kontrat</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ka filluar t</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implementohet n</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dat</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31.03.2015 dhe zbatimi </w:t>
      </w:r>
      <w:r w:rsidR="00543F1B" w:rsidRPr="009B6417">
        <w:rPr>
          <w:rFonts w:ascii="Times New Roman" w:hAnsi="Times New Roman" w:cs="Times New Roman"/>
          <w:sz w:val="24"/>
          <w:szCs w:val="24"/>
          <w:lang w:val="en-US"/>
        </w:rPr>
        <w:t>i</w:t>
      </w:r>
      <w:r w:rsidRPr="009B6417">
        <w:rPr>
          <w:rFonts w:ascii="Times New Roman" w:hAnsi="Times New Roman" w:cs="Times New Roman"/>
          <w:sz w:val="24"/>
          <w:szCs w:val="24"/>
          <w:lang w:val="en-US"/>
        </w:rPr>
        <w:t xml:space="preserve"> projektit ka ecur sipas afateve t</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p</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rcaktuara n</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t</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N</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baz</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t</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k</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saj kontrate, shoq</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ria koncesionare ka marr</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p</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rsip</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r t</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nd</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rtoj</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pajis</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m</w:t>
      </w:r>
      <w:r w:rsidR="00C34D0A">
        <w:rPr>
          <w:rFonts w:ascii="Times New Roman" w:hAnsi="Times New Roman" w:cs="Times New Roman"/>
          <w:sz w:val="24"/>
          <w:szCs w:val="24"/>
          <w:lang w:val="en-US"/>
        </w:rPr>
        <w:t>e</w:t>
      </w:r>
      <w:r w:rsidRPr="009B6417">
        <w:rPr>
          <w:rFonts w:ascii="Times New Roman" w:hAnsi="Times New Roman" w:cs="Times New Roman"/>
          <w:sz w:val="24"/>
          <w:szCs w:val="24"/>
          <w:lang w:val="en-US"/>
        </w:rPr>
        <w:t xml:space="preserve"> aparaturat mjek</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sore t</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nevojshme, operoj</w:t>
      </w:r>
      <w:r w:rsidR="00543F1B" w:rsidRPr="009B6417">
        <w:rPr>
          <w:rFonts w:ascii="Times New Roman" w:hAnsi="Times New Roman" w:cs="Times New Roman"/>
          <w:sz w:val="24"/>
          <w:szCs w:val="24"/>
          <w:lang w:val="en-US"/>
        </w:rPr>
        <w:t>ë</w:t>
      </w:r>
      <w:r w:rsidRPr="009B6417">
        <w:rPr>
          <w:rFonts w:ascii="Times New Roman" w:hAnsi="Times New Roman" w:cs="Times New Roman"/>
          <w:sz w:val="24"/>
          <w:szCs w:val="24"/>
          <w:lang w:val="en-US"/>
        </w:rPr>
        <w:t xml:space="preserve"> dhe menaxhoj</w:t>
      </w:r>
      <w:r w:rsidR="00543F1B" w:rsidRPr="009B6417">
        <w:rPr>
          <w:rFonts w:ascii="Times New Roman" w:hAnsi="Times New Roman" w:cs="Times New Roman"/>
          <w:sz w:val="24"/>
          <w:szCs w:val="24"/>
          <w:lang w:val="en-US"/>
        </w:rPr>
        <w:t>ë</w:t>
      </w:r>
      <w:r w:rsidR="00760261">
        <w:rPr>
          <w:rFonts w:ascii="Times New Roman" w:hAnsi="Times New Roman" w:cs="Times New Roman"/>
          <w:sz w:val="24"/>
          <w:szCs w:val="24"/>
          <w:lang w:val="en-US"/>
        </w:rPr>
        <w:t xml:space="preserve"> 20 laboratore. </w:t>
      </w:r>
    </w:p>
    <w:p w14:paraId="0C0C337C" w14:textId="77777777" w:rsidR="00510421" w:rsidRDefault="00D8390C" w:rsidP="00F10B84">
      <w:pPr>
        <w:tabs>
          <w:tab w:val="left" w:pos="1739"/>
        </w:tabs>
        <w:spacing w:after="0"/>
        <w:jc w:val="both"/>
        <w:rPr>
          <w:rFonts w:ascii="Times New Roman" w:hAnsi="Times New Roman" w:cs="Times New Roman"/>
          <w:sz w:val="24"/>
          <w:szCs w:val="24"/>
        </w:rPr>
      </w:pPr>
      <w:r w:rsidRPr="009B6417">
        <w:rPr>
          <w:rFonts w:ascii="Times New Roman" w:hAnsi="Times New Roman" w:cs="Times New Roman"/>
          <w:sz w:val="24"/>
          <w:szCs w:val="24"/>
        </w:rPr>
        <w:t>Ky sh</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rbim p</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rfitohet falas nga t</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 xml:space="preserve"> gjith</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 xml:space="preserve"> shtetasit e grupmosh</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 xml:space="preserve">s </w:t>
      </w:r>
      <w:r w:rsidR="004967BC" w:rsidRPr="009B6417">
        <w:rPr>
          <w:rFonts w:ascii="Times New Roman" w:hAnsi="Times New Roman" w:cs="Times New Roman"/>
          <w:sz w:val="24"/>
          <w:szCs w:val="24"/>
        </w:rPr>
        <w:t>35</w:t>
      </w:r>
      <w:r w:rsidRPr="009B6417">
        <w:rPr>
          <w:rFonts w:ascii="Times New Roman" w:hAnsi="Times New Roman" w:cs="Times New Roman"/>
          <w:sz w:val="24"/>
          <w:szCs w:val="24"/>
        </w:rPr>
        <w:t>-</w:t>
      </w:r>
      <w:r w:rsidR="004967BC" w:rsidRPr="009B6417">
        <w:rPr>
          <w:rFonts w:ascii="Times New Roman" w:hAnsi="Times New Roman" w:cs="Times New Roman"/>
          <w:sz w:val="24"/>
          <w:szCs w:val="24"/>
        </w:rPr>
        <w:t>70</w:t>
      </w:r>
      <w:r w:rsidRPr="009B6417">
        <w:rPr>
          <w:rFonts w:ascii="Times New Roman" w:hAnsi="Times New Roman" w:cs="Times New Roman"/>
          <w:sz w:val="24"/>
          <w:szCs w:val="24"/>
        </w:rPr>
        <w:t xml:space="preserve"> vjeç</w:t>
      </w:r>
      <w:r w:rsidR="00C34D0A">
        <w:rPr>
          <w:rFonts w:ascii="Times New Roman" w:hAnsi="Times New Roman" w:cs="Times New Roman"/>
          <w:sz w:val="24"/>
          <w:szCs w:val="24"/>
        </w:rPr>
        <w:t>,</w:t>
      </w:r>
      <w:r w:rsidRPr="009B6417">
        <w:rPr>
          <w:rFonts w:ascii="Times New Roman" w:hAnsi="Times New Roman" w:cs="Times New Roman"/>
          <w:sz w:val="24"/>
          <w:szCs w:val="24"/>
        </w:rPr>
        <w:t xml:space="preserve"> me q</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ndrim t</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 xml:space="preserve"> p</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rhersh</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m n</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 xml:space="preserve"> Republik</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n e Shqip</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ris</w:t>
      </w:r>
      <w:r w:rsidR="00543F1B" w:rsidRPr="009B6417">
        <w:rPr>
          <w:rFonts w:ascii="Times New Roman" w:hAnsi="Times New Roman" w:cs="Times New Roman"/>
          <w:sz w:val="24"/>
          <w:szCs w:val="24"/>
        </w:rPr>
        <w:t>ë</w:t>
      </w:r>
      <w:r w:rsidRPr="009B6417">
        <w:rPr>
          <w:rFonts w:ascii="Times New Roman" w:hAnsi="Times New Roman" w:cs="Times New Roman"/>
          <w:sz w:val="24"/>
          <w:szCs w:val="24"/>
        </w:rPr>
        <w:t xml:space="preserve">. </w:t>
      </w:r>
    </w:p>
    <w:p w14:paraId="4B1FD84A" w14:textId="77777777" w:rsidR="00510421" w:rsidRPr="00E7746E" w:rsidRDefault="00510421" w:rsidP="00F10B84">
      <w:pPr>
        <w:tabs>
          <w:tab w:val="left" w:pos="1739"/>
        </w:tabs>
        <w:spacing w:after="0"/>
        <w:jc w:val="both"/>
        <w:rPr>
          <w:rFonts w:ascii="Times New Roman" w:hAnsi="Times New Roman" w:cs="Times New Roman"/>
          <w:sz w:val="8"/>
          <w:szCs w:val="24"/>
        </w:rPr>
      </w:pPr>
    </w:p>
    <w:p w14:paraId="1FB96A39" w14:textId="77777777" w:rsidR="00A72EF8" w:rsidRPr="009B6417" w:rsidRDefault="00A72EF8" w:rsidP="004C1F25">
      <w:pPr>
        <w:pStyle w:val="Heading2"/>
        <w:numPr>
          <w:ilvl w:val="2"/>
          <w:numId w:val="32"/>
        </w:numPr>
        <w:ind w:left="630"/>
        <w:rPr>
          <w:rFonts w:ascii="Times New Roman" w:eastAsia="Times New Roman" w:hAnsi="Times New Roman" w:cs="Times New Roman"/>
          <w:b/>
          <w:i/>
          <w:color w:val="auto"/>
          <w:sz w:val="24"/>
          <w:szCs w:val="24"/>
        </w:rPr>
      </w:pPr>
      <w:bookmarkStart w:id="76" w:name="_Toc21689810"/>
      <w:bookmarkStart w:id="77" w:name="_Toc23765732"/>
      <w:bookmarkStart w:id="78" w:name="_Toc37196702"/>
      <w:r w:rsidRPr="009B6417">
        <w:rPr>
          <w:rFonts w:ascii="Times New Roman" w:eastAsia="Times New Roman" w:hAnsi="Times New Roman" w:cs="Times New Roman"/>
          <w:b/>
          <w:i/>
          <w:color w:val="auto"/>
          <w:sz w:val="24"/>
          <w:szCs w:val="24"/>
        </w:rPr>
        <w:t>Performanca e projektit dhe lloji i financimit</w:t>
      </w:r>
      <w:bookmarkEnd w:id="76"/>
      <w:bookmarkEnd w:id="77"/>
      <w:bookmarkEnd w:id="78"/>
    </w:p>
    <w:p w14:paraId="272CD04B" w14:textId="77777777" w:rsidR="009E7608" w:rsidRPr="004D4D01" w:rsidRDefault="009E7608" w:rsidP="00A72EF8">
      <w:pPr>
        <w:pStyle w:val="NoSpacing"/>
        <w:spacing w:line="276" w:lineRule="auto"/>
        <w:jc w:val="both"/>
        <w:rPr>
          <w:rFonts w:ascii="Times New Roman" w:hAnsi="Times New Roman" w:cs="Times New Roman"/>
          <w:sz w:val="4"/>
          <w:szCs w:val="24"/>
          <w:lang w:val="sq-AL"/>
        </w:rPr>
      </w:pPr>
    </w:p>
    <w:p w14:paraId="7D3FA0F0" w14:textId="77777777" w:rsidR="0088668F" w:rsidRPr="00161B15" w:rsidRDefault="009E7608" w:rsidP="00A72EF8">
      <w:pPr>
        <w:pStyle w:val="NoSpacing"/>
        <w:spacing w:line="276" w:lineRule="auto"/>
        <w:jc w:val="both"/>
        <w:rPr>
          <w:rFonts w:ascii="Times New Roman" w:hAnsi="Times New Roman" w:cs="Times New Roman"/>
          <w:sz w:val="24"/>
          <w:szCs w:val="24"/>
          <w:lang w:val="sq-AL"/>
        </w:rPr>
      </w:pPr>
      <w:r w:rsidRPr="00161B15">
        <w:rPr>
          <w:rFonts w:ascii="Times New Roman" w:hAnsi="Times New Roman" w:cs="Times New Roman"/>
          <w:sz w:val="24"/>
          <w:szCs w:val="24"/>
          <w:lang w:val="sq-AL"/>
        </w:rPr>
        <w:t>P</w:t>
      </w:r>
      <w:r w:rsidR="0015187E" w:rsidRPr="00161B15">
        <w:rPr>
          <w:rFonts w:ascii="Times New Roman" w:hAnsi="Times New Roman" w:cs="Times New Roman"/>
          <w:sz w:val="24"/>
          <w:szCs w:val="24"/>
          <w:lang w:val="sq-AL"/>
        </w:rPr>
        <w:t>ë</w:t>
      </w:r>
      <w:r w:rsidRPr="00161B15">
        <w:rPr>
          <w:rFonts w:ascii="Times New Roman" w:hAnsi="Times New Roman" w:cs="Times New Roman"/>
          <w:sz w:val="24"/>
          <w:szCs w:val="24"/>
          <w:lang w:val="sq-AL"/>
        </w:rPr>
        <w:t>r k</w:t>
      </w:r>
      <w:r w:rsidR="0015187E" w:rsidRPr="00161B15">
        <w:rPr>
          <w:rFonts w:ascii="Times New Roman" w:hAnsi="Times New Roman" w:cs="Times New Roman"/>
          <w:sz w:val="24"/>
          <w:szCs w:val="24"/>
          <w:lang w:val="sq-AL"/>
        </w:rPr>
        <w:t>ë</w:t>
      </w:r>
      <w:r w:rsidRPr="00161B15">
        <w:rPr>
          <w:rFonts w:ascii="Times New Roman" w:hAnsi="Times New Roman" w:cs="Times New Roman"/>
          <w:sz w:val="24"/>
          <w:szCs w:val="24"/>
          <w:lang w:val="sq-AL"/>
        </w:rPr>
        <w:t>t</w:t>
      </w:r>
      <w:r w:rsidR="0015187E" w:rsidRPr="00161B15">
        <w:rPr>
          <w:rFonts w:ascii="Times New Roman" w:hAnsi="Times New Roman" w:cs="Times New Roman"/>
          <w:sz w:val="24"/>
          <w:szCs w:val="24"/>
          <w:lang w:val="sq-AL"/>
        </w:rPr>
        <w:t>ë</w:t>
      </w:r>
      <w:r w:rsidRPr="00161B15">
        <w:rPr>
          <w:rFonts w:ascii="Times New Roman" w:hAnsi="Times New Roman" w:cs="Times New Roman"/>
          <w:sz w:val="24"/>
          <w:szCs w:val="24"/>
          <w:lang w:val="sq-AL"/>
        </w:rPr>
        <w:t xml:space="preserve"> kontrat</w:t>
      </w:r>
      <w:r w:rsidR="0015187E" w:rsidRPr="00161B15">
        <w:rPr>
          <w:rFonts w:ascii="Times New Roman" w:hAnsi="Times New Roman" w:cs="Times New Roman"/>
          <w:sz w:val="24"/>
          <w:szCs w:val="24"/>
          <w:lang w:val="sq-AL"/>
        </w:rPr>
        <w:t>ë</w:t>
      </w:r>
      <w:r w:rsidR="00C1631F">
        <w:rPr>
          <w:rFonts w:ascii="Times New Roman" w:hAnsi="Times New Roman" w:cs="Times New Roman"/>
          <w:sz w:val="24"/>
          <w:szCs w:val="24"/>
          <w:lang w:val="sq-AL"/>
        </w:rPr>
        <w:t xml:space="preserve"> partneriteti publik privat</w:t>
      </w:r>
      <w:r w:rsidRPr="00161B15">
        <w:rPr>
          <w:rFonts w:ascii="Times New Roman" w:hAnsi="Times New Roman" w:cs="Times New Roman"/>
          <w:sz w:val="24"/>
          <w:szCs w:val="24"/>
          <w:lang w:val="sq-AL"/>
        </w:rPr>
        <w:t xml:space="preserve"> n</w:t>
      </w:r>
      <w:r w:rsidR="0015187E" w:rsidRPr="00161B15">
        <w:rPr>
          <w:rFonts w:ascii="Times New Roman" w:hAnsi="Times New Roman" w:cs="Times New Roman"/>
          <w:sz w:val="24"/>
          <w:szCs w:val="24"/>
          <w:lang w:val="sq-AL"/>
        </w:rPr>
        <w:t>ë</w:t>
      </w:r>
      <w:r w:rsidRPr="00161B15">
        <w:rPr>
          <w:rFonts w:ascii="Times New Roman" w:hAnsi="Times New Roman" w:cs="Times New Roman"/>
          <w:sz w:val="24"/>
          <w:szCs w:val="24"/>
          <w:lang w:val="sq-AL"/>
        </w:rPr>
        <w:t xml:space="preserve"> nivel vjetor jan</w:t>
      </w:r>
      <w:r w:rsidR="0015187E" w:rsidRPr="00161B15">
        <w:rPr>
          <w:rFonts w:ascii="Times New Roman" w:hAnsi="Times New Roman" w:cs="Times New Roman"/>
          <w:sz w:val="24"/>
          <w:szCs w:val="24"/>
          <w:lang w:val="sq-AL"/>
        </w:rPr>
        <w:t>ë</w:t>
      </w:r>
      <w:r w:rsidRPr="00161B15">
        <w:rPr>
          <w:rFonts w:ascii="Times New Roman" w:hAnsi="Times New Roman" w:cs="Times New Roman"/>
          <w:sz w:val="24"/>
          <w:szCs w:val="24"/>
          <w:lang w:val="sq-AL"/>
        </w:rPr>
        <w:t xml:space="preserve"> parashikuar 475,000 p</w:t>
      </w:r>
      <w:r w:rsidR="0015187E" w:rsidRPr="00161B15">
        <w:rPr>
          <w:rFonts w:ascii="Times New Roman" w:hAnsi="Times New Roman" w:cs="Times New Roman"/>
          <w:sz w:val="24"/>
          <w:szCs w:val="24"/>
          <w:lang w:val="sq-AL"/>
        </w:rPr>
        <w:t>ë</w:t>
      </w:r>
      <w:r w:rsidRPr="00161B15">
        <w:rPr>
          <w:rFonts w:ascii="Times New Roman" w:hAnsi="Times New Roman" w:cs="Times New Roman"/>
          <w:sz w:val="24"/>
          <w:szCs w:val="24"/>
          <w:lang w:val="sq-AL"/>
        </w:rPr>
        <w:t>rfitues t</w:t>
      </w:r>
      <w:r w:rsidR="0015187E" w:rsidRPr="00161B15">
        <w:rPr>
          <w:rFonts w:ascii="Times New Roman" w:hAnsi="Times New Roman" w:cs="Times New Roman"/>
          <w:sz w:val="24"/>
          <w:szCs w:val="24"/>
          <w:lang w:val="sq-AL"/>
        </w:rPr>
        <w:t>ë</w:t>
      </w:r>
      <w:r w:rsidRPr="00161B15">
        <w:rPr>
          <w:rFonts w:ascii="Times New Roman" w:hAnsi="Times New Roman" w:cs="Times New Roman"/>
          <w:sz w:val="24"/>
          <w:szCs w:val="24"/>
          <w:lang w:val="sq-AL"/>
        </w:rPr>
        <w:t xml:space="preserve"> sh</w:t>
      </w:r>
      <w:r w:rsidR="0015187E" w:rsidRPr="00161B15">
        <w:rPr>
          <w:rFonts w:ascii="Times New Roman" w:hAnsi="Times New Roman" w:cs="Times New Roman"/>
          <w:sz w:val="24"/>
          <w:szCs w:val="24"/>
          <w:lang w:val="sq-AL"/>
        </w:rPr>
        <w:t>ë</w:t>
      </w:r>
      <w:r w:rsidRPr="00161B15">
        <w:rPr>
          <w:rFonts w:ascii="Times New Roman" w:hAnsi="Times New Roman" w:cs="Times New Roman"/>
          <w:sz w:val="24"/>
          <w:szCs w:val="24"/>
          <w:lang w:val="sq-AL"/>
        </w:rPr>
        <w:t>rbimit, pra 39,583 raste n</w:t>
      </w:r>
      <w:r w:rsidR="0015187E" w:rsidRPr="00161B15">
        <w:rPr>
          <w:rFonts w:ascii="Times New Roman" w:hAnsi="Times New Roman" w:cs="Times New Roman"/>
          <w:sz w:val="24"/>
          <w:szCs w:val="24"/>
          <w:lang w:val="sq-AL"/>
        </w:rPr>
        <w:t>ë</w:t>
      </w:r>
      <w:r w:rsidRPr="00161B15">
        <w:rPr>
          <w:rFonts w:ascii="Times New Roman" w:hAnsi="Times New Roman" w:cs="Times New Roman"/>
          <w:sz w:val="24"/>
          <w:szCs w:val="24"/>
          <w:lang w:val="sq-AL"/>
        </w:rPr>
        <w:t xml:space="preserve"> muaj. </w:t>
      </w:r>
      <w:r w:rsidR="00A20C2F" w:rsidRPr="00BB7647">
        <w:rPr>
          <w:rFonts w:ascii="Times New Roman" w:hAnsi="Times New Roman" w:cs="Times New Roman"/>
          <w:sz w:val="24"/>
          <w:szCs w:val="24"/>
          <w:lang w:val="sq-AL"/>
        </w:rPr>
        <w:t>Rreziku</w:t>
      </w:r>
      <w:r w:rsidR="009E42DB" w:rsidRPr="00BB7647">
        <w:rPr>
          <w:rFonts w:ascii="Times New Roman" w:hAnsi="Times New Roman" w:cs="Times New Roman"/>
          <w:sz w:val="24"/>
          <w:szCs w:val="24"/>
          <w:lang w:val="sq-AL"/>
        </w:rPr>
        <w:t xml:space="preserve"> i kërkesës</w:t>
      </w:r>
      <w:r w:rsidR="00C00EEB" w:rsidRPr="00BB7647">
        <w:rPr>
          <w:rFonts w:ascii="Times New Roman" w:hAnsi="Times New Roman" w:cs="Times New Roman"/>
          <w:sz w:val="24"/>
          <w:szCs w:val="24"/>
          <w:lang w:val="sq-AL"/>
        </w:rPr>
        <w:t xml:space="preserve"> mund të </w:t>
      </w:r>
      <w:r w:rsidR="00DD3606" w:rsidRPr="00BB7647">
        <w:rPr>
          <w:rFonts w:ascii="Times New Roman" w:hAnsi="Times New Roman" w:cs="Times New Roman"/>
          <w:sz w:val="24"/>
          <w:szCs w:val="24"/>
          <w:lang w:val="sq-AL"/>
        </w:rPr>
        <w:t>par</w:t>
      </w:r>
      <w:r w:rsidR="00BB7647" w:rsidRPr="00BB7647">
        <w:rPr>
          <w:rFonts w:ascii="Times New Roman" w:hAnsi="Times New Roman" w:cs="Times New Roman"/>
          <w:sz w:val="24"/>
          <w:szCs w:val="24"/>
          <w:lang w:val="sq-AL"/>
        </w:rPr>
        <w:t>a</w:t>
      </w:r>
      <w:r w:rsidR="00DD3606" w:rsidRPr="00BB7647">
        <w:rPr>
          <w:rFonts w:ascii="Times New Roman" w:hAnsi="Times New Roman" w:cs="Times New Roman"/>
          <w:sz w:val="24"/>
          <w:szCs w:val="24"/>
          <w:lang w:val="sq-AL"/>
        </w:rPr>
        <w:t xml:space="preserve">shikohet </w:t>
      </w:r>
      <w:r w:rsidR="009E42DB" w:rsidRPr="00BB7647">
        <w:rPr>
          <w:rFonts w:ascii="Times New Roman" w:hAnsi="Times New Roman" w:cs="Times New Roman"/>
          <w:sz w:val="24"/>
          <w:szCs w:val="24"/>
          <w:lang w:val="sq-AL"/>
        </w:rPr>
        <w:t>i lartë</w:t>
      </w:r>
      <w:r w:rsidR="00A20C2F" w:rsidRPr="00BB7647">
        <w:rPr>
          <w:rFonts w:ascii="Times New Roman" w:hAnsi="Times New Roman" w:cs="Times New Roman"/>
          <w:sz w:val="24"/>
          <w:szCs w:val="24"/>
          <w:lang w:val="sq-AL"/>
        </w:rPr>
        <w:t xml:space="preserve"> në</w:t>
      </w:r>
      <w:r w:rsidR="00C00EEB" w:rsidRPr="00BB7647">
        <w:rPr>
          <w:rFonts w:ascii="Times New Roman" w:hAnsi="Times New Roman" w:cs="Times New Roman"/>
          <w:sz w:val="24"/>
          <w:szCs w:val="24"/>
          <w:lang w:val="sq-AL"/>
        </w:rPr>
        <w:t xml:space="preserve"> rastin e</w:t>
      </w:r>
      <w:r w:rsidR="00A20C2F" w:rsidRPr="00BB7647">
        <w:rPr>
          <w:rFonts w:ascii="Times New Roman" w:hAnsi="Times New Roman" w:cs="Times New Roman"/>
          <w:sz w:val="24"/>
          <w:szCs w:val="24"/>
          <w:lang w:val="sq-AL"/>
        </w:rPr>
        <w:t xml:space="preserve"> këtij shërbimi </w:t>
      </w:r>
      <w:r w:rsidR="00E07F5F" w:rsidRPr="00BB7647">
        <w:rPr>
          <w:rFonts w:ascii="Times New Roman" w:hAnsi="Times New Roman" w:cs="Times New Roman"/>
          <w:sz w:val="24"/>
          <w:szCs w:val="24"/>
          <w:lang w:val="sq-AL"/>
        </w:rPr>
        <w:t xml:space="preserve">dhe </w:t>
      </w:r>
      <w:r w:rsidR="00DD3606" w:rsidRPr="00BB7647">
        <w:rPr>
          <w:rFonts w:ascii="Times New Roman" w:hAnsi="Times New Roman" w:cs="Times New Roman"/>
          <w:sz w:val="24"/>
          <w:szCs w:val="24"/>
          <w:lang w:val="sq-AL"/>
        </w:rPr>
        <w:t xml:space="preserve">për këtë </w:t>
      </w:r>
      <w:r w:rsidR="003139AC" w:rsidRPr="00BB7647">
        <w:rPr>
          <w:rFonts w:ascii="Times New Roman" w:hAnsi="Times New Roman" w:cs="Times New Roman"/>
          <w:sz w:val="24"/>
          <w:szCs w:val="24"/>
          <w:lang w:val="sq-AL"/>
        </w:rPr>
        <w:t>arsye është</w:t>
      </w:r>
      <w:r w:rsidR="004C15CC" w:rsidRPr="00BB7647">
        <w:rPr>
          <w:rFonts w:ascii="Times New Roman" w:hAnsi="Times New Roman" w:cs="Times New Roman"/>
          <w:sz w:val="24"/>
          <w:szCs w:val="24"/>
          <w:lang w:val="sq-AL"/>
        </w:rPr>
        <w:t xml:space="preserve"> mbajtur nga autoriteti një pjesë e riskut</w:t>
      </w:r>
      <w:r w:rsidR="00A20C2F" w:rsidRPr="00BB7647">
        <w:rPr>
          <w:rFonts w:ascii="Times New Roman" w:hAnsi="Times New Roman" w:cs="Times New Roman"/>
          <w:sz w:val="24"/>
          <w:szCs w:val="24"/>
          <w:lang w:val="sq-AL"/>
        </w:rPr>
        <w:t xml:space="preserve"> </w:t>
      </w:r>
      <w:r w:rsidR="00E7035D" w:rsidRPr="00BB7647">
        <w:rPr>
          <w:rFonts w:ascii="Times New Roman" w:hAnsi="Times New Roman" w:cs="Times New Roman"/>
          <w:sz w:val="24"/>
          <w:szCs w:val="24"/>
          <w:lang w:val="sq-AL"/>
        </w:rPr>
        <w:t xml:space="preserve">duke </w:t>
      </w:r>
      <w:r w:rsidR="00A20C2F" w:rsidRPr="00BB7647">
        <w:rPr>
          <w:rFonts w:ascii="Times New Roman" w:hAnsi="Times New Roman" w:cs="Times New Roman"/>
          <w:sz w:val="24"/>
          <w:szCs w:val="24"/>
          <w:lang w:val="sq-AL"/>
        </w:rPr>
        <w:t xml:space="preserve"> garant</w:t>
      </w:r>
      <w:r w:rsidR="00E7035D" w:rsidRPr="00BB7647">
        <w:rPr>
          <w:rFonts w:ascii="Times New Roman" w:hAnsi="Times New Roman" w:cs="Times New Roman"/>
          <w:sz w:val="24"/>
          <w:szCs w:val="24"/>
          <w:lang w:val="sq-AL"/>
        </w:rPr>
        <w:t>uar</w:t>
      </w:r>
      <w:r w:rsidR="00A20C2F" w:rsidRPr="00BB7647">
        <w:rPr>
          <w:rFonts w:ascii="Times New Roman" w:hAnsi="Times New Roman" w:cs="Times New Roman"/>
          <w:sz w:val="24"/>
          <w:szCs w:val="24"/>
          <w:lang w:val="sq-AL"/>
        </w:rPr>
        <w:t xml:space="preserve"> nj</w:t>
      </w:r>
      <w:r w:rsidR="009E42DB" w:rsidRPr="00BB7647">
        <w:rPr>
          <w:rFonts w:ascii="Times New Roman" w:hAnsi="Times New Roman" w:cs="Times New Roman"/>
          <w:sz w:val="24"/>
          <w:szCs w:val="24"/>
          <w:lang w:val="sq-AL"/>
        </w:rPr>
        <w:t>ë</w:t>
      </w:r>
      <w:r w:rsidR="00A20C2F" w:rsidRPr="00BB7647">
        <w:rPr>
          <w:rFonts w:ascii="Times New Roman" w:hAnsi="Times New Roman" w:cs="Times New Roman"/>
          <w:sz w:val="24"/>
          <w:szCs w:val="24"/>
          <w:lang w:val="sq-AL"/>
        </w:rPr>
        <w:t xml:space="preserve"> mb</w:t>
      </w:r>
      <w:r w:rsidR="009E42DB" w:rsidRPr="00BB7647">
        <w:rPr>
          <w:rFonts w:ascii="Times New Roman" w:hAnsi="Times New Roman" w:cs="Times New Roman"/>
          <w:sz w:val="24"/>
          <w:szCs w:val="24"/>
          <w:lang w:val="sq-AL"/>
        </w:rPr>
        <w:t>ë</w:t>
      </w:r>
      <w:r w:rsidR="00A20C2F" w:rsidRPr="00BB7647">
        <w:rPr>
          <w:rFonts w:ascii="Times New Roman" w:hAnsi="Times New Roman" w:cs="Times New Roman"/>
          <w:sz w:val="24"/>
          <w:szCs w:val="24"/>
          <w:lang w:val="sq-AL"/>
        </w:rPr>
        <w:t>shtetje financiare koncesiona</w:t>
      </w:r>
      <w:r w:rsidR="009E42DB" w:rsidRPr="00BB7647">
        <w:rPr>
          <w:rFonts w:ascii="Times New Roman" w:hAnsi="Times New Roman" w:cs="Times New Roman"/>
          <w:sz w:val="24"/>
          <w:szCs w:val="24"/>
          <w:lang w:val="sq-AL"/>
        </w:rPr>
        <w:t>rit deri në</w:t>
      </w:r>
      <w:r w:rsidR="00A20C2F" w:rsidRPr="00BB7647">
        <w:rPr>
          <w:rFonts w:ascii="Times New Roman" w:hAnsi="Times New Roman" w:cs="Times New Roman"/>
          <w:sz w:val="24"/>
          <w:szCs w:val="24"/>
          <w:lang w:val="sq-AL"/>
        </w:rPr>
        <w:t xml:space="preserve"> 475.000 kontrolle në vit.</w:t>
      </w:r>
      <w:r w:rsidR="00B9694C" w:rsidRPr="00BB7647">
        <w:rPr>
          <w:rFonts w:ascii="Times New Roman" w:hAnsi="Times New Roman" w:cs="Times New Roman"/>
          <w:sz w:val="24"/>
          <w:szCs w:val="24"/>
          <w:lang w:val="sq-AL"/>
        </w:rPr>
        <w:t xml:space="preserve"> Pjesa më e kons</w:t>
      </w:r>
      <w:r w:rsidR="0088668F" w:rsidRPr="00BB7647">
        <w:rPr>
          <w:rFonts w:ascii="Times New Roman" w:hAnsi="Times New Roman" w:cs="Times New Roman"/>
          <w:sz w:val="24"/>
          <w:szCs w:val="24"/>
          <w:lang w:val="sq-AL"/>
        </w:rPr>
        <w:t>i</w:t>
      </w:r>
      <w:r w:rsidR="00B9694C" w:rsidRPr="00BB7647">
        <w:rPr>
          <w:rFonts w:ascii="Times New Roman" w:hAnsi="Times New Roman" w:cs="Times New Roman"/>
          <w:sz w:val="24"/>
          <w:szCs w:val="24"/>
          <w:lang w:val="sq-AL"/>
        </w:rPr>
        <w:t xml:space="preserve">derueshme </w:t>
      </w:r>
      <w:r w:rsidR="0088668F" w:rsidRPr="00BB7647">
        <w:rPr>
          <w:rFonts w:ascii="Times New Roman" w:hAnsi="Times New Roman" w:cs="Times New Roman"/>
          <w:sz w:val="24"/>
          <w:szCs w:val="24"/>
          <w:lang w:val="sq-AL"/>
        </w:rPr>
        <w:t xml:space="preserve">e riskut  është mbajtur nga partneri privat i cili ka detyrimin të </w:t>
      </w:r>
      <w:r w:rsidR="004D6A77" w:rsidRPr="00BB7647">
        <w:rPr>
          <w:rFonts w:ascii="Times New Roman" w:hAnsi="Times New Roman" w:cs="Times New Roman"/>
          <w:sz w:val="24"/>
          <w:szCs w:val="24"/>
          <w:lang w:val="sq-AL"/>
        </w:rPr>
        <w:t>garantojë ofrimin e s</w:t>
      </w:r>
      <w:r w:rsidR="0088668F" w:rsidRPr="00BB7647">
        <w:rPr>
          <w:rFonts w:ascii="Times New Roman" w:hAnsi="Times New Roman" w:cs="Times New Roman"/>
          <w:sz w:val="24"/>
          <w:szCs w:val="24"/>
          <w:lang w:val="sq-AL"/>
        </w:rPr>
        <w:t>hërbim</w:t>
      </w:r>
      <w:r w:rsidR="004D6A77" w:rsidRPr="00BB7647">
        <w:rPr>
          <w:rFonts w:ascii="Times New Roman" w:hAnsi="Times New Roman" w:cs="Times New Roman"/>
          <w:sz w:val="24"/>
          <w:szCs w:val="24"/>
          <w:lang w:val="sq-AL"/>
        </w:rPr>
        <w:t>it</w:t>
      </w:r>
      <w:r w:rsidR="0088668F" w:rsidRPr="00BB7647">
        <w:rPr>
          <w:rFonts w:ascii="Times New Roman" w:hAnsi="Times New Roman" w:cs="Times New Roman"/>
          <w:sz w:val="24"/>
          <w:szCs w:val="24"/>
          <w:lang w:val="sq-AL"/>
        </w:rPr>
        <w:t xml:space="preserve"> </w:t>
      </w:r>
      <w:r w:rsidR="004D6A77" w:rsidRPr="00BB7647">
        <w:rPr>
          <w:rFonts w:ascii="Times New Roman" w:hAnsi="Times New Roman" w:cs="Times New Roman"/>
          <w:sz w:val="24"/>
          <w:szCs w:val="24"/>
          <w:lang w:val="sq-AL"/>
        </w:rPr>
        <w:t xml:space="preserve">për të gjithë qytetarët </w:t>
      </w:r>
      <w:r w:rsidR="00264DBA" w:rsidRPr="00BB7647">
        <w:rPr>
          <w:rFonts w:ascii="Times New Roman" w:hAnsi="Times New Roman" w:cs="Times New Roman"/>
          <w:sz w:val="24"/>
          <w:szCs w:val="24"/>
          <w:lang w:val="sq-AL"/>
        </w:rPr>
        <w:t>e grupmoshës 35-70 vjeç.</w:t>
      </w:r>
    </w:p>
    <w:p w14:paraId="0D0E1346" w14:textId="77777777" w:rsidR="00760261" w:rsidRDefault="00A72EF8" w:rsidP="00510421">
      <w:pPr>
        <w:pStyle w:val="NoSpacing"/>
        <w:spacing w:line="276" w:lineRule="auto"/>
        <w:jc w:val="both"/>
        <w:rPr>
          <w:rFonts w:ascii="Times New Roman" w:hAnsi="Times New Roman" w:cs="Times New Roman"/>
          <w:sz w:val="24"/>
          <w:szCs w:val="24"/>
        </w:rPr>
      </w:pPr>
      <w:r w:rsidRPr="009B6417">
        <w:rPr>
          <w:rFonts w:ascii="Times New Roman" w:hAnsi="Times New Roman" w:cs="Times New Roman"/>
          <w:sz w:val="24"/>
          <w:szCs w:val="24"/>
          <w:lang w:val="sq-AL"/>
        </w:rPr>
        <w:t>Në bazë të të dhënave të raportuara</w:t>
      </w:r>
      <w:r w:rsidR="009E7608" w:rsidRPr="009B6417">
        <w:rPr>
          <w:rFonts w:ascii="Times New Roman" w:hAnsi="Times New Roman" w:cs="Times New Roman"/>
          <w:sz w:val="24"/>
          <w:szCs w:val="24"/>
          <w:lang w:val="sq-AL"/>
        </w:rPr>
        <w:t>,</w:t>
      </w:r>
      <w:r w:rsidR="00D259F9" w:rsidRPr="009B6417">
        <w:rPr>
          <w:rFonts w:ascii="Times New Roman" w:hAnsi="Times New Roman" w:cs="Times New Roman"/>
          <w:sz w:val="24"/>
          <w:szCs w:val="24"/>
        </w:rPr>
        <w:t xml:space="preserve"> numri i përfituesve të këtij shërbimi ka ardhur në rritje ndër vite</w:t>
      </w:r>
      <w:r w:rsidR="00065312" w:rsidRPr="009B6417">
        <w:rPr>
          <w:rFonts w:ascii="Times New Roman" w:hAnsi="Times New Roman" w:cs="Times New Roman"/>
          <w:sz w:val="24"/>
          <w:szCs w:val="24"/>
        </w:rPr>
        <w:t xml:space="preserve"> (shih tabela </w:t>
      </w:r>
      <w:r w:rsidR="00161B15">
        <w:rPr>
          <w:rFonts w:ascii="Times New Roman" w:hAnsi="Times New Roman" w:cs="Times New Roman"/>
          <w:sz w:val="24"/>
          <w:szCs w:val="24"/>
        </w:rPr>
        <w:t>1</w:t>
      </w:r>
      <w:r w:rsidR="00065312" w:rsidRPr="009B6417">
        <w:rPr>
          <w:rFonts w:ascii="Times New Roman" w:hAnsi="Times New Roman" w:cs="Times New Roman"/>
          <w:sz w:val="24"/>
          <w:szCs w:val="24"/>
        </w:rPr>
        <w:t>3)</w:t>
      </w:r>
      <w:r w:rsidR="00D259F9" w:rsidRPr="009B6417">
        <w:rPr>
          <w:rFonts w:ascii="Times New Roman" w:hAnsi="Times New Roman" w:cs="Times New Roman"/>
          <w:sz w:val="24"/>
          <w:szCs w:val="24"/>
        </w:rPr>
        <w:t>, duke sh</w:t>
      </w:r>
      <w:r w:rsidR="0015187E" w:rsidRPr="009B6417">
        <w:rPr>
          <w:rFonts w:ascii="Times New Roman" w:hAnsi="Times New Roman" w:cs="Times New Roman"/>
          <w:sz w:val="24"/>
          <w:szCs w:val="24"/>
        </w:rPr>
        <w:t>ë</w:t>
      </w:r>
      <w:r w:rsidR="00D259F9" w:rsidRPr="009B6417">
        <w:rPr>
          <w:rFonts w:ascii="Times New Roman" w:hAnsi="Times New Roman" w:cs="Times New Roman"/>
          <w:sz w:val="24"/>
          <w:szCs w:val="24"/>
        </w:rPr>
        <w:t xml:space="preserve">nuar </w:t>
      </w:r>
      <w:r w:rsidR="001E09C7">
        <w:rPr>
          <w:rFonts w:ascii="Times New Roman" w:eastAsia="Times New Roman" w:hAnsi="Times New Roman" w:cs="Times New Roman"/>
          <w:color w:val="000000"/>
          <w:sz w:val="24"/>
          <w:szCs w:val="24"/>
        </w:rPr>
        <w:t xml:space="preserve">482,716 </w:t>
      </w:r>
      <w:r w:rsidR="00D259F9" w:rsidRPr="009B6417">
        <w:rPr>
          <w:rFonts w:ascii="Times New Roman" w:hAnsi="Times New Roman" w:cs="Times New Roman"/>
          <w:sz w:val="24"/>
          <w:szCs w:val="24"/>
        </w:rPr>
        <w:t>kontr</w:t>
      </w:r>
      <w:r w:rsidR="00065312" w:rsidRPr="009B6417">
        <w:rPr>
          <w:rFonts w:ascii="Times New Roman" w:hAnsi="Times New Roman" w:cs="Times New Roman"/>
          <w:sz w:val="24"/>
          <w:szCs w:val="24"/>
        </w:rPr>
        <w:t>olle p</w:t>
      </w:r>
      <w:r w:rsidR="0015187E" w:rsidRPr="009B6417">
        <w:rPr>
          <w:rFonts w:ascii="Times New Roman" w:hAnsi="Times New Roman" w:cs="Times New Roman"/>
          <w:sz w:val="24"/>
          <w:szCs w:val="24"/>
        </w:rPr>
        <w:t>ë</w:t>
      </w:r>
      <w:r w:rsidR="00035C1B" w:rsidRPr="009B6417">
        <w:rPr>
          <w:rFonts w:ascii="Times New Roman" w:hAnsi="Times New Roman" w:cs="Times New Roman"/>
          <w:sz w:val="24"/>
          <w:szCs w:val="24"/>
        </w:rPr>
        <w:t xml:space="preserve">r </w:t>
      </w:r>
      <w:r w:rsidR="001E09C7">
        <w:rPr>
          <w:rFonts w:ascii="Times New Roman" w:hAnsi="Times New Roman" w:cs="Times New Roman"/>
          <w:sz w:val="24"/>
          <w:szCs w:val="24"/>
        </w:rPr>
        <w:t xml:space="preserve">vitin </w:t>
      </w:r>
      <w:r w:rsidR="00065312" w:rsidRPr="009B6417">
        <w:rPr>
          <w:rFonts w:ascii="Times New Roman" w:hAnsi="Times New Roman" w:cs="Times New Roman"/>
          <w:sz w:val="24"/>
          <w:szCs w:val="24"/>
        </w:rPr>
        <w:t xml:space="preserve">2019, ose </w:t>
      </w:r>
      <w:r w:rsidR="001E09C7">
        <w:rPr>
          <w:rFonts w:ascii="Times New Roman" w:hAnsi="Times New Roman" w:cs="Times New Roman"/>
          <w:sz w:val="24"/>
          <w:szCs w:val="24"/>
        </w:rPr>
        <w:t>2</w:t>
      </w:r>
      <w:r w:rsidR="008E465D">
        <w:rPr>
          <w:rFonts w:ascii="Times New Roman" w:hAnsi="Times New Roman" w:cs="Times New Roman"/>
          <w:sz w:val="24"/>
          <w:szCs w:val="24"/>
        </w:rPr>
        <w:t xml:space="preserve">% </w:t>
      </w:r>
      <w:r w:rsidR="00065312" w:rsidRPr="009B6417">
        <w:rPr>
          <w:rFonts w:ascii="Times New Roman" w:hAnsi="Times New Roman" w:cs="Times New Roman"/>
          <w:sz w:val="24"/>
          <w:szCs w:val="24"/>
        </w:rPr>
        <w:t>m</w:t>
      </w:r>
      <w:r w:rsidR="0015187E" w:rsidRPr="009B6417">
        <w:rPr>
          <w:rFonts w:ascii="Times New Roman" w:hAnsi="Times New Roman" w:cs="Times New Roman"/>
          <w:sz w:val="24"/>
          <w:szCs w:val="24"/>
        </w:rPr>
        <w:t>ë</w:t>
      </w:r>
      <w:r w:rsidR="00065312" w:rsidRPr="009B6417">
        <w:rPr>
          <w:rFonts w:ascii="Times New Roman" w:hAnsi="Times New Roman" w:cs="Times New Roman"/>
          <w:sz w:val="24"/>
          <w:szCs w:val="24"/>
        </w:rPr>
        <w:t xml:space="preserve"> shum</w:t>
      </w:r>
      <w:r w:rsidR="0015187E" w:rsidRPr="009B6417">
        <w:rPr>
          <w:rFonts w:ascii="Times New Roman" w:hAnsi="Times New Roman" w:cs="Times New Roman"/>
          <w:sz w:val="24"/>
          <w:szCs w:val="24"/>
        </w:rPr>
        <w:t>ë</w:t>
      </w:r>
      <w:r w:rsidR="00065312" w:rsidRPr="009B6417">
        <w:rPr>
          <w:rFonts w:ascii="Times New Roman" w:hAnsi="Times New Roman" w:cs="Times New Roman"/>
          <w:sz w:val="24"/>
          <w:szCs w:val="24"/>
        </w:rPr>
        <w:t xml:space="preserve"> </w:t>
      </w:r>
      <w:r w:rsidR="00E7746E">
        <w:rPr>
          <w:rFonts w:ascii="Times New Roman" w:hAnsi="Times New Roman" w:cs="Times New Roman"/>
          <w:sz w:val="24"/>
          <w:szCs w:val="24"/>
        </w:rPr>
        <w:t>nga projeksioni i periudhës.</w:t>
      </w:r>
    </w:p>
    <w:p w14:paraId="7006101C" w14:textId="77777777" w:rsidR="002C66FB" w:rsidRDefault="002C66FB" w:rsidP="00510421">
      <w:pPr>
        <w:pStyle w:val="NoSpacing"/>
        <w:spacing w:line="276" w:lineRule="auto"/>
        <w:jc w:val="both"/>
        <w:rPr>
          <w:rFonts w:ascii="Times New Roman" w:hAnsi="Times New Roman" w:cs="Times New Roman"/>
          <w:sz w:val="24"/>
          <w:szCs w:val="24"/>
        </w:rPr>
      </w:pPr>
    </w:p>
    <w:p w14:paraId="33A4FE67" w14:textId="77777777" w:rsidR="00760261" w:rsidRPr="00E7746E" w:rsidRDefault="00760261" w:rsidP="00510421">
      <w:pPr>
        <w:pStyle w:val="NoSpacing"/>
        <w:spacing w:line="276" w:lineRule="auto"/>
        <w:jc w:val="both"/>
        <w:rPr>
          <w:rFonts w:ascii="Times New Roman" w:hAnsi="Times New Roman" w:cs="Times New Roman"/>
          <w:sz w:val="10"/>
          <w:szCs w:val="24"/>
        </w:rPr>
      </w:pPr>
    </w:p>
    <w:p w14:paraId="5BC0958D" w14:textId="77777777" w:rsidR="00065312" w:rsidRPr="009B6417" w:rsidRDefault="0052775C" w:rsidP="006B6D4D">
      <w:pPr>
        <w:pStyle w:val="Caption"/>
      </w:pPr>
      <w:bookmarkStart w:id="79" w:name="_Toc40422397"/>
      <w:r w:rsidRPr="009B6417">
        <w:lastRenderedPageBreak/>
        <w:t xml:space="preserve">Tabela </w:t>
      </w:r>
      <w:r w:rsidR="00E54EC8">
        <w:fldChar w:fldCharType="begin"/>
      </w:r>
      <w:r w:rsidR="00815B1B">
        <w:instrText xml:space="preserve"> SEQ Tabela \* ARABIC </w:instrText>
      </w:r>
      <w:r w:rsidR="00E54EC8">
        <w:fldChar w:fldCharType="separate"/>
      </w:r>
      <w:r w:rsidR="00F20848">
        <w:rPr>
          <w:noProof/>
        </w:rPr>
        <w:t>14</w:t>
      </w:r>
      <w:r w:rsidR="00E54EC8">
        <w:rPr>
          <w:noProof/>
        </w:rPr>
        <w:fldChar w:fldCharType="end"/>
      </w:r>
      <w:r w:rsidR="00065312" w:rsidRPr="009B6417">
        <w:t xml:space="preserve">: </w:t>
      </w:r>
      <w:r w:rsidR="0015187E" w:rsidRPr="009B6417">
        <w:t>Numri i P</w:t>
      </w:r>
      <w:r w:rsidR="00577A32" w:rsidRPr="009B6417">
        <w:t>ë</w:t>
      </w:r>
      <w:r w:rsidR="0015187E" w:rsidRPr="009B6417">
        <w:t>rfituesve t</w:t>
      </w:r>
      <w:r w:rsidR="00577A32" w:rsidRPr="009B6417">
        <w:t>ë</w:t>
      </w:r>
      <w:r w:rsidR="0015187E" w:rsidRPr="009B6417">
        <w:t xml:space="preserve"> kontrollit  mjekësor bazë Check-Up</w:t>
      </w:r>
      <w:bookmarkEnd w:id="79"/>
    </w:p>
    <w:tbl>
      <w:tblPr>
        <w:tblpPr w:leftFromText="180" w:rightFromText="180" w:vertAnchor="text" w:horzAnchor="margin" w:tblpY="68"/>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1435"/>
        <w:gridCol w:w="940"/>
        <w:gridCol w:w="1108"/>
        <w:gridCol w:w="1108"/>
        <w:gridCol w:w="1108"/>
        <w:gridCol w:w="1676"/>
      </w:tblGrid>
      <w:tr w:rsidR="00065312" w:rsidRPr="003C2F4F" w14:paraId="2116095D" w14:textId="77777777" w:rsidTr="00E7746E">
        <w:trPr>
          <w:trHeight w:hRule="exact" w:val="288"/>
        </w:trPr>
        <w:tc>
          <w:tcPr>
            <w:tcW w:w="1435" w:type="dxa"/>
            <w:shd w:val="clear" w:color="auto" w:fill="DDD9C3" w:themeFill="background2" w:themeFillShade="E6"/>
            <w:noWrap/>
            <w:vAlign w:val="bottom"/>
            <w:hideMark/>
          </w:tcPr>
          <w:p w14:paraId="06361DCA" w14:textId="77777777" w:rsidR="00065312" w:rsidRPr="003C2F4F" w:rsidRDefault="00065312" w:rsidP="00065312">
            <w:pPr>
              <w:pStyle w:val="NoSpacing"/>
              <w:spacing w:line="276" w:lineRule="auto"/>
              <w:jc w:val="both"/>
              <w:rPr>
                <w:rFonts w:ascii="Times New Roman" w:hAnsi="Times New Roman" w:cs="Times New Roman"/>
                <w:b/>
                <w:sz w:val="20"/>
                <w:szCs w:val="24"/>
                <w:lang w:val="sq-AL"/>
              </w:rPr>
            </w:pPr>
            <w:r w:rsidRPr="003C2F4F">
              <w:rPr>
                <w:rFonts w:ascii="Times New Roman" w:hAnsi="Times New Roman" w:cs="Times New Roman"/>
                <w:b/>
                <w:sz w:val="20"/>
                <w:szCs w:val="24"/>
                <w:lang w:val="sq-AL"/>
              </w:rPr>
              <w:t> Viti</w:t>
            </w:r>
          </w:p>
        </w:tc>
        <w:tc>
          <w:tcPr>
            <w:tcW w:w="940" w:type="dxa"/>
            <w:shd w:val="clear" w:color="auto" w:fill="DDD9C3" w:themeFill="background2" w:themeFillShade="E6"/>
            <w:noWrap/>
            <w:vAlign w:val="center"/>
            <w:hideMark/>
          </w:tcPr>
          <w:p w14:paraId="65218082" w14:textId="77777777" w:rsidR="00065312" w:rsidRPr="003C2F4F" w:rsidRDefault="00065312" w:rsidP="00065312">
            <w:pPr>
              <w:spacing w:after="0" w:line="240" w:lineRule="auto"/>
              <w:jc w:val="center"/>
              <w:rPr>
                <w:rFonts w:ascii="Times New Roman" w:eastAsia="Times New Roman" w:hAnsi="Times New Roman" w:cs="Times New Roman"/>
                <w:b/>
                <w:i/>
                <w:color w:val="000000"/>
                <w:sz w:val="20"/>
                <w:szCs w:val="24"/>
                <w:lang w:val="en-US"/>
              </w:rPr>
            </w:pPr>
            <w:r w:rsidRPr="003C2F4F">
              <w:rPr>
                <w:rFonts w:ascii="Times New Roman" w:eastAsia="Times New Roman" w:hAnsi="Times New Roman" w:cs="Times New Roman"/>
                <w:b/>
                <w:i/>
                <w:color w:val="000000"/>
                <w:sz w:val="20"/>
                <w:szCs w:val="24"/>
                <w:lang w:val="en-US"/>
              </w:rPr>
              <w:t>2015</w:t>
            </w:r>
          </w:p>
        </w:tc>
        <w:tc>
          <w:tcPr>
            <w:tcW w:w="1108" w:type="dxa"/>
            <w:shd w:val="clear" w:color="auto" w:fill="DDD9C3" w:themeFill="background2" w:themeFillShade="E6"/>
            <w:noWrap/>
            <w:vAlign w:val="center"/>
            <w:hideMark/>
          </w:tcPr>
          <w:p w14:paraId="514BE8EC" w14:textId="77777777" w:rsidR="00065312" w:rsidRPr="003C2F4F" w:rsidRDefault="00065312" w:rsidP="00065312">
            <w:pPr>
              <w:spacing w:after="0" w:line="240" w:lineRule="auto"/>
              <w:jc w:val="center"/>
              <w:rPr>
                <w:rFonts w:ascii="Times New Roman" w:eastAsia="Times New Roman" w:hAnsi="Times New Roman" w:cs="Times New Roman"/>
                <w:b/>
                <w:i/>
                <w:color w:val="000000"/>
                <w:sz w:val="20"/>
                <w:szCs w:val="24"/>
                <w:lang w:val="en-US"/>
              </w:rPr>
            </w:pPr>
            <w:r w:rsidRPr="003C2F4F">
              <w:rPr>
                <w:rFonts w:ascii="Times New Roman" w:eastAsia="Times New Roman" w:hAnsi="Times New Roman" w:cs="Times New Roman"/>
                <w:b/>
                <w:i/>
                <w:color w:val="000000"/>
                <w:sz w:val="20"/>
                <w:szCs w:val="24"/>
                <w:lang w:val="en-US"/>
              </w:rPr>
              <w:t>2016</w:t>
            </w:r>
          </w:p>
        </w:tc>
        <w:tc>
          <w:tcPr>
            <w:tcW w:w="1108" w:type="dxa"/>
            <w:shd w:val="clear" w:color="auto" w:fill="DDD9C3" w:themeFill="background2" w:themeFillShade="E6"/>
            <w:noWrap/>
            <w:vAlign w:val="center"/>
            <w:hideMark/>
          </w:tcPr>
          <w:p w14:paraId="68337C93" w14:textId="77777777" w:rsidR="00065312" w:rsidRPr="003C2F4F" w:rsidRDefault="00065312" w:rsidP="00065312">
            <w:pPr>
              <w:spacing w:after="0" w:line="240" w:lineRule="auto"/>
              <w:jc w:val="center"/>
              <w:rPr>
                <w:rFonts w:ascii="Times New Roman" w:eastAsia="Times New Roman" w:hAnsi="Times New Roman" w:cs="Times New Roman"/>
                <w:b/>
                <w:i/>
                <w:color w:val="000000"/>
                <w:sz w:val="20"/>
                <w:szCs w:val="24"/>
                <w:lang w:val="en-US"/>
              </w:rPr>
            </w:pPr>
            <w:r w:rsidRPr="003C2F4F">
              <w:rPr>
                <w:rFonts w:ascii="Times New Roman" w:eastAsia="Times New Roman" w:hAnsi="Times New Roman" w:cs="Times New Roman"/>
                <w:b/>
                <w:i/>
                <w:color w:val="000000"/>
                <w:sz w:val="20"/>
                <w:szCs w:val="24"/>
                <w:lang w:val="en-US"/>
              </w:rPr>
              <w:t>2017</w:t>
            </w:r>
          </w:p>
        </w:tc>
        <w:tc>
          <w:tcPr>
            <w:tcW w:w="1108" w:type="dxa"/>
            <w:shd w:val="clear" w:color="auto" w:fill="DDD9C3" w:themeFill="background2" w:themeFillShade="E6"/>
            <w:noWrap/>
            <w:vAlign w:val="center"/>
            <w:hideMark/>
          </w:tcPr>
          <w:p w14:paraId="1A3F0140" w14:textId="77777777" w:rsidR="00065312" w:rsidRPr="003C2F4F" w:rsidRDefault="00065312" w:rsidP="00065312">
            <w:pPr>
              <w:spacing w:after="0" w:line="240" w:lineRule="auto"/>
              <w:jc w:val="center"/>
              <w:rPr>
                <w:rFonts w:ascii="Times New Roman" w:eastAsia="Times New Roman" w:hAnsi="Times New Roman" w:cs="Times New Roman"/>
                <w:b/>
                <w:i/>
                <w:color w:val="000000"/>
                <w:sz w:val="20"/>
                <w:szCs w:val="24"/>
                <w:lang w:val="en-US"/>
              </w:rPr>
            </w:pPr>
            <w:r w:rsidRPr="003C2F4F">
              <w:rPr>
                <w:rFonts w:ascii="Times New Roman" w:eastAsia="Times New Roman" w:hAnsi="Times New Roman" w:cs="Times New Roman"/>
                <w:b/>
                <w:i/>
                <w:color w:val="000000"/>
                <w:sz w:val="20"/>
                <w:szCs w:val="24"/>
                <w:lang w:val="en-US"/>
              </w:rPr>
              <w:t>2018</w:t>
            </w:r>
          </w:p>
        </w:tc>
        <w:tc>
          <w:tcPr>
            <w:tcW w:w="1676" w:type="dxa"/>
            <w:shd w:val="clear" w:color="auto" w:fill="DDD9C3" w:themeFill="background2" w:themeFillShade="E6"/>
            <w:noWrap/>
            <w:vAlign w:val="center"/>
            <w:hideMark/>
          </w:tcPr>
          <w:p w14:paraId="7E1FB2A9" w14:textId="77777777" w:rsidR="00065312" w:rsidRPr="003C2F4F" w:rsidRDefault="00065312" w:rsidP="00065312">
            <w:pPr>
              <w:spacing w:after="0" w:line="240" w:lineRule="auto"/>
              <w:jc w:val="center"/>
              <w:rPr>
                <w:rFonts w:ascii="Times New Roman" w:eastAsia="Times New Roman" w:hAnsi="Times New Roman" w:cs="Times New Roman"/>
                <w:b/>
                <w:i/>
                <w:color w:val="000000"/>
                <w:sz w:val="20"/>
                <w:szCs w:val="24"/>
                <w:lang w:val="en-US"/>
              </w:rPr>
            </w:pPr>
            <w:r w:rsidRPr="003C2F4F">
              <w:rPr>
                <w:rFonts w:ascii="Times New Roman" w:eastAsia="Times New Roman" w:hAnsi="Times New Roman" w:cs="Times New Roman"/>
                <w:b/>
                <w:i/>
                <w:color w:val="000000"/>
                <w:sz w:val="20"/>
                <w:szCs w:val="24"/>
                <w:lang w:val="en-US"/>
              </w:rPr>
              <w:t>2019</w:t>
            </w:r>
          </w:p>
        </w:tc>
      </w:tr>
      <w:tr w:rsidR="00065312" w:rsidRPr="003C2F4F" w14:paraId="301D3EE3" w14:textId="77777777" w:rsidTr="00E7746E">
        <w:trPr>
          <w:trHeight w:hRule="exact" w:val="487"/>
        </w:trPr>
        <w:tc>
          <w:tcPr>
            <w:tcW w:w="1435" w:type="dxa"/>
            <w:shd w:val="clear" w:color="auto" w:fill="EEECE1" w:themeFill="background2"/>
            <w:noWrap/>
            <w:vAlign w:val="center"/>
            <w:hideMark/>
          </w:tcPr>
          <w:p w14:paraId="6571F3F3" w14:textId="77777777" w:rsidR="00065312" w:rsidRPr="003C2F4F" w:rsidRDefault="002E50A3" w:rsidP="00065312">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Nr.</w:t>
            </w:r>
            <w:r w:rsidR="00065312" w:rsidRPr="003C2F4F">
              <w:rPr>
                <w:rFonts w:ascii="Times New Roman" w:hAnsi="Times New Roman" w:cs="Times New Roman"/>
                <w:b/>
                <w:i/>
                <w:sz w:val="20"/>
                <w:szCs w:val="24"/>
                <w:lang w:val="sq-AL"/>
              </w:rPr>
              <w:t>i Përfituesve</w:t>
            </w:r>
          </w:p>
        </w:tc>
        <w:tc>
          <w:tcPr>
            <w:tcW w:w="940" w:type="dxa"/>
            <w:shd w:val="clear" w:color="auto" w:fill="EEECE1" w:themeFill="background2"/>
            <w:noWrap/>
            <w:vAlign w:val="center"/>
            <w:hideMark/>
          </w:tcPr>
          <w:p w14:paraId="5FA88FD6" w14:textId="77777777" w:rsidR="00065312" w:rsidRPr="003C2F4F" w:rsidRDefault="00065312" w:rsidP="00065312">
            <w:pPr>
              <w:spacing w:after="0" w:line="240" w:lineRule="auto"/>
              <w:jc w:val="center"/>
              <w:rPr>
                <w:rFonts w:ascii="Times New Roman" w:eastAsia="Times New Roman" w:hAnsi="Times New Roman" w:cs="Times New Roman"/>
                <w:b/>
                <w:i/>
                <w:color w:val="000000"/>
                <w:sz w:val="20"/>
                <w:szCs w:val="24"/>
                <w:lang w:val="en-US"/>
              </w:rPr>
            </w:pPr>
            <w:r w:rsidRPr="003C2F4F">
              <w:rPr>
                <w:rFonts w:ascii="Times New Roman" w:eastAsia="Times New Roman" w:hAnsi="Times New Roman" w:cs="Times New Roman"/>
                <w:b/>
                <w:i/>
                <w:color w:val="000000"/>
                <w:sz w:val="20"/>
                <w:szCs w:val="24"/>
                <w:lang w:val="en-US"/>
              </w:rPr>
              <w:t>244,420</w:t>
            </w:r>
          </w:p>
        </w:tc>
        <w:tc>
          <w:tcPr>
            <w:tcW w:w="1108" w:type="dxa"/>
            <w:shd w:val="clear" w:color="auto" w:fill="EEECE1" w:themeFill="background2"/>
            <w:noWrap/>
            <w:vAlign w:val="center"/>
            <w:hideMark/>
          </w:tcPr>
          <w:p w14:paraId="60A2E76C" w14:textId="77777777" w:rsidR="00065312" w:rsidRPr="003C2F4F" w:rsidRDefault="00065312" w:rsidP="00065312">
            <w:pPr>
              <w:spacing w:after="0" w:line="240" w:lineRule="auto"/>
              <w:rPr>
                <w:rFonts w:ascii="Times New Roman" w:eastAsia="Times New Roman" w:hAnsi="Times New Roman" w:cs="Times New Roman"/>
                <w:b/>
                <w:i/>
                <w:color w:val="000000"/>
                <w:sz w:val="20"/>
                <w:szCs w:val="24"/>
                <w:lang w:val="en-US"/>
              </w:rPr>
            </w:pPr>
            <w:r w:rsidRPr="003C2F4F">
              <w:rPr>
                <w:rFonts w:ascii="Times New Roman" w:eastAsia="Times New Roman" w:hAnsi="Times New Roman" w:cs="Times New Roman"/>
                <w:b/>
                <w:i/>
                <w:color w:val="000000"/>
                <w:sz w:val="20"/>
                <w:szCs w:val="24"/>
                <w:lang w:val="en-US"/>
              </w:rPr>
              <w:t>329,555</w:t>
            </w:r>
          </w:p>
        </w:tc>
        <w:tc>
          <w:tcPr>
            <w:tcW w:w="1108" w:type="dxa"/>
            <w:shd w:val="clear" w:color="auto" w:fill="EEECE1" w:themeFill="background2"/>
            <w:noWrap/>
            <w:vAlign w:val="center"/>
            <w:hideMark/>
          </w:tcPr>
          <w:p w14:paraId="6494FC8A" w14:textId="77777777" w:rsidR="00065312" w:rsidRPr="003C2F4F" w:rsidRDefault="00065312" w:rsidP="00065312">
            <w:pPr>
              <w:spacing w:after="0" w:line="240" w:lineRule="auto"/>
              <w:jc w:val="center"/>
              <w:rPr>
                <w:rFonts w:ascii="Times New Roman" w:eastAsia="Times New Roman" w:hAnsi="Times New Roman" w:cs="Times New Roman"/>
                <w:b/>
                <w:i/>
                <w:color w:val="000000"/>
                <w:sz w:val="20"/>
                <w:szCs w:val="24"/>
                <w:lang w:val="en-US"/>
              </w:rPr>
            </w:pPr>
            <w:r w:rsidRPr="003C2F4F">
              <w:rPr>
                <w:rFonts w:ascii="Times New Roman" w:eastAsia="Times New Roman" w:hAnsi="Times New Roman" w:cs="Times New Roman"/>
                <w:b/>
                <w:i/>
                <w:color w:val="000000"/>
                <w:sz w:val="20"/>
                <w:szCs w:val="24"/>
                <w:lang w:val="en-US"/>
              </w:rPr>
              <w:t>316,601</w:t>
            </w:r>
          </w:p>
        </w:tc>
        <w:tc>
          <w:tcPr>
            <w:tcW w:w="1108" w:type="dxa"/>
            <w:shd w:val="clear" w:color="auto" w:fill="EEECE1" w:themeFill="background2"/>
            <w:noWrap/>
            <w:vAlign w:val="center"/>
            <w:hideMark/>
          </w:tcPr>
          <w:p w14:paraId="42A91FF6" w14:textId="77777777" w:rsidR="00065312" w:rsidRPr="003C2F4F" w:rsidRDefault="00065312" w:rsidP="00065312">
            <w:pPr>
              <w:spacing w:after="0" w:line="240" w:lineRule="auto"/>
              <w:jc w:val="center"/>
              <w:rPr>
                <w:rFonts w:ascii="Times New Roman" w:eastAsia="Times New Roman" w:hAnsi="Times New Roman" w:cs="Times New Roman"/>
                <w:b/>
                <w:i/>
                <w:color w:val="000000"/>
                <w:sz w:val="20"/>
                <w:szCs w:val="24"/>
                <w:lang w:val="en-US"/>
              </w:rPr>
            </w:pPr>
            <w:r w:rsidRPr="003C2F4F">
              <w:rPr>
                <w:rFonts w:ascii="Times New Roman" w:eastAsia="Times New Roman" w:hAnsi="Times New Roman" w:cs="Times New Roman"/>
                <w:b/>
                <w:i/>
                <w:color w:val="000000"/>
                <w:sz w:val="20"/>
                <w:szCs w:val="24"/>
                <w:lang w:val="en-US"/>
              </w:rPr>
              <w:t>428,891</w:t>
            </w:r>
          </w:p>
        </w:tc>
        <w:tc>
          <w:tcPr>
            <w:tcW w:w="1676" w:type="dxa"/>
            <w:shd w:val="clear" w:color="auto" w:fill="EEECE1" w:themeFill="background2"/>
            <w:noWrap/>
            <w:vAlign w:val="center"/>
            <w:hideMark/>
          </w:tcPr>
          <w:p w14:paraId="6D3BF46F" w14:textId="77777777" w:rsidR="00065312" w:rsidRPr="00510421" w:rsidRDefault="00510421" w:rsidP="008E465D">
            <w:pPr>
              <w:spacing w:after="0" w:line="240" w:lineRule="auto"/>
              <w:jc w:val="center"/>
              <w:rPr>
                <w:rFonts w:ascii="Times New Roman" w:eastAsia="Times New Roman" w:hAnsi="Times New Roman" w:cs="Times New Roman"/>
                <w:b/>
                <w:i/>
                <w:color w:val="000000"/>
                <w:sz w:val="20"/>
                <w:szCs w:val="24"/>
                <w:lang w:val="en-US"/>
              </w:rPr>
            </w:pPr>
            <w:r w:rsidRPr="00510421">
              <w:rPr>
                <w:rFonts w:ascii="Times New Roman" w:hAnsi="Times New Roman" w:cs="Times New Roman"/>
                <w:b/>
                <w:i/>
                <w:sz w:val="20"/>
                <w:szCs w:val="24"/>
              </w:rPr>
              <w:t>482,716</w:t>
            </w:r>
          </w:p>
        </w:tc>
      </w:tr>
    </w:tbl>
    <w:p w14:paraId="6D0247FB" w14:textId="77777777" w:rsidR="00065312" w:rsidRPr="009B6417" w:rsidRDefault="00065312" w:rsidP="00A72EF8">
      <w:pPr>
        <w:pStyle w:val="NoSpacing"/>
        <w:spacing w:line="276" w:lineRule="auto"/>
        <w:jc w:val="both"/>
        <w:rPr>
          <w:rFonts w:ascii="Times New Roman" w:hAnsi="Times New Roman" w:cs="Times New Roman"/>
          <w:sz w:val="24"/>
          <w:szCs w:val="24"/>
        </w:rPr>
      </w:pPr>
    </w:p>
    <w:p w14:paraId="0B9046E5" w14:textId="77777777" w:rsidR="00D259F9" w:rsidRPr="009B6417" w:rsidRDefault="00D259F9" w:rsidP="00A72EF8">
      <w:pPr>
        <w:pStyle w:val="NoSpacing"/>
        <w:spacing w:line="276" w:lineRule="auto"/>
        <w:jc w:val="both"/>
        <w:rPr>
          <w:rFonts w:ascii="Times New Roman" w:hAnsi="Times New Roman" w:cs="Times New Roman"/>
          <w:sz w:val="24"/>
          <w:szCs w:val="24"/>
        </w:rPr>
      </w:pPr>
    </w:p>
    <w:p w14:paraId="38FC8972" w14:textId="77777777" w:rsidR="00D259F9" w:rsidRPr="009B6417" w:rsidRDefault="00D259F9" w:rsidP="00A72EF8">
      <w:pPr>
        <w:pStyle w:val="NoSpacing"/>
        <w:spacing w:line="276" w:lineRule="auto"/>
        <w:jc w:val="both"/>
        <w:rPr>
          <w:rFonts w:ascii="Times New Roman" w:hAnsi="Times New Roman" w:cs="Times New Roman"/>
          <w:sz w:val="24"/>
          <w:szCs w:val="24"/>
        </w:rPr>
      </w:pPr>
    </w:p>
    <w:p w14:paraId="4B31B47A" w14:textId="77777777" w:rsidR="00D259F9" w:rsidRPr="00E7746E" w:rsidRDefault="00D259F9" w:rsidP="00A72EF8">
      <w:pPr>
        <w:pStyle w:val="NoSpacing"/>
        <w:spacing w:line="276" w:lineRule="auto"/>
        <w:jc w:val="both"/>
        <w:rPr>
          <w:rFonts w:ascii="Times New Roman" w:hAnsi="Times New Roman" w:cs="Times New Roman"/>
          <w:sz w:val="2"/>
          <w:szCs w:val="24"/>
        </w:rPr>
      </w:pPr>
    </w:p>
    <w:p w14:paraId="4CE592E6" w14:textId="77777777" w:rsidR="00D259F9" w:rsidRPr="009B6417" w:rsidRDefault="00065312" w:rsidP="00A72EF8">
      <w:pPr>
        <w:pStyle w:val="NoSpacing"/>
        <w:spacing w:line="276" w:lineRule="auto"/>
        <w:jc w:val="both"/>
        <w:rPr>
          <w:rFonts w:ascii="Times New Roman" w:hAnsi="Times New Roman" w:cs="Times New Roman"/>
          <w:sz w:val="24"/>
          <w:szCs w:val="24"/>
        </w:rPr>
      </w:pPr>
      <w:r w:rsidRPr="009B6417">
        <w:rPr>
          <w:rFonts w:ascii="Times New Roman" w:hAnsi="Times New Roman" w:cs="Times New Roman"/>
          <w:sz w:val="24"/>
          <w:szCs w:val="24"/>
        </w:rPr>
        <w:t xml:space="preserve">Pagesat </w:t>
      </w:r>
      <w:r w:rsidR="009E7608" w:rsidRPr="009B6417">
        <w:rPr>
          <w:rFonts w:ascii="Times New Roman" w:hAnsi="Times New Roman" w:cs="Times New Roman"/>
          <w:sz w:val="24"/>
          <w:szCs w:val="24"/>
        </w:rPr>
        <w:t xml:space="preserve">faktike </w:t>
      </w:r>
      <w:r w:rsidR="00510421">
        <w:rPr>
          <w:rFonts w:ascii="Times New Roman" w:hAnsi="Times New Roman" w:cs="Times New Roman"/>
          <w:sz w:val="24"/>
          <w:szCs w:val="24"/>
        </w:rPr>
        <w:t>vitin</w:t>
      </w:r>
      <w:r w:rsidR="009E7608" w:rsidRPr="009B6417">
        <w:rPr>
          <w:rFonts w:ascii="Times New Roman" w:hAnsi="Times New Roman" w:cs="Times New Roman"/>
          <w:sz w:val="24"/>
          <w:szCs w:val="24"/>
        </w:rPr>
        <w:t xml:space="preserve"> 2019 janë rreth </w:t>
      </w:r>
      <w:r w:rsidR="00E7746E">
        <w:rPr>
          <w:rFonts w:ascii="Times New Roman" w:hAnsi="Times New Roman" w:cs="Times New Roman"/>
          <w:sz w:val="24"/>
          <w:szCs w:val="24"/>
        </w:rPr>
        <w:t>876</w:t>
      </w:r>
      <w:r w:rsidR="00510421">
        <w:rPr>
          <w:rFonts w:ascii="Times New Roman" w:hAnsi="Times New Roman" w:cs="Times New Roman"/>
          <w:sz w:val="24"/>
          <w:szCs w:val="24"/>
        </w:rPr>
        <w:t xml:space="preserve"> </w:t>
      </w:r>
      <w:r w:rsidR="009E7608" w:rsidRPr="009B6417">
        <w:rPr>
          <w:rFonts w:ascii="Times New Roman" w:hAnsi="Times New Roman" w:cs="Times New Roman"/>
          <w:sz w:val="24"/>
          <w:szCs w:val="24"/>
        </w:rPr>
        <w:t xml:space="preserve">milionë </w:t>
      </w:r>
      <w:r w:rsidRPr="009B6417">
        <w:rPr>
          <w:rFonts w:ascii="Times New Roman" w:hAnsi="Times New Roman" w:cs="Times New Roman"/>
          <w:sz w:val="24"/>
          <w:szCs w:val="24"/>
        </w:rPr>
        <w:t>lekë</w:t>
      </w:r>
      <w:r w:rsidR="009E7608" w:rsidRPr="009B6417">
        <w:rPr>
          <w:rFonts w:ascii="Times New Roman" w:hAnsi="Times New Roman" w:cs="Times New Roman"/>
          <w:sz w:val="24"/>
          <w:szCs w:val="24"/>
        </w:rPr>
        <w:t>, duke rezultuar me nj</w:t>
      </w:r>
      <w:r w:rsidR="0015187E" w:rsidRPr="009B6417">
        <w:rPr>
          <w:rFonts w:ascii="Times New Roman" w:hAnsi="Times New Roman" w:cs="Times New Roman"/>
          <w:sz w:val="24"/>
          <w:szCs w:val="24"/>
        </w:rPr>
        <w:t>ë</w:t>
      </w:r>
      <w:r w:rsidR="009E7608" w:rsidRPr="009B6417">
        <w:rPr>
          <w:rFonts w:ascii="Times New Roman" w:hAnsi="Times New Roman" w:cs="Times New Roman"/>
          <w:sz w:val="24"/>
          <w:szCs w:val="24"/>
        </w:rPr>
        <w:t xml:space="preserve"> realizim prej </w:t>
      </w:r>
      <w:r w:rsidR="00510421">
        <w:rPr>
          <w:rFonts w:ascii="Times New Roman" w:hAnsi="Times New Roman" w:cs="Times New Roman"/>
          <w:sz w:val="24"/>
          <w:szCs w:val="24"/>
        </w:rPr>
        <w:t>100</w:t>
      </w:r>
      <w:r w:rsidR="009E7608" w:rsidRPr="009B6417">
        <w:rPr>
          <w:rFonts w:ascii="Times New Roman" w:hAnsi="Times New Roman" w:cs="Times New Roman"/>
          <w:sz w:val="24"/>
          <w:szCs w:val="24"/>
        </w:rPr>
        <w:t>% t</w:t>
      </w:r>
      <w:r w:rsidR="0015187E" w:rsidRPr="009B6417">
        <w:rPr>
          <w:rFonts w:ascii="Times New Roman" w:hAnsi="Times New Roman" w:cs="Times New Roman"/>
          <w:sz w:val="24"/>
          <w:szCs w:val="24"/>
        </w:rPr>
        <w:t>ë</w:t>
      </w:r>
      <w:r w:rsidR="009E7608" w:rsidRPr="009B6417">
        <w:rPr>
          <w:rFonts w:ascii="Times New Roman" w:hAnsi="Times New Roman" w:cs="Times New Roman"/>
          <w:sz w:val="24"/>
          <w:szCs w:val="24"/>
        </w:rPr>
        <w:t xml:space="preserve"> planit vjetor 2019. </w:t>
      </w:r>
    </w:p>
    <w:p w14:paraId="1E414E95" w14:textId="77777777" w:rsidR="00A72EF8" w:rsidRPr="00161B15" w:rsidRDefault="00A72EF8" w:rsidP="00A72EF8">
      <w:pPr>
        <w:pStyle w:val="NoSpacing"/>
        <w:spacing w:line="276" w:lineRule="auto"/>
        <w:jc w:val="both"/>
        <w:rPr>
          <w:rFonts w:ascii="Times New Roman" w:hAnsi="Times New Roman" w:cs="Times New Roman"/>
          <w:sz w:val="8"/>
          <w:szCs w:val="24"/>
          <w:lang w:val="sq-AL"/>
        </w:rPr>
      </w:pPr>
    </w:p>
    <w:p w14:paraId="4A70797A" w14:textId="77777777" w:rsidR="00A72EF8" w:rsidRPr="009B6417" w:rsidRDefault="0052775C" w:rsidP="006B6D4D">
      <w:pPr>
        <w:pStyle w:val="Caption"/>
      </w:pPr>
      <w:bookmarkStart w:id="80" w:name="_Toc40422398"/>
      <w:r w:rsidRPr="009B6417">
        <w:t xml:space="preserve">Tabela </w:t>
      </w:r>
      <w:r w:rsidR="00E54EC8">
        <w:fldChar w:fldCharType="begin"/>
      </w:r>
      <w:r w:rsidR="00815B1B">
        <w:instrText xml:space="preserve"> SEQ Tabela \* ARABIC </w:instrText>
      </w:r>
      <w:r w:rsidR="00E54EC8">
        <w:fldChar w:fldCharType="separate"/>
      </w:r>
      <w:r w:rsidR="00F20848">
        <w:rPr>
          <w:noProof/>
        </w:rPr>
        <w:t>15</w:t>
      </w:r>
      <w:r w:rsidR="00E54EC8">
        <w:rPr>
          <w:noProof/>
        </w:rPr>
        <w:fldChar w:fldCharType="end"/>
      </w:r>
      <w:r w:rsidR="00A72EF8" w:rsidRPr="009B6417">
        <w:t>: Pagesat Buxhetore për projektin “Kontrolli  Mjekësor Baz</w:t>
      </w:r>
      <w:r w:rsidR="0015187E" w:rsidRPr="009B6417">
        <w:t>ë</w:t>
      </w:r>
      <w:r w:rsidR="00A72EF8" w:rsidRPr="009B6417">
        <w:t xml:space="preserve"> Check-Up ”</w:t>
      </w:r>
      <w:bookmarkEnd w:id="80"/>
    </w:p>
    <w:tbl>
      <w:tblPr>
        <w:tblStyle w:val="PlainTable1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98"/>
        <w:gridCol w:w="1053"/>
        <w:gridCol w:w="1307"/>
        <w:gridCol w:w="1260"/>
        <w:gridCol w:w="1350"/>
        <w:gridCol w:w="1710"/>
        <w:gridCol w:w="1818"/>
      </w:tblGrid>
      <w:tr w:rsidR="00A72EF8" w:rsidRPr="003C2F4F" w14:paraId="05249C1B" w14:textId="77777777" w:rsidTr="009E7608">
        <w:trPr>
          <w:cnfStyle w:val="100000000000" w:firstRow="1" w:lastRow="0" w:firstColumn="0" w:lastColumn="0" w:oddVBand="0" w:evenVBand="0" w:oddHBand="0" w:evenHBand="0" w:firstRowFirstColumn="0" w:firstRowLastColumn="0" w:lastRowFirstColumn="0" w:lastRowLastColumn="0"/>
          <w:trHeight w:hRule="exact" w:val="226"/>
        </w:trPr>
        <w:tc>
          <w:tcPr>
            <w:tcW w:w="1798" w:type="dxa"/>
            <w:vMerge w:val="restart"/>
            <w:shd w:val="clear" w:color="auto" w:fill="DDD9C3" w:themeFill="background2" w:themeFillShade="E6"/>
            <w:vAlign w:val="center"/>
            <w:hideMark/>
          </w:tcPr>
          <w:p w14:paraId="57F124DF" w14:textId="77777777" w:rsidR="00A72EF8" w:rsidRPr="003C2F4F" w:rsidRDefault="00A72EF8" w:rsidP="00065312">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Viti</w:t>
            </w:r>
          </w:p>
        </w:tc>
        <w:tc>
          <w:tcPr>
            <w:tcW w:w="2360" w:type="dxa"/>
            <w:gridSpan w:val="2"/>
            <w:shd w:val="clear" w:color="auto" w:fill="DDD9C3" w:themeFill="background2" w:themeFillShade="E6"/>
            <w:hideMark/>
          </w:tcPr>
          <w:p w14:paraId="592059E6" w14:textId="77777777" w:rsidR="00A72EF8" w:rsidRPr="003C2F4F" w:rsidRDefault="00A72EF8" w:rsidP="00E31A8A">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2018</w:t>
            </w:r>
          </w:p>
        </w:tc>
        <w:tc>
          <w:tcPr>
            <w:tcW w:w="2610" w:type="dxa"/>
            <w:gridSpan w:val="2"/>
            <w:shd w:val="clear" w:color="auto" w:fill="DDD9C3" w:themeFill="background2" w:themeFillShade="E6"/>
            <w:hideMark/>
          </w:tcPr>
          <w:p w14:paraId="4925B30E" w14:textId="77777777" w:rsidR="00A72EF8" w:rsidRPr="003C2F4F" w:rsidRDefault="00A72EF8" w:rsidP="00E31A8A">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2019</w:t>
            </w:r>
          </w:p>
        </w:tc>
        <w:tc>
          <w:tcPr>
            <w:tcW w:w="1710" w:type="dxa"/>
            <w:shd w:val="clear" w:color="auto" w:fill="DDD9C3" w:themeFill="background2" w:themeFillShade="E6"/>
            <w:hideMark/>
          </w:tcPr>
          <w:p w14:paraId="46530C82" w14:textId="77777777" w:rsidR="00A72EF8" w:rsidRPr="003C2F4F" w:rsidRDefault="00065312" w:rsidP="00E31A8A">
            <w:pPr>
              <w:pStyle w:val="NoSpacing"/>
              <w:spacing w:line="276" w:lineRule="auto"/>
              <w:rPr>
                <w:rFonts w:ascii="Times New Roman" w:hAnsi="Times New Roman" w:cs="Times New Roman"/>
                <w:i/>
                <w:sz w:val="20"/>
                <w:szCs w:val="24"/>
                <w:lang w:val="sq-AL"/>
              </w:rPr>
            </w:pPr>
            <w:r w:rsidRPr="003C2F4F">
              <w:rPr>
                <w:rFonts w:ascii="Times New Roman" w:hAnsi="Times New Roman" w:cs="Times New Roman"/>
                <w:i/>
                <w:sz w:val="20"/>
                <w:szCs w:val="24"/>
                <w:lang w:val="sq-AL"/>
              </w:rPr>
              <w:t xml:space="preserve">            </w:t>
            </w:r>
            <w:r w:rsidR="00A72EF8" w:rsidRPr="003C2F4F">
              <w:rPr>
                <w:rFonts w:ascii="Times New Roman" w:hAnsi="Times New Roman" w:cs="Times New Roman"/>
                <w:i/>
                <w:sz w:val="20"/>
                <w:szCs w:val="24"/>
                <w:lang w:val="sq-AL"/>
              </w:rPr>
              <w:t>2020</w:t>
            </w:r>
          </w:p>
          <w:p w14:paraId="7B13AAB2" w14:textId="77777777" w:rsidR="00A72EF8" w:rsidRPr="003C2F4F" w:rsidRDefault="00A72EF8" w:rsidP="00E31A8A">
            <w:pPr>
              <w:pStyle w:val="NoSpacing"/>
              <w:spacing w:line="276" w:lineRule="auto"/>
              <w:rPr>
                <w:rFonts w:ascii="Times New Roman" w:hAnsi="Times New Roman" w:cs="Times New Roman"/>
                <w:i/>
                <w:sz w:val="20"/>
                <w:szCs w:val="24"/>
                <w:lang w:val="sq-AL"/>
              </w:rPr>
            </w:pPr>
          </w:p>
          <w:p w14:paraId="3C8855D7" w14:textId="77777777" w:rsidR="00A72EF8" w:rsidRPr="003C2F4F" w:rsidRDefault="00A72EF8" w:rsidP="00E31A8A">
            <w:pPr>
              <w:pStyle w:val="NoSpacing"/>
              <w:spacing w:line="276" w:lineRule="auto"/>
              <w:jc w:val="center"/>
              <w:rPr>
                <w:rFonts w:ascii="Times New Roman" w:hAnsi="Times New Roman" w:cs="Times New Roman"/>
                <w:i/>
                <w:sz w:val="20"/>
                <w:szCs w:val="24"/>
                <w:lang w:val="sq-AL"/>
              </w:rPr>
            </w:pPr>
          </w:p>
        </w:tc>
        <w:tc>
          <w:tcPr>
            <w:tcW w:w="1818" w:type="dxa"/>
            <w:shd w:val="clear" w:color="auto" w:fill="DDD9C3" w:themeFill="background2" w:themeFillShade="E6"/>
            <w:hideMark/>
          </w:tcPr>
          <w:p w14:paraId="5551F797" w14:textId="77777777" w:rsidR="00A72EF8" w:rsidRPr="003C2F4F" w:rsidRDefault="00A72EF8" w:rsidP="00E31A8A">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2021</w:t>
            </w:r>
          </w:p>
          <w:p w14:paraId="44943791" w14:textId="77777777" w:rsidR="00A72EF8" w:rsidRPr="003C2F4F" w:rsidRDefault="00A72EF8" w:rsidP="00E31A8A">
            <w:pPr>
              <w:pStyle w:val="NoSpacing"/>
              <w:spacing w:line="276" w:lineRule="auto"/>
              <w:jc w:val="center"/>
              <w:rPr>
                <w:rFonts w:ascii="Times New Roman" w:hAnsi="Times New Roman" w:cs="Times New Roman"/>
                <w:i/>
                <w:sz w:val="20"/>
                <w:szCs w:val="24"/>
                <w:lang w:val="sq-AL"/>
              </w:rPr>
            </w:pPr>
          </w:p>
        </w:tc>
      </w:tr>
      <w:tr w:rsidR="00A72EF8" w:rsidRPr="003C2F4F" w14:paraId="3D880842" w14:textId="77777777" w:rsidTr="009E7608">
        <w:trPr>
          <w:cnfStyle w:val="000000100000" w:firstRow="0" w:lastRow="0" w:firstColumn="0" w:lastColumn="0" w:oddVBand="0" w:evenVBand="0" w:oddHBand="1" w:evenHBand="0" w:firstRowFirstColumn="0" w:firstRowLastColumn="0" w:lastRowFirstColumn="0" w:lastRowLastColumn="0"/>
          <w:trHeight w:hRule="exact" w:val="253"/>
        </w:trPr>
        <w:tc>
          <w:tcPr>
            <w:tcW w:w="1798" w:type="dxa"/>
            <w:vMerge/>
            <w:shd w:val="clear" w:color="auto" w:fill="DDD9C3" w:themeFill="background2" w:themeFillShade="E6"/>
          </w:tcPr>
          <w:p w14:paraId="688576E5" w14:textId="77777777" w:rsidR="00A72EF8" w:rsidRPr="003C2F4F" w:rsidRDefault="00A72EF8" w:rsidP="00E31A8A">
            <w:pPr>
              <w:pStyle w:val="NoSpacing"/>
              <w:spacing w:line="276" w:lineRule="auto"/>
              <w:jc w:val="both"/>
              <w:rPr>
                <w:rFonts w:ascii="Times New Roman" w:hAnsi="Times New Roman" w:cs="Times New Roman"/>
                <w:i/>
                <w:sz w:val="20"/>
                <w:szCs w:val="24"/>
                <w:lang w:val="sq-AL"/>
              </w:rPr>
            </w:pPr>
          </w:p>
        </w:tc>
        <w:tc>
          <w:tcPr>
            <w:tcW w:w="1053" w:type="dxa"/>
            <w:shd w:val="clear" w:color="auto" w:fill="DDD9C3" w:themeFill="background2" w:themeFillShade="E6"/>
          </w:tcPr>
          <w:p w14:paraId="632F2D25" w14:textId="77777777" w:rsidR="00A72EF8" w:rsidRPr="003C2F4F" w:rsidRDefault="00A72EF8" w:rsidP="00E31A8A">
            <w:pPr>
              <w:pStyle w:val="NoSpacing"/>
              <w:spacing w:line="276" w:lineRule="auto"/>
              <w:jc w:val="both"/>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Plan</w:t>
            </w:r>
          </w:p>
        </w:tc>
        <w:tc>
          <w:tcPr>
            <w:tcW w:w="1307" w:type="dxa"/>
            <w:shd w:val="clear" w:color="auto" w:fill="DDD9C3" w:themeFill="background2" w:themeFillShade="E6"/>
          </w:tcPr>
          <w:p w14:paraId="23E3CB3F" w14:textId="77777777" w:rsidR="00A72EF8" w:rsidRPr="003C2F4F" w:rsidRDefault="00A72EF8" w:rsidP="00E31A8A">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Fakt</w:t>
            </w:r>
          </w:p>
        </w:tc>
        <w:tc>
          <w:tcPr>
            <w:tcW w:w="1260" w:type="dxa"/>
            <w:shd w:val="clear" w:color="auto" w:fill="DDD9C3" w:themeFill="background2" w:themeFillShade="E6"/>
          </w:tcPr>
          <w:p w14:paraId="74F8EB74" w14:textId="77777777" w:rsidR="00A72EF8" w:rsidRPr="003C2F4F" w:rsidRDefault="00A72EF8" w:rsidP="00E31A8A">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Plan</w:t>
            </w:r>
          </w:p>
        </w:tc>
        <w:tc>
          <w:tcPr>
            <w:tcW w:w="1350" w:type="dxa"/>
            <w:shd w:val="clear" w:color="auto" w:fill="DDD9C3" w:themeFill="background2" w:themeFillShade="E6"/>
          </w:tcPr>
          <w:p w14:paraId="0C6DAA7E" w14:textId="77777777" w:rsidR="00A72EF8" w:rsidRPr="003C2F4F" w:rsidRDefault="00510421" w:rsidP="00510421">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Fakt</w:t>
            </w:r>
          </w:p>
        </w:tc>
        <w:tc>
          <w:tcPr>
            <w:tcW w:w="1710" w:type="dxa"/>
            <w:shd w:val="clear" w:color="auto" w:fill="DDD9C3" w:themeFill="background2" w:themeFillShade="E6"/>
          </w:tcPr>
          <w:p w14:paraId="6632663C" w14:textId="77777777" w:rsidR="00A72EF8" w:rsidRPr="003C2F4F" w:rsidRDefault="00A72EF8" w:rsidP="00E31A8A">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Projektuar</w:t>
            </w:r>
          </w:p>
        </w:tc>
        <w:tc>
          <w:tcPr>
            <w:tcW w:w="1818" w:type="dxa"/>
            <w:shd w:val="clear" w:color="auto" w:fill="DDD9C3" w:themeFill="background2" w:themeFillShade="E6"/>
          </w:tcPr>
          <w:p w14:paraId="3688EA0F" w14:textId="77777777" w:rsidR="00A72EF8" w:rsidRPr="003C2F4F" w:rsidRDefault="00A72EF8" w:rsidP="00E31A8A">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Projektuar</w:t>
            </w:r>
          </w:p>
        </w:tc>
      </w:tr>
      <w:tr w:rsidR="00A72EF8" w:rsidRPr="003C2F4F" w14:paraId="3E385D51" w14:textId="77777777" w:rsidTr="00E31A8A">
        <w:trPr>
          <w:trHeight w:hRule="exact" w:val="559"/>
        </w:trPr>
        <w:tc>
          <w:tcPr>
            <w:tcW w:w="1798" w:type="dxa"/>
            <w:shd w:val="clear" w:color="auto" w:fill="EEECE1" w:themeFill="background2"/>
            <w:hideMark/>
          </w:tcPr>
          <w:p w14:paraId="26B19868" w14:textId="77777777" w:rsidR="00A72EF8" w:rsidRPr="003C2F4F" w:rsidRDefault="00A72EF8" w:rsidP="00E31A8A">
            <w:pPr>
              <w:pStyle w:val="NoSpacing"/>
              <w:spacing w:line="276" w:lineRule="auto"/>
              <w:jc w:val="both"/>
              <w:rPr>
                <w:rFonts w:ascii="Times New Roman" w:hAnsi="Times New Roman" w:cs="Times New Roman"/>
                <w:b/>
                <w:i/>
                <w:sz w:val="20"/>
                <w:szCs w:val="24"/>
                <w:lang w:val="sq-AL"/>
              </w:rPr>
            </w:pPr>
            <w:r w:rsidRPr="003C2F4F">
              <w:rPr>
                <w:rFonts w:ascii="Times New Roman" w:hAnsi="Times New Roman" w:cs="Times New Roman"/>
                <w:b/>
                <w:bCs/>
                <w:i/>
                <w:sz w:val="20"/>
                <w:szCs w:val="24"/>
                <w:lang w:val="sq-AL"/>
              </w:rPr>
              <w:t>Pagesat Buxhetore (në mijë lekë)</w:t>
            </w:r>
          </w:p>
        </w:tc>
        <w:tc>
          <w:tcPr>
            <w:tcW w:w="1053" w:type="dxa"/>
            <w:shd w:val="clear" w:color="auto" w:fill="EEECE1" w:themeFill="background2"/>
            <w:vAlign w:val="center"/>
            <w:hideMark/>
          </w:tcPr>
          <w:p w14:paraId="06308BC0" w14:textId="77777777" w:rsidR="00A72EF8" w:rsidRPr="003C2F4F" w:rsidRDefault="00DE6F60" w:rsidP="00E31A8A">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876,083</w:t>
            </w:r>
          </w:p>
        </w:tc>
        <w:tc>
          <w:tcPr>
            <w:tcW w:w="1307" w:type="dxa"/>
            <w:shd w:val="clear" w:color="auto" w:fill="EEECE1" w:themeFill="background2"/>
            <w:vAlign w:val="center"/>
          </w:tcPr>
          <w:p w14:paraId="0F6E008C" w14:textId="77777777" w:rsidR="00A72EF8" w:rsidRPr="003C2F4F" w:rsidRDefault="00DE6F60" w:rsidP="00E31A8A">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876,083</w:t>
            </w:r>
          </w:p>
        </w:tc>
        <w:tc>
          <w:tcPr>
            <w:tcW w:w="1260" w:type="dxa"/>
            <w:shd w:val="clear" w:color="auto" w:fill="EEECE1" w:themeFill="background2"/>
            <w:vAlign w:val="center"/>
            <w:hideMark/>
          </w:tcPr>
          <w:p w14:paraId="0A17AC64" w14:textId="77777777" w:rsidR="00A72EF8" w:rsidRPr="003C2F4F" w:rsidRDefault="00A910E8" w:rsidP="00E31A8A">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876,083</w:t>
            </w:r>
          </w:p>
        </w:tc>
        <w:tc>
          <w:tcPr>
            <w:tcW w:w="1350" w:type="dxa"/>
            <w:shd w:val="clear" w:color="auto" w:fill="EEECE1" w:themeFill="background2"/>
            <w:vAlign w:val="center"/>
          </w:tcPr>
          <w:p w14:paraId="493D2E47" w14:textId="77777777" w:rsidR="00A72EF8" w:rsidRPr="003C2F4F" w:rsidRDefault="00E7746E" w:rsidP="00E31A8A">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876,08</w:t>
            </w:r>
            <w:r w:rsidR="00510421">
              <w:rPr>
                <w:rFonts w:ascii="Times New Roman" w:hAnsi="Times New Roman" w:cs="Times New Roman"/>
                <w:b/>
                <w:i/>
                <w:sz w:val="20"/>
                <w:szCs w:val="24"/>
                <w:lang w:val="sq-AL"/>
              </w:rPr>
              <w:t>3</w:t>
            </w:r>
          </w:p>
        </w:tc>
        <w:tc>
          <w:tcPr>
            <w:tcW w:w="1710" w:type="dxa"/>
            <w:shd w:val="clear" w:color="auto" w:fill="EEECE1" w:themeFill="background2"/>
            <w:vAlign w:val="center"/>
            <w:hideMark/>
          </w:tcPr>
          <w:p w14:paraId="4B252B3D" w14:textId="77777777" w:rsidR="00A72EF8" w:rsidRPr="003C2F4F" w:rsidRDefault="00065312" w:rsidP="00DE6F6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876,083</w:t>
            </w:r>
          </w:p>
        </w:tc>
        <w:tc>
          <w:tcPr>
            <w:tcW w:w="1818" w:type="dxa"/>
            <w:shd w:val="clear" w:color="auto" w:fill="EEECE1" w:themeFill="background2"/>
            <w:vAlign w:val="center"/>
            <w:hideMark/>
          </w:tcPr>
          <w:p w14:paraId="6BF8AE01" w14:textId="77777777" w:rsidR="00A72EF8" w:rsidRPr="003C2F4F" w:rsidRDefault="00065312" w:rsidP="00E31A8A">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876,083</w:t>
            </w:r>
          </w:p>
        </w:tc>
      </w:tr>
    </w:tbl>
    <w:p w14:paraId="1360B722" w14:textId="77777777" w:rsidR="00D66E2E" w:rsidRPr="00E7746E" w:rsidRDefault="00D66E2E" w:rsidP="00A72EF8">
      <w:pPr>
        <w:jc w:val="both"/>
        <w:rPr>
          <w:rFonts w:ascii="Times New Roman" w:hAnsi="Times New Roman" w:cs="Times New Roman"/>
          <w:sz w:val="2"/>
          <w:szCs w:val="24"/>
        </w:rPr>
      </w:pPr>
    </w:p>
    <w:p w14:paraId="005E4A81" w14:textId="77777777" w:rsidR="00A72EF8" w:rsidRPr="009B6417" w:rsidRDefault="00A72EF8" w:rsidP="004C1F25">
      <w:pPr>
        <w:pStyle w:val="Heading2"/>
        <w:numPr>
          <w:ilvl w:val="2"/>
          <w:numId w:val="32"/>
        </w:numPr>
        <w:spacing w:before="0"/>
        <w:ind w:left="630"/>
        <w:rPr>
          <w:rFonts w:ascii="Times New Roman" w:hAnsi="Times New Roman" w:cs="Times New Roman"/>
          <w:b/>
          <w:i/>
          <w:color w:val="auto"/>
          <w:sz w:val="24"/>
          <w:szCs w:val="24"/>
        </w:rPr>
      </w:pPr>
      <w:bookmarkStart w:id="81" w:name="_Toc21689811"/>
      <w:bookmarkStart w:id="82" w:name="_Toc23765733"/>
      <w:bookmarkStart w:id="83" w:name="_Toc37196703"/>
      <w:r w:rsidRPr="009B6417">
        <w:rPr>
          <w:rFonts w:ascii="Times New Roman" w:hAnsi="Times New Roman" w:cs="Times New Roman"/>
          <w:b/>
          <w:i/>
          <w:color w:val="auto"/>
          <w:sz w:val="24"/>
          <w:szCs w:val="24"/>
        </w:rPr>
        <w:t>Risqet</w:t>
      </w:r>
      <w:bookmarkEnd w:id="81"/>
      <w:bookmarkEnd w:id="82"/>
      <w:bookmarkEnd w:id="83"/>
      <w:r w:rsidRPr="009B6417">
        <w:rPr>
          <w:rFonts w:ascii="Times New Roman" w:hAnsi="Times New Roman" w:cs="Times New Roman"/>
          <w:b/>
          <w:i/>
          <w:color w:val="auto"/>
          <w:sz w:val="24"/>
          <w:szCs w:val="24"/>
        </w:rPr>
        <w:t xml:space="preserve"> </w:t>
      </w:r>
    </w:p>
    <w:p w14:paraId="3C5CDE5A" w14:textId="77777777" w:rsidR="00D66E2E" w:rsidRPr="009B6417" w:rsidRDefault="00DD5146" w:rsidP="00D66E2E">
      <w:pPr>
        <w:spacing w:after="0"/>
        <w:jc w:val="both"/>
        <w:rPr>
          <w:rFonts w:ascii="Times New Roman" w:hAnsi="Times New Roman" w:cs="Times New Roman"/>
          <w:sz w:val="24"/>
          <w:szCs w:val="24"/>
        </w:rPr>
      </w:pPr>
      <w:r w:rsidRPr="009B6417">
        <w:rPr>
          <w:rFonts w:ascii="Times New Roman" w:hAnsi="Times New Roman" w:cs="Times New Roman"/>
          <w:sz w:val="24"/>
          <w:szCs w:val="24"/>
        </w:rPr>
        <w:t xml:space="preserve">Autoriteti ka raportuar në lidhje me risqet e kontratës sipas formatit të përcaktuar, duke specifikuar përcaktimin e palës që merr përsipër riskun, impaktin fiskal nëse është materializuar, probabilitetin e ndodhjes në të ardhmen dhe impaktin e pritshëm nëse ndodh. </w:t>
      </w:r>
      <w:r w:rsidR="00A72EF8" w:rsidRPr="009B6417">
        <w:rPr>
          <w:rFonts w:ascii="Times New Roman" w:hAnsi="Times New Roman" w:cs="Times New Roman"/>
          <w:sz w:val="24"/>
          <w:szCs w:val="24"/>
        </w:rPr>
        <w:t>Në lidhje me risqet që rrjedhin nga zbatimi i kontratës koncesionare, tek pala pr</w:t>
      </w:r>
      <w:r w:rsidR="00AE15E9" w:rsidRPr="009B6417">
        <w:rPr>
          <w:rFonts w:ascii="Times New Roman" w:hAnsi="Times New Roman" w:cs="Times New Roman"/>
          <w:sz w:val="24"/>
          <w:szCs w:val="24"/>
        </w:rPr>
        <w:t>ivate janë transferuar risku i</w:t>
      </w:r>
      <w:r w:rsidR="00A72EF8" w:rsidRPr="009B6417">
        <w:rPr>
          <w:rFonts w:ascii="Times New Roman" w:hAnsi="Times New Roman" w:cs="Times New Roman"/>
          <w:sz w:val="24"/>
          <w:szCs w:val="24"/>
        </w:rPr>
        <w:t xml:space="preserve"> ndërtimit, </w:t>
      </w:r>
      <w:r w:rsidR="00AE15E9" w:rsidRPr="009B6417">
        <w:rPr>
          <w:rFonts w:ascii="Times New Roman" w:hAnsi="Times New Roman" w:cs="Times New Roman"/>
          <w:sz w:val="24"/>
          <w:szCs w:val="24"/>
        </w:rPr>
        <w:t xml:space="preserve">risku i operimit dhe performancës, </w:t>
      </w:r>
      <w:r w:rsidR="00A72EF8" w:rsidRPr="009B6417">
        <w:rPr>
          <w:rFonts w:ascii="Times New Roman" w:hAnsi="Times New Roman" w:cs="Times New Roman"/>
          <w:sz w:val="24"/>
          <w:szCs w:val="24"/>
        </w:rPr>
        <w:t>risku i transferimit të aseteve, ndërsa risku i ndryshimeve ligjore, risku mat</w:t>
      </w:r>
      <w:r w:rsidR="00AE15E9" w:rsidRPr="009B6417">
        <w:rPr>
          <w:rFonts w:ascii="Times New Roman" w:hAnsi="Times New Roman" w:cs="Times New Roman"/>
          <w:sz w:val="24"/>
          <w:szCs w:val="24"/>
        </w:rPr>
        <w:t xml:space="preserve">erial nga vendimet politike, </w:t>
      </w:r>
      <w:r w:rsidR="00A72EF8" w:rsidRPr="009B6417">
        <w:rPr>
          <w:rFonts w:ascii="Times New Roman" w:hAnsi="Times New Roman" w:cs="Times New Roman"/>
          <w:sz w:val="24"/>
          <w:szCs w:val="24"/>
        </w:rPr>
        <w:t>risku financiar</w:t>
      </w:r>
      <w:r w:rsidR="00AE15E9" w:rsidRPr="009B6417">
        <w:rPr>
          <w:rFonts w:ascii="Times New Roman" w:hAnsi="Times New Roman" w:cs="Times New Roman"/>
          <w:sz w:val="24"/>
          <w:szCs w:val="24"/>
        </w:rPr>
        <w:t xml:space="preserve"> </w:t>
      </w:r>
      <w:r w:rsidR="00A72EF8" w:rsidRPr="009B6417">
        <w:rPr>
          <w:rFonts w:ascii="Times New Roman" w:hAnsi="Times New Roman" w:cs="Times New Roman"/>
          <w:sz w:val="24"/>
          <w:szCs w:val="24"/>
        </w:rPr>
        <w:t>i janë alokuar palës publike. Ndërkohë janë ndarë mes palëve risku i kërkesës, risku i forcës m</w:t>
      </w:r>
      <w:r w:rsidR="00C34D0A">
        <w:rPr>
          <w:rFonts w:ascii="Times New Roman" w:hAnsi="Times New Roman" w:cs="Times New Roman"/>
          <w:sz w:val="24"/>
          <w:szCs w:val="24"/>
        </w:rPr>
        <w:t xml:space="preserve">adhore, risku i rinegocimit, </w:t>
      </w:r>
      <w:r w:rsidR="00A72EF8" w:rsidRPr="009B6417">
        <w:rPr>
          <w:rFonts w:ascii="Times New Roman" w:hAnsi="Times New Roman" w:cs="Times New Roman"/>
          <w:sz w:val="24"/>
          <w:szCs w:val="24"/>
        </w:rPr>
        <w:t>risku i ndërprerjes së kontratës</w:t>
      </w:r>
      <w:r w:rsidR="00C34D0A">
        <w:rPr>
          <w:rFonts w:ascii="Times New Roman" w:hAnsi="Times New Roman" w:cs="Times New Roman"/>
          <w:sz w:val="24"/>
          <w:szCs w:val="24"/>
        </w:rPr>
        <w:t xml:space="preserve"> </w:t>
      </w:r>
      <w:r w:rsidR="00C34D0A" w:rsidRPr="009B6417">
        <w:rPr>
          <w:rFonts w:ascii="Times New Roman" w:hAnsi="Times New Roman" w:cs="Times New Roman"/>
          <w:sz w:val="24"/>
          <w:szCs w:val="24"/>
        </w:rPr>
        <w:t xml:space="preserve">dhe risku i lejeve dhe liçencave  </w:t>
      </w:r>
    </w:p>
    <w:p w14:paraId="51CAF1F8" w14:textId="77777777" w:rsidR="00161B15" w:rsidRPr="00E7746E" w:rsidRDefault="00161B15" w:rsidP="00161B15">
      <w:pPr>
        <w:spacing w:after="0"/>
        <w:jc w:val="both"/>
        <w:rPr>
          <w:rFonts w:ascii="Times New Roman" w:hAnsi="Times New Roman" w:cs="Times New Roman"/>
          <w:b/>
          <w:i/>
          <w:sz w:val="10"/>
          <w:szCs w:val="24"/>
        </w:rPr>
      </w:pPr>
    </w:p>
    <w:p w14:paraId="71B1A60F" w14:textId="77777777" w:rsidR="001E09C7" w:rsidRDefault="00A20C2F" w:rsidP="00157795">
      <w:pPr>
        <w:jc w:val="both"/>
        <w:rPr>
          <w:rFonts w:ascii="Times New Roman" w:hAnsi="Times New Roman" w:cs="Times New Roman"/>
          <w:sz w:val="24"/>
          <w:szCs w:val="24"/>
        </w:rPr>
      </w:pPr>
      <w:r w:rsidRPr="009B6417">
        <w:rPr>
          <w:rFonts w:ascii="Times New Roman" w:hAnsi="Times New Roman" w:cs="Times New Roman"/>
          <w:sz w:val="24"/>
          <w:szCs w:val="24"/>
        </w:rPr>
        <w:t>Lidhur me riskun e k</w:t>
      </w:r>
      <w:r w:rsidR="009E42DB" w:rsidRPr="009B6417">
        <w:rPr>
          <w:rFonts w:ascii="Times New Roman" w:hAnsi="Times New Roman" w:cs="Times New Roman"/>
          <w:sz w:val="24"/>
          <w:szCs w:val="24"/>
        </w:rPr>
        <w:t>ë</w:t>
      </w:r>
      <w:r w:rsidRPr="009B6417">
        <w:rPr>
          <w:rFonts w:ascii="Times New Roman" w:hAnsi="Times New Roman" w:cs="Times New Roman"/>
          <w:sz w:val="24"/>
          <w:szCs w:val="24"/>
        </w:rPr>
        <w:t>rkes</w:t>
      </w:r>
      <w:r w:rsidR="009E42DB" w:rsidRPr="009B6417">
        <w:rPr>
          <w:rFonts w:ascii="Times New Roman" w:hAnsi="Times New Roman" w:cs="Times New Roman"/>
          <w:sz w:val="24"/>
          <w:szCs w:val="24"/>
        </w:rPr>
        <w:t>ë</w:t>
      </w:r>
      <w:r w:rsidRPr="009B6417">
        <w:rPr>
          <w:rFonts w:ascii="Times New Roman" w:hAnsi="Times New Roman" w:cs="Times New Roman"/>
          <w:sz w:val="24"/>
          <w:szCs w:val="24"/>
        </w:rPr>
        <w:t>s raportohe</w:t>
      </w:r>
      <w:r w:rsidR="009E42DB" w:rsidRPr="009B6417">
        <w:rPr>
          <w:rFonts w:ascii="Times New Roman" w:hAnsi="Times New Roman" w:cs="Times New Roman"/>
          <w:sz w:val="24"/>
          <w:szCs w:val="24"/>
        </w:rPr>
        <w:t>t</w:t>
      </w:r>
      <w:r w:rsidRPr="009B6417">
        <w:rPr>
          <w:rFonts w:ascii="Times New Roman" w:hAnsi="Times New Roman" w:cs="Times New Roman"/>
          <w:sz w:val="24"/>
          <w:szCs w:val="24"/>
        </w:rPr>
        <w:t xml:space="preserve"> se Autoriteti Kontraktues ka nd</w:t>
      </w:r>
      <w:r w:rsidR="009E42DB" w:rsidRPr="009B6417">
        <w:rPr>
          <w:rFonts w:ascii="Times New Roman" w:hAnsi="Times New Roman" w:cs="Times New Roman"/>
          <w:sz w:val="24"/>
          <w:szCs w:val="24"/>
        </w:rPr>
        <w:t>ë</w:t>
      </w:r>
      <w:r w:rsidRPr="009B6417">
        <w:rPr>
          <w:rFonts w:ascii="Times New Roman" w:hAnsi="Times New Roman" w:cs="Times New Roman"/>
          <w:sz w:val="24"/>
          <w:szCs w:val="24"/>
        </w:rPr>
        <w:t>rmarr</w:t>
      </w:r>
      <w:r w:rsidR="009E42DB" w:rsidRPr="009B6417">
        <w:rPr>
          <w:rFonts w:ascii="Times New Roman" w:hAnsi="Times New Roman" w:cs="Times New Roman"/>
          <w:sz w:val="24"/>
          <w:szCs w:val="24"/>
        </w:rPr>
        <w:t xml:space="preserve">ë fushata sensibilizuese për popullatën, </w:t>
      </w:r>
      <w:r w:rsidR="0035697A" w:rsidRPr="009B6417">
        <w:rPr>
          <w:rFonts w:ascii="Times New Roman" w:hAnsi="Times New Roman" w:cs="Times New Roman"/>
          <w:sz w:val="24"/>
          <w:szCs w:val="24"/>
        </w:rPr>
        <w:t xml:space="preserve">si dhe ka ndryshuar kontratën në lidhje me moshën  e përfituesve duke e </w:t>
      </w:r>
      <w:r w:rsidR="009E42DB" w:rsidRPr="009B6417">
        <w:rPr>
          <w:rFonts w:ascii="Times New Roman" w:hAnsi="Times New Roman" w:cs="Times New Roman"/>
          <w:sz w:val="24"/>
          <w:szCs w:val="24"/>
        </w:rPr>
        <w:t>zgjeruar fashën e mbulimit nga 40-65 vjec të cilën e ka bërë 35-70 vjeç</w:t>
      </w:r>
      <w:r w:rsidR="0035697A" w:rsidRPr="009B6417">
        <w:rPr>
          <w:rFonts w:ascii="Times New Roman" w:hAnsi="Times New Roman" w:cs="Times New Roman"/>
          <w:sz w:val="24"/>
          <w:szCs w:val="24"/>
        </w:rPr>
        <w:t>.</w:t>
      </w:r>
    </w:p>
    <w:p w14:paraId="473C8E07" w14:textId="77777777" w:rsidR="0021185F" w:rsidRPr="009B6417" w:rsidRDefault="0021185F" w:rsidP="00157795">
      <w:pPr>
        <w:jc w:val="both"/>
        <w:rPr>
          <w:rFonts w:ascii="Times New Roman" w:hAnsi="Times New Roman" w:cs="Times New Roman"/>
          <w:sz w:val="24"/>
          <w:szCs w:val="24"/>
        </w:rPr>
      </w:pPr>
    </w:p>
    <w:p w14:paraId="792170B1" w14:textId="77777777" w:rsidR="0021185F" w:rsidRPr="009B6417" w:rsidRDefault="0021185F" w:rsidP="0021185F">
      <w:pPr>
        <w:pStyle w:val="ListParagraph"/>
        <w:numPr>
          <w:ilvl w:val="0"/>
          <w:numId w:val="3"/>
        </w:numPr>
        <w:tabs>
          <w:tab w:val="left" w:pos="3553"/>
        </w:tabs>
        <w:jc w:val="both"/>
        <w:rPr>
          <w:rFonts w:ascii="Times New Roman" w:hAnsi="Times New Roman" w:cs="Times New Roman"/>
          <w:b/>
          <w:color w:val="0070C0"/>
          <w:sz w:val="24"/>
          <w:szCs w:val="24"/>
        </w:rPr>
      </w:pPr>
      <w:r w:rsidRPr="009B6417">
        <w:rPr>
          <w:rFonts w:ascii="Times New Roman" w:hAnsi="Times New Roman" w:cs="Times New Roman"/>
          <w:b/>
          <w:color w:val="0070C0"/>
          <w:sz w:val="24"/>
          <w:szCs w:val="24"/>
        </w:rPr>
        <w:t xml:space="preserve">Sektori </w:t>
      </w:r>
      <w:r>
        <w:rPr>
          <w:rFonts w:ascii="Times New Roman" w:hAnsi="Times New Roman" w:cs="Times New Roman"/>
          <w:b/>
          <w:color w:val="0070C0"/>
          <w:sz w:val="24"/>
          <w:szCs w:val="24"/>
        </w:rPr>
        <w:t xml:space="preserve">i </w:t>
      </w:r>
      <w:r w:rsidRPr="009B6417">
        <w:rPr>
          <w:rFonts w:ascii="Times New Roman" w:hAnsi="Times New Roman" w:cs="Times New Roman"/>
          <w:b/>
          <w:color w:val="0070C0"/>
          <w:sz w:val="24"/>
          <w:szCs w:val="24"/>
        </w:rPr>
        <w:t>Energjitikës</w:t>
      </w:r>
    </w:p>
    <w:p w14:paraId="12ED2174" w14:textId="77777777" w:rsidR="0021185F" w:rsidRDefault="0021185F" w:rsidP="0021185F">
      <w:pPr>
        <w:tabs>
          <w:tab w:val="left" w:pos="3553"/>
        </w:tabs>
        <w:jc w:val="both"/>
        <w:rPr>
          <w:rFonts w:ascii="Times New Roman" w:hAnsi="Times New Roman" w:cs="Times New Roman"/>
          <w:sz w:val="24"/>
          <w:szCs w:val="24"/>
        </w:rPr>
      </w:pPr>
      <w:r w:rsidRPr="009B6417">
        <w:rPr>
          <w:rFonts w:ascii="Times New Roman" w:hAnsi="Times New Roman" w:cs="Times New Roman"/>
          <w:sz w:val="24"/>
          <w:szCs w:val="24"/>
        </w:rPr>
        <w:t xml:space="preserve">Gjatë viteve 2005-2013, në kuadër të privatizimit të HEC-eve vendore një numër hidrocentralësh të vegjël u privatizuan dhe disa të tjerë iu dhanë </w:t>
      </w:r>
      <w:r w:rsidRPr="00AA6A92">
        <w:rPr>
          <w:rFonts w:ascii="Times New Roman" w:hAnsi="Times New Roman" w:cs="Times New Roman"/>
          <w:sz w:val="24"/>
          <w:szCs w:val="24"/>
        </w:rPr>
        <w:t>kompanive të huaja dhe vendase përmes kontratave koncesionare të tipit ROT, BOT dhe BOO. Qëllimi i këtyre kontratave ishte rehabilitimin i HEC-eve ekzistuese, operimi i tyre dhe më pas transferimi tek shteti. A</w:t>
      </w:r>
      <w:r>
        <w:rPr>
          <w:rFonts w:ascii="Times New Roman" w:hAnsi="Times New Roman" w:cs="Times New Roman"/>
          <w:sz w:val="24"/>
          <w:szCs w:val="24"/>
        </w:rPr>
        <w:t>ktualisht janë 186</w:t>
      </w:r>
      <w:r w:rsidRPr="00AA6A92">
        <w:rPr>
          <w:rFonts w:ascii="Times New Roman" w:hAnsi="Times New Roman" w:cs="Times New Roman"/>
          <w:sz w:val="24"/>
          <w:szCs w:val="24"/>
        </w:rPr>
        <w:t xml:space="preserve"> kontrata koncesionare në fushën e hidroenergjisë,</w:t>
      </w:r>
      <w:r>
        <w:rPr>
          <w:rFonts w:ascii="Times New Roman" w:hAnsi="Times New Roman" w:cs="Times New Roman"/>
          <w:sz w:val="24"/>
          <w:szCs w:val="24"/>
        </w:rPr>
        <w:t xml:space="preserve"> ku rreth 66 %</w:t>
      </w:r>
      <w:r w:rsidRPr="00AA6A92">
        <w:rPr>
          <w:rFonts w:ascii="Times New Roman" w:hAnsi="Times New Roman" w:cs="Times New Roman"/>
          <w:sz w:val="24"/>
          <w:szCs w:val="24"/>
        </w:rPr>
        <w:t xml:space="preserve"> </w:t>
      </w:r>
      <w:r>
        <w:rPr>
          <w:rFonts w:ascii="Times New Roman" w:hAnsi="Times New Roman" w:cs="Times New Roman"/>
          <w:sz w:val="24"/>
          <w:szCs w:val="24"/>
        </w:rPr>
        <w:t>e tyre janë aktive, respektivisht</w:t>
      </w:r>
      <w:r w:rsidRPr="00AA6A92">
        <w:rPr>
          <w:rFonts w:ascii="Times New Roman" w:hAnsi="Times New Roman" w:cs="Times New Roman"/>
          <w:sz w:val="24"/>
          <w:szCs w:val="24"/>
        </w:rPr>
        <w:t xml:space="preserve"> 24 prej tyre janë në fazën e investimit, 99 kontrata koncesioni/PPP  janë në fazën e prodhimit. Dy kontratat me të mëdha koncesionare të miratuara janë ‘</w:t>
      </w:r>
      <w:r w:rsidRPr="00AA6A92">
        <w:rPr>
          <w:rFonts w:ascii="Times New Roman" w:hAnsi="Times New Roman" w:cs="Times New Roman"/>
          <w:i/>
          <w:sz w:val="24"/>
          <w:szCs w:val="24"/>
        </w:rPr>
        <w:t>Hidrocentrali i</w:t>
      </w:r>
      <w:r w:rsidRPr="009B6417">
        <w:rPr>
          <w:rFonts w:ascii="Times New Roman" w:hAnsi="Times New Roman" w:cs="Times New Roman"/>
          <w:i/>
          <w:sz w:val="24"/>
          <w:szCs w:val="24"/>
        </w:rPr>
        <w:t xml:space="preserve"> Ashtës</w:t>
      </w:r>
      <w:r w:rsidRPr="009B6417">
        <w:rPr>
          <w:rFonts w:ascii="Times New Roman" w:hAnsi="Times New Roman" w:cs="Times New Roman"/>
          <w:sz w:val="24"/>
          <w:szCs w:val="24"/>
        </w:rPr>
        <w:t>’</w:t>
      </w:r>
      <w:r>
        <w:rPr>
          <w:rFonts w:ascii="Times New Roman" w:hAnsi="Times New Roman" w:cs="Times New Roman"/>
          <w:sz w:val="24"/>
          <w:szCs w:val="24"/>
        </w:rPr>
        <w:t xml:space="preserve"> </w:t>
      </w:r>
      <w:r w:rsidRPr="009B6417">
        <w:rPr>
          <w:rFonts w:ascii="Times New Roman" w:hAnsi="Times New Roman" w:cs="Times New Roman"/>
          <w:sz w:val="24"/>
          <w:szCs w:val="24"/>
        </w:rPr>
        <w:t>dhe ‘</w:t>
      </w:r>
      <w:r w:rsidRPr="009B6417">
        <w:rPr>
          <w:rFonts w:ascii="Times New Roman" w:hAnsi="Times New Roman" w:cs="Times New Roman"/>
          <w:i/>
          <w:sz w:val="24"/>
          <w:szCs w:val="24"/>
        </w:rPr>
        <w:t>Kaskada e hidrocentralit të Devollit’</w:t>
      </w:r>
      <w:r>
        <w:rPr>
          <w:rFonts w:ascii="Times New Roman" w:hAnsi="Times New Roman" w:cs="Times New Roman"/>
          <w:i/>
          <w:sz w:val="24"/>
          <w:szCs w:val="24"/>
        </w:rPr>
        <w:t>,</w:t>
      </w:r>
      <w:r w:rsidRPr="009B6417">
        <w:rPr>
          <w:rFonts w:ascii="Times New Roman" w:hAnsi="Times New Roman" w:cs="Times New Roman"/>
          <w:i/>
          <w:sz w:val="24"/>
          <w:szCs w:val="24"/>
        </w:rPr>
        <w:t xml:space="preserve"> </w:t>
      </w:r>
      <w:r w:rsidRPr="009B6417">
        <w:rPr>
          <w:rFonts w:ascii="Times New Roman" w:hAnsi="Times New Roman" w:cs="Times New Roman"/>
          <w:sz w:val="24"/>
          <w:szCs w:val="24"/>
        </w:rPr>
        <w:t>të cilat janë përzgjedhur për tu trajtuar në këtë raport</w:t>
      </w:r>
      <w:r>
        <w:rPr>
          <w:rFonts w:ascii="Times New Roman" w:hAnsi="Times New Roman" w:cs="Times New Roman"/>
          <w:sz w:val="24"/>
          <w:szCs w:val="24"/>
        </w:rPr>
        <w:t>.</w:t>
      </w:r>
    </w:p>
    <w:p w14:paraId="2E290907" w14:textId="77777777" w:rsidR="002C66FB" w:rsidRDefault="002C66FB" w:rsidP="0021185F">
      <w:pPr>
        <w:tabs>
          <w:tab w:val="left" w:pos="3553"/>
        </w:tabs>
        <w:jc w:val="both"/>
        <w:rPr>
          <w:rFonts w:ascii="Times New Roman" w:hAnsi="Times New Roman" w:cs="Times New Roman"/>
          <w:sz w:val="24"/>
          <w:szCs w:val="24"/>
        </w:rPr>
      </w:pPr>
    </w:p>
    <w:p w14:paraId="774C199F" w14:textId="77777777" w:rsidR="002C66FB" w:rsidRPr="009B6417" w:rsidRDefault="002C66FB" w:rsidP="0021185F">
      <w:pPr>
        <w:tabs>
          <w:tab w:val="left" w:pos="3553"/>
        </w:tabs>
        <w:jc w:val="both"/>
        <w:rPr>
          <w:rFonts w:ascii="Times New Roman" w:hAnsi="Times New Roman" w:cs="Times New Roman"/>
          <w:sz w:val="24"/>
          <w:szCs w:val="24"/>
        </w:rPr>
      </w:pPr>
    </w:p>
    <w:p w14:paraId="3D7FDEED" w14:textId="77777777" w:rsidR="0021185F" w:rsidRPr="009B6417" w:rsidRDefault="0021185F" w:rsidP="004C1F25">
      <w:pPr>
        <w:pStyle w:val="Heading2"/>
        <w:numPr>
          <w:ilvl w:val="1"/>
          <w:numId w:val="32"/>
        </w:numPr>
        <w:rPr>
          <w:rFonts w:ascii="Times New Roman" w:hAnsi="Times New Roman" w:cs="Times New Roman"/>
          <w:b/>
          <w:sz w:val="24"/>
          <w:szCs w:val="24"/>
        </w:rPr>
      </w:pPr>
      <w:bookmarkStart w:id="84" w:name="_Toc37196704"/>
      <w:r w:rsidRPr="009B6417">
        <w:rPr>
          <w:rFonts w:ascii="Times New Roman" w:hAnsi="Times New Roman" w:cs="Times New Roman"/>
          <w:b/>
          <w:sz w:val="24"/>
          <w:szCs w:val="24"/>
        </w:rPr>
        <w:lastRenderedPageBreak/>
        <w:t>Kontrata Koncesionare</w:t>
      </w:r>
      <w:r>
        <w:rPr>
          <w:rFonts w:ascii="Times New Roman" w:hAnsi="Times New Roman" w:cs="Times New Roman"/>
          <w:b/>
          <w:sz w:val="24"/>
          <w:szCs w:val="24"/>
        </w:rPr>
        <w:t>/PPP</w:t>
      </w:r>
      <w:r w:rsidRPr="009B6417">
        <w:rPr>
          <w:rFonts w:ascii="Times New Roman" w:hAnsi="Times New Roman" w:cs="Times New Roman"/>
          <w:b/>
          <w:sz w:val="24"/>
          <w:szCs w:val="24"/>
        </w:rPr>
        <w:t xml:space="preserve"> “</w:t>
      </w:r>
      <w:r w:rsidRPr="009B6417">
        <w:rPr>
          <w:rFonts w:ascii="Times New Roman" w:hAnsi="Times New Roman" w:cs="Times New Roman"/>
          <w:b/>
          <w:i/>
          <w:sz w:val="24"/>
          <w:szCs w:val="24"/>
        </w:rPr>
        <w:t xml:space="preserve">Për projektimin, financimin, ndërtimin, pronësinë, shfrytëzimin, </w:t>
      </w:r>
      <w:r>
        <w:rPr>
          <w:rFonts w:ascii="Times New Roman" w:hAnsi="Times New Roman" w:cs="Times New Roman"/>
          <w:b/>
          <w:i/>
          <w:sz w:val="24"/>
          <w:szCs w:val="24"/>
        </w:rPr>
        <w:t xml:space="preserve">mirëmbajtjen dhe transferimin e </w:t>
      </w:r>
      <w:r w:rsidRPr="009B6417">
        <w:rPr>
          <w:rFonts w:ascii="Times New Roman" w:hAnsi="Times New Roman" w:cs="Times New Roman"/>
          <w:b/>
          <w:i/>
          <w:sz w:val="24"/>
          <w:szCs w:val="24"/>
        </w:rPr>
        <w:t>Hidrocentralit Ashta</w:t>
      </w:r>
      <w:r w:rsidRPr="009B6417">
        <w:rPr>
          <w:rFonts w:ascii="Times New Roman" w:hAnsi="Times New Roman" w:cs="Times New Roman"/>
          <w:b/>
          <w:sz w:val="24"/>
          <w:szCs w:val="24"/>
        </w:rPr>
        <w:t>”</w:t>
      </w:r>
      <w:bookmarkEnd w:id="84"/>
    </w:p>
    <w:p w14:paraId="6D97EECE" w14:textId="77777777" w:rsidR="0021185F" w:rsidRPr="006F76CF" w:rsidRDefault="0021185F" w:rsidP="0021185F">
      <w:pPr>
        <w:rPr>
          <w:rFonts w:ascii="Times New Roman" w:hAnsi="Times New Roman" w:cs="Times New Roman"/>
          <w:i/>
          <w:sz w:val="16"/>
          <w:szCs w:val="24"/>
        </w:rPr>
      </w:pPr>
    </w:p>
    <w:p w14:paraId="78B14453" w14:textId="77777777" w:rsidR="0021185F" w:rsidRDefault="0021185F" w:rsidP="004C1F25">
      <w:pPr>
        <w:pStyle w:val="Heading2"/>
        <w:numPr>
          <w:ilvl w:val="2"/>
          <w:numId w:val="32"/>
        </w:numPr>
        <w:rPr>
          <w:rFonts w:ascii="Times New Roman" w:hAnsi="Times New Roman" w:cs="Times New Roman"/>
          <w:b/>
          <w:i/>
          <w:color w:val="auto"/>
          <w:sz w:val="24"/>
          <w:szCs w:val="24"/>
        </w:rPr>
      </w:pPr>
      <w:bookmarkStart w:id="85" w:name="_Toc18256680"/>
      <w:bookmarkStart w:id="86" w:name="_Toc19882255"/>
      <w:bookmarkStart w:id="87" w:name="_Toc21689813"/>
      <w:bookmarkStart w:id="88" w:name="_Toc23765735"/>
      <w:bookmarkStart w:id="89" w:name="_Toc37196705"/>
      <w:r w:rsidRPr="009B6417">
        <w:rPr>
          <w:rFonts w:ascii="Times New Roman" w:hAnsi="Times New Roman" w:cs="Times New Roman"/>
          <w:b/>
          <w:i/>
          <w:color w:val="auto"/>
          <w:sz w:val="24"/>
          <w:szCs w:val="24"/>
        </w:rPr>
        <w:t>Prezantim i përgjithshëm i projektit</w:t>
      </w:r>
      <w:bookmarkEnd w:id="85"/>
      <w:bookmarkEnd w:id="86"/>
      <w:bookmarkEnd w:id="87"/>
      <w:bookmarkEnd w:id="88"/>
      <w:bookmarkEnd w:id="89"/>
    </w:p>
    <w:p w14:paraId="43972F25" w14:textId="77777777" w:rsidR="0021185F" w:rsidRPr="00EB17F7" w:rsidRDefault="002C66FB" w:rsidP="0021185F">
      <w:pPr>
        <w:pStyle w:val="Heading2"/>
        <w:jc w:val="both"/>
        <w:rPr>
          <w:rFonts w:ascii="Times New Roman" w:hAnsi="Times New Roman" w:cs="Times New Roman"/>
          <w:color w:val="auto"/>
          <w:sz w:val="24"/>
          <w:szCs w:val="24"/>
        </w:rPr>
      </w:pPr>
      <w:r>
        <w:rPr>
          <w:rFonts w:ascii="Times New Roman" w:hAnsi="Times New Roman" w:cs="Times New Roman"/>
          <w:noProof/>
          <w:color w:val="4A442A" w:themeColor="background2" w:themeShade="40"/>
          <w:sz w:val="24"/>
          <w:szCs w:val="24"/>
          <w:lang w:val="en-US"/>
        </w:rPr>
        <mc:AlternateContent>
          <mc:Choice Requires="wps">
            <w:drawing>
              <wp:anchor distT="320040" distB="0" distL="91440" distR="320040" simplePos="0" relativeHeight="251676672" behindDoc="0" locked="0" layoutInCell="1" allowOverlap="1" wp14:anchorId="1331E37B" wp14:editId="7BF09A94">
                <wp:simplePos x="0" y="0"/>
                <wp:positionH relativeFrom="margin">
                  <wp:posOffset>3448050</wp:posOffset>
                </wp:positionH>
                <wp:positionV relativeFrom="margin">
                  <wp:posOffset>982345</wp:posOffset>
                </wp:positionV>
                <wp:extent cx="3136265" cy="1885950"/>
                <wp:effectExtent l="0" t="0" r="26035" b="19050"/>
                <wp:wrapSquare wrapText="bothSides"/>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1885950"/>
                        </a:xfrm>
                        <a:prstGeom prst="rect">
                          <a:avLst/>
                        </a:prstGeom>
                        <a:pattFill prst="pct50">
                          <a:fgClr>
                            <a:schemeClr val="bg2">
                              <a:lumMod val="100000"/>
                              <a:lumOff val="0"/>
                            </a:schemeClr>
                          </a:fgClr>
                          <a:bgClr>
                            <a:schemeClr val="bg1">
                              <a:lumMod val="100000"/>
                              <a:lumOff val="0"/>
                            </a:schemeClr>
                          </a:bgClr>
                        </a:pattFill>
                        <a:ln w="6350" cap="rnd">
                          <a:solidFill>
                            <a:schemeClr val="bg2">
                              <a:lumMod val="75000"/>
                              <a:lumOff val="0"/>
                            </a:schemeClr>
                          </a:solidFill>
                          <a:miter lim="800000"/>
                          <a:headEnd/>
                          <a:tailEnd/>
                        </a:ln>
                      </wps:spPr>
                      <wps:txbx>
                        <w:txbxContent>
                          <w:p w14:paraId="32E08FE5" w14:textId="77777777" w:rsidR="0025668C" w:rsidRPr="00CD352C" w:rsidRDefault="0025668C" w:rsidP="0021185F">
                            <w:pPr>
                              <w:pBdr>
                                <w:left w:val="single" w:sz="80" w:space="3" w:color="7F7F7F" w:themeColor="text1" w:themeTint="80"/>
                                <w:bottom w:val="single" w:sz="8" w:space="4" w:color="7F7F7F" w:themeColor="text1" w:themeTint="80"/>
                              </w:pBdr>
                              <w:spacing w:before="40" w:line="288" w:lineRule="auto"/>
                              <w:jc w:val="both"/>
                              <w:rPr>
                                <w:rFonts w:ascii="Times New Roman" w:hAnsi="Times New Roman" w:cs="Times New Roman"/>
                                <w:color w:val="4A442A" w:themeColor="background2" w:themeShade="40"/>
                                <w:sz w:val="18"/>
                                <w:szCs w:val="18"/>
                                <w:lang w:val="en-US"/>
                              </w:rPr>
                            </w:pPr>
                            <w:r>
                              <w:rPr>
                                <w:rFonts w:ascii="Times New Roman" w:hAnsi="Times New Roman" w:cs="Times New Roman"/>
                                <w:color w:val="4A442A" w:themeColor="background2" w:themeShade="40"/>
                                <w:sz w:val="18"/>
                                <w:szCs w:val="18"/>
                                <w:lang w:val="en-US"/>
                              </w:rPr>
                              <w:t xml:space="preserve">Kontrata Koncesionare </w:t>
                            </w:r>
                            <w:r w:rsidRPr="005129AE">
                              <w:rPr>
                                <w:rFonts w:ascii="Times New Roman" w:hAnsi="Times New Roman" w:cs="Times New Roman"/>
                                <w:color w:val="1D1B11" w:themeColor="background2" w:themeShade="1A"/>
                                <w:sz w:val="18"/>
                                <w:szCs w:val="18"/>
                                <w:lang w:val="en-US"/>
                              </w:rPr>
                              <w:t>“</w:t>
                            </w:r>
                            <w:r>
                              <w:rPr>
                                <w:rFonts w:ascii="Times New Roman" w:hAnsi="Times New Roman" w:cs="Times New Roman"/>
                                <w:color w:val="1D1B11" w:themeColor="background2" w:themeShade="1A"/>
                                <w:sz w:val="18"/>
                                <w:szCs w:val="18"/>
                                <w:lang w:val="en-US"/>
                              </w:rPr>
                              <w:t>Për p</w:t>
                            </w:r>
                            <w:r w:rsidRPr="00CD352C">
                              <w:rPr>
                                <w:rFonts w:ascii="Times New Roman" w:hAnsi="Times New Roman" w:cs="Times New Roman"/>
                                <w:color w:val="1D1B11" w:themeColor="background2" w:themeShade="1A"/>
                                <w:sz w:val="18"/>
                                <w:szCs w:val="18"/>
                                <w:lang w:val="en-US"/>
                              </w:rPr>
                              <w:t>rojektimin,</w:t>
                            </w:r>
                            <w:r>
                              <w:rPr>
                                <w:rFonts w:ascii="Times New Roman" w:hAnsi="Times New Roman" w:cs="Times New Roman"/>
                                <w:color w:val="1D1B11" w:themeColor="background2" w:themeShade="1A"/>
                                <w:sz w:val="18"/>
                                <w:szCs w:val="18"/>
                                <w:lang w:val="en-US"/>
                              </w:rPr>
                              <w:t xml:space="preserve"> financimin, ndë</w:t>
                            </w:r>
                            <w:r w:rsidRPr="00CD352C">
                              <w:rPr>
                                <w:rFonts w:ascii="Times New Roman" w:hAnsi="Times New Roman" w:cs="Times New Roman"/>
                                <w:color w:val="1D1B11" w:themeColor="background2" w:themeShade="1A"/>
                                <w:sz w:val="18"/>
                                <w:szCs w:val="18"/>
                                <w:lang w:val="en-US"/>
                              </w:rPr>
                              <w:t>rtimin,</w:t>
                            </w:r>
                            <w:r>
                              <w:rPr>
                                <w:rFonts w:ascii="Times New Roman" w:hAnsi="Times New Roman" w:cs="Times New Roman"/>
                                <w:color w:val="1D1B11" w:themeColor="background2" w:themeShade="1A"/>
                                <w:sz w:val="18"/>
                                <w:szCs w:val="18"/>
                                <w:lang w:val="en-US"/>
                              </w:rPr>
                              <w:t xml:space="preserve"> pronësinë</w:t>
                            </w:r>
                            <w:r w:rsidRPr="00CD352C">
                              <w:rPr>
                                <w:rFonts w:ascii="Times New Roman" w:hAnsi="Times New Roman" w:cs="Times New Roman"/>
                                <w:color w:val="1D1B11" w:themeColor="background2" w:themeShade="1A"/>
                                <w:sz w:val="18"/>
                                <w:szCs w:val="18"/>
                                <w:lang w:val="en-US"/>
                              </w:rPr>
                              <w:t>,</w:t>
                            </w:r>
                            <w:r>
                              <w:rPr>
                                <w:rFonts w:ascii="Times New Roman" w:hAnsi="Times New Roman" w:cs="Times New Roman"/>
                                <w:color w:val="1D1B11" w:themeColor="background2" w:themeShade="1A"/>
                                <w:sz w:val="18"/>
                                <w:szCs w:val="18"/>
                                <w:lang w:val="en-US"/>
                              </w:rPr>
                              <w:t xml:space="preserve"> shfrytë</w:t>
                            </w:r>
                            <w:r w:rsidRPr="00CD352C">
                              <w:rPr>
                                <w:rFonts w:ascii="Times New Roman" w:hAnsi="Times New Roman" w:cs="Times New Roman"/>
                                <w:color w:val="1D1B11" w:themeColor="background2" w:themeShade="1A"/>
                                <w:sz w:val="18"/>
                                <w:szCs w:val="18"/>
                                <w:lang w:val="en-US"/>
                              </w:rPr>
                              <w:t>zimin,</w:t>
                            </w:r>
                            <w:r>
                              <w:rPr>
                                <w:rFonts w:ascii="Times New Roman" w:hAnsi="Times New Roman" w:cs="Times New Roman"/>
                                <w:color w:val="1D1B11" w:themeColor="background2" w:themeShade="1A"/>
                                <w:sz w:val="18"/>
                                <w:szCs w:val="18"/>
                                <w:lang w:val="en-US"/>
                              </w:rPr>
                              <w:t xml:space="preserve"> mirëmbajtjen dhe transferimin e Hidrocentralit</w:t>
                            </w:r>
                            <w:r w:rsidRPr="00CD352C">
                              <w:rPr>
                                <w:rFonts w:ascii="Times New Roman" w:hAnsi="Times New Roman" w:cs="Times New Roman"/>
                                <w:color w:val="1D1B11" w:themeColor="background2" w:themeShade="1A"/>
                                <w:sz w:val="18"/>
                                <w:szCs w:val="18"/>
                                <w:lang w:val="en-US"/>
                              </w:rPr>
                              <w:t xml:space="preserve"> Ashta</w:t>
                            </w:r>
                            <w:r>
                              <w:rPr>
                                <w:rFonts w:ascii="Times New Roman" w:hAnsi="Times New Roman" w:cs="Times New Roman"/>
                                <w:i/>
                                <w:color w:val="1D1B11" w:themeColor="background2" w:themeShade="1A"/>
                                <w:sz w:val="18"/>
                                <w:szCs w:val="18"/>
                                <w:lang w:val="en-US"/>
                              </w:rPr>
                              <w:t xml:space="preserve">   </w:t>
                            </w:r>
                            <w:r w:rsidRPr="005129AE">
                              <w:rPr>
                                <w:rFonts w:ascii="Times New Roman" w:hAnsi="Times New Roman" w:cs="Times New Roman"/>
                                <w:sz w:val="18"/>
                                <w:szCs w:val="18"/>
                                <w:lang w:val="en-US"/>
                              </w:rPr>
                              <w:t>”</w:t>
                            </w:r>
                          </w:p>
                          <w:p w14:paraId="6BFD1064" w14:textId="77777777" w:rsidR="0025668C" w:rsidRPr="008C6A6D" w:rsidRDefault="0025668C" w:rsidP="0021185F">
                            <w:pPr>
                              <w:pStyle w:val="ListParagraph"/>
                              <w:numPr>
                                <w:ilvl w:val="0"/>
                                <w:numId w:val="4"/>
                              </w:numPr>
                              <w:ind w:left="90"/>
                              <w:rPr>
                                <w:rFonts w:ascii="Times New Roman" w:hAnsi="Times New Roman" w:cs="Times New Roman"/>
                              </w:rPr>
                            </w:pPr>
                            <w:r w:rsidRPr="00EF5479">
                              <w:rPr>
                                <w:rFonts w:ascii="Times New Roman" w:hAnsi="Times New Roman" w:cs="Times New Roman"/>
                                <w:b/>
                                <w:color w:val="000000" w:themeColor="text1"/>
                              </w:rPr>
                              <w:t>Autoriteti Kontraktues</w:t>
                            </w:r>
                            <w:r w:rsidRPr="008C6A6D">
                              <w:rPr>
                                <w:rFonts w:ascii="Times New Roman" w:hAnsi="Times New Roman" w:cs="Times New Roman"/>
                              </w:rPr>
                              <w:t xml:space="preserve">: </w:t>
                            </w:r>
                            <w:r>
                              <w:rPr>
                                <w:rFonts w:ascii="Times New Roman" w:hAnsi="Times New Roman" w:cs="Times New Roman"/>
                              </w:rPr>
                              <w:t xml:space="preserve"> METE (sot MIE)</w:t>
                            </w:r>
                          </w:p>
                          <w:p w14:paraId="666AC21D" w14:textId="77777777" w:rsidR="0025668C"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 Energji </w:t>
                            </w:r>
                            <w:r>
                              <w:rPr>
                                <w:rFonts w:ascii="Times New Roman" w:hAnsi="Times New Roman" w:cs="Times New Roman"/>
                                <w:szCs w:val="24"/>
                              </w:rPr>
                              <w:t xml:space="preserve">Ashta” </w:t>
                            </w:r>
                            <w:r w:rsidRPr="000B0C8F">
                              <w:rPr>
                                <w:rFonts w:ascii="Times New Roman" w:hAnsi="Times New Roman" w:cs="Times New Roman"/>
                                <w:szCs w:val="24"/>
                              </w:rPr>
                              <w:t>sh.p.k</w:t>
                            </w:r>
                            <w:r>
                              <w:rPr>
                                <w:rFonts w:ascii="Times New Roman" w:hAnsi="Times New Roman" w:cs="Times New Roman"/>
                                <w:color w:val="000000" w:themeColor="text1"/>
                              </w:rPr>
                              <w:t xml:space="preserve">                     </w:t>
                            </w:r>
                          </w:p>
                          <w:p w14:paraId="28A5C10E" w14:textId="77777777"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19,5 miliardë Lekë             </w:t>
                            </w:r>
                          </w:p>
                          <w:p w14:paraId="79EC0CDA" w14:textId="77777777"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22 Tetor 2008</w:t>
                            </w:r>
                          </w:p>
                          <w:p w14:paraId="6FB5EE12" w14:textId="77777777"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35 vite</w:t>
                            </w:r>
                          </w:p>
                          <w:p w14:paraId="317B1184" w14:textId="77777777"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Pr>
                                <w:rFonts w:ascii="Times New Roman" w:hAnsi="Times New Roman" w:cs="Times New Roman"/>
                                <w:color w:val="000000" w:themeColor="text1"/>
                              </w:rPr>
                              <w:t>Operim</w:t>
                            </w:r>
                          </w:p>
                          <w:p w14:paraId="595BBADC" w14:textId="77777777" w:rsidR="0025668C" w:rsidRDefault="0025668C" w:rsidP="0021185F">
                            <w:pPr>
                              <w:rPr>
                                <w:color w:val="808080" w:themeColor="background1" w:themeShade="8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4BD84" id="Text Box 23" o:spid="_x0000_s1042" type="#_x0000_t202" style="position:absolute;left:0;text-align:left;margin-left:271.5pt;margin-top:77.35pt;width:246.95pt;height:148.5pt;z-index:251676672;visibility:visible;mso-wrap-style:square;mso-width-percent:0;mso-height-percent:0;mso-wrap-distance-left:7.2pt;mso-wrap-distance-top:25.2pt;mso-wrap-distance-right:25.2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" fillcolor="#eeece1 [3214]" strokecolor="#c4bc96 [2414]" strokeweight=".5pt">
                <v:fill r:id="rId10" o:title="" color2="white [3212]" type="pattern"/>
                <v:stroke endcap="round"/>
                <v:textbox inset="14.4pt,0,10.8pt,0">
                  <w:txbxContent>
                    <w:p w:rsidR="0025668C" w:rsidRPr="00CD352C" w:rsidRDefault="0025668C" w:rsidP="0021185F">
                      <w:pPr>
                        <w:pBdr>
                          <w:left w:val="single" w:sz="80" w:space="3" w:color="7F7F7F" w:themeColor="text1" w:themeTint="80"/>
                          <w:bottom w:val="single" w:sz="8" w:space="4" w:color="7F7F7F" w:themeColor="text1" w:themeTint="80"/>
                        </w:pBdr>
                        <w:spacing w:before="40" w:line="288" w:lineRule="auto"/>
                        <w:jc w:val="both"/>
                        <w:rPr>
                          <w:rFonts w:ascii="Times New Roman" w:hAnsi="Times New Roman" w:cs="Times New Roman"/>
                          <w:color w:val="4A442A" w:themeColor="background2" w:themeShade="40"/>
                          <w:sz w:val="18"/>
                          <w:szCs w:val="18"/>
                          <w:lang w:val="en-US"/>
                        </w:rPr>
                      </w:pPr>
                      <w:r>
                        <w:rPr>
                          <w:rFonts w:ascii="Times New Roman" w:hAnsi="Times New Roman" w:cs="Times New Roman"/>
                          <w:color w:val="4A442A" w:themeColor="background2" w:themeShade="40"/>
                          <w:sz w:val="18"/>
                          <w:szCs w:val="18"/>
                          <w:lang w:val="en-US"/>
                        </w:rPr>
                        <w:t xml:space="preserve">Kontrata Koncesionare </w:t>
                      </w:r>
                      <w:r w:rsidRPr="005129AE">
                        <w:rPr>
                          <w:rFonts w:ascii="Times New Roman" w:hAnsi="Times New Roman" w:cs="Times New Roman"/>
                          <w:color w:val="1D1B11" w:themeColor="background2" w:themeShade="1A"/>
                          <w:sz w:val="18"/>
                          <w:szCs w:val="18"/>
                          <w:lang w:val="en-US"/>
                        </w:rPr>
                        <w:t>“</w:t>
                      </w:r>
                      <w:r>
                        <w:rPr>
                          <w:rFonts w:ascii="Times New Roman" w:hAnsi="Times New Roman" w:cs="Times New Roman"/>
                          <w:color w:val="1D1B11" w:themeColor="background2" w:themeShade="1A"/>
                          <w:sz w:val="18"/>
                          <w:szCs w:val="18"/>
                          <w:lang w:val="en-US"/>
                        </w:rPr>
                        <w:t>Për p</w:t>
                      </w:r>
                      <w:r w:rsidRPr="00CD352C">
                        <w:rPr>
                          <w:rFonts w:ascii="Times New Roman" w:hAnsi="Times New Roman" w:cs="Times New Roman"/>
                          <w:color w:val="1D1B11" w:themeColor="background2" w:themeShade="1A"/>
                          <w:sz w:val="18"/>
                          <w:szCs w:val="18"/>
                          <w:lang w:val="en-US"/>
                        </w:rPr>
                        <w:t>rojektimin,</w:t>
                      </w:r>
                      <w:r>
                        <w:rPr>
                          <w:rFonts w:ascii="Times New Roman" w:hAnsi="Times New Roman" w:cs="Times New Roman"/>
                          <w:color w:val="1D1B11" w:themeColor="background2" w:themeShade="1A"/>
                          <w:sz w:val="18"/>
                          <w:szCs w:val="18"/>
                          <w:lang w:val="en-US"/>
                        </w:rPr>
                        <w:t xml:space="preserve"> financimin, ndë</w:t>
                      </w:r>
                      <w:r w:rsidRPr="00CD352C">
                        <w:rPr>
                          <w:rFonts w:ascii="Times New Roman" w:hAnsi="Times New Roman" w:cs="Times New Roman"/>
                          <w:color w:val="1D1B11" w:themeColor="background2" w:themeShade="1A"/>
                          <w:sz w:val="18"/>
                          <w:szCs w:val="18"/>
                          <w:lang w:val="en-US"/>
                        </w:rPr>
                        <w:t>rtimin,</w:t>
                      </w:r>
                      <w:r>
                        <w:rPr>
                          <w:rFonts w:ascii="Times New Roman" w:hAnsi="Times New Roman" w:cs="Times New Roman"/>
                          <w:color w:val="1D1B11" w:themeColor="background2" w:themeShade="1A"/>
                          <w:sz w:val="18"/>
                          <w:szCs w:val="18"/>
                          <w:lang w:val="en-US"/>
                        </w:rPr>
                        <w:t xml:space="preserve"> pronësinë</w:t>
                      </w:r>
                      <w:r w:rsidRPr="00CD352C">
                        <w:rPr>
                          <w:rFonts w:ascii="Times New Roman" w:hAnsi="Times New Roman" w:cs="Times New Roman"/>
                          <w:color w:val="1D1B11" w:themeColor="background2" w:themeShade="1A"/>
                          <w:sz w:val="18"/>
                          <w:szCs w:val="18"/>
                          <w:lang w:val="en-US"/>
                        </w:rPr>
                        <w:t>,</w:t>
                      </w:r>
                      <w:r>
                        <w:rPr>
                          <w:rFonts w:ascii="Times New Roman" w:hAnsi="Times New Roman" w:cs="Times New Roman"/>
                          <w:color w:val="1D1B11" w:themeColor="background2" w:themeShade="1A"/>
                          <w:sz w:val="18"/>
                          <w:szCs w:val="18"/>
                          <w:lang w:val="en-US"/>
                        </w:rPr>
                        <w:t xml:space="preserve"> shfrytë</w:t>
                      </w:r>
                      <w:r w:rsidRPr="00CD352C">
                        <w:rPr>
                          <w:rFonts w:ascii="Times New Roman" w:hAnsi="Times New Roman" w:cs="Times New Roman"/>
                          <w:color w:val="1D1B11" w:themeColor="background2" w:themeShade="1A"/>
                          <w:sz w:val="18"/>
                          <w:szCs w:val="18"/>
                          <w:lang w:val="en-US"/>
                        </w:rPr>
                        <w:t>zimin,</w:t>
                      </w:r>
                      <w:r>
                        <w:rPr>
                          <w:rFonts w:ascii="Times New Roman" w:hAnsi="Times New Roman" w:cs="Times New Roman"/>
                          <w:color w:val="1D1B11" w:themeColor="background2" w:themeShade="1A"/>
                          <w:sz w:val="18"/>
                          <w:szCs w:val="18"/>
                          <w:lang w:val="en-US"/>
                        </w:rPr>
                        <w:t xml:space="preserve"> mirëmbajtjen dhe transferimin e Hidrocentralit</w:t>
                      </w:r>
                      <w:r w:rsidRPr="00CD352C">
                        <w:rPr>
                          <w:rFonts w:ascii="Times New Roman" w:hAnsi="Times New Roman" w:cs="Times New Roman"/>
                          <w:color w:val="1D1B11" w:themeColor="background2" w:themeShade="1A"/>
                          <w:sz w:val="18"/>
                          <w:szCs w:val="18"/>
                          <w:lang w:val="en-US"/>
                        </w:rPr>
                        <w:t xml:space="preserve"> Ashta</w:t>
                      </w:r>
                      <w:r>
                        <w:rPr>
                          <w:rFonts w:ascii="Times New Roman" w:hAnsi="Times New Roman" w:cs="Times New Roman"/>
                          <w:i/>
                          <w:color w:val="1D1B11" w:themeColor="background2" w:themeShade="1A"/>
                          <w:sz w:val="18"/>
                          <w:szCs w:val="18"/>
                          <w:lang w:val="en-US"/>
                        </w:rPr>
                        <w:t xml:space="preserve">   </w:t>
                      </w:r>
                      <w:r w:rsidRPr="005129AE">
                        <w:rPr>
                          <w:rFonts w:ascii="Times New Roman" w:hAnsi="Times New Roman" w:cs="Times New Roman"/>
                          <w:sz w:val="18"/>
                          <w:szCs w:val="18"/>
                          <w:lang w:val="en-US"/>
                        </w:rPr>
                        <w:t>”</w:t>
                      </w:r>
                    </w:p>
                    <w:p w:rsidR="0025668C" w:rsidRPr="008C6A6D" w:rsidRDefault="0025668C" w:rsidP="0021185F">
                      <w:pPr>
                        <w:pStyle w:val="ListParagraph"/>
                        <w:numPr>
                          <w:ilvl w:val="0"/>
                          <w:numId w:val="4"/>
                        </w:numPr>
                        <w:ind w:left="90"/>
                        <w:rPr>
                          <w:rFonts w:ascii="Times New Roman" w:hAnsi="Times New Roman" w:cs="Times New Roman"/>
                        </w:rPr>
                      </w:pPr>
                      <w:r w:rsidRPr="00EF5479">
                        <w:rPr>
                          <w:rFonts w:ascii="Times New Roman" w:hAnsi="Times New Roman" w:cs="Times New Roman"/>
                          <w:b/>
                          <w:color w:val="000000" w:themeColor="text1"/>
                        </w:rPr>
                        <w:t>Autoriteti Kontraktues</w:t>
                      </w:r>
                      <w:r w:rsidRPr="008C6A6D">
                        <w:rPr>
                          <w:rFonts w:ascii="Times New Roman" w:hAnsi="Times New Roman" w:cs="Times New Roman"/>
                        </w:rPr>
                        <w:t xml:space="preserve">: </w:t>
                      </w:r>
                      <w:r>
                        <w:rPr>
                          <w:rFonts w:ascii="Times New Roman" w:hAnsi="Times New Roman" w:cs="Times New Roman"/>
                        </w:rPr>
                        <w:t xml:space="preserve"> METE (sot MIE)</w:t>
                      </w:r>
                    </w:p>
                    <w:p w:rsidR="0025668C"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 Energji </w:t>
                      </w:r>
                      <w:r>
                        <w:rPr>
                          <w:rFonts w:ascii="Times New Roman" w:hAnsi="Times New Roman" w:cs="Times New Roman"/>
                          <w:szCs w:val="24"/>
                        </w:rPr>
                        <w:t xml:space="preserve">Ashta” </w:t>
                      </w:r>
                      <w:r w:rsidRPr="000B0C8F">
                        <w:rPr>
                          <w:rFonts w:ascii="Times New Roman" w:hAnsi="Times New Roman" w:cs="Times New Roman"/>
                          <w:szCs w:val="24"/>
                        </w:rPr>
                        <w:t>sh.p.k</w:t>
                      </w:r>
                      <w:r>
                        <w:rPr>
                          <w:rFonts w:ascii="Times New Roman" w:hAnsi="Times New Roman" w:cs="Times New Roman"/>
                          <w:color w:val="000000" w:themeColor="text1"/>
                        </w:rPr>
                        <w:t xml:space="preserve">                     </w:t>
                      </w:r>
                    </w:p>
                    <w:p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19,5 miliardë Lekë             </w:t>
                      </w:r>
                    </w:p>
                    <w:p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22 Tetor 2008</w:t>
                      </w:r>
                    </w:p>
                    <w:p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35 vite</w:t>
                      </w:r>
                    </w:p>
                    <w:p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Pr>
                          <w:rFonts w:ascii="Times New Roman" w:hAnsi="Times New Roman" w:cs="Times New Roman"/>
                          <w:color w:val="000000" w:themeColor="text1"/>
                        </w:rPr>
                        <w:t>Operim</w:t>
                      </w:r>
                    </w:p>
                    <w:p w:rsidR="0025668C" w:rsidRDefault="0025668C" w:rsidP="0021185F">
                      <w:pPr>
                        <w:rPr>
                          <w:color w:val="808080" w:themeColor="background1" w:themeShade="80"/>
                        </w:rPr>
                      </w:pPr>
                    </w:p>
                  </w:txbxContent>
                </v:textbox>
                <w10:wrap type="square" anchorx="margin" anchory="margin"/>
              </v:shape>
            </w:pict>
          </mc:Fallback>
        </mc:AlternateContent>
      </w:r>
      <w:r w:rsidR="0021185F">
        <w:rPr>
          <w:rFonts w:ascii="Times New Roman" w:hAnsi="Times New Roman" w:cs="Times New Roman"/>
          <w:color w:val="auto"/>
          <w:sz w:val="24"/>
          <w:szCs w:val="24"/>
        </w:rPr>
        <w:t>Kjo kontratë koncesioni/PPP është lidhur mes Ministrisë së Ekonomisë, Tregtisë dhe Energjisë si Autoritet Kontraktues (sot Ministria e Infrastrukturës dhe Energjisë) dhe shoqërisë koncesionare “Energji Ashta” sh.p.k, në 22 Tetor 2008, me një kohëzgjatje prej 35 vitesh.</w:t>
      </w:r>
    </w:p>
    <w:p w14:paraId="19F8762F" w14:textId="77777777" w:rsidR="0021185F" w:rsidRDefault="0021185F" w:rsidP="0021185F">
      <w:pPr>
        <w:spacing w:after="0"/>
        <w:jc w:val="both"/>
        <w:rPr>
          <w:rFonts w:ascii="Times New Roman" w:eastAsia="Times New Roman" w:hAnsi="Times New Roman" w:cs="Times New Roman"/>
          <w:sz w:val="24"/>
          <w:szCs w:val="24"/>
        </w:rPr>
      </w:pPr>
      <w:r w:rsidRPr="009B6417">
        <w:rPr>
          <w:rFonts w:ascii="Times New Roman" w:eastAsia="Times New Roman" w:hAnsi="Times New Roman" w:cs="Times New Roman"/>
          <w:sz w:val="24"/>
          <w:szCs w:val="24"/>
        </w:rPr>
        <w:t>HEC-i i Ashtës është projektuar të mundësojë një prodhim efikas të energjisë, në përputhje me mjedisin</w:t>
      </w:r>
      <w:r>
        <w:rPr>
          <w:rFonts w:ascii="Times New Roman" w:eastAsia="Times New Roman" w:hAnsi="Times New Roman" w:cs="Times New Roman"/>
          <w:sz w:val="24"/>
          <w:szCs w:val="24"/>
        </w:rPr>
        <w:t>,</w:t>
      </w:r>
      <w:r w:rsidRPr="009B6417">
        <w:rPr>
          <w:rFonts w:ascii="Times New Roman" w:eastAsia="Times New Roman" w:hAnsi="Times New Roman" w:cs="Times New Roman"/>
          <w:sz w:val="24"/>
          <w:szCs w:val="24"/>
        </w:rPr>
        <w:t xml:space="preserve"> duke mos lëshuar mbetje. Në fund të periudhës 35-vjeçare të koncesionit HEC-i d</w:t>
      </w:r>
      <w:r>
        <w:rPr>
          <w:rFonts w:ascii="Times New Roman" w:eastAsia="Times New Roman" w:hAnsi="Times New Roman" w:cs="Times New Roman"/>
          <w:sz w:val="24"/>
          <w:szCs w:val="24"/>
        </w:rPr>
        <w:t>o t’i kthehet shtetit shqiptar. Kontrata koncesionare ka parashikuar ndertimin e 2 hidrocentraleve dhe konkretisht Ashta 1 dhe Ashta 2. Në fund të kohëzgjatjes, ky HEC i kalon në pronësi shtetit shqiptar.</w:t>
      </w:r>
    </w:p>
    <w:p w14:paraId="6BDAB772" w14:textId="77777777" w:rsidR="0021185F" w:rsidRPr="009B6417" w:rsidRDefault="0021185F" w:rsidP="0021185F">
      <w:pPr>
        <w:spacing w:after="0"/>
        <w:jc w:val="both"/>
        <w:rPr>
          <w:rFonts w:ascii="Times New Roman" w:eastAsia="Times New Roman" w:hAnsi="Times New Roman" w:cs="Times New Roman"/>
          <w:sz w:val="24"/>
          <w:szCs w:val="24"/>
        </w:rPr>
      </w:pPr>
    </w:p>
    <w:p w14:paraId="40BC9078" w14:textId="77777777" w:rsidR="0021185F" w:rsidRPr="009B6417" w:rsidRDefault="0021185F" w:rsidP="004C1F25">
      <w:pPr>
        <w:pStyle w:val="Heading2"/>
        <w:numPr>
          <w:ilvl w:val="2"/>
          <w:numId w:val="32"/>
        </w:numPr>
        <w:rPr>
          <w:rFonts w:ascii="Times New Roman" w:hAnsi="Times New Roman" w:cs="Times New Roman"/>
          <w:b/>
          <w:i/>
          <w:color w:val="auto"/>
          <w:sz w:val="24"/>
          <w:szCs w:val="24"/>
        </w:rPr>
      </w:pPr>
      <w:r w:rsidRPr="009B6417">
        <w:rPr>
          <w:rFonts w:ascii="Times New Roman" w:hAnsi="Times New Roman" w:cs="Times New Roman"/>
          <w:b/>
          <w:i/>
          <w:color w:val="auto"/>
          <w:sz w:val="24"/>
          <w:szCs w:val="24"/>
        </w:rPr>
        <w:t xml:space="preserve"> </w:t>
      </w:r>
      <w:bookmarkStart w:id="90" w:name="_Toc23765736"/>
      <w:bookmarkStart w:id="91" w:name="_Toc37196706"/>
      <w:r w:rsidRPr="009B6417">
        <w:rPr>
          <w:rFonts w:ascii="Times New Roman" w:hAnsi="Times New Roman" w:cs="Times New Roman"/>
          <w:b/>
          <w:i/>
          <w:color w:val="auto"/>
          <w:sz w:val="24"/>
          <w:szCs w:val="24"/>
        </w:rPr>
        <w:t>Performanca e projektit dhe lloji i financimit</w:t>
      </w:r>
      <w:bookmarkEnd w:id="90"/>
      <w:bookmarkEnd w:id="91"/>
    </w:p>
    <w:p w14:paraId="1CFF0F68" w14:textId="77777777" w:rsidR="0021185F" w:rsidRPr="009B6417" w:rsidRDefault="0021185F" w:rsidP="0021185F">
      <w:pPr>
        <w:jc w:val="both"/>
        <w:rPr>
          <w:rFonts w:ascii="Times New Roman" w:eastAsia="Times New Roman" w:hAnsi="Times New Roman" w:cs="Times New Roman"/>
          <w:sz w:val="24"/>
          <w:szCs w:val="24"/>
        </w:rPr>
      </w:pPr>
      <w:r w:rsidRPr="009B6417">
        <w:rPr>
          <w:rFonts w:ascii="Times New Roman" w:eastAsia="Times New Roman" w:hAnsi="Times New Roman" w:cs="Times New Roman"/>
          <w:sz w:val="24"/>
          <w:szCs w:val="24"/>
        </w:rPr>
        <w:t xml:space="preserve">Realizimi i investimit të këtij projekti është finalizuar brenda afateve kohore të parashikuara në marrëveshjen mes palëve, përkatësisht ndërtimi është realizuar në periudhën kohore 2010-2012. Për këtë projekt është nënshkruar fillimisht me KESH </w:t>
      </w:r>
      <w:r>
        <w:rPr>
          <w:rFonts w:ascii="Times New Roman" w:eastAsia="Times New Roman" w:hAnsi="Times New Roman" w:cs="Times New Roman"/>
          <w:sz w:val="24"/>
          <w:szCs w:val="24"/>
        </w:rPr>
        <w:t xml:space="preserve">Sh.a dhe </w:t>
      </w:r>
      <w:r w:rsidRPr="009B6417">
        <w:rPr>
          <w:rFonts w:ascii="Times New Roman" w:eastAsia="Times New Roman" w:hAnsi="Times New Roman" w:cs="Times New Roman"/>
          <w:sz w:val="24"/>
          <w:szCs w:val="24"/>
        </w:rPr>
        <w:t>më pas me OSHEE</w:t>
      </w:r>
      <w:r>
        <w:rPr>
          <w:rFonts w:ascii="Times New Roman" w:eastAsia="Times New Roman" w:hAnsi="Times New Roman" w:cs="Times New Roman"/>
          <w:sz w:val="24"/>
          <w:szCs w:val="24"/>
        </w:rPr>
        <w:t xml:space="preserve"> Sh.a</w:t>
      </w:r>
      <w:r w:rsidRPr="009B6417">
        <w:rPr>
          <w:rFonts w:ascii="Times New Roman" w:eastAsia="Times New Roman" w:hAnsi="Times New Roman" w:cs="Times New Roman"/>
          <w:sz w:val="24"/>
          <w:szCs w:val="24"/>
        </w:rPr>
        <w:t xml:space="preserve">  një marrëveshje për shit</w:t>
      </w:r>
      <w:r>
        <w:rPr>
          <w:rFonts w:ascii="Times New Roman" w:eastAsia="Times New Roman" w:hAnsi="Times New Roman" w:cs="Times New Roman"/>
          <w:sz w:val="24"/>
          <w:szCs w:val="24"/>
        </w:rPr>
        <w:t>-bler</w:t>
      </w:r>
      <w:r w:rsidRPr="009B6417">
        <w:rPr>
          <w:rFonts w:ascii="Times New Roman" w:eastAsia="Times New Roman" w:hAnsi="Times New Roman" w:cs="Times New Roman"/>
          <w:sz w:val="24"/>
          <w:szCs w:val="24"/>
        </w:rPr>
        <w:t xml:space="preserve">jen e energjisë elektrike. </w:t>
      </w:r>
      <w:r>
        <w:rPr>
          <w:rFonts w:ascii="Times New Roman" w:eastAsia="Times New Roman" w:hAnsi="Times New Roman" w:cs="Times New Roman"/>
          <w:sz w:val="24"/>
          <w:szCs w:val="24"/>
        </w:rPr>
        <w:t>M</w:t>
      </w:r>
      <w:r w:rsidRPr="009B6417">
        <w:rPr>
          <w:rFonts w:ascii="Times New Roman" w:eastAsia="Times New Roman" w:hAnsi="Times New Roman" w:cs="Times New Roman"/>
          <w:sz w:val="24"/>
          <w:szCs w:val="24"/>
        </w:rPr>
        <w:t>arrëveshj</w:t>
      </w:r>
      <w:r>
        <w:rPr>
          <w:rFonts w:ascii="Times New Roman" w:eastAsia="Times New Roman" w:hAnsi="Times New Roman" w:cs="Times New Roman"/>
          <w:sz w:val="24"/>
          <w:szCs w:val="24"/>
        </w:rPr>
        <w:t>a</w:t>
      </w:r>
      <w:r w:rsidRPr="009B64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re </w:t>
      </w:r>
      <w:r w:rsidRPr="009B6417">
        <w:rPr>
          <w:rFonts w:ascii="Times New Roman" w:eastAsia="Times New Roman" w:hAnsi="Times New Roman" w:cs="Times New Roman"/>
          <w:sz w:val="24"/>
          <w:szCs w:val="24"/>
        </w:rPr>
        <w:t>është nënshkruar n</w:t>
      </w:r>
      <w:r>
        <w:rPr>
          <w:rFonts w:ascii="Times New Roman" w:eastAsia="Times New Roman" w:hAnsi="Times New Roman" w:cs="Times New Roman"/>
          <w:sz w:val="24"/>
          <w:szCs w:val="24"/>
        </w:rPr>
        <w:t>ë</w:t>
      </w:r>
      <w:r w:rsidRPr="009B6417">
        <w:rPr>
          <w:rFonts w:ascii="Times New Roman" w:eastAsia="Times New Roman" w:hAnsi="Times New Roman" w:cs="Times New Roman"/>
          <w:sz w:val="24"/>
          <w:szCs w:val="24"/>
        </w:rPr>
        <w:t xml:space="preserve"> 2016, pas ndryshimeve ligjore dhe nënligjore në sektorin e energjisë elektrike, ku detyrimi për blerjen e energjisë elektrike nga prodhuesit me përparësi kaloi nga KESH sh</w:t>
      </w:r>
      <w:r>
        <w:rPr>
          <w:rFonts w:ascii="Times New Roman" w:eastAsia="Times New Roman" w:hAnsi="Times New Roman" w:cs="Times New Roman"/>
          <w:sz w:val="24"/>
          <w:szCs w:val="24"/>
        </w:rPr>
        <w:t>.</w:t>
      </w:r>
      <w:r w:rsidRPr="009B6417">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9B6417">
        <w:rPr>
          <w:rFonts w:ascii="Times New Roman" w:eastAsia="Times New Roman" w:hAnsi="Times New Roman" w:cs="Times New Roman"/>
          <w:sz w:val="24"/>
          <w:szCs w:val="24"/>
        </w:rPr>
        <w:t xml:space="preserve"> tek OSHEE sh.a. (pika G e kësaj marrëveshje). </w:t>
      </w:r>
    </w:p>
    <w:p w14:paraId="7FFECB04" w14:textId="77777777" w:rsidR="0021185F" w:rsidRPr="009B6417" w:rsidRDefault="0021185F" w:rsidP="0021185F">
      <w:pPr>
        <w:jc w:val="both"/>
        <w:rPr>
          <w:rFonts w:ascii="Times New Roman" w:eastAsia="Times New Roman" w:hAnsi="Times New Roman" w:cs="Times New Roman"/>
          <w:sz w:val="24"/>
          <w:szCs w:val="24"/>
        </w:rPr>
      </w:pPr>
      <w:r w:rsidRPr="009B6417">
        <w:rPr>
          <w:rFonts w:ascii="Times New Roman" w:eastAsia="Times New Roman" w:hAnsi="Times New Roman" w:cs="Times New Roman"/>
          <w:sz w:val="24"/>
          <w:szCs w:val="24"/>
        </w:rPr>
        <w:t>Kjo marrëv</w:t>
      </w:r>
      <w:r>
        <w:rPr>
          <w:rFonts w:ascii="Times New Roman" w:eastAsia="Times New Roman" w:hAnsi="Times New Roman" w:cs="Times New Roman"/>
          <w:sz w:val="24"/>
          <w:szCs w:val="24"/>
        </w:rPr>
        <w:t>e</w:t>
      </w:r>
      <w:r w:rsidRPr="009B6417">
        <w:rPr>
          <w:rFonts w:ascii="Times New Roman" w:eastAsia="Times New Roman" w:hAnsi="Times New Roman" w:cs="Times New Roman"/>
          <w:sz w:val="24"/>
          <w:szCs w:val="24"/>
        </w:rPr>
        <w:t xml:space="preserve">shje vjen në vijim të marrëveshjes së nënshkruar më datë 28.03.2013 (pika F), dhe do të jetë e vlefshme për një periudhë 15 vjeçare nga momenti i nënshkrimit (28.03.20128) (pika E). </w:t>
      </w:r>
    </w:p>
    <w:p w14:paraId="6CBF482B" w14:textId="77777777" w:rsidR="0021185F" w:rsidRDefault="0021185F" w:rsidP="0021185F">
      <w:pPr>
        <w:tabs>
          <w:tab w:val="left" w:pos="3553"/>
        </w:tabs>
        <w:jc w:val="both"/>
        <w:rPr>
          <w:rFonts w:ascii="Times New Roman" w:eastAsia="Times New Roman" w:hAnsi="Times New Roman" w:cs="Times New Roman"/>
          <w:sz w:val="24"/>
          <w:szCs w:val="24"/>
        </w:rPr>
      </w:pPr>
      <w:r w:rsidRPr="009B6417">
        <w:rPr>
          <w:rFonts w:ascii="Times New Roman" w:eastAsia="Times New Roman" w:hAnsi="Times New Roman" w:cs="Times New Roman"/>
          <w:sz w:val="24"/>
          <w:szCs w:val="24"/>
        </w:rPr>
        <w:t xml:space="preserve">Aktualisht ky projekt është në fazën e operimit që prej </w:t>
      </w:r>
      <w:r>
        <w:rPr>
          <w:rFonts w:ascii="Times New Roman" w:eastAsia="Times New Roman" w:hAnsi="Times New Roman" w:cs="Times New Roman"/>
          <w:sz w:val="24"/>
          <w:szCs w:val="24"/>
        </w:rPr>
        <w:t xml:space="preserve">fundit të vitit </w:t>
      </w:r>
      <w:r w:rsidRPr="009B6417">
        <w:rPr>
          <w:rFonts w:ascii="Times New Roman" w:eastAsia="Times New Roman" w:hAnsi="Times New Roman" w:cs="Times New Roman"/>
          <w:sz w:val="24"/>
          <w:szCs w:val="24"/>
        </w:rPr>
        <w:t>201</w:t>
      </w:r>
      <w:r>
        <w:rPr>
          <w:rFonts w:ascii="Times New Roman" w:eastAsia="Times New Roman" w:hAnsi="Times New Roman" w:cs="Times New Roman"/>
          <w:sz w:val="24"/>
          <w:szCs w:val="24"/>
        </w:rPr>
        <w:t>2</w:t>
      </w:r>
      <w:r w:rsidRPr="009B6417">
        <w:rPr>
          <w:rFonts w:ascii="Times New Roman" w:eastAsia="Times New Roman" w:hAnsi="Times New Roman" w:cs="Times New Roman"/>
          <w:sz w:val="24"/>
          <w:szCs w:val="24"/>
        </w:rPr>
        <w:t xml:space="preserve">. </w:t>
      </w:r>
      <w:r>
        <w:rPr>
          <w:rFonts w:ascii="Times New Roman" w:hAnsi="Times New Roman" w:cs="Times New Roman"/>
          <w:sz w:val="24"/>
        </w:rPr>
        <w:t>Prodhimi i energjisë elektrike nga HEC Ashta 1, 2, bë</w:t>
      </w:r>
      <w:r w:rsidRPr="002F3662">
        <w:rPr>
          <w:rFonts w:ascii="Times New Roman" w:hAnsi="Times New Roman" w:cs="Times New Roman"/>
          <w:sz w:val="24"/>
        </w:rPr>
        <w:t xml:space="preserve">het me </w:t>
      </w:r>
      <w:r>
        <w:rPr>
          <w:rFonts w:ascii="Times New Roman" w:hAnsi="Times New Roman" w:cs="Times New Roman"/>
          <w:sz w:val="24"/>
        </w:rPr>
        <w:t>planifikim dhe sipas regjimit të shkarkimit nga KESH</w:t>
      </w:r>
      <w:r w:rsidRPr="002F3662">
        <w:rPr>
          <w:rFonts w:ascii="Times New Roman" w:hAnsi="Times New Roman" w:cs="Times New Roman"/>
          <w:sz w:val="24"/>
        </w:rPr>
        <w:t xml:space="preserve"> sh.a</w:t>
      </w:r>
      <w:r>
        <w:rPr>
          <w:rFonts w:ascii="Times New Roman" w:hAnsi="Times New Roman" w:cs="Times New Roman"/>
          <w:sz w:val="24"/>
        </w:rPr>
        <w:t xml:space="preserve">. </w:t>
      </w:r>
      <w:r w:rsidRPr="009B6417">
        <w:rPr>
          <w:rFonts w:ascii="Times New Roman" w:eastAsia="Times New Roman" w:hAnsi="Times New Roman" w:cs="Times New Roman"/>
          <w:sz w:val="24"/>
          <w:szCs w:val="24"/>
        </w:rPr>
        <w:t xml:space="preserve">Në bazë të marrëveshjes koncesionare, energjia e prodhuar nga Hidrocentral Ashta 1, 2 nuk duhet të jetë më pak se 165,000 </w:t>
      </w:r>
      <w:r>
        <w:rPr>
          <w:rFonts w:ascii="Times New Roman" w:eastAsia="Times New Roman" w:hAnsi="Times New Roman" w:cs="Times New Roman"/>
          <w:sz w:val="24"/>
          <w:szCs w:val="24"/>
        </w:rPr>
        <w:t>MWh</w:t>
      </w:r>
      <w:r w:rsidRPr="009B6417">
        <w:rPr>
          <w:rFonts w:ascii="Times New Roman" w:eastAsia="Times New Roman" w:hAnsi="Times New Roman" w:cs="Times New Roman"/>
          <w:sz w:val="24"/>
          <w:szCs w:val="24"/>
        </w:rPr>
        <w:t>/vit, ndërkohë ecuria e sasisë së energjisë së prodhuar nga shoqëria koncesionare ndër vite është</w:t>
      </w:r>
      <w:r>
        <w:rPr>
          <w:rFonts w:ascii="Times New Roman" w:eastAsia="Times New Roman" w:hAnsi="Times New Roman" w:cs="Times New Roman"/>
          <w:sz w:val="24"/>
          <w:szCs w:val="24"/>
        </w:rPr>
        <w:t xml:space="preserve"> si në tabelën 16. Gjatë vitit 2019 janë prodhuar 191,495 MWh, rreth 26,495 Mwh më tepër se sa detyrimi kontraktual i parashikuar në kontratë.</w:t>
      </w:r>
    </w:p>
    <w:p w14:paraId="0140933C" w14:textId="77777777" w:rsidR="0021185F" w:rsidRDefault="0021185F" w:rsidP="0021185F">
      <w:pPr>
        <w:tabs>
          <w:tab w:val="left" w:pos="3553"/>
        </w:tabs>
        <w:jc w:val="both"/>
        <w:rPr>
          <w:rFonts w:ascii="Times New Roman" w:eastAsia="Times New Roman" w:hAnsi="Times New Roman" w:cs="Times New Roman"/>
          <w:sz w:val="24"/>
          <w:szCs w:val="24"/>
        </w:rPr>
      </w:pPr>
    </w:p>
    <w:p w14:paraId="255D10C8" w14:textId="77777777" w:rsidR="0021185F" w:rsidRPr="009B6417" w:rsidRDefault="0021185F" w:rsidP="006B6D4D">
      <w:pPr>
        <w:pStyle w:val="Caption"/>
      </w:pPr>
      <w:bookmarkStart w:id="92" w:name="_Toc40422399"/>
      <w:r w:rsidRPr="009B6417">
        <w:t xml:space="preserve">Tabela </w:t>
      </w:r>
      <w:r>
        <w:fldChar w:fldCharType="begin"/>
      </w:r>
      <w:r>
        <w:instrText xml:space="preserve"> SEQ Tabela \* ARABIC </w:instrText>
      </w:r>
      <w:r>
        <w:fldChar w:fldCharType="separate"/>
      </w:r>
      <w:r>
        <w:rPr>
          <w:noProof/>
        </w:rPr>
        <w:t>16</w:t>
      </w:r>
      <w:r>
        <w:rPr>
          <w:noProof/>
        </w:rPr>
        <w:fldChar w:fldCharType="end"/>
      </w:r>
      <w:r w:rsidRPr="009B6417">
        <w:t xml:space="preserve">: Sasia e energjisë së prodhuar (në </w:t>
      </w:r>
      <w:r>
        <w:t>MWh</w:t>
      </w:r>
      <w:r w:rsidRPr="009B6417">
        <w:t>/Vit)</w:t>
      </w:r>
      <w:bookmarkEnd w:id="92"/>
    </w:p>
    <w:tbl>
      <w:tblPr>
        <w:tblStyle w:val="TableGrid"/>
        <w:tblW w:w="9355" w:type="dxa"/>
        <w:shd w:val="clear" w:color="auto" w:fill="DDD9C3" w:themeFill="background2" w:themeFillShade="E6"/>
        <w:tblLook w:val="04A0" w:firstRow="1" w:lastRow="0" w:firstColumn="1" w:lastColumn="0" w:noHBand="0" w:noVBand="1"/>
      </w:tblPr>
      <w:tblGrid>
        <w:gridCol w:w="1441"/>
        <w:gridCol w:w="1074"/>
        <w:gridCol w:w="1170"/>
        <w:gridCol w:w="1170"/>
        <w:gridCol w:w="1170"/>
        <w:gridCol w:w="1080"/>
        <w:gridCol w:w="990"/>
        <w:gridCol w:w="1260"/>
      </w:tblGrid>
      <w:tr w:rsidR="0021185F" w:rsidRPr="003C2F4F" w14:paraId="01282F3F" w14:textId="77777777" w:rsidTr="00A86B34">
        <w:trPr>
          <w:trHeight w:val="350"/>
        </w:trPr>
        <w:tc>
          <w:tcPr>
            <w:tcW w:w="1441" w:type="dxa"/>
            <w:shd w:val="clear" w:color="auto" w:fill="DDD9C3" w:themeFill="background2" w:themeFillShade="E6"/>
          </w:tcPr>
          <w:p w14:paraId="7E599408"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Viti</w:t>
            </w:r>
          </w:p>
        </w:tc>
        <w:tc>
          <w:tcPr>
            <w:tcW w:w="1074" w:type="dxa"/>
            <w:shd w:val="clear" w:color="auto" w:fill="DDD9C3" w:themeFill="background2" w:themeFillShade="E6"/>
          </w:tcPr>
          <w:p w14:paraId="4D90F845"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2013</w:t>
            </w:r>
          </w:p>
        </w:tc>
        <w:tc>
          <w:tcPr>
            <w:tcW w:w="1170" w:type="dxa"/>
            <w:shd w:val="clear" w:color="auto" w:fill="DDD9C3" w:themeFill="background2" w:themeFillShade="E6"/>
          </w:tcPr>
          <w:p w14:paraId="4D914CF3"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2014</w:t>
            </w:r>
          </w:p>
        </w:tc>
        <w:tc>
          <w:tcPr>
            <w:tcW w:w="1170" w:type="dxa"/>
            <w:shd w:val="clear" w:color="auto" w:fill="DDD9C3" w:themeFill="background2" w:themeFillShade="E6"/>
          </w:tcPr>
          <w:p w14:paraId="5A41F6F8"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2015</w:t>
            </w:r>
          </w:p>
        </w:tc>
        <w:tc>
          <w:tcPr>
            <w:tcW w:w="1170" w:type="dxa"/>
            <w:shd w:val="clear" w:color="auto" w:fill="DDD9C3" w:themeFill="background2" w:themeFillShade="E6"/>
          </w:tcPr>
          <w:p w14:paraId="2FAC6921"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2016</w:t>
            </w:r>
          </w:p>
        </w:tc>
        <w:tc>
          <w:tcPr>
            <w:tcW w:w="1080" w:type="dxa"/>
            <w:shd w:val="clear" w:color="auto" w:fill="DDD9C3" w:themeFill="background2" w:themeFillShade="E6"/>
          </w:tcPr>
          <w:p w14:paraId="0449D316"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2017</w:t>
            </w:r>
          </w:p>
        </w:tc>
        <w:tc>
          <w:tcPr>
            <w:tcW w:w="990" w:type="dxa"/>
            <w:shd w:val="clear" w:color="auto" w:fill="DDD9C3" w:themeFill="background2" w:themeFillShade="E6"/>
          </w:tcPr>
          <w:p w14:paraId="1F339A08"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2018</w:t>
            </w:r>
          </w:p>
        </w:tc>
        <w:tc>
          <w:tcPr>
            <w:tcW w:w="1260" w:type="dxa"/>
            <w:shd w:val="clear" w:color="auto" w:fill="DDD9C3" w:themeFill="background2" w:themeFillShade="E6"/>
          </w:tcPr>
          <w:p w14:paraId="19A8F0BD"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2019</w:t>
            </w:r>
          </w:p>
        </w:tc>
      </w:tr>
      <w:tr w:rsidR="0021185F" w:rsidRPr="003C2F4F" w14:paraId="7D85B82B" w14:textId="77777777" w:rsidTr="00A86B34">
        <w:trPr>
          <w:trHeight w:val="548"/>
        </w:trPr>
        <w:tc>
          <w:tcPr>
            <w:tcW w:w="1441" w:type="dxa"/>
            <w:shd w:val="clear" w:color="auto" w:fill="EEECE1" w:themeFill="background2"/>
          </w:tcPr>
          <w:p w14:paraId="7DA93A48" w14:textId="77777777" w:rsidR="0021185F" w:rsidRPr="003C2F4F" w:rsidRDefault="0021185F" w:rsidP="00A86B34">
            <w:pPr>
              <w:rPr>
                <w:rFonts w:ascii="Times New Roman" w:hAnsi="Times New Roman" w:cs="Times New Roman"/>
                <w:b/>
                <w:i/>
                <w:sz w:val="20"/>
                <w:szCs w:val="24"/>
              </w:rPr>
            </w:pPr>
            <w:r w:rsidRPr="003C2F4F">
              <w:rPr>
                <w:rFonts w:ascii="Times New Roman" w:hAnsi="Times New Roman" w:cs="Times New Roman"/>
                <w:b/>
                <w:i/>
                <w:sz w:val="20"/>
                <w:szCs w:val="24"/>
              </w:rPr>
              <w:t xml:space="preserve">Sasia  e energjisë </w:t>
            </w:r>
          </w:p>
        </w:tc>
        <w:tc>
          <w:tcPr>
            <w:tcW w:w="1074" w:type="dxa"/>
            <w:shd w:val="clear" w:color="auto" w:fill="EEECE1" w:themeFill="background2"/>
          </w:tcPr>
          <w:p w14:paraId="602DD76A"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211,190</w:t>
            </w:r>
          </w:p>
        </w:tc>
        <w:tc>
          <w:tcPr>
            <w:tcW w:w="1170" w:type="dxa"/>
            <w:shd w:val="clear" w:color="auto" w:fill="EEECE1" w:themeFill="background2"/>
          </w:tcPr>
          <w:p w14:paraId="59ADDB3E"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200,992</w:t>
            </w:r>
          </w:p>
        </w:tc>
        <w:tc>
          <w:tcPr>
            <w:tcW w:w="1170" w:type="dxa"/>
            <w:shd w:val="clear" w:color="auto" w:fill="EEECE1" w:themeFill="background2"/>
          </w:tcPr>
          <w:p w14:paraId="7DC0BC47"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235,604</w:t>
            </w:r>
          </w:p>
        </w:tc>
        <w:tc>
          <w:tcPr>
            <w:tcW w:w="1170" w:type="dxa"/>
            <w:shd w:val="clear" w:color="auto" w:fill="EEECE1" w:themeFill="background2"/>
          </w:tcPr>
          <w:p w14:paraId="6603D911"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276,604</w:t>
            </w:r>
          </w:p>
        </w:tc>
        <w:tc>
          <w:tcPr>
            <w:tcW w:w="1080" w:type="dxa"/>
            <w:shd w:val="clear" w:color="auto" w:fill="EEECE1" w:themeFill="background2"/>
          </w:tcPr>
          <w:p w14:paraId="3CAB42F5"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174,526</w:t>
            </w:r>
          </w:p>
        </w:tc>
        <w:tc>
          <w:tcPr>
            <w:tcW w:w="990" w:type="dxa"/>
            <w:shd w:val="clear" w:color="auto" w:fill="EEECE1" w:themeFill="background2"/>
          </w:tcPr>
          <w:p w14:paraId="11348C6B" w14:textId="77777777" w:rsidR="0021185F" w:rsidRPr="003C2F4F" w:rsidRDefault="0021185F" w:rsidP="00A86B34">
            <w:pPr>
              <w:jc w:val="both"/>
              <w:rPr>
                <w:rFonts w:ascii="Times New Roman" w:hAnsi="Times New Roman" w:cs="Times New Roman"/>
                <w:b/>
                <w:i/>
                <w:sz w:val="20"/>
                <w:szCs w:val="24"/>
              </w:rPr>
            </w:pPr>
            <w:r w:rsidRPr="003C2F4F">
              <w:rPr>
                <w:rFonts w:ascii="Times New Roman" w:hAnsi="Times New Roman" w:cs="Times New Roman"/>
                <w:b/>
                <w:i/>
                <w:sz w:val="20"/>
                <w:szCs w:val="24"/>
              </w:rPr>
              <w:t>298,107</w:t>
            </w:r>
          </w:p>
        </w:tc>
        <w:tc>
          <w:tcPr>
            <w:tcW w:w="1260" w:type="dxa"/>
            <w:shd w:val="clear" w:color="auto" w:fill="EEECE1" w:themeFill="background2"/>
          </w:tcPr>
          <w:p w14:paraId="27FBAF6D" w14:textId="77777777" w:rsidR="0021185F" w:rsidRPr="003C2F4F" w:rsidRDefault="0021185F" w:rsidP="00A86B34">
            <w:pPr>
              <w:jc w:val="both"/>
              <w:rPr>
                <w:rFonts w:ascii="Times New Roman" w:hAnsi="Times New Roman" w:cs="Times New Roman"/>
                <w:b/>
                <w:i/>
                <w:sz w:val="20"/>
                <w:szCs w:val="24"/>
              </w:rPr>
            </w:pPr>
            <w:r>
              <w:rPr>
                <w:rFonts w:ascii="Times New Roman" w:hAnsi="Times New Roman" w:cs="Times New Roman"/>
                <w:b/>
                <w:i/>
                <w:sz w:val="20"/>
                <w:szCs w:val="24"/>
              </w:rPr>
              <w:t>191,495</w:t>
            </w:r>
          </w:p>
        </w:tc>
      </w:tr>
    </w:tbl>
    <w:p w14:paraId="0DF74615" w14:textId="77777777" w:rsidR="0021185F" w:rsidRPr="00ED296B" w:rsidRDefault="0021185F" w:rsidP="0021185F">
      <w:pPr>
        <w:tabs>
          <w:tab w:val="left" w:pos="3553"/>
        </w:tabs>
        <w:jc w:val="both"/>
        <w:rPr>
          <w:rFonts w:ascii="Times New Roman" w:hAnsi="Times New Roman" w:cs="Times New Roman"/>
          <w:b/>
          <w:i/>
          <w:sz w:val="2"/>
          <w:szCs w:val="24"/>
        </w:rPr>
      </w:pPr>
    </w:p>
    <w:p w14:paraId="62483BDD" w14:textId="77777777" w:rsidR="0021185F" w:rsidRPr="009B6417" w:rsidRDefault="0021185F" w:rsidP="004C1F25">
      <w:pPr>
        <w:pStyle w:val="ListParagraph"/>
        <w:numPr>
          <w:ilvl w:val="2"/>
          <w:numId w:val="32"/>
        </w:numPr>
        <w:spacing w:before="100" w:beforeAutospacing="1" w:after="100" w:afterAutospacing="1"/>
        <w:jc w:val="both"/>
        <w:rPr>
          <w:rFonts w:ascii="Times New Roman" w:hAnsi="Times New Roman" w:cs="Times New Roman"/>
          <w:b/>
          <w:i/>
          <w:sz w:val="24"/>
          <w:szCs w:val="24"/>
        </w:rPr>
      </w:pPr>
      <w:r w:rsidRPr="009B6417">
        <w:rPr>
          <w:rFonts w:ascii="Times New Roman" w:hAnsi="Times New Roman" w:cs="Times New Roman"/>
          <w:b/>
          <w:i/>
          <w:sz w:val="24"/>
          <w:szCs w:val="24"/>
        </w:rPr>
        <w:lastRenderedPageBreak/>
        <w:t xml:space="preserve">Risqet </w:t>
      </w:r>
    </w:p>
    <w:p w14:paraId="082D7BE2" w14:textId="77777777" w:rsidR="0021185F" w:rsidRPr="00C04358" w:rsidRDefault="0021185F" w:rsidP="0021185F">
      <w:pPr>
        <w:spacing w:before="100" w:beforeAutospacing="1" w:after="100" w:afterAutospacing="1"/>
        <w:jc w:val="both"/>
        <w:rPr>
          <w:rFonts w:ascii="Times New Roman" w:hAnsi="Times New Roman" w:cs="Times New Roman"/>
          <w:sz w:val="24"/>
          <w:szCs w:val="24"/>
        </w:rPr>
      </w:pPr>
      <w:r w:rsidRPr="009B6417">
        <w:rPr>
          <w:rFonts w:ascii="Times New Roman" w:hAnsi="Times New Roman" w:cs="Times New Roman"/>
          <w:sz w:val="24"/>
          <w:szCs w:val="24"/>
        </w:rPr>
        <w:t>Autoriteti ka raportuar në lidhje me risqet e kontratës sipas formatit të përcaktuar, duke specifikuar përcaktimin e palës që merr përsipër riskun, impaktin fiskal nëse është materializuar, probabilitetin e ndodhjes në të ardhmen dhe impaktin e pritshëm nëse ndodh. Në lidhje me risqet që rrjedhin nga zbatimi i kontratës koncesionare, tek pala private janë transferuar</w:t>
      </w:r>
      <w:r>
        <w:rPr>
          <w:rFonts w:ascii="Times New Roman" w:hAnsi="Times New Roman" w:cs="Times New Roman"/>
          <w:sz w:val="24"/>
          <w:szCs w:val="24"/>
        </w:rPr>
        <w:t>:</w:t>
      </w:r>
      <w:r w:rsidRPr="009B6417">
        <w:rPr>
          <w:rFonts w:ascii="Times New Roman" w:hAnsi="Times New Roman" w:cs="Times New Roman"/>
          <w:sz w:val="24"/>
          <w:szCs w:val="24"/>
        </w:rPr>
        <w:t xml:space="preserve"> risku i ndërtimit, risku financiar, risku i operimit dhe perfomancës dhe risku i transferimit të aseteve, ndërsa risku i qeverisjes, risku i ndryshimeve ligjore dhe risku material nga vendimet politike i janë alokuar palës publike. Ndërkohë janë ndarë mes palëve risku i forcës madhore, risku i rinegocimit dhe risku i ndërprerjes së kontratës</w:t>
      </w:r>
      <w:r>
        <w:rPr>
          <w:rFonts w:ascii="Times New Roman" w:hAnsi="Times New Roman" w:cs="Times New Roman"/>
          <w:b/>
          <w:i/>
          <w:sz w:val="24"/>
          <w:szCs w:val="24"/>
        </w:rPr>
        <w:t xml:space="preserve"> </w:t>
      </w:r>
      <w:r w:rsidRPr="009B6417">
        <w:rPr>
          <w:rFonts w:ascii="Times New Roman" w:hAnsi="Times New Roman" w:cs="Times New Roman"/>
          <w:sz w:val="24"/>
          <w:szCs w:val="24"/>
        </w:rPr>
        <w:t>Gjatë zbatimit të kontratës nuk ka patur materializim të risqeve, dhe aktualisht Autoriteti përgjegjës për monitorimin e kësaj kontrate ka raportuar probabilititet të ulët të ndodhjes së</w:t>
      </w:r>
      <w:r>
        <w:rPr>
          <w:rFonts w:ascii="Times New Roman" w:hAnsi="Times New Roman" w:cs="Times New Roman"/>
          <w:sz w:val="24"/>
          <w:szCs w:val="24"/>
        </w:rPr>
        <w:t xml:space="preserve"> risqeve.</w:t>
      </w:r>
    </w:p>
    <w:p w14:paraId="53F64479" w14:textId="77777777" w:rsidR="0021185F" w:rsidRDefault="0021185F" w:rsidP="004C1F25">
      <w:pPr>
        <w:pStyle w:val="Heading2"/>
        <w:numPr>
          <w:ilvl w:val="1"/>
          <w:numId w:val="32"/>
        </w:numPr>
        <w:jc w:val="both"/>
        <w:rPr>
          <w:rFonts w:ascii="Times New Roman" w:hAnsi="Times New Roman" w:cs="Times New Roman"/>
          <w:b/>
          <w:i/>
          <w:sz w:val="24"/>
          <w:szCs w:val="24"/>
        </w:rPr>
      </w:pPr>
      <w:bookmarkStart w:id="93" w:name="_Toc37196707"/>
      <w:r w:rsidRPr="009B6417">
        <w:rPr>
          <w:rFonts w:ascii="Times New Roman" w:hAnsi="Times New Roman" w:cs="Times New Roman"/>
          <w:b/>
          <w:sz w:val="24"/>
          <w:szCs w:val="24"/>
        </w:rPr>
        <w:t>Kontrata Koncesionare</w:t>
      </w:r>
      <w:r>
        <w:rPr>
          <w:rFonts w:ascii="Times New Roman" w:hAnsi="Times New Roman" w:cs="Times New Roman"/>
          <w:b/>
          <w:sz w:val="24"/>
          <w:szCs w:val="24"/>
        </w:rPr>
        <w:t>/PPP</w:t>
      </w:r>
      <w:r w:rsidRPr="009B6417">
        <w:rPr>
          <w:rFonts w:ascii="Times New Roman" w:hAnsi="Times New Roman" w:cs="Times New Roman"/>
          <w:b/>
          <w:sz w:val="24"/>
          <w:szCs w:val="24"/>
        </w:rPr>
        <w:t xml:space="preserve"> “</w:t>
      </w:r>
      <w:r w:rsidRPr="009B6417">
        <w:rPr>
          <w:rFonts w:ascii="Times New Roman" w:hAnsi="Times New Roman" w:cs="Times New Roman"/>
          <w:b/>
          <w:i/>
          <w:sz w:val="24"/>
          <w:szCs w:val="24"/>
        </w:rPr>
        <w:t>Për projektimin financimin, ndërtimin, marrjen në pronësi, shfrytëzimin, mirëmbajtjen dhe transferimin e projektit të hidrocentralit në lumin Devoll”</w:t>
      </w:r>
      <w:bookmarkEnd w:id="93"/>
    </w:p>
    <w:p w14:paraId="29ADB8B7" w14:textId="77777777" w:rsidR="0021185F" w:rsidRPr="00EB17F7" w:rsidRDefault="0021185F" w:rsidP="0021185F">
      <w:pPr>
        <w:rPr>
          <w:sz w:val="4"/>
        </w:rPr>
      </w:pPr>
    </w:p>
    <w:p w14:paraId="08940765" w14:textId="77777777" w:rsidR="0021185F" w:rsidRPr="009B6417" w:rsidRDefault="0021185F" w:rsidP="004C1F25">
      <w:pPr>
        <w:pStyle w:val="Heading2"/>
        <w:numPr>
          <w:ilvl w:val="2"/>
          <w:numId w:val="32"/>
        </w:numPr>
        <w:rPr>
          <w:rFonts w:ascii="Times New Roman" w:hAnsi="Times New Roman" w:cs="Times New Roman"/>
          <w:b/>
          <w:i/>
          <w:color w:val="auto"/>
          <w:sz w:val="24"/>
          <w:szCs w:val="24"/>
        </w:rPr>
      </w:pPr>
      <w:bookmarkStart w:id="94" w:name="_Toc21689814"/>
      <w:bookmarkStart w:id="95" w:name="_Toc23765738"/>
      <w:bookmarkStart w:id="96" w:name="_Toc37196708"/>
      <w:r w:rsidRPr="009B6417">
        <w:rPr>
          <w:rFonts w:ascii="Times New Roman" w:hAnsi="Times New Roman" w:cs="Times New Roman"/>
          <w:b/>
          <w:i/>
          <w:color w:val="auto"/>
          <w:sz w:val="24"/>
          <w:szCs w:val="24"/>
        </w:rPr>
        <w:t>Prezantim i përgjithshëm i projektit</w:t>
      </w:r>
      <w:bookmarkEnd w:id="94"/>
      <w:bookmarkEnd w:id="95"/>
      <w:bookmarkEnd w:id="96"/>
    </w:p>
    <w:p w14:paraId="31EC6909" w14:textId="77777777" w:rsidR="0021185F" w:rsidRPr="009B6417" w:rsidRDefault="0021185F" w:rsidP="0021185F">
      <w:pPr>
        <w:spacing w:after="0"/>
        <w:jc w:val="both"/>
        <w:rPr>
          <w:rFonts w:ascii="Times New Roman" w:hAnsi="Times New Roman" w:cs="Times New Roman"/>
          <w:sz w:val="24"/>
          <w:szCs w:val="24"/>
        </w:rPr>
      </w:pPr>
      <w:r>
        <w:rPr>
          <w:rFonts w:ascii="Times New Roman" w:hAnsi="Times New Roman" w:cs="Times New Roman"/>
          <w:noProof/>
          <w:color w:val="4A442A" w:themeColor="background2" w:themeShade="40"/>
          <w:sz w:val="24"/>
          <w:szCs w:val="24"/>
          <w:lang w:val="en-US"/>
        </w:rPr>
        <mc:AlternateContent>
          <mc:Choice Requires="wps">
            <w:drawing>
              <wp:anchor distT="0" distB="0" distL="91440" distR="320040" simplePos="0" relativeHeight="251677696" behindDoc="0" locked="0" layoutInCell="1" allowOverlap="1" wp14:anchorId="5867291C" wp14:editId="08A0EF11">
                <wp:simplePos x="0" y="0"/>
                <wp:positionH relativeFrom="margin">
                  <wp:posOffset>3324225</wp:posOffset>
                </wp:positionH>
                <wp:positionV relativeFrom="margin">
                  <wp:posOffset>4211320</wp:posOffset>
                </wp:positionV>
                <wp:extent cx="3124200" cy="2247900"/>
                <wp:effectExtent l="9525" t="9525" r="9525" b="9525"/>
                <wp:wrapSquare wrapText="bothSides"/>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247900"/>
                        </a:xfrm>
                        <a:prstGeom prst="rect">
                          <a:avLst/>
                        </a:prstGeom>
                        <a:pattFill prst="pct50">
                          <a:fgClr>
                            <a:schemeClr val="bg2">
                              <a:lumMod val="100000"/>
                              <a:lumOff val="0"/>
                            </a:schemeClr>
                          </a:fgClr>
                          <a:bgClr>
                            <a:schemeClr val="bg1">
                              <a:lumMod val="100000"/>
                              <a:lumOff val="0"/>
                            </a:schemeClr>
                          </a:bgClr>
                        </a:pattFill>
                        <a:ln w="6350" cap="rnd">
                          <a:solidFill>
                            <a:schemeClr val="bg2">
                              <a:lumMod val="75000"/>
                              <a:lumOff val="0"/>
                            </a:schemeClr>
                          </a:solidFill>
                          <a:miter lim="800000"/>
                          <a:headEnd/>
                          <a:tailEnd/>
                        </a:ln>
                      </wps:spPr>
                      <wps:txbx>
                        <w:txbxContent>
                          <w:p w14:paraId="71E0C257" w14:textId="77777777" w:rsidR="0025668C" w:rsidRPr="005129AE" w:rsidRDefault="0025668C" w:rsidP="0021185F">
                            <w:pPr>
                              <w:pBdr>
                                <w:left w:val="single" w:sz="80" w:space="3" w:color="7F7F7F" w:themeColor="text1" w:themeTint="80"/>
                                <w:bottom w:val="single" w:sz="8" w:space="5" w:color="7F7F7F" w:themeColor="text1" w:themeTint="80"/>
                              </w:pBdr>
                              <w:spacing w:before="40" w:line="288" w:lineRule="auto"/>
                              <w:jc w:val="both"/>
                              <w:rPr>
                                <w:rFonts w:ascii="Times New Roman" w:hAnsi="Times New Roman" w:cs="Times New Roman"/>
                                <w:i/>
                                <w:color w:val="4A442A" w:themeColor="background2" w:themeShade="40"/>
                                <w:sz w:val="18"/>
                                <w:szCs w:val="18"/>
                              </w:rPr>
                            </w:pPr>
                            <w:r w:rsidRPr="005129AE">
                              <w:rPr>
                                <w:rFonts w:ascii="Times New Roman" w:hAnsi="Times New Roman" w:cs="Times New Roman"/>
                                <w:color w:val="4A442A" w:themeColor="background2" w:themeShade="40"/>
                                <w:sz w:val="18"/>
                                <w:szCs w:val="18"/>
                                <w:lang w:val="en-US"/>
                              </w:rPr>
                              <w:t xml:space="preserve">Kontrata Koncesionare </w:t>
                            </w:r>
                            <w:r w:rsidRPr="005129AE">
                              <w:rPr>
                                <w:rFonts w:ascii="Times New Roman" w:hAnsi="Times New Roman" w:cs="Times New Roman"/>
                                <w:color w:val="1D1B11" w:themeColor="background2" w:themeShade="1A"/>
                                <w:sz w:val="18"/>
                                <w:szCs w:val="18"/>
                                <w:lang w:val="en-US"/>
                              </w:rPr>
                              <w:t>“</w:t>
                            </w:r>
                            <w:r w:rsidRPr="009A6E48">
                              <w:rPr>
                                <w:rFonts w:ascii="Times New Roman" w:hAnsi="Times New Roman" w:cs="Times New Roman"/>
                                <w:b/>
                                <w:i/>
                                <w:color w:val="4A442A" w:themeColor="background2" w:themeShade="40"/>
                                <w:sz w:val="18"/>
                                <w:szCs w:val="18"/>
                                <w:lang w:val="en-US"/>
                              </w:rPr>
                              <w:t>P</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r projektimin financimin, nd</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rtimin,</w:t>
                            </w:r>
                            <w:r>
                              <w:rPr>
                                <w:rFonts w:ascii="Times New Roman" w:hAnsi="Times New Roman" w:cs="Times New Roman"/>
                                <w:b/>
                                <w:i/>
                                <w:color w:val="4A442A" w:themeColor="background2" w:themeShade="40"/>
                                <w:sz w:val="18"/>
                                <w:szCs w:val="18"/>
                                <w:lang w:val="en-US"/>
                              </w:rPr>
                              <w:t xml:space="preserve"> </w:t>
                            </w:r>
                            <w:r w:rsidRPr="009A6E48">
                              <w:rPr>
                                <w:rFonts w:ascii="Times New Roman" w:hAnsi="Times New Roman" w:cs="Times New Roman"/>
                                <w:b/>
                                <w:i/>
                                <w:color w:val="4A442A" w:themeColor="background2" w:themeShade="40"/>
                                <w:sz w:val="18"/>
                                <w:szCs w:val="18"/>
                                <w:lang w:val="en-US"/>
                              </w:rPr>
                              <w:t>marrjen n</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 xml:space="preserve"> pron</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si, shfryt</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zimin, mir</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mbajtjen dhe transferimin e projektit t</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 xml:space="preserve"> hidrocentralit n</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 xml:space="preserve"> </w:t>
                            </w:r>
                            <w:r>
                              <w:rPr>
                                <w:rFonts w:ascii="Times New Roman" w:hAnsi="Times New Roman" w:cs="Times New Roman"/>
                                <w:b/>
                                <w:i/>
                                <w:color w:val="4A442A" w:themeColor="background2" w:themeShade="40"/>
                                <w:sz w:val="18"/>
                                <w:szCs w:val="18"/>
                                <w:lang w:val="en-US"/>
                              </w:rPr>
                              <w:t>lumi</w:t>
                            </w:r>
                            <w:r w:rsidRPr="009A6E48">
                              <w:rPr>
                                <w:rFonts w:ascii="Times New Roman" w:hAnsi="Times New Roman" w:cs="Times New Roman"/>
                                <w:b/>
                                <w:i/>
                                <w:color w:val="4A442A" w:themeColor="background2" w:themeShade="40"/>
                                <w:sz w:val="18"/>
                                <w:szCs w:val="18"/>
                                <w:lang w:val="en-US"/>
                              </w:rPr>
                              <w:t>n Devoll</w:t>
                            </w:r>
                            <w:r>
                              <w:rPr>
                                <w:rFonts w:ascii="Times New Roman" w:hAnsi="Times New Roman" w:cs="Times New Roman"/>
                                <w:color w:val="1D1B11" w:themeColor="background2" w:themeShade="1A"/>
                                <w:sz w:val="18"/>
                                <w:szCs w:val="18"/>
                                <w:lang w:val="en-US"/>
                              </w:rPr>
                              <w:t>”</w:t>
                            </w:r>
                            <w:r>
                              <w:rPr>
                                <w:rFonts w:ascii="Times New Roman" w:hAnsi="Times New Roman" w:cs="Times New Roman"/>
                                <w:i/>
                                <w:color w:val="1D1B11" w:themeColor="background2" w:themeShade="1A"/>
                                <w:sz w:val="18"/>
                                <w:szCs w:val="18"/>
                                <w:lang w:val="en-US"/>
                              </w:rPr>
                              <w:t xml:space="preserve">   </w:t>
                            </w:r>
                          </w:p>
                          <w:p w14:paraId="568C87A1" w14:textId="77777777" w:rsidR="0025668C" w:rsidRPr="008C6A6D" w:rsidRDefault="0025668C" w:rsidP="0021185F">
                            <w:pPr>
                              <w:pStyle w:val="ListParagraph"/>
                              <w:numPr>
                                <w:ilvl w:val="0"/>
                                <w:numId w:val="4"/>
                              </w:numPr>
                              <w:ind w:left="90"/>
                              <w:rPr>
                                <w:rFonts w:ascii="Times New Roman" w:hAnsi="Times New Roman" w:cs="Times New Roman"/>
                              </w:rPr>
                            </w:pPr>
                            <w:r w:rsidRPr="00F70FF9">
                              <w:rPr>
                                <w:rFonts w:ascii="Times New Roman" w:hAnsi="Times New Roman" w:cs="Times New Roman"/>
                                <w:b/>
                                <w:color w:val="000000" w:themeColor="text1"/>
                              </w:rPr>
                              <w:t>Autoriteti Kontraktues</w:t>
                            </w:r>
                            <w:r w:rsidRPr="00F70FF9">
                              <w:rPr>
                                <w:rFonts w:ascii="Times New Roman" w:hAnsi="Times New Roman" w:cs="Times New Roman"/>
                              </w:rPr>
                              <w:t xml:space="preserve">: </w:t>
                            </w:r>
                            <w:r>
                              <w:rPr>
                                <w:rFonts w:ascii="Times New Roman" w:hAnsi="Times New Roman" w:cs="Times New Roman"/>
                              </w:rPr>
                              <w:t xml:space="preserve"> METE (sot MIE)</w:t>
                            </w:r>
                          </w:p>
                          <w:p w14:paraId="683C076C" w14:textId="77777777" w:rsidR="0025668C" w:rsidRPr="00F70FF9" w:rsidRDefault="0025668C" w:rsidP="0021185F">
                            <w:pPr>
                              <w:pStyle w:val="ListParagraph"/>
                              <w:numPr>
                                <w:ilvl w:val="0"/>
                                <w:numId w:val="4"/>
                              </w:numPr>
                              <w:ind w:left="90"/>
                              <w:rPr>
                                <w:rFonts w:ascii="Times New Roman" w:hAnsi="Times New Roman" w:cs="Times New Roman"/>
                                <w:color w:val="000000" w:themeColor="text1"/>
                              </w:rPr>
                            </w:pPr>
                            <w:r w:rsidRPr="00F70FF9">
                              <w:rPr>
                                <w:rFonts w:ascii="Times New Roman" w:hAnsi="Times New Roman" w:cs="Times New Roman"/>
                                <w:b/>
                                <w:color w:val="000000" w:themeColor="text1"/>
                              </w:rPr>
                              <w:t>SPV:</w:t>
                            </w:r>
                            <w:r w:rsidRPr="00F70FF9">
                              <w:rPr>
                                <w:rFonts w:ascii="Times New Roman" w:hAnsi="Times New Roman" w:cs="Times New Roman"/>
                                <w:color w:val="000000" w:themeColor="text1"/>
                              </w:rPr>
                              <w:t xml:space="preserve">        </w:t>
                            </w:r>
                            <w:r>
                              <w:rPr>
                                <w:rFonts w:ascii="Times New Roman" w:hAnsi="Times New Roman" w:cs="Times New Roman"/>
                              </w:rPr>
                              <w:t xml:space="preserve">                  </w:t>
                            </w:r>
                            <w:r w:rsidRPr="00F70FF9">
                              <w:rPr>
                                <w:rFonts w:ascii="Times New Roman" w:hAnsi="Times New Roman" w:cs="Times New Roman"/>
                                <w:color w:val="000000" w:themeColor="text1"/>
                              </w:rPr>
                              <w:t xml:space="preserve"> Devoll  Hydropo</w:t>
                            </w:r>
                            <w:r>
                              <w:rPr>
                                <w:rFonts w:ascii="Times New Roman" w:hAnsi="Times New Roman" w:cs="Times New Roman"/>
                                <w:color w:val="000000" w:themeColor="text1"/>
                              </w:rPr>
                              <w:t>ë</w:t>
                            </w:r>
                            <w:r w:rsidRPr="00F70FF9">
                              <w:rPr>
                                <w:rFonts w:ascii="Times New Roman" w:hAnsi="Times New Roman" w:cs="Times New Roman"/>
                                <w:color w:val="000000" w:themeColor="text1"/>
                              </w:rPr>
                              <w:t xml:space="preserve">er sh.a             </w:t>
                            </w:r>
                          </w:p>
                          <w:p w14:paraId="61F5B591" w14:textId="77777777"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130 miliardë Lekë   </w:t>
                            </w:r>
                          </w:p>
                          <w:p w14:paraId="2A4354C4" w14:textId="77777777"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17.03.2009</w:t>
                            </w:r>
                          </w:p>
                          <w:p w14:paraId="7417BBEA" w14:textId="77777777"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35 vite</w:t>
                            </w:r>
                          </w:p>
                          <w:p w14:paraId="4D91029B" w14:textId="77777777"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Pr>
                                <w:rFonts w:ascii="Times New Roman" w:hAnsi="Times New Roman" w:cs="Times New Roman"/>
                                <w:color w:val="000000" w:themeColor="text1"/>
                              </w:rPr>
                              <w:t>Operim</w:t>
                            </w:r>
                          </w:p>
                          <w:p w14:paraId="4F1DE53A" w14:textId="77777777" w:rsidR="0025668C" w:rsidRDefault="0025668C" w:rsidP="0021185F">
                            <w:pPr>
                              <w:rPr>
                                <w:color w:val="808080" w:themeColor="background1" w:themeShade="8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4E761" id="Text Box 24" o:spid="_x0000_s1043" type="#_x0000_t202" style="position:absolute;left:0;text-align:left;margin-left:261.75pt;margin-top:331.6pt;width:246pt;height:177pt;z-index:251677696;visibility:visible;mso-wrap-style:square;mso-width-percent:0;mso-height-percent:0;mso-wrap-distance-left:7.2pt;mso-wrap-distance-top:0;mso-wrap-distance-right:25.2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" fillcolor="#eeece1 [3214]" strokecolor="#c4bc96 [2414]" strokeweight=".5pt">
                <v:fill r:id="rId10" o:title="" color2="white [3212]" type="pattern"/>
                <v:stroke endcap="round"/>
                <v:textbox inset="14.4pt,0,10.8pt,0">
                  <w:txbxContent>
                    <w:p w:rsidR="0025668C" w:rsidRPr="005129AE" w:rsidRDefault="0025668C" w:rsidP="0021185F">
                      <w:pPr>
                        <w:pBdr>
                          <w:left w:val="single" w:sz="80" w:space="3" w:color="7F7F7F" w:themeColor="text1" w:themeTint="80"/>
                          <w:bottom w:val="single" w:sz="8" w:space="5" w:color="7F7F7F" w:themeColor="text1" w:themeTint="80"/>
                        </w:pBdr>
                        <w:spacing w:before="40" w:line="288" w:lineRule="auto"/>
                        <w:jc w:val="both"/>
                        <w:rPr>
                          <w:rFonts w:ascii="Times New Roman" w:hAnsi="Times New Roman" w:cs="Times New Roman"/>
                          <w:i/>
                          <w:color w:val="4A442A" w:themeColor="background2" w:themeShade="40"/>
                          <w:sz w:val="18"/>
                          <w:szCs w:val="18"/>
                        </w:rPr>
                      </w:pPr>
                      <w:r w:rsidRPr="005129AE">
                        <w:rPr>
                          <w:rFonts w:ascii="Times New Roman" w:hAnsi="Times New Roman" w:cs="Times New Roman"/>
                          <w:color w:val="4A442A" w:themeColor="background2" w:themeShade="40"/>
                          <w:sz w:val="18"/>
                          <w:szCs w:val="18"/>
                          <w:lang w:val="en-US"/>
                        </w:rPr>
                        <w:t xml:space="preserve">Kontrata Koncesionare </w:t>
                      </w:r>
                      <w:r w:rsidRPr="005129AE">
                        <w:rPr>
                          <w:rFonts w:ascii="Times New Roman" w:hAnsi="Times New Roman" w:cs="Times New Roman"/>
                          <w:color w:val="1D1B11" w:themeColor="background2" w:themeShade="1A"/>
                          <w:sz w:val="18"/>
                          <w:szCs w:val="18"/>
                          <w:lang w:val="en-US"/>
                        </w:rPr>
                        <w:t>“</w:t>
                      </w:r>
                      <w:r w:rsidRPr="009A6E48">
                        <w:rPr>
                          <w:rFonts w:ascii="Times New Roman" w:hAnsi="Times New Roman" w:cs="Times New Roman"/>
                          <w:b/>
                          <w:i/>
                          <w:color w:val="4A442A" w:themeColor="background2" w:themeShade="40"/>
                          <w:sz w:val="18"/>
                          <w:szCs w:val="18"/>
                          <w:lang w:val="en-US"/>
                        </w:rPr>
                        <w:t>P</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r projektimin financimin, nd</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rtimin,</w:t>
                      </w:r>
                      <w:r>
                        <w:rPr>
                          <w:rFonts w:ascii="Times New Roman" w:hAnsi="Times New Roman" w:cs="Times New Roman"/>
                          <w:b/>
                          <w:i/>
                          <w:color w:val="4A442A" w:themeColor="background2" w:themeShade="40"/>
                          <w:sz w:val="18"/>
                          <w:szCs w:val="18"/>
                          <w:lang w:val="en-US"/>
                        </w:rPr>
                        <w:t xml:space="preserve"> </w:t>
                      </w:r>
                      <w:r w:rsidRPr="009A6E48">
                        <w:rPr>
                          <w:rFonts w:ascii="Times New Roman" w:hAnsi="Times New Roman" w:cs="Times New Roman"/>
                          <w:b/>
                          <w:i/>
                          <w:color w:val="4A442A" w:themeColor="background2" w:themeShade="40"/>
                          <w:sz w:val="18"/>
                          <w:szCs w:val="18"/>
                          <w:lang w:val="en-US"/>
                        </w:rPr>
                        <w:t>marrjen n</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 xml:space="preserve"> pron</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si, shfryt</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zimin, mir</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mbajtjen dhe transferimin e projektit t</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 xml:space="preserve"> hidrocentralit n</w:t>
                      </w:r>
                      <w:r>
                        <w:rPr>
                          <w:rFonts w:ascii="Times New Roman" w:hAnsi="Times New Roman" w:cs="Times New Roman"/>
                          <w:b/>
                          <w:i/>
                          <w:color w:val="4A442A" w:themeColor="background2" w:themeShade="40"/>
                          <w:sz w:val="18"/>
                          <w:szCs w:val="18"/>
                          <w:lang w:val="en-US"/>
                        </w:rPr>
                        <w:t>ë</w:t>
                      </w:r>
                      <w:r w:rsidRPr="009A6E48">
                        <w:rPr>
                          <w:rFonts w:ascii="Times New Roman" w:hAnsi="Times New Roman" w:cs="Times New Roman"/>
                          <w:b/>
                          <w:i/>
                          <w:color w:val="4A442A" w:themeColor="background2" w:themeShade="40"/>
                          <w:sz w:val="18"/>
                          <w:szCs w:val="18"/>
                          <w:lang w:val="en-US"/>
                        </w:rPr>
                        <w:t xml:space="preserve"> </w:t>
                      </w:r>
                      <w:r>
                        <w:rPr>
                          <w:rFonts w:ascii="Times New Roman" w:hAnsi="Times New Roman" w:cs="Times New Roman"/>
                          <w:b/>
                          <w:i/>
                          <w:color w:val="4A442A" w:themeColor="background2" w:themeShade="40"/>
                          <w:sz w:val="18"/>
                          <w:szCs w:val="18"/>
                          <w:lang w:val="en-US"/>
                        </w:rPr>
                        <w:t>lumi</w:t>
                      </w:r>
                      <w:r w:rsidRPr="009A6E48">
                        <w:rPr>
                          <w:rFonts w:ascii="Times New Roman" w:hAnsi="Times New Roman" w:cs="Times New Roman"/>
                          <w:b/>
                          <w:i/>
                          <w:color w:val="4A442A" w:themeColor="background2" w:themeShade="40"/>
                          <w:sz w:val="18"/>
                          <w:szCs w:val="18"/>
                          <w:lang w:val="en-US"/>
                        </w:rPr>
                        <w:t>n Devoll</w:t>
                      </w:r>
                      <w:r>
                        <w:rPr>
                          <w:rFonts w:ascii="Times New Roman" w:hAnsi="Times New Roman" w:cs="Times New Roman"/>
                          <w:color w:val="1D1B11" w:themeColor="background2" w:themeShade="1A"/>
                          <w:sz w:val="18"/>
                          <w:szCs w:val="18"/>
                          <w:lang w:val="en-US"/>
                        </w:rPr>
                        <w:t>”</w:t>
                      </w:r>
                      <w:r>
                        <w:rPr>
                          <w:rFonts w:ascii="Times New Roman" w:hAnsi="Times New Roman" w:cs="Times New Roman"/>
                          <w:i/>
                          <w:color w:val="1D1B11" w:themeColor="background2" w:themeShade="1A"/>
                          <w:sz w:val="18"/>
                          <w:szCs w:val="18"/>
                          <w:lang w:val="en-US"/>
                        </w:rPr>
                        <w:t xml:space="preserve">   </w:t>
                      </w:r>
                    </w:p>
                    <w:p w:rsidR="0025668C" w:rsidRPr="008C6A6D" w:rsidRDefault="0025668C" w:rsidP="0021185F">
                      <w:pPr>
                        <w:pStyle w:val="ListParagraph"/>
                        <w:numPr>
                          <w:ilvl w:val="0"/>
                          <w:numId w:val="4"/>
                        </w:numPr>
                        <w:ind w:left="90"/>
                        <w:rPr>
                          <w:rFonts w:ascii="Times New Roman" w:hAnsi="Times New Roman" w:cs="Times New Roman"/>
                        </w:rPr>
                      </w:pPr>
                      <w:r w:rsidRPr="00F70FF9">
                        <w:rPr>
                          <w:rFonts w:ascii="Times New Roman" w:hAnsi="Times New Roman" w:cs="Times New Roman"/>
                          <w:b/>
                          <w:color w:val="000000" w:themeColor="text1"/>
                        </w:rPr>
                        <w:t>Autoriteti Kontraktues</w:t>
                      </w:r>
                      <w:r w:rsidRPr="00F70FF9">
                        <w:rPr>
                          <w:rFonts w:ascii="Times New Roman" w:hAnsi="Times New Roman" w:cs="Times New Roman"/>
                        </w:rPr>
                        <w:t xml:space="preserve">: </w:t>
                      </w:r>
                      <w:r>
                        <w:rPr>
                          <w:rFonts w:ascii="Times New Roman" w:hAnsi="Times New Roman" w:cs="Times New Roman"/>
                        </w:rPr>
                        <w:t xml:space="preserve"> METE (sot MIE)</w:t>
                      </w:r>
                    </w:p>
                    <w:p w:rsidR="0025668C" w:rsidRPr="00F70FF9" w:rsidRDefault="0025668C" w:rsidP="0021185F">
                      <w:pPr>
                        <w:pStyle w:val="ListParagraph"/>
                        <w:numPr>
                          <w:ilvl w:val="0"/>
                          <w:numId w:val="4"/>
                        </w:numPr>
                        <w:ind w:left="90"/>
                        <w:rPr>
                          <w:rFonts w:ascii="Times New Roman" w:hAnsi="Times New Roman" w:cs="Times New Roman"/>
                          <w:color w:val="000000" w:themeColor="text1"/>
                        </w:rPr>
                      </w:pPr>
                      <w:r w:rsidRPr="00F70FF9">
                        <w:rPr>
                          <w:rFonts w:ascii="Times New Roman" w:hAnsi="Times New Roman" w:cs="Times New Roman"/>
                          <w:b/>
                          <w:color w:val="000000" w:themeColor="text1"/>
                        </w:rPr>
                        <w:t>SPV:</w:t>
                      </w:r>
                      <w:r w:rsidRPr="00F70FF9">
                        <w:rPr>
                          <w:rFonts w:ascii="Times New Roman" w:hAnsi="Times New Roman" w:cs="Times New Roman"/>
                          <w:color w:val="000000" w:themeColor="text1"/>
                        </w:rPr>
                        <w:t xml:space="preserve">        </w:t>
                      </w:r>
                      <w:r>
                        <w:rPr>
                          <w:rFonts w:ascii="Times New Roman" w:hAnsi="Times New Roman" w:cs="Times New Roman"/>
                        </w:rPr>
                        <w:t xml:space="preserve">                  </w:t>
                      </w:r>
                      <w:r w:rsidRPr="00F70FF9">
                        <w:rPr>
                          <w:rFonts w:ascii="Times New Roman" w:hAnsi="Times New Roman" w:cs="Times New Roman"/>
                          <w:color w:val="000000" w:themeColor="text1"/>
                        </w:rPr>
                        <w:t xml:space="preserve"> Devoll  Hydropo</w:t>
                      </w:r>
                      <w:r>
                        <w:rPr>
                          <w:rFonts w:ascii="Times New Roman" w:hAnsi="Times New Roman" w:cs="Times New Roman"/>
                          <w:color w:val="000000" w:themeColor="text1"/>
                        </w:rPr>
                        <w:t>ë</w:t>
                      </w:r>
                      <w:r w:rsidRPr="00F70FF9">
                        <w:rPr>
                          <w:rFonts w:ascii="Times New Roman" w:hAnsi="Times New Roman" w:cs="Times New Roman"/>
                          <w:color w:val="000000" w:themeColor="text1"/>
                        </w:rPr>
                        <w:t xml:space="preserve">er sh.a             </w:t>
                      </w:r>
                    </w:p>
                    <w:p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130 miliardë Lekë   </w:t>
                      </w:r>
                    </w:p>
                    <w:p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Data e fillimit 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 xml:space="preserv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17.03.2009</w:t>
                      </w:r>
                    </w:p>
                    <w:p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sidRPr="00EF547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35 vite</w:t>
                      </w:r>
                    </w:p>
                    <w:p w:rsidR="0025668C" w:rsidRPr="00EF5479" w:rsidRDefault="0025668C" w:rsidP="0021185F">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Pr>
                          <w:rFonts w:ascii="Times New Roman" w:hAnsi="Times New Roman" w:cs="Times New Roman"/>
                          <w:color w:val="000000" w:themeColor="text1"/>
                        </w:rPr>
                        <w:t>Operim</w:t>
                      </w:r>
                    </w:p>
                    <w:p w:rsidR="0025668C" w:rsidRDefault="0025668C" w:rsidP="0021185F">
                      <w:pPr>
                        <w:rPr>
                          <w:color w:val="808080" w:themeColor="background1" w:themeShade="80"/>
                        </w:rPr>
                      </w:pPr>
                    </w:p>
                  </w:txbxContent>
                </v:textbox>
                <w10:wrap type="square" anchorx="margin" anchory="margin"/>
              </v:shape>
            </w:pict>
          </mc:Fallback>
        </mc:AlternateContent>
      </w:r>
      <w:r w:rsidRPr="009B6417">
        <w:rPr>
          <w:rFonts w:ascii="Times New Roman" w:eastAsia="Times New Roman" w:hAnsi="Times New Roman" w:cs="Times New Roman"/>
          <w:sz w:val="24"/>
          <w:szCs w:val="24"/>
        </w:rPr>
        <w:t>Kjo kontratë koncesionare/PPP është e tipit BOOT dhe  është nënshkruar mes Autoritetit Kontraktues</w:t>
      </w:r>
      <w:r>
        <w:rPr>
          <w:rFonts w:ascii="Times New Roman" w:eastAsia="Times New Roman" w:hAnsi="Times New Roman" w:cs="Times New Roman"/>
          <w:sz w:val="24"/>
          <w:szCs w:val="24"/>
        </w:rPr>
        <w:t xml:space="preserve"> Ministria e Ekonomisë, Tregtisë dhe Energjisë  (sot Ministria e Infrastrukturës dhe Energjisë) </w:t>
      </w:r>
      <w:r w:rsidRPr="009B6417">
        <w:rPr>
          <w:rFonts w:ascii="Times New Roman" w:eastAsia="Times New Roman" w:hAnsi="Times New Roman" w:cs="Times New Roman"/>
          <w:sz w:val="24"/>
          <w:szCs w:val="24"/>
        </w:rPr>
        <w:t>dhe bashkë-koncesionarëve EVN AG, Statkraft AS dhe Devoll Hydropo</w:t>
      </w:r>
      <w:r>
        <w:rPr>
          <w:rFonts w:ascii="Times New Roman" w:eastAsia="Times New Roman" w:hAnsi="Times New Roman" w:cs="Times New Roman"/>
          <w:sz w:val="24"/>
          <w:szCs w:val="24"/>
        </w:rPr>
        <w:t>ë</w:t>
      </w:r>
      <w:r w:rsidRPr="009B6417">
        <w:rPr>
          <w:rFonts w:ascii="Times New Roman" w:eastAsia="Times New Roman" w:hAnsi="Times New Roman" w:cs="Times New Roman"/>
          <w:sz w:val="24"/>
          <w:szCs w:val="24"/>
        </w:rPr>
        <w:t xml:space="preserve">er sh.a, dhe ka si objekt </w:t>
      </w:r>
      <w:r w:rsidRPr="009B6417">
        <w:rPr>
          <w:rFonts w:ascii="Times New Roman" w:hAnsi="Times New Roman" w:cs="Times New Roman"/>
          <w:sz w:val="24"/>
          <w:szCs w:val="24"/>
        </w:rPr>
        <w:t>planifikimin, ndërtimin, mirëmbajtjen dhe funksionimin e tre njësive prodhuese hidroelektrike me një kapacitet të kombinuar të instaluar përafërsisht 319 M</w:t>
      </w:r>
      <w:r>
        <w:rPr>
          <w:rFonts w:ascii="Times New Roman" w:hAnsi="Times New Roman" w:cs="Times New Roman"/>
          <w:sz w:val="24"/>
          <w:szCs w:val="24"/>
        </w:rPr>
        <w:t>Ë në Luginën e Devollit.</w:t>
      </w:r>
    </w:p>
    <w:p w14:paraId="558652B6" w14:textId="77777777" w:rsidR="0021185F" w:rsidRPr="009B6417" w:rsidRDefault="0021185F" w:rsidP="0021185F">
      <w:pPr>
        <w:spacing w:after="0"/>
        <w:jc w:val="both"/>
        <w:rPr>
          <w:rFonts w:ascii="Times New Roman" w:hAnsi="Times New Roman" w:cs="Times New Roman"/>
          <w:sz w:val="24"/>
          <w:szCs w:val="24"/>
        </w:rPr>
      </w:pPr>
      <w:r w:rsidRPr="009B6417">
        <w:rPr>
          <w:rFonts w:ascii="Times New Roman" w:hAnsi="Times New Roman" w:cs="Times New Roman"/>
          <w:sz w:val="24"/>
          <w:szCs w:val="24"/>
        </w:rPr>
        <w:t>Ky projekt synon ndërtimin, shfrytëzimin, mirëmbajtjen dhe tranferimin në fund tek Autoriteti Kontraktues të hidrocentraleve HEC-i Banje dhe HEC-i Moglicë .</w:t>
      </w:r>
      <w:r w:rsidRPr="001B05EA">
        <w:rPr>
          <w:rFonts w:ascii="Times New Roman" w:hAnsi="Times New Roman" w:cs="Times New Roman"/>
          <w:sz w:val="24"/>
          <w:szCs w:val="24"/>
        </w:rPr>
        <w:t xml:space="preserve"> </w:t>
      </w:r>
      <w:r>
        <w:rPr>
          <w:rFonts w:ascii="Times New Roman" w:hAnsi="Times New Roman" w:cs="Times New Roman"/>
          <w:sz w:val="24"/>
          <w:szCs w:val="24"/>
        </w:rPr>
        <w:t>Në këtë kontratë koncesioni është bërë një shtesë më datë 18.12.2014 “Për projektimin dhe ndërtimin e infrastrukturës zëvendësuese të M</w:t>
      </w:r>
      <w:r w:rsidRPr="001B05EA">
        <w:rPr>
          <w:rFonts w:ascii="Times New Roman" w:hAnsi="Times New Roman" w:cs="Times New Roman"/>
          <w:sz w:val="24"/>
          <w:szCs w:val="24"/>
        </w:rPr>
        <w:t>oglic</w:t>
      </w:r>
      <w:r w:rsidRPr="001B05EA">
        <w:rPr>
          <w:rFonts w:ascii="Times New Roman" w:eastAsia="MingLiU-ExtB" w:hAnsi="Times New Roman" w:cs="Times New Roman"/>
          <w:sz w:val="24"/>
          <w:szCs w:val="24"/>
        </w:rPr>
        <w:t>ës</w:t>
      </w:r>
      <w:r>
        <w:rPr>
          <w:rFonts w:ascii="Times New Roman" w:eastAsia="MingLiU-ExtB" w:hAnsi="Times New Roman" w:cs="Times New Roman"/>
          <w:sz w:val="24"/>
          <w:szCs w:val="24"/>
        </w:rPr>
        <w:t>”,</w:t>
      </w:r>
      <w:r>
        <w:rPr>
          <w:rFonts w:ascii="Times New Roman" w:hAnsi="Times New Roman" w:cs="Times New Roman"/>
          <w:sz w:val="24"/>
          <w:szCs w:val="24"/>
        </w:rPr>
        <w:t xml:space="preserve"> me anën e së cilës koncesionari ka marrë përsipër të projektojë, ndërtojë infrastrukturën zëvendësuese kundrejt një kompensimi nga buxheti i shtetit. Vlera e këtij kompesimi është në shumën 7 miliardë lekë dhe shlyerja e saj ka përfunduar në Shtator 2019.</w:t>
      </w:r>
    </w:p>
    <w:p w14:paraId="1D200528" w14:textId="77777777" w:rsidR="0021185F" w:rsidRPr="009B6417" w:rsidRDefault="0021185F" w:rsidP="0021185F">
      <w:pPr>
        <w:spacing w:after="0"/>
        <w:jc w:val="both"/>
        <w:rPr>
          <w:rFonts w:ascii="Times New Roman" w:hAnsi="Times New Roman" w:cs="Times New Roman"/>
          <w:i/>
          <w:sz w:val="24"/>
          <w:szCs w:val="24"/>
        </w:rPr>
      </w:pPr>
    </w:p>
    <w:p w14:paraId="70729EBA" w14:textId="77777777" w:rsidR="0021185F" w:rsidRPr="009B6417" w:rsidRDefault="0021185F" w:rsidP="004C1F25">
      <w:pPr>
        <w:pStyle w:val="Heading2"/>
        <w:numPr>
          <w:ilvl w:val="2"/>
          <w:numId w:val="32"/>
        </w:numPr>
        <w:rPr>
          <w:rFonts w:ascii="Times New Roman" w:eastAsia="Times New Roman" w:hAnsi="Times New Roman" w:cs="Times New Roman"/>
          <w:b/>
          <w:i/>
          <w:color w:val="auto"/>
          <w:sz w:val="24"/>
          <w:szCs w:val="24"/>
        </w:rPr>
      </w:pPr>
      <w:bookmarkStart w:id="97" w:name="_Toc23765739"/>
      <w:bookmarkStart w:id="98" w:name="_Toc37196709"/>
      <w:r w:rsidRPr="009B6417">
        <w:rPr>
          <w:rFonts w:ascii="Times New Roman" w:eastAsia="Times New Roman" w:hAnsi="Times New Roman" w:cs="Times New Roman"/>
          <w:b/>
          <w:i/>
          <w:color w:val="auto"/>
          <w:sz w:val="24"/>
          <w:szCs w:val="24"/>
        </w:rPr>
        <w:t>Performanca e projektit dhe lloji i financimit</w:t>
      </w:r>
      <w:bookmarkEnd w:id="97"/>
      <w:bookmarkEnd w:id="98"/>
    </w:p>
    <w:p w14:paraId="7840458B" w14:textId="77777777" w:rsidR="0021185F" w:rsidRDefault="0021185F" w:rsidP="0021185F">
      <w:pPr>
        <w:tabs>
          <w:tab w:val="left" w:pos="3553"/>
        </w:tabs>
        <w:jc w:val="both"/>
        <w:rPr>
          <w:rFonts w:ascii="Times New Roman" w:eastAsia="Times New Roman" w:hAnsi="Times New Roman" w:cs="Times New Roman"/>
          <w:sz w:val="24"/>
          <w:szCs w:val="24"/>
        </w:rPr>
      </w:pPr>
      <w:r w:rsidRPr="009B6417">
        <w:rPr>
          <w:rFonts w:ascii="Times New Roman" w:hAnsi="Times New Roman" w:cs="Times New Roman"/>
          <w:sz w:val="24"/>
          <w:szCs w:val="24"/>
        </w:rPr>
        <w:t xml:space="preserve">Që nga viti </w:t>
      </w:r>
      <w:r w:rsidRPr="00BC2687">
        <w:rPr>
          <w:rFonts w:ascii="Times New Roman" w:hAnsi="Times New Roman" w:cs="Times New Roman"/>
          <w:sz w:val="24"/>
          <w:szCs w:val="24"/>
        </w:rPr>
        <w:t>2013 deri në fund të vitit 2019 është realizuar  rreth 100 % e vlerës totale të investimit. Aktualisht është në fazën e prodhimit vetëm HEC Banja. Referuar kontratës së koncesionit/PPP shteti shqiptar nuk e ka detyrim blerjen e energjisë elektrike të prodhuar nga shoqëria koncesionare Devoll Hydropo</w:t>
      </w:r>
      <w:r>
        <w:rPr>
          <w:rFonts w:ascii="Times New Roman" w:hAnsi="Times New Roman" w:cs="Times New Roman"/>
          <w:sz w:val="24"/>
          <w:szCs w:val="24"/>
        </w:rPr>
        <w:t>w</w:t>
      </w:r>
      <w:r w:rsidRPr="00BC2687">
        <w:rPr>
          <w:rFonts w:ascii="Times New Roman" w:hAnsi="Times New Roman" w:cs="Times New Roman"/>
          <w:sz w:val="24"/>
          <w:szCs w:val="24"/>
        </w:rPr>
        <w:t xml:space="preserve">er sh.a. </w:t>
      </w:r>
      <w:r w:rsidRPr="00BC2687">
        <w:rPr>
          <w:rFonts w:ascii="Times New Roman" w:eastAsia="Times New Roman" w:hAnsi="Times New Roman" w:cs="Times New Roman"/>
          <w:sz w:val="24"/>
          <w:szCs w:val="24"/>
        </w:rPr>
        <w:t>Në bazë të marrëveshjes koncesionare, energjia e prodhuar</w:t>
      </w:r>
      <w:r w:rsidRPr="009B6417">
        <w:rPr>
          <w:rFonts w:ascii="Times New Roman" w:eastAsia="Times New Roman" w:hAnsi="Times New Roman" w:cs="Times New Roman"/>
          <w:sz w:val="24"/>
          <w:szCs w:val="24"/>
        </w:rPr>
        <w:t xml:space="preserve"> nga Hec Banja nuk duhet të jetë më pak se 255,000 </w:t>
      </w:r>
      <w:r>
        <w:rPr>
          <w:rFonts w:ascii="Times New Roman" w:eastAsia="Times New Roman" w:hAnsi="Times New Roman" w:cs="Times New Roman"/>
          <w:sz w:val="24"/>
          <w:szCs w:val="24"/>
        </w:rPr>
        <w:t>MWh</w:t>
      </w:r>
      <w:r w:rsidRPr="009B6417">
        <w:rPr>
          <w:rFonts w:ascii="Times New Roman" w:eastAsia="Times New Roman" w:hAnsi="Times New Roman" w:cs="Times New Roman"/>
          <w:sz w:val="24"/>
          <w:szCs w:val="24"/>
        </w:rPr>
        <w:t xml:space="preserve">/vit, ndërkohë ecuria e sasisë së energjisë së prodhuar nga shoqëria </w:t>
      </w:r>
      <w:r w:rsidRPr="009B6417">
        <w:rPr>
          <w:rFonts w:ascii="Times New Roman" w:eastAsia="Times New Roman" w:hAnsi="Times New Roman" w:cs="Times New Roman"/>
          <w:sz w:val="24"/>
          <w:szCs w:val="24"/>
        </w:rPr>
        <w:lastRenderedPageBreak/>
        <w:t xml:space="preserve">koncesionare që nga viti i prodhimit është si </w:t>
      </w:r>
      <w:r>
        <w:rPr>
          <w:rFonts w:ascii="Times New Roman" w:eastAsia="Times New Roman" w:hAnsi="Times New Roman" w:cs="Times New Roman"/>
          <w:sz w:val="24"/>
          <w:szCs w:val="24"/>
        </w:rPr>
        <w:t>në tabelën 17.</w:t>
      </w:r>
      <w:r w:rsidRPr="00BC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Gjatë vitit 2019 janë prodhuar 153,357 MWh, rreth 101,643  Mwh më pak se sa detyrimi kontraktual i parashikuar në kontratë.</w:t>
      </w:r>
    </w:p>
    <w:p w14:paraId="54B8EEFD" w14:textId="77777777" w:rsidR="0021185F" w:rsidRPr="009B6417" w:rsidRDefault="0021185F" w:rsidP="006B6D4D">
      <w:pPr>
        <w:pStyle w:val="Caption"/>
      </w:pPr>
      <w:bookmarkStart w:id="99" w:name="_Toc40422400"/>
      <w:r w:rsidRPr="009B6417">
        <w:t xml:space="preserve">Tabela </w:t>
      </w:r>
      <w:r>
        <w:fldChar w:fldCharType="begin"/>
      </w:r>
      <w:r>
        <w:instrText xml:space="preserve"> SEQ Tabela \* ARABIC </w:instrText>
      </w:r>
      <w:r>
        <w:fldChar w:fldCharType="separate"/>
      </w:r>
      <w:r>
        <w:rPr>
          <w:noProof/>
        </w:rPr>
        <w:t>17</w:t>
      </w:r>
      <w:r>
        <w:rPr>
          <w:noProof/>
        </w:rPr>
        <w:fldChar w:fldCharType="end"/>
      </w:r>
      <w:r w:rsidRPr="009B6417">
        <w:t xml:space="preserve">: Sasia e energjisë së prodhuar  (në </w:t>
      </w:r>
      <w:r>
        <w:t>MWh</w:t>
      </w:r>
      <w:r w:rsidRPr="009B6417">
        <w:t>/Vit)</w:t>
      </w:r>
      <w:bookmarkEnd w:id="99"/>
    </w:p>
    <w:tbl>
      <w:tblPr>
        <w:tblStyle w:val="TableGrid"/>
        <w:tblW w:w="4996" w:type="dxa"/>
        <w:shd w:val="clear" w:color="auto" w:fill="DDD9C3" w:themeFill="background2" w:themeFillShade="E6"/>
        <w:tblLook w:val="04A0" w:firstRow="1" w:lastRow="0" w:firstColumn="1" w:lastColumn="0" w:noHBand="0" w:noVBand="1"/>
      </w:tblPr>
      <w:tblGrid>
        <w:gridCol w:w="1441"/>
        <w:gridCol w:w="935"/>
        <w:gridCol w:w="1104"/>
        <w:gridCol w:w="1516"/>
      </w:tblGrid>
      <w:tr w:rsidR="0021185F" w:rsidRPr="003C2F4F" w14:paraId="400B4F7D" w14:textId="77777777" w:rsidTr="00A86B34">
        <w:trPr>
          <w:trHeight w:val="350"/>
        </w:trPr>
        <w:tc>
          <w:tcPr>
            <w:tcW w:w="1441" w:type="dxa"/>
            <w:shd w:val="clear" w:color="auto" w:fill="DDD9C3" w:themeFill="background2" w:themeFillShade="E6"/>
          </w:tcPr>
          <w:p w14:paraId="55B545BD" w14:textId="77777777" w:rsidR="0021185F" w:rsidRPr="003C2F4F" w:rsidRDefault="0021185F" w:rsidP="00A86B34">
            <w:pPr>
              <w:jc w:val="both"/>
              <w:rPr>
                <w:rFonts w:ascii="Times New Roman" w:hAnsi="Times New Roman" w:cs="Times New Roman"/>
                <w:b/>
                <w:i/>
                <w:szCs w:val="24"/>
              </w:rPr>
            </w:pPr>
            <w:r w:rsidRPr="003C2F4F">
              <w:rPr>
                <w:rFonts w:ascii="Times New Roman" w:hAnsi="Times New Roman" w:cs="Times New Roman"/>
                <w:b/>
                <w:i/>
                <w:szCs w:val="24"/>
              </w:rPr>
              <w:t>Viti</w:t>
            </w:r>
          </w:p>
        </w:tc>
        <w:tc>
          <w:tcPr>
            <w:tcW w:w="935" w:type="dxa"/>
            <w:shd w:val="clear" w:color="auto" w:fill="DDD9C3" w:themeFill="background2" w:themeFillShade="E6"/>
          </w:tcPr>
          <w:p w14:paraId="264137BB" w14:textId="77777777" w:rsidR="0021185F" w:rsidRPr="003C2F4F" w:rsidRDefault="0021185F" w:rsidP="00A86B34">
            <w:pPr>
              <w:jc w:val="both"/>
              <w:rPr>
                <w:rFonts w:ascii="Times New Roman" w:hAnsi="Times New Roman" w:cs="Times New Roman"/>
                <w:b/>
                <w:i/>
                <w:szCs w:val="24"/>
              </w:rPr>
            </w:pPr>
            <w:r w:rsidRPr="003C2F4F">
              <w:rPr>
                <w:rFonts w:ascii="Times New Roman" w:hAnsi="Times New Roman" w:cs="Times New Roman"/>
                <w:b/>
                <w:i/>
                <w:szCs w:val="24"/>
              </w:rPr>
              <w:t>2017</w:t>
            </w:r>
          </w:p>
        </w:tc>
        <w:tc>
          <w:tcPr>
            <w:tcW w:w="1104" w:type="dxa"/>
            <w:shd w:val="clear" w:color="auto" w:fill="DDD9C3" w:themeFill="background2" w:themeFillShade="E6"/>
          </w:tcPr>
          <w:p w14:paraId="2F03D322" w14:textId="77777777" w:rsidR="0021185F" w:rsidRPr="003C2F4F" w:rsidRDefault="0021185F" w:rsidP="00A86B34">
            <w:pPr>
              <w:jc w:val="both"/>
              <w:rPr>
                <w:rFonts w:ascii="Times New Roman" w:hAnsi="Times New Roman" w:cs="Times New Roman"/>
                <w:b/>
                <w:i/>
                <w:szCs w:val="24"/>
              </w:rPr>
            </w:pPr>
            <w:r w:rsidRPr="003C2F4F">
              <w:rPr>
                <w:rFonts w:ascii="Times New Roman" w:hAnsi="Times New Roman" w:cs="Times New Roman"/>
                <w:b/>
                <w:i/>
                <w:szCs w:val="24"/>
              </w:rPr>
              <w:t>2018</w:t>
            </w:r>
          </w:p>
        </w:tc>
        <w:tc>
          <w:tcPr>
            <w:tcW w:w="1516" w:type="dxa"/>
            <w:shd w:val="clear" w:color="auto" w:fill="DDD9C3" w:themeFill="background2" w:themeFillShade="E6"/>
          </w:tcPr>
          <w:p w14:paraId="40C77CCB" w14:textId="77777777" w:rsidR="0021185F" w:rsidRPr="003C2F4F" w:rsidRDefault="0021185F" w:rsidP="00A86B34">
            <w:pPr>
              <w:jc w:val="both"/>
              <w:rPr>
                <w:rFonts w:ascii="Times New Roman" w:hAnsi="Times New Roman" w:cs="Times New Roman"/>
                <w:b/>
                <w:i/>
                <w:szCs w:val="24"/>
              </w:rPr>
            </w:pPr>
            <w:r w:rsidRPr="003C2F4F">
              <w:rPr>
                <w:rFonts w:ascii="Times New Roman" w:hAnsi="Times New Roman" w:cs="Times New Roman"/>
                <w:b/>
                <w:i/>
                <w:szCs w:val="24"/>
              </w:rPr>
              <w:t>2019</w:t>
            </w:r>
          </w:p>
        </w:tc>
      </w:tr>
      <w:tr w:rsidR="0021185F" w:rsidRPr="003C2F4F" w14:paraId="1685537F" w14:textId="77777777" w:rsidTr="00A86B34">
        <w:tc>
          <w:tcPr>
            <w:tcW w:w="1441" w:type="dxa"/>
            <w:shd w:val="clear" w:color="auto" w:fill="EEECE1" w:themeFill="background2"/>
          </w:tcPr>
          <w:p w14:paraId="0CF53CCA" w14:textId="77777777" w:rsidR="0021185F" w:rsidRPr="003C2F4F" w:rsidRDefault="0021185F" w:rsidP="00A86B34">
            <w:pPr>
              <w:rPr>
                <w:rFonts w:ascii="Times New Roman" w:hAnsi="Times New Roman" w:cs="Times New Roman"/>
                <w:b/>
                <w:i/>
                <w:szCs w:val="24"/>
              </w:rPr>
            </w:pPr>
            <w:r w:rsidRPr="003C2F4F">
              <w:rPr>
                <w:rFonts w:ascii="Times New Roman" w:hAnsi="Times New Roman" w:cs="Times New Roman"/>
                <w:b/>
                <w:i/>
                <w:szCs w:val="24"/>
              </w:rPr>
              <w:t xml:space="preserve">Sasia  e energjisë </w:t>
            </w:r>
          </w:p>
        </w:tc>
        <w:tc>
          <w:tcPr>
            <w:tcW w:w="935" w:type="dxa"/>
            <w:shd w:val="clear" w:color="auto" w:fill="EEECE1" w:themeFill="background2"/>
          </w:tcPr>
          <w:p w14:paraId="3729C4B6" w14:textId="77777777" w:rsidR="0021185F" w:rsidRPr="003C2F4F" w:rsidRDefault="0021185F" w:rsidP="00A86B34">
            <w:pPr>
              <w:jc w:val="both"/>
              <w:rPr>
                <w:rFonts w:ascii="Times New Roman" w:hAnsi="Times New Roman" w:cs="Times New Roman"/>
                <w:b/>
                <w:i/>
                <w:szCs w:val="24"/>
              </w:rPr>
            </w:pPr>
            <w:r w:rsidRPr="003C2F4F">
              <w:rPr>
                <w:rFonts w:ascii="Times New Roman" w:hAnsi="Times New Roman" w:cs="Times New Roman"/>
                <w:b/>
                <w:i/>
                <w:szCs w:val="24"/>
              </w:rPr>
              <w:t>140,866</w:t>
            </w:r>
          </w:p>
        </w:tc>
        <w:tc>
          <w:tcPr>
            <w:tcW w:w="1104" w:type="dxa"/>
            <w:shd w:val="clear" w:color="auto" w:fill="EEECE1" w:themeFill="background2"/>
          </w:tcPr>
          <w:p w14:paraId="586C3DDA" w14:textId="77777777" w:rsidR="0021185F" w:rsidRPr="003C2F4F" w:rsidRDefault="0021185F" w:rsidP="00A86B34">
            <w:pPr>
              <w:jc w:val="both"/>
              <w:rPr>
                <w:rFonts w:ascii="Times New Roman" w:hAnsi="Times New Roman" w:cs="Times New Roman"/>
                <w:b/>
                <w:i/>
                <w:szCs w:val="24"/>
              </w:rPr>
            </w:pPr>
            <w:r w:rsidRPr="003C2F4F">
              <w:rPr>
                <w:rFonts w:ascii="Times New Roman" w:hAnsi="Times New Roman" w:cs="Times New Roman"/>
                <w:b/>
                <w:i/>
                <w:szCs w:val="24"/>
              </w:rPr>
              <w:t>292,561</w:t>
            </w:r>
          </w:p>
        </w:tc>
        <w:tc>
          <w:tcPr>
            <w:tcW w:w="1516" w:type="dxa"/>
            <w:shd w:val="clear" w:color="auto" w:fill="EEECE1" w:themeFill="background2"/>
          </w:tcPr>
          <w:p w14:paraId="4B8DB5D4" w14:textId="77777777" w:rsidR="0021185F" w:rsidRPr="003C2F4F" w:rsidRDefault="0021185F" w:rsidP="00A86B34">
            <w:pPr>
              <w:jc w:val="both"/>
              <w:rPr>
                <w:rFonts w:ascii="Times New Roman" w:hAnsi="Times New Roman" w:cs="Times New Roman"/>
                <w:b/>
                <w:i/>
                <w:szCs w:val="24"/>
              </w:rPr>
            </w:pPr>
            <w:r>
              <w:rPr>
                <w:rFonts w:ascii="Times New Roman" w:hAnsi="Times New Roman" w:cs="Times New Roman"/>
                <w:b/>
                <w:i/>
                <w:szCs w:val="24"/>
              </w:rPr>
              <w:t>153,357</w:t>
            </w:r>
          </w:p>
        </w:tc>
      </w:tr>
    </w:tbl>
    <w:p w14:paraId="13E0DB92" w14:textId="77777777" w:rsidR="0021185F" w:rsidRPr="002F3662" w:rsidRDefault="0021185F" w:rsidP="0021185F">
      <w:pPr>
        <w:tabs>
          <w:tab w:val="left" w:pos="3553"/>
        </w:tabs>
        <w:jc w:val="both"/>
        <w:rPr>
          <w:rFonts w:ascii="Times New Roman" w:hAnsi="Times New Roman" w:cs="Times New Roman"/>
          <w:sz w:val="10"/>
          <w:szCs w:val="24"/>
        </w:rPr>
      </w:pPr>
    </w:p>
    <w:p w14:paraId="34543EDD" w14:textId="77777777" w:rsidR="0021185F" w:rsidRPr="00BC2687" w:rsidRDefault="0021185F" w:rsidP="0021185F">
      <w:pPr>
        <w:tabs>
          <w:tab w:val="left" w:pos="3553"/>
        </w:tabs>
        <w:jc w:val="both"/>
        <w:rPr>
          <w:rFonts w:ascii="Times New Roman" w:eastAsia="Times New Roman" w:hAnsi="Times New Roman" w:cs="Times New Roman"/>
          <w:sz w:val="24"/>
          <w:szCs w:val="24"/>
        </w:rPr>
      </w:pPr>
      <w:r w:rsidRPr="009B6417">
        <w:rPr>
          <w:rFonts w:ascii="Times New Roman" w:hAnsi="Times New Roman" w:cs="Times New Roman"/>
          <w:sz w:val="24"/>
          <w:szCs w:val="24"/>
        </w:rPr>
        <w:t>Ndërkohë, punimet e ndërtimit të hidrocentralit Moglica janë përfunduar, por ky hidrocentral nuk është ende në fazë prodhimi, për arsye se është në fazën e mbushjes së rezervuarit (ky hidrocentral është hidrocentral me digë).</w:t>
      </w:r>
      <w:r>
        <w:rPr>
          <w:rFonts w:ascii="Times New Roman" w:hAnsi="Times New Roman" w:cs="Times New Roman"/>
          <w:sz w:val="24"/>
          <w:szCs w:val="24"/>
        </w:rPr>
        <w:t xml:space="preserve"> </w:t>
      </w:r>
      <w:r w:rsidRPr="009B6417">
        <w:rPr>
          <w:rFonts w:ascii="Times New Roman" w:eastAsia="Times New Roman" w:hAnsi="Times New Roman" w:cs="Times New Roman"/>
          <w:sz w:val="24"/>
          <w:szCs w:val="24"/>
        </w:rPr>
        <w:t xml:space="preserve">Në bazë të marrëveshjes koncesionare, energjia e prodhuar nga </w:t>
      </w:r>
      <w:r>
        <w:rPr>
          <w:rFonts w:ascii="Times New Roman" w:eastAsia="Times New Roman" w:hAnsi="Times New Roman" w:cs="Times New Roman"/>
          <w:sz w:val="24"/>
          <w:szCs w:val="24"/>
        </w:rPr>
        <w:t>HEC Moglica</w:t>
      </w:r>
      <w:r w:rsidRPr="009B6417">
        <w:rPr>
          <w:rFonts w:ascii="Times New Roman" w:eastAsia="Times New Roman" w:hAnsi="Times New Roman" w:cs="Times New Roman"/>
          <w:sz w:val="24"/>
          <w:szCs w:val="24"/>
        </w:rPr>
        <w:t xml:space="preserve"> nuk duhet të jetë më pak se </w:t>
      </w:r>
      <w:r>
        <w:rPr>
          <w:rFonts w:ascii="Times New Roman" w:eastAsia="Times New Roman" w:hAnsi="Times New Roman" w:cs="Times New Roman"/>
          <w:sz w:val="24"/>
          <w:szCs w:val="24"/>
        </w:rPr>
        <w:t>534,000 MWh/vit.</w:t>
      </w:r>
    </w:p>
    <w:p w14:paraId="1EFC816C" w14:textId="77777777" w:rsidR="0021185F" w:rsidRPr="009B6417" w:rsidRDefault="0021185F" w:rsidP="004C1F25">
      <w:pPr>
        <w:pStyle w:val="ListParagraph"/>
        <w:numPr>
          <w:ilvl w:val="2"/>
          <w:numId w:val="32"/>
        </w:numPr>
        <w:spacing w:after="0"/>
        <w:jc w:val="both"/>
        <w:rPr>
          <w:rFonts w:ascii="Times New Roman" w:hAnsi="Times New Roman" w:cs="Times New Roman"/>
          <w:b/>
          <w:i/>
          <w:sz w:val="24"/>
          <w:szCs w:val="24"/>
        </w:rPr>
      </w:pPr>
      <w:r w:rsidRPr="009B6417">
        <w:rPr>
          <w:rFonts w:ascii="Times New Roman" w:hAnsi="Times New Roman" w:cs="Times New Roman"/>
          <w:b/>
          <w:i/>
          <w:sz w:val="24"/>
          <w:szCs w:val="24"/>
        </w:rPr>
        <w:t xml:space="preserve">Risqet </w:t>
      </w:r>
    </w:p>
    <w:p w14:paraId="57FDDD9B" w14:textId="77777777" w:rsidR="0021185F" w:rsidRDefault="0021185F" w:rsidP="0021185F">
      <w:pPr>
        <w:spacing w:after="0"/>
        <w:jc w:val="both"/>
        <w:rPr>
          <w:rFonts w:ascii="Times New Roman" w:hAnsi="Times New Roman" w:cs="Times New Roman"/>
          <w:b/>
          <w:i/>
          <w:sz w:val="24"/>
          <w:szCs w:val="24"/>
        </w:rPr>
      </w:pPr>
      <w:r w:rsidRPr="009B6417">
        <w:rPr>
          <w:rFonts w:ascii="Times New Roman" w:hAnsi="Times New Roman" w:cs="Times New Roman"/>
          <w:sz w:val="24"/>
          <w:szCs w:val="24"/>
        </w:rPr>
        <w:t>Autoriteti ka raportuar në lidhje me risqet e kontratës sipas formatit të përcaktuar, duke specifikuar përcaktimin e palës që merr përsipër riskun, impaktin fiskal nëse është materializuar, probabilitetin e ndodhjes në të ardhmen dhe impaktin e pritshëm nëse ndodh. Në lidhje me risqet që rrjedhin nga zbatimi i kontratës koncesionare, tek pala private janë transferuar risku i ndërtimit, risku financiar, risku i operimit dhe perfomancës dhe risku i transferimit të aseteve, ndërsa risku i qeverisjes, risku i ndryshimeve ligjore dhe risku material nga vendimet politike i janë alokuar palës publike. Ndërkohë janë ndarë mes palëve risku i forcës madhore, risku i rinegocimit dhe risku i ndërprerjes së kontratës</w:t>
      </w:r>
      <w:r w:rsidRPr="009B6417">
        <w:rPr>
          <w:rFonts w:ascii="Times New Roman" w:hAnsi="Times New Roman" w:cs="Times New Roman"/>
          <w:b/>
          <w:i/>
          <w:sz w:val="24"/>
          <w:szCs w:val="24"/>
        </w:rPr>
        <w:t>.</w:t>
      </w:r>
    </w:p>
    <w:p w14:paraId="412B6730" w14:textId="77777777" w:rsidR="0021185F" w:rsidRDefault="0021185F" w:rsidP="0021185F">
      <w:pPr>
        <w:spacing w:before="100" w:beforeAutospacing="1" w:after="100" w:afterAutospacing="1"/>
        <w:jc w:val="both"/>
        <w:rPr>
          <w:rFonts w:ascii="Times New Roman" w:hAnsi="Times New Roman" w:cs="Times New Roman"/>
          <w:sz w:val="24"/>
          <w:szCs w:val="24"/>
        </w:rPr>
      </w:pPr>
      <w:r w:rsidRPr="009B6417">
        <w:rPr>
          <w:rFonts w:ascii="Times New Roman" w:hAnsi="Times New Roman" w:cs="Times New Roman"/>
          <w:sz w:val="24"/>
          <w:szCs w:val="24"/>
        </w:rPr>
        <w:t xml:space="preserve">Gjatë zbatimit të kontratës nuk ka patur materializim të risqeve, dhe aktualisht </w:t>
      </w:r>
      <w:r w:rsidR="003276E7">
        <w:rPr>
          <w:rFonts w:ascii="Times New Roman" w:hAnsi="Times New Roman" w:cs="Times New Roman"/>
          <w:sz w:val="24"/>
          <w:szCs w:val="24"/>
        </w:rPr>
        <w:t>a</w:t>
      </w:r>
      <w:r w:rsidRPr="009B6417">
        <w:rPr>
          <w:rFonts w:ascii="Times New Roman" w:hAnsi="Times New Roman" w:cs="Times New Roman"/>
          <w:sz w:val="24"/>
          <w:szCs w:val="24"/>
        </w:rPr>
        <w:t xml:space="preserve">utoriteti përgjegjës për monitorimin e kësaj kontrate ka raportuar probabilititet </w:t>
      </w:r>
      <w:r>
        <w:rPr>
          <w:rFonts w:ascii="Times New Roman" w:hAnsi="Times New Roman" w:cs="Times New Roman"/>
          <w:sz w:val="24"/>
          <w:szCs w:val="24"/>
        </w:rPr>
        <w:t>të ulët të ndodhjes së risqeve.</w:t>
      </w:r>
    </w:p>
    <w:p w14:paraId="39227B26" w14:textId="77777777" w:rsidR="002C66FB" w:rsidRPr="00BC2687" w:rsidRDefault="002C66FB" w:rsidP="0021185F">
      <w:pPr>
        <w:spacing w:before="100" w:beforeAutospacing="1" w:after="100" w:afterAutospacing="1"/>
        <w:jc w:val="both"/>
        <w:rPr>
          <w:rFonts w:ascii="Times New Roman" w:hAnsi="Times New Roman" w:cs="Times New Roman"/>
          <w:sz w:val="24"/>
          <w:szCs w:val="24"/>
        </w:rPr>
      </w:pPr>
    </w:p>
    <w:p w14:paraId="7ADB2B0E" w14:textId="77777777" w:rsidR="00CE5CEC" w:rsidRPr="009B6417" w:rsidRDefault="00CE5CEC" w:rsidP="00645B95">
      <w:pPr>
        <w:pStyle w:val="ListParagraph"/>
        <w:numPr>
          <w:ilvl w:val="0"/>
          <w:numId w:val="3"/>
        </w:numPr>
        <w:tabs>
          <w:tab w:val="left" w:pos="3553"/>
        </w:tabs>
        <w:jc w:val="both"/>
        <w:rPr>
          <w:rFonts w:ascii="Times New Roman" w:hAnsi="Times New Roman" w:cs="Times New Roman"/>
          <w:b/>
          <w:i/>
          <w:color w:val="4F81BD" w:themeColor="accent1"/>
          <w:sz w:val="24"/>
          <w:szCs w:val="24"/>
        </w:rPr>
      </w:pPr>
      <w:r w:rsidRPr="009B6417">
        <w:rPr>
          <w:rFonts w:ascii="Times New Roman" w:hAnsi="Times New Roman" w:cs="Times New Roman"/>
          <w:b/>
          <w:i/>
          <w:color w:val="4F81BD" w:themeColor="accent1"/>
          <w:sz w:val="24"/>
          <w:szCs w:val="24"/>
        </w:rPr>
        <w:t>Sektori i kontrollit fiskal</w:t>
      </w:r>
      <w:r w:rsidR="00157795" w:rsidRPr="009B6417">
        <w:rPr>
          <w:rFonts w:ascii="Times New Roman" w:hAnsi="Times New Roman" w:cs="Times New Roman"/>
          <w:b/>
          <w:i/>
          <w:color w:val="4F81BD" w:themeColor="accent1"/>
          <w:sz w:val="24"/>
          <w:szCs w:val="24"/>
        </w:rPr>
        <w:t xml:space="preserve"> dhe siguris</w:t>
      </w:r>
      <w:r w:rsidR="00B85EB6" w:rsidRPr="009B6417">
        <w:rPr>
          <w:rFonts w:ascii="Times New Roman" w:hAnsi="Times New Roman" w:cs="Times New Roman"/>
          <w:b/>
          <w:i/>
          <w:color w:val="4F81BD" w:themeColor="accent1"/>
          <w:sz w:val="24"/>
          <w:szCs w:val="24"/>
        </w:rPr>
        <w:t>ë</w:t>
      </w:r>
      <w:r w:rsidR="00157795" w:rsidRPr="009B6417">
        <w:rPr>
          <w:rFonts w:ascii="Times New Roman" w:hAnsi="Times New Roman" w:cs="Times New Roman"/>
          <w:b/>
          <w:i/>
          <w:color w:val="4F81BD" w:themeColor="accent1"/>
          <w:sz w:val="24"/>
          <w:szCs w:val="24"/>
        </w:rPr>
        <w:t xml:space="preserve"> n</w:t>
      </w:r>
      <w:r w:rsidR="00B85EB6" w:rsidRPr="009B6417">
        <w:rPr>
          <w:rFonts w:ascii="Times New Roman" w:hAnsi="Times New Roman" w:cs="Times New Roman"/>
          <w:b/>
          <w:i/>
          <w:color w:val="4F81BD" w:themeColor="accent1"/>
          <w:sz w:val="24"/>
          <w:szCs w:val="24"/>
        </w:rPr>
        <w:t>ë</w:t>
      </w:r>
      <w:r w:rsidR="00157795" w:rsidRPr="009B6417">
        <w:rPr>
          <w:rFonts w:ascii="Times New Roman" w:hAnsi="Times New Roman" w:cs="Times New Roman"/>
          <w:b/>
          <w:i/>
          <w:color w:val="4F81BD" w:themeColor="accent1"/>
          <w:sz w:val="24"/>
          <w:szCs w:val="24"/>
        </w:rPr>
        <w:t xml:space="preserve"> kufi</w:t>
      </w:r>
    </w:p>
    <w:p w14:paraId="450FB883" w14:textId="77777777" w:rsidR="00C920F9" w:rsidRPr="009B6417" w:rsidRDefault="00C45E74" w:rsidP="0027079D">
      <w:pPr>
        <w:spacing w:before="100" w:beforeAutospacing="1" w:after="100" w:afterAutospacing="1"/>
        <w:jc w:val="both"/>
        <w:rPr>
          <w:rFonts w:ascii="Times New Roman" w:eastAsia="Times New Roman" w:hAnsi="Times New Roman" w:cs="Times New Roman"/>
          <w:sz w:val="24"/>
          <w:szCs w:val="24"/>
          <w:lang w:val="en-US"/>
        </w:rPr>
      </w:pPr>
      <w:r w:rsidRPr="009B6417">
        <w:rPr>
          <w:rFonts w:ascii="Times New Roman" w:eastAsia="Times New Roman" w:hAnsi="Times New Roman" w:cs="Times New Roman"/>
          <w:sz w:val="24"/>
          <w:szCs w:val="24"/>
          <w:lang w:val="en-US"/>
        </w:rPr>
        <w:t>Siguria në kufi ës</w:t>
      </w:r>
      <w:r w:rsidR="001B05EA">
        <w:rPr>
          <w:rFonts w:ascii="Times New Roman" w:eastAsia="Times New Roman" w:hAnsi="Times New Roman" w:cs="Times New Roman"/>
          <w:sz w:val="24"/>
          <w:szCs w:val="24"/>
          <w:lang w:val="en-US"/>
        </w:rPr>
        <w:t>htë një nga sfidat e sigurisë më</w:t>
      </w:r>
      <w:r w:rsidRPr="009B6417">
        <w:rPr>
          <w:rFonts w:ascii="Times New Roman" w:eastAsia="Times New Roman" w:hAnsi="Times New Roman" w:cs="Times New Roman"/>
          <w:sz w:val="24"/>
          <w:szCs w:val="24"/>
          <w:lang w:val="en-US"/>
        </w:rPr>
        <w:t xml:space="preserve"> komplekse dhe kritike që qeveritë hasin në ditët e sotme. Meqenëse mundëson hyrjen dhe daljen e njerëzve dhe mallrave, kufiri mbetet kritik për prosperitetin e shteteve. Përmirësime</w:t>
      </w:r>
      <w:r w:rsidR="001B05EA">
        <w:rPr>
          <w:rFonts w:ascii="Times New Roman" w:eastAsia="Times New Roman" w:hAnsi="Times New Roman" w:cs="Times New Roman"/>
          <w:sz w:val="24"/>
          <w:szCs w:val="24"/>
          <w:lang w:val="en-US"/>
        </w:rPr>
        <w:t>t</w:t>
      </w:r>
      <w:r w:rsidRPr="009B6417">
        <w:rPr>
          <w:rFonts w:ascii="Times New Roman" w:eastAsia="Times New Roman" w:hAnsi="Times New Roman" w:cs="Times New Roman"/>
          <w:sz w:val="24"/>
          <w:szCs w:val="24"/>
          <w:lang w:val="en-US"/>
        </w:rPr>
        <w:t xml:space="preserve"> në monitorimin e kufirit kanë treguar se mund të japin përfitime të ndjeshme për shtetet, jo vetëm për të rritur nivelin e sigurisë, por edhe duke krijuar një mjedis më miqësor tregtar nëpërmjet rritjes së të ardhurave doganore, duke forcuar ekonominë e shtetit. </w:t>
      </w:r>
      <w:r w:rsidR="005D7B0C" w:rsidRPr="009B6417">
        <w:rPr>
          <w:rFonts w:ascii="Times New Roman" w:eastAsia="Times New Roman" w:hAnsi="Times New Roman" w:cs="Times New Roman"/>
          <w:sz w:val="24"/>
          <w:szCs w:val="24"/>
          <w:lang w:val="en-US"/>
        </w:rPr>
        <w:t>N</w:t>
      </w:r>
      <w:r w:rsidR="006A445E" w:rsidRPr="009B6417">
        <w:rPr>
          <w:rFonts w:ascii="Times New Roman" w:eastAsia="Times New Roman" w:hAnsi="Times New Roman" w:cs="Times New Roman"/>
          <w:sz w:val="24"/>
          <w:szCs w:val="24"/>
          <w:lang w:val="en-US"/>
        </w:rPr>
        <w:t>ë</w:t>
      </w:r>
      <w:r w:rsidR="005D7B0C" w:rsidRPr="009B6417">
        <w:rPr>
          <w:rFonts w:ascii="Times New Roman" w:eastAsia="Times New Roman" w:hAnsi="Times New Roman" w:cs="Times New Roman"/>
          <w:sz w:val="24"/>
          <w:szCs w:val="24"/>
          <w:lang w:val="en-US"/>
        </w:rPr>
        <w:t xml:space="preserve"> k</w:t>
      </w:r>
      <w:r w:rsidR="006A445E" w:rsidRPr="009B6417">
        <w:rPr>
          <w:rFonts w:ascii="Times New Roman" w:eastAsia="Times New Roman" w:hAnsi="Times New Roman" w:cs="Times New Roman"/>
          <w:sz w:val="24"/>
          <w:szCs w:val="24"/>
          <w:lang w:val="en-US"/>
        </w:rPr>
        <w:t>ë</w:t>
      </w:r>
      <w:r w:rsidR="005D7B0C" w:rsidRPr="009B6417">
        <w:rPr>
          <w:rFonts w:ascii="Times New Roman" w:eastAsia="Times New Roman" w:hAnsi="Times New Roman" w:cs="Times New Roman"/>
          <w:sz w:val="24"/>
          <w:szCs w:val="24"/>
          <w:lang w:val="en-US"/>
        </w:rPr>
        <w:t>t</w:t>
      </w:r>
      <w:r w:rsidR="006A445E" w:rsidRPr="009B6417">
        <w:rPr>
          <w:rFonts w:ascii="Times New Roman" w:eastAsia="Times New Roman" w:hAnsi="Times New Roman" w:cs="Times New Roman"/>
          <w:sz w:val="24"/>
          <w:szCs w:val="24"/>
          <w:lang w:val="en-US"/>
        </w:rPr>
        <w:t>ë</w:t>
      </w:r>
      <w:r w:rsidR="005D7B0C" w:rsidRPr="009B6417">
        <w:rPr>
          <w:rFonts w:ascii="Times New Roman" w:eastAsia="Times New Roman" w:hAnsi="Times New Roman" w:cs="Times New Roman"/>
          <w:sz w:val="24"/>
          <w:szCs w:val="24"/>
          <w:lang w:val="en-US"/>
        </w:rPr>
        <w:t xml:space="preserve"> kuad</w:t>
      </w:r>
      <w:r w:rsidR="006A445E" w:rsidRPr="009B6417">
        <w:rPr>
          <w:rFonts w:ascii="Times New Roman" w:eastAsia="Times New Roman" w:hAnsi="Times New Roman" w:cs="Times New Roman"/>
          <w:sz w:val="24"/>
          <w:szCs w:val="24"/>
          <w:lang w:val="en-US"/>
        </w:rPr>
        <w:t>ë</w:t>
      </w:r>
      <w:r w:rsidR="005D7B0C" w:rsidRPr="009B6417">
        <w:rPr>
          <w:rFonts w:ascii="Times New Roman" w:eastAsia="Times New Roman" w:hAnsi="Times New Roman" w:cs="Times New Roman"/>
          <w:sz w:val="24"/>
          <w:szCs w:val="24"/>
          <w:lang w:val="en-US"/>
        </w:rPr>
        <w:t xml:space="preserve">r, nga Qeveria Shqiptare </w:t>
      </w:r>
      <w:r w:rsidR="006A445E" w:rsidRPr="009B6417">
        <w:rPr>
          <w:rFonts w:ascii="Times New Roman" w:eastAsia="Times New Roman" w:hAnsi="Times New Roman" w:cs="Times New Roman"/>
          <w:sz w:val="24"/>
          <w:szCs w:val="24"/>
          <w:lang w:val="en-US"/>
        </w:rPr>
        <w:t>ë</w:t>
      </w:r>
      <w:r w:rsidR="005D7B0C" w:rsidRPr="009B6417">
        <w:rPr>
          <w:rFonts w:ascii="Times New Roman" w:eastAsia="Times New Roman" w:hAnsi="Times New Roman" w:cs="Times New Roman"/>
          <w:sz w:val="24"/>
          <w:szCs w:val="24"/>
          <w:lang w:val="en-US"/>
        </w:rPr>
        <w:t>sht</w:t>
      </w:r>
      <w:r w:rsidR="006A445E" w:rsidRPr="009B6417">
        <w:rPr>
          <w:rFonts w:ascii="Times New Roman" w:eastAsia="Times New Roman" w:hAnsi="Times New Roman" w:cs="Times New Roman"/>
          <w:sz w:val="24"/>
          <w:szCs w:val="24"/>
          <w:lang w:val="en-US"/>
        </w:rPr>
        <w:t>ë</w:t>
      </w:r>
      <w:r w:rsidR="005D7B0C" w:rsidRPr="009B6417">
        <w:rPr>
          <w:rFonts w:ascii="Times New Roman" w:eastAsia="Times New Roman" w:hAnsi="Times New Roman" w:cs="Times New Roman"/>
          <w:sz w:val="24"/>
          <w:szCs w:val="24"/>
          <w:lang w:val="en-US"/>
        </w:rPr>
        <w:t xml:space="preserve"> dh</w:t>
      </w:r>
      <w:r w:rsidR="006A445E" w:rsidRPr="009B6417">
        <w:rPr>
          <w:rFonts w:ascii="Times New Roman" w:eastAsia="Times New Roman" w:hAnsi="Times New Roman" w:cs="Times New Roman"/>
          <w:sz w:val="24"/>
          <w:szCs w:val="24"/>
          <w:lang w:val="en-US"/>
        </w:rPr>
        <w:t>ë</w:t>
      </w:r>
      <w:r w:rsidR="005D7B0C" w:rsidRPr="009B6417">
        <w:rPr>
          <w:rFonts w:ascii="Times New Roman" w:eastAsia="Times New Roman" w:hAnsi="Times New Roman" w:cs="Times New Roman"/>
          <w:sz w:val="24"/>
          <w:szCs w:val="24"/>
          <w:lang w:val="en-US"/>
        </w:rPr>
        <w:t>n</w:t>
      </w:r>
      <w:r w:rsidR="006A445E" w:rsidRPr="009B6417">
        <w:rPr>
          <w:rFonts w:ascii="Times New Roman" w:eastAsia="Times New Roman" w:hAnsi="Times New Roman" w:cs="Times New Roman"/>
          <w:sz w:val="24"/>
          <w:szCs w:val="24"/>
          <w:lang w:val="en-US"/>
        </w:rPr>
        <w:t>ë</w:t>
      </w:r>
      <w:r w:rsidR="005D7B0C" w:rsidRPr="009B6417">
        <w:rPr>
          <w:rFonts w:ascii="Times New Roman" w:eastAsia="Times New Roman" w:hAnsi="Times New Roman" w:cs="Times New Roman"/>
          <w:sz w:val="24"/>
          <w:szCs w:val="24"/>
          <w:lang w:val="en-US"/>
        </w:rPr>
        <w:t xml:space="preserve"> me koncesion sh</w:t>
      </w:r>
      <w:r w:rsidR="006A445E" w:rsidRPr="009B6417">
        <w:rPr>
          <w:rFonts w:ascii="Times New Roman" w:eastAsia="Times New Roman" w:hAnsi="Times New Roman" w:cs="Times New Roman"/>
          <w:sz w:val="24"/>
          <w:szCs w:val="24"/>
          <w:lang w:val="en-US"/>
        </w:rPr>
        <w:t>ë</w:t>
      </w:r>
      <w:r w:rsidR="005D7B0C" w:rsidRPr="009B6417">
        <w:rPr>
          <w:rFonts w:ascii="Times New Roman" w:eastAsia="Times New Roman" w:hAnsi="Times New Roman" w:cs="Times New Roman"/>
          <w:sz w:val="24"/>
          <w:szCs w:val="24"/>
          <w:lang w:val="en-US"/>
        </w:rPr>
        <w:t>rbimi i skanimit t</w:t>
      </w:r>
      <w:r w:rsidR="006A445E" w:rsidRPr="009B6417">
        <w:rPr>
          <w:rFonts w:ascii="Times New Roman" w:eastAsia="Times New Roman" w:hAnsi="Times New Roman" w:cs="Times New Roman"/>
          <w:sz w:val="24"/>
          <w:szCs w:val="24"/>
          <w:lang w:val="en-US"/>
        </w:rPr>
        <w:t>ë</w:t>
      </w:r>
      <w:r w:rsidR="005D7B0C" w:rsidRPr="009B6417">
        <w:rPr>
          <w:rFonts w:ascii="Times New Roman" w:eastAsia="Times New Roman" w:hAnsi="Times New Roman" w:cs="Times New Roman"/>
          <w:sz w:val="24"/>
          <w:szCs w:val="24"/>
          <w:lang w:val="en-US"/>
        </w:rPr>
        <w:t xml:space="preserve"> kontenier</w:t>
      </w:r>
      <w:r w:rsidR="006A445E" w:rsidRPr="009B6417">
        <w:rPr>
          <w:rFonts w:ascii="Times New Roman" w:eastAsia="Times New Roman" w:hAnsi="Times New Roman" w:cs="Times New Roman"/>
          <w:sz w:val="24"/>
          <w:szCs w:val="24"/>
          <w:lang w:val="en-US"/>
        </w:rPr>
        <w:t>ë</w:t>
      </w:r>
      <w:r w:rsidR="005D7B0C" w:rsidRPr="009B6417">
        <w:rPr>
          <w:rFonts w:ascii="Times New Roman" w:eastAsia="Times New Roman" w:hAnsi="Times New Roman" w:cs="Times New Roman"/>
          <w:sz w:val="24"/>
          <w:szCs w:val="24"/>
          <w:lang w:val="en-US"/>
        </w:rPr>
        <w:t>ve</w:t>
      </w:r>
      <w:r w:rsidR="005617D6" w:rsidRPr="009B6417">
        <w:rPr>
          <w:rFonts w:ascii="Times New Roman" w:eastAsia="Times New Roman" w:hAnsi="Times New Roman" w:cs="Times New Roman"/>
          <w:sz w:val="24"/>
          <w:szCs w:val="24"/>
          <w:lang w:val="en-US"/>
        </w:rPr>
        <w:t xml:space="preserve"> dhe a</w:t>
      </w:r>
      <w:r w:rsidRPr="009B6417">
        <w:rPr>
          <w:rFonts w:ascii="Times New Roman" w:eastAsia="Times New Roman" w:hAnsi="Times New Roman" w:cs="Times New Roman"/>
          <w:sz w:val="24"/>
          <w:szCs w:val="24"/>
          <w:lang w:val="en-US"/>
        </w:rPr>
        <w:t>ktualisht procesi i skanimit kryhet në Degët Doganore Kapshticë, Kakavijë, Morinë, Durrës dhe Qafë Thanë.</w:t>
      </w:r>
      <w:r w:rsidRPr="009B6417">
        <w:rPr>
          <w:rStyle w:val="FootnoteReference"/>
          <w:rFonts w:ascii="Times New Roman" w:eastAsia="Times New Roman" w:hAnsi="Times New Roman" w:cs="Times New Roman"/>
          <w:sz w:val="24"/>
          <w:szCs w:val="24"/>
          <w:lang w:val="en-US"/>
        </w:rPr>
        <w:footnoteReference w:id="10"/>
      </w:r>
      <w:r w:rsidRPr="009B6417">
        <w:rPr>
          <w:rFonts w:ascii="Times New Roman" w:eastAsia="Times New Roman" w:hAnsi="Times New Roman" w:cs="Times New Roman"/>
          <w:sz w:val="24"/>
          <w:szCs w:val="24"/>
          <w:lang w:val="en-US"/>
        </w:rPr>
        <w:t> </w:t>
      </w:r>
      <w:r w:rsidR="005617D6" w:rsidRPr="009B6417">
        <w:rPr>
          <w:rFonts w:ascii="Times New Roman" w:eastAsia="Times New Roman" w:hAnsi="Times New Roman" w:cs="Times New Roman"/>
          <w:sz w:val="24"/>
          <w:szCs w:val="24"/>
          <w:lang w:val="en-US"/>
        </w:rPr>
        <w:t>M</w:t>
      </w:r>
      <w:r w:rsidR="006A445E" w:rsidRPr="009B6417">
        <w:rPr>
          <w:rFonts w:ascii="Times New Roman" w:eastAsia="Times New Roman" w:hAnsi="Times New Roman" w:cs="Times New Roman"/>
          <w:sz w:val="24"/>
          <w:szCs w:val="24"/>
          <w:lang w:val="en-US"/>
        </w:rPr>
        <w:t>ë</w:t>
      </w:r>
      <w:r w:rsidR="005617D6" w:rsidRPr="009B6417">
        <w:rPr>
          <w:rFonts w:ascii="Times New Roman" w:eastAsia="Times New Roman" w:hAnsi="Times New Roman" w:cs="Times New Roman"/>
          <w:sz w:val="24"/>
          <w:szCs w:val="24"/>
          <w:lang w:val="en-US"/>
        </w:rPr>
        <w:t xml:space="preserve"> posht</w:t>
      </w:r>
      <w:r w:rsidR="006A445E" w:rsidRPr="009B6417">
        <w:rPr>
          <w:rFonts w:ascii="Times New Roman" w:eastAsia="Times New Roman" w:hAnsi="Times New Roman" w:cs="Times New Roman"/>
          <w:sz w:val="24"/>
          <w:szCs w:val="24"/>
          <w:lang w:val="en-US"/>
        </w:rPr>
        <w:t>ë</w:t>
      </w:r>
      <w:r w:rsidR="005617D6" w:rsidRPr="009B6417">
        <w:rPr>
          <w:rFonts w:ascii="Times New Roman" w:eastAsia="Times New Roman" w:hAnsi="Times New Roman" w:cs="Times New Roman"/>
          <w:sz w:val="24"/>
          <w:szCs w:val="24"/>
          <w:lang w:val="en-US"/>
        </w:rPr>
        <w:t>, jep</w:t>
      </w:r>
      <w:r w:rsidR="007E3D03">
        <w:rPr>
          <w:rFonts w:ascii="Times New Roman" w:eastAsia="Times New Roman" w:hAnsi="Times New Roman" w:cs="Times New Roman"/>
          <w:sz w:val="24"/>
          <w:szCs w:val="24"/>
          <w:lang w:val="en-US"/>
        </w:rPr>
        <w:t>e</w:t>
      </w:r>
      <w:r w:rsidR="005617D6" w:rsidRPr="009B6417">
        <w:rPr>
          <w:rFonts w:ascii="Times New Roman" w:eastAsia="Times New Roman" w:hAnsi="Times New Roman" w:cs="Times New Roman"/>
          <w:sz w:val="24"/>
          <w:szCs w:val="24"/>
          <w:lang w:val="en-US"/>
        </w:rPr>
        <w:t>t nj</w:t>
      </w:r>
      <w:r w:rsidR="006A445E" w:rsidRPr="009B6417">
        <w:rPr>
          <w:rFonts w:ascii="Times New Roman" w:eastAsia="Times New Roman" w:hAnsi="Times New Roman" w:cs="Times New Roman"/>
          <w:sz w:val="24"/>
          <w:szCs w:val="24"/>
          <w:lang w:val="en-US"/>
        </w:rPr>
        <w:t>ë</w:t>
      </w:r>
      <w:r w:rsidR="005617D6" w:rsidRPr="009B6417">
        <w:rPr>
          <w:rFonts w:ascii="Times New Roman" w:eastAsia="Times New Roman" w:hAnsi="Times New Roman" w:cs="Times New Roman"/>
          <w:sz w:val="24"/>
          <w:szCs w:val="24"/>
          <w:lang w:val="en-US"/>
        </w:rPr>
        <w:t xml:space="preserve"> p</w:t>
      </w:r>
      <w:r w:rsidR="006A445E" w:rsidRPr="009B6417">
        <w:rPr>
          <w:rFonts w:ascii="Times New Roman" w:eastAsia="Times New Roman" w:hAnsi="Times New Roman" w:cs="Times New Roman"/>
          <w:sz w:val="24"/>
          <w:szCs w:val="24"/>
          <w:lang w:val="en-US"/>
        </w:rPr>
        <w:t>ë</w:t>
      </w:r>
      <w:r w:rsidR="005617D6" w:rsidRPr="009B6417">
        <w:rPr>
          <w:rFonts w:ascii="Times New Roman" w:eastAsia="Times New Roman" w:hAnsi="Times New Roman" w:cs="Times New Roman"/>
          <w:sz w:val="24"/>
          <w:szCs w:val="24"/>
          <w:lang w:val="en-US"/>
        </w:rPr>
        <w:t>rshkrim m</w:t>
      </w:r>
      <w:r w:rsidR="006A445E" w:rsidRPr="009B6417">
        <w:rPr>
          <w:rFonts w:ascii="Times New Roman" w:eastAsia="Times New Roman" w:hAnsi="Times New Roman" w:cs="Times New Roman"/>
          <w:sz w:val="24"/>
          <w:szCs w:val="24"/>
          <w:lang w:val="en-US"/>
        </w:rPr>
        <w:t>ë</w:t>
      </w:r>
      <w:r w:rsidR="005617D6" w:rsidRPr="009B6417">
        <w:rPr>
          <w:rFonts w:ascii="Times New Roman" w:eastAsia="Times New Roman" w:hAnsi="Times New Roman" w:cs="Times New Roman"/>
          <w:sz w:val="24"/>
          <w:szCs w:val="24"/>
          <w:lang w:val="en-US"/>
        </w:rPr>
        <w:t xml:space="preserve"> i detajuar n</w:t>
      </w:r>
      <w:r w:rsidR="006A445E" w:rsidRPr="009B6417">
        <w:rPr>
          <w:rFonts w:ascii="Times New Roman" w:eastAsia="Times New Roman" w:hAnsi="Times New Roman" w:cs="Times New Roman"/>
          <w:sz w:val="24"/>
          <w:szCs w:val="24"/>
          <w:lang w:val="en-US"/>
        </w:rPr>
        <w:t>ë</w:t>
      </w:r>
      <w:r w:rsidR="005617D6" w:rsidRPr="009B6417">
        <w:rPr>
          <w:rFonts w:ascii="Times New Roman" w:eastAsia="Times New Roman" w:hAnsi="Times New Roman" w:cs="Times New Roman"/>
          <w:sz w:val="24"/>
          <w:szCs w:val="24"/>
          <w:lang w:val="en-US"/>
        </w:rPr>
        <w:t xml:space="preserve"> lidhje me k</w:t>
      </w:r>
      <w:r w:rsidR="006A445E" w:rsidRPr="009B6417">
        <w:rPr>
          <w:rFonts w:ascii="Times New Roman" w:eastAsia="Times New Roman" w:hAnsi="Times New Roman" w:cs="Times New Roman"/>
          <w:sz w:val="24"/>
          <w:szCs w:val="24"/>
          <w:lang w:val="en-US"/>
        </w:rPr>
        <w:t>ë</w:t>
      </w:r>
      <w:r w:rsidR="005617D6" w:rsidRPr="009B6417">
        <w:rPr>
          <w:rFonts w:ascii="Times New Roman" w:eastAsia="Times New Roman" w:hAnsi="Times New Roman" w:cs="Times New Roman"/>
          <w:sz w:val="24"/>
          <w:szCs w:val="24"/>
          <w:lang w:val="en-US"/>
        </w:rPr>
        <w:t>t</w:t>
      </w:r>
      <w:r w:rsidR="006A445E" w:rsidRPr="009B6417">
        <w:rPr>
          <w:rFonts w:ascii="Times New Roman" w:eastAsia="Times New Roman" w:hAnsi="Times New Roman" w:cs="Times New Roman"/>
          <w:sz w:val="24"/>
          <w:szCs w:val="24"/>
          <w:lang w:val="en-US"/>
        </w:rPr>
        <w:t>ë</w:t>
      </w:r>
      <w:r w:rsidR="005617D6" w:rsidRPr="009B6417">
        <w:rPr>
          <w:rFonts w:ascii="Times New Roman" w:eastAsia="Times New Roman" w:hAnsi="Times New Roman" w:cs="Times New Roman"/>
          <w:sz w:val="24"/>
          <w:szCs w:val="24"/>
          <w:lang w:val="en-US"/>
        </w:rPr>
        <w:t xml:space="preserve"> kontrat</w:t>
      </w:r>
      <w:r w:rsidR="006A445E" w:rsidRPr="009B6417">
        <w:rPr>
          <w:rFonts w:ascii="Times New Roman" w:eastAsia="Times New Roman" w:hAnsi="Times New Roman" w:cs="Times New Roman"/>
          <w:sz w:val="24"/>
          <w:szCs w:val="24"/>
          <w:lang w:val="en-US"/>
        </w:rPr>
        <w:t>ë</w:t>
      </w:r>
      <w:r w:rsidR="005617D6" w:rsidRPr="009B6417">
        <w:rPr>
          <w:rFonts w:ascii="Times New Roman" w:eastAsia="Times New Roman" w:hAnsi="Times New Roman" w:cs="Times New Roman"/>
          <w:sz w:val="24"/>
          <w:szCs w:val="24"/>
          <w:lang w:val="en-US"/>
        </w:rPr>
        <w:t xml:space="preserve"> koncesioni.</w:t>
      </w:r>
      <w:r w:rsidR="00157795" w:rsidRPr="009B6417">
        <w:rPr>
          <w:rFonts w:ascii="Times New Roman" w:eastAsia="Times New Roman" w:hAnsi="Times New Roman" w:cs="Times New Roman"/>
          <w:sz w:val="24"/>
          <w:szCs w:val="24"/>
          <w:lang w:val="en-US"/>
        </w:rPr>
        <w:t xml:space="preserve"> </w:t>
      </w:r>
    </w:p>
    <w:p w14:paraId="07266052" w14:textId="77777777" w:rsidR="00C920F9" w:rsidRPr="009B6417" w:rsidRDefault="00760261" w:rsidP="004C1F25">
      <w:pPr>
        <w:pStyle w:val="Heading2"/>
        <w:numPr>
          <w:ilvl w:val="1"/>
          <w:numId w:val="32"/>
        </w:numPr>
        <w:jc w:val="both"/>
        <w:rPr>
          <w:rFonts w:ascii="Times New Roman" w:hAnsi="Times New Roman" w:cs="Times New Roman"/>
          <w:b/>
          <w:i/>
          <w:sz w:val="24"/>
          <w:szCs w:val="24"/>
        </w:rPr>
      </w:pPr>
      <w:bookmarkStart w:id="100" w:name="_Toc37196710"/>
      <w:r>
        <w:rPr>
          <w:rFonts w:ascii="Times New Roman" w:hAnsi="Times New Roman" w:cs="Times New Roman"/>
          <w:b/>
          <w:sz w:val="24"/>
          <w:szCs w:val="24"/>
        </w:rPr>
        <w:lastRenderedPageBreak/>
        <w:t xml:space="preserve">Kontrata </w:t>
      </w:r>
      <w:r w:rsidR="00DC1921" w:rsidRPr="009B6417">
        <w:rPr>
          <w:rFonts w:ascii="Times New Roman" w:hAnsi="Times New Roman" w:cs="Times New Roman"/>
          <w:b/>
          <w:sz w:val="24"/>
          <w:szCs w:val="24"/>
        </w:rPr>
        <w:t>Koncesionare</w:t>
      </w:r>
      <w:r w:rsidR="00DC1921">
        <w:rPr>
          <w:rFonts w:ascii="Times New Roman" w:hAnsi="Times New Roman" w:cs="Times New Roman"/>
          <w:b/>
          <w:sz w:val="24"/>
          <w:szCs w:val="24"/>
        </w:rPr>
        <w:t>/PPP</w:t>
      </w:r>
      <w:r w:rsidR="00DC1921" w:rsidRPr="009B6417">
        <w:rPr>
          <w:rFonts w:ascii="Times New Roman" w:hAnsi="Times New Roman" w:cs="Times New Roman"/>
          <w:b/>
          <w:sz w:val="24"/>
          <w:szCs w:val="24"/>
        </w:rPr>
        <w:t xml:space="preserve"> </w:t>
      </w:r>
      <w:r w:rsidR="00F006C6" w:rsidRPr="009B6417">
        <w:rPr>
          <w:rFonts w:ascii="Times New Roman" w:hAnsi="Times New Roman" w:cs="Times New Roman"/>
          <w:b/>
          <w:sz w:val="24"/>
          <w:szCs w:val="24"/>
        </w:rPr>
        <w:t>“</w:t>
      </w:r>
      <w:r w:rsidR="00F006C6" w:rsidRPr="009B6417">
        <w:rPr>
          <w:rFonts w:ascii="Times New Roman" w:hAnsi="Times New Roman" w:cs="Times New Roman"/>
          <w:b/>
          <w:i/>
          <w:sz w:val="24"/>
          <w:szCs w:val="24"/>
        </w:rPr>
        <w:t>Financimi, ngritja dhe operimi i</w:t>
      </w:r>
      <w:r w:rsidR="00494B84" w:rsidRPr="009B6417">
        <w:rPr>
          <w:rFonts w:ascii="Times New Roman" w:hAnsi="Times New Roman" w:cs="Times New Roman"/>
          <w:b/>
          <w:i/>
          <w:sz w:val="24"/>
          <w:szCs w:val="24"/>
        </w:rPr>
        <w:t xml:space="preserve"> sherbimit të skanimit të</w:t>
      </w:r>
      <w:r w:rsidR="00F006C6" w:rsidRPr="009B6417">
        <w:rPr>
          <w:rFonts w:ascii="Times New Roman" w:hAnsi="Times New Roman" w:cs="Times New Roman"/>
          <w:b/>
          <w:i/>
          <w:sz w:val="24"/>
          <w:szCs w:val="24"/>
        </w:rPr>
        <w:t xml:space="preserve"> konteinereve e automjeteve te tjera ne RSH</w:t>
      </w:r>
      <w:r w:rsidR="001E09C7">
        <w:rPr>
          <w:rFonts w:ascii="Times New Roman" w:hAnsi="Times New Roman" w:cs="Times New Roman"/>
          <w:b/>
          <w:i/>
          <w:sz w:val="24"/>
          <w:szCs w:val="24"/>
        </w:rPr>
        <w:t>”</w:t>
      </w:r>
      <w:bookmarkEnd w:id="100"/>
    </w:p>
    <w:p w14:paraId="6649DE63" w14:textId="77777777" w:rsidR="00C920F9" w:rsidRPr="009B6417" w:rsidRDefault="00C920F9" w:rsidP="00C920F9">
      <w:pPr>
        <w:pStyle w:val="Heading2"/>
        <w:rPr>
          <w:rFonts w:ascii="Times New Roman" w:hAnsi="Times New Roman" w:cs="Times New Roman"/>
          <w:sz w:val="24"/>
          <w:szCs w:val="24"/>
        </w:rPr>
      </w:pPr>
    </w:p>
    <w:p w14:paraId="3AE56970" w14:textId="77777777" w:rsidR="00C920F9" w:rsidRPr="009B6417" w:rsidRDefault="00C920F9" w:rsidP="004C1F25">
      <w:pPr>
        <w:pStyle w:val="ListParagraph"/>
        <w:numPr>
          <w:ilvl w:val="2"/>
          <w:numId w:val="32"/>
        </w:numPr>
        <w:tabs>
          <w:tab w:val="left" w:pos="3553"/>
        </w:tabs>
        <w:jc w:val="both"/>
        <w:rPr>
          <w:rFonts w:ascii="Times New Roman" w:hAnsi="Times New Roman" w:cs="Times New Roman"/>
          <w:b/>
          <w:i/>
          <w:sz w:val="24"/>
          <w:szCs w:val="24"/>
        </w:rPr>
      </w:pPr>
      <w:r w:rsidRPr="009B6417">
        <w:rPr>
          <w:rFonts w:ascii="Times New Roman" w:hAnsi="Times New Roman" w:cs="Times New Roman"/>
          <w:b/>
          <w:i/>
          <w:sz w:val="24"/>
          <w:szCs w:val="24"/>
        </w:rPr>
        <w:t>Përshkrim i përgjithshëm i projektit</w:t>
      </w:r>
    </w:p>
    <w:p w14:paraId="0E0AAFA1" w14:textId="77777777" w:rsidR="00C920F9" w:rsidRPr="009B6417" w:rsidRDefault="0021185F" w:rsidP="00C920F9">
      <w:pPr>
        <w:spacing w:after="0"/>
        <w:jc w:val="both"/>
        <w:rPr>
          <w:rFonts w:ascii="Times New Roman" w:eastAsia="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320040" distB="91440" distL="91440" distR="320040" simplePos="0" relativeHeight="251653120" behindDoc="1" locked="0" layoutInCell="1" allowOverlap="1" wp14:anchorId="21001520" wp14:editId="1B373E13">
                <wp:simplePos x="0" y="0"/>
                <wp:positionH relativeFrom="margin">
                  <wp:posOffset>3209925</wp:posOffset>
                </wp:positionH>
                <wp:positionV relativeFrom="margin">
                  <wp:posOffset>1601470</wp:posOffset>
                </wp:positionV>
                <wp:extent cx="3355975" cy="2066290"/>
                <wp:effectExtent l="9525" t="9525" r="6350" b="10160"/>
                <wp:wrapTight wrapText="bothSides">
                  <wp:wrapPolygon edited="0">
                    <wp:start x="-61" y="-100"/>
                    <wp:lineTo x="-61" y="21500"/>
                    <wp:lineTo x="21661" y="21500"/>
                    <wp:lineTo x="21661" y="-100"/>
                    <wp:lineTo x="-61" y="-100"/>
                  </wp:wrapPolygon>
                </wp:wrapTight>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2066290"/>
                        </a:xfrm>
                        <a:prstGeom prst="rect">
                          <a:avLst/>
                        </a:prstGeom>
                        <a:pattFill prst="pct50">
                          <a:fgClr>
                            <a:schemeClr val="bg2">
                              <a:lumMod val="100000"/>
                              <a:lumOff val="0"/>
                            </a:schemeClr>
                          </a:fgClr>
                          <a:bgClr>
                            <a:schemeClr val="bg1">
                              <a:lumMod val="100000"/>
                              <a:lumOff val="0"/>
                            </a:schemeClr>
                          </a:bgClr>
                        </a:pattFill>
                        <a:ln w="6350">
                          <a:solidFill>
                            <a:schemeClr val="bg2">
                              <a:lumMod val="75000"/>
                              <a:lumOff val="0"/>
                            </a:schemeClr>
                          </a:solidFill>
                          <a:miter lim="800000"/>
                          <a:headEnd/>
                          <a:tailEnd/>
                        </a:ln>
                      </wps:spPr>
                      <wps:txbx>
                        <w:txbxContent>
                          <w:p w14:paraId="2E7EDD09" w14:textId="77777777" w:rsidR="0025668C" w:rsidRPr="00FA559F" w:rsidRDefault="0025668C" w:rsidP="005A09B8">
                            <w:pPr>
                              <w:pBdr>
                                <w:left w:val="single" w:sz="80" w:space="3" w:color="7F7F7F" w:themeColor="text1" w:themeTint="80"/>
                                <w:bottom w:val="single" w:sz="8" w:space="3" w:color="7F7F7F" w:themeColor="text1" w:themeTint="80"/>
                              </w:pBdr>
                              <w:spacing w:before="40" w:line="288" w:lineRule="auto"/>
                              <w:rPr>
                                <w:rFonts w:ascii="Times New Roman" w:hAnsi="Times New Roman" w:cs="Times New Roman"/>
                                <w:b/>
                                <w:i/>
                                <w:color w:val="4A442A" w:themeColor="background2" w:themeShade="40"/>
                                <w:sz w:val="18"/>
                                <w:szCs w:val="27"/>
                              </w:rPr>
                            </w:pPr>
                            <w:r w:rsidRPr="00FA559F">
                              <w:rPr>
                                <w:rFonts w:ascii="Times New Roman" w:hAnsi="Times New Roman" w:cs="Times New Roman"/>
                                <w:b/>
                                <w:color w:val="4A442A" w:themeColor="background2" w:themeShade="40"/>
                                <w:sz w:val="20"/>
                                <w:szCs w:val="28"/>
                                <w:lang w:val="en-US"/>
                              </w:rPr>
                              <w:t>Kontrata Koncesionare “</w:t>
                            </w:r>
                            <w:r>
                              <w:rPr>
                                <w:rFonts w:ascii="Times New Roman" w:hAnsi="Times New Roman" w:cs="Times New Roman"/>
                                <w:b/>
                                <w:i/>
                                <w:color w:val="4A442A" w:themeColor="background2" w:themeShade="40"/>
                                <w:sz w:val="20"/>
                                <w:szCs w:val="28"/>
                                <w:lang w:val="en-US"/>
                              </w:rPr>
                              <w:t>Financimi, ngritja dhe operimi i shë</w:t>
                            </w:r>
                            <w:r w:rsidRPr="00FA559F">
                              <w:rPr>
                                <w:rFonts w:ascii="Times New Roman" w:hAnsi="Times New Roman" w:cs="Times New Roman"/>
                                <w:b/>
                                <w:i/>
                                <w:color w:val="4A442A" w:themeColor="background2" w:themeShade="40"/>
                                <w:sz w:val="20"/>
                                <w:szCs w:val="28"/>
                                <w:lang w:val="en-US"/>
                              </w:rPr>
                              <w:t>rbimit t</w:t>
                            </w:r>
                            <w:r>
                              <w:rPr>
                                <w:rFonts w:ascii="Times New Roman" w:hAnsi="Times New Roman" w:cs="Times New Roman"/>
                                <w:b/>
                                <w:i/>
                                <w:color w:val="4A442A" w:themeColor="background2" w:themeShade="40"/>
                                <w:sz w:val="20"/>
                                <w:szCs w:val="28"/>
                                <w:lang w:val="en-US"/>
                              </w:rPr>
                              <w:t>ë</w:t>
                            </w:r>
                            <w:r w:rsidRPr="00FA559F">
                              <w:rPr>
                                <w:rFonts w:ascii="Times New Roman" w:hAnsi="Times New Roman" w:cs="Times New Roman"/>
                                <w:b/>
                                <w:i/>
                                <w:color w:val="4A442A" w:themeColor="background2" w:themeShade="40"/>
                                <w:sz w:val="20"/>
                                <w:szCs w:val="28"/>
                                <w:lang w:val="en-US"/>
                              </w:rPr>
                              <w:t xml:space="preserve"> skanimit t</w:t>
                            </w:r>
                            <w:r>
                              <w:rPr>
                                <w:rFonts w:ascii="Times New Roman" w:hAnsi="Times New Roman" w:cs="Times New Roman"/>
                                <w:b/>
                                <w:i/>
                                <w:color w:val="4A442A" w:themeColor="background2" w:themeShade="40"/>
                                <w:sz w:val="20"/>
                                <w:szCs w:val="28"/>
                                <w:lang w:val="en-US"/>
                              </w:rPr>
                              <w:t>ë</w:t>
                            </w:r>
                            <w:r w:rsidRPr="00FA559F">
                              <w:rPr>
                                <w:rFonts w:ascii="Times New Roman" w:hAnsi="Times New Roman" w:cs="Times New Roman"/>
                                <w:b/>
                                <w:i/>
                                <w:color w:val="4A442A" w:themeColor="background2" w:themeShade="40"/>
                                <w:sz w:val="20"/>
                                <w:szCs w:val="28"/>
                                <w:lang w:val="en-US"/>
                              </w:rPr>
                              <w:t xml:space="preserve"> konteinereve e automjeteve t</w:t>
                            </w:r>
                            <w:r>
                              <w:rPr>
                                <w:rFonts w:ascii="Times New Roman" w:hAnsi="Times New Roman" w:cs="Times New Roman"/>
                                <w:b/>
                                <w:i/>
                                <w:color w:val="4A442A" w:themeColor="background2" w:themeShade="40"/>
                                <w:sz w:val="20"/>
                                <w:szCs w:val="28"/>
                                <w:lang w:val="en-US"/>
                              </w:rPr>
                              <w:t>ë</w:t>
                            </w:r>
                            <w:r w:rsidRPr="00FA559F">
                              <w:rPr>
                                <w:rFonts w:ascii="Times New Roman" w:hAnsi="Times New Roman" w:cs="Times New Roman"/>
                                <w:b/>
                                <w:i/>
                                <w:color w:val="4A442A" w:themeColor="background2" w:themeShade="40"/>
                                <w:sz w:val="20"/>
                                <w:szCs w:val="28"/>
                                <w:lang w:val="en-US"/>
                              </w:rPr>
                              <w:t xml:space="preserve"> tjera ne RSH</w:t>
                            </w:r>
                            <w:r w:rsidRPr="00FA559F">
                              <w:rPr>
                                <w:rFonts w:ascii="Times New Roman" w:hAnsi="Times New Roman" w:cs="Times New Roman"/>
                                <w:b/>
                                <w:sz w:val="20"/>
                                <w:szCs w:val="28"/>
                                <w:lang w:val="en-US"/>
                              </w:rPr>
                              <w:t>”</w:t>
                            </w:r>
                          </w:p>
                          <w:p w14:paraId="53F270CB"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sidRPr="00EF5479">
                              <w:rPr>
                                <w:rFonts w:ascii="Times New Roman" w:hAnsi="Times New Roman" w:cs="Times New Roman"/>
                                <w:color w:val="000000" w:themeColor="text1"/>
                              </w:rPr>
                              <w:t xml:space="preserve"> Ministria </w:t>
                            </w:r>
                            <w:r>
                              <w:rPr>
                                <w:rFonts w:ascii="Times New Roman" w:hAnsi="Times New Roman" w:cs="Times New Roman"/>
                                <w:color w:val="000000" w:themeColor="text1"/>
                              </w:rPr>
                              <w:t>e Financave dhe Ekonomisë</w:t>
                            </w:r>
                          </w:p>
                          <w:p w14:paraId="16DE0360" w14:textId="77777777" w:rsidR="0025668C"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Pr>
                                <w:rFonts w:ascii="Times New Roman" w:hAnsi="Times New Roman" w:cs="Times New Roman"/>
                                <w:color w:val="000000" w:themeColor="text1"/>
                              </w:rPr>
                              <w:t xml:space="preserve"> S2 Albania sh.p.k</w:t>
                            </w:r>
                          </w:p>
                          <w:p w14:paraId="5E34355E" w14:textId="77777777" w:rsidR="0025668C" w:rsidRDefault="0025668C" w:rsidP="00645B95">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w:t>
                            </w:r>
                            <w:r w:rsidRPr="009A524D">
                              <w:rPr>
                                <w:rFonts w:ascii="Times New Roman" w:hAnsi="Times New Roman" w:cs="Times New Roman"/>
                                <w:color w:val="000000" w:themeColor="text1"/>
                              </w:rPr>
                              <w:t>2.83 miliardë Lekë</w:t>
                            </w:r>
                          </w:p>
                          <w:p w14:paraId="13F03988" w14:textId="77777777" w:rsidR="0025668C" w:rsidRPr="00AA4628" w:rsidRDefault="0025668C" w:rsidP="00645B95">
                            <w:pPr>
                              <w:pStyle w:val="ListParagraph"/>
                              <w:numPr>
                                <w:ilvl w:val="0"/>
                                <w:numId w:val="4"/>
                              </w:numPr>
                              <w:ind w:left="90"/>
                              <w:jc w:val="both"/>
                              <w:rPr>
                                <w:rFonts w:ascii="Times New Roman" w:hAnsi="Times New Roman" w:cs="Times New Roman"/>
                                <w:color w:val="000000" w:themeColor="text1"/>
                              </w:rPr>
                            </w:pPr>
                            <w:r w:rsidRPr="00AA4628">
                              <w:rPr>
                                <w:rFonts w:ascii="Times New Roman" w:hAnsi="Times New Roman" w:cs="Times New Roman"/>
                                <w:b/>
                                <w:color w:val="000000" w:themeColor="text1"/>
                              </w:rPr>
                              <w:t>Data e fillimit të kontratës:</w:t>
                            </w:r>
                            <w:r w:rsidRPr="00AA4628">
                              <w:rPr>
                                <w:rFonts w:ascii="Times New Roman" w:hAnsi="Times New Roman" w:cs="Times New Roman"/>
                                <w:color w:val="000000" w:themeColor="text1"/>
                              </w:rPr>
                              <w:t xml:space="preserve"> </w:t>
                            </w:r>
                            <w:r w:rsidRPr="005618E9">
                              <w:rPr>
                                <w:rFonts w:ascii="Times New Roman" w:hAnsi="Times New Roman" w:cs="Times New Roman"/>
                                <w:color w:val="000000" w:themeColor="text1"/>
                              </w:rPr>
                              <w:t>N</w:t>
                            </w:r>
                            <w:r>
                              <w:rPr>
                                <w:rFonts w:ascii="Times New Roman" w:hAnsi="Times New Roman" w:cs="Times New Roman"/>
                                <w:color w:val="000000" w:themeColor="text1"/>
                              </w:rPr>
                              <w:t>ën</w:t>
                            </w:r>
                            <w:r w:rsidRPr="005618E9">
                              <w:rPr>
                                <w:rFonts w:ascii="Times New Roman" w:hAnsi="Times New Roman" w:cs="Times New Roman"/>
                                <w:color w:val="000000" w:themeColor="text1"/>
                              </w:rPr>
                              <w:t xml:space="preserve">shkruar </w:t>
                            </w:r>
                            <w:r w:rsidRPr="005618E9">
                              <w:rPr>
                                <w:rFonts w:ascii="Times New Roman" w:hAnsi="Times New Roman" w:cs="Times New Roman"/>
                                <w:szCs w:val="24"/>
                              </w:rPr>
                              <w:t>10 prilli 2013, kontrata e rinegociuar m</w:t>
                            </w:r>
                            <w:r>
                              <w:rPr>
                                <w:rFonts w:ascii="Times New Roman" w:hAnsi="Times New Roman" w:cs="Times New Roman"/>
                                <w:szCs w:val="24"/>
                              </w:rPr>
                              <w:t>ë</w:t>
                            </w:r>
                            <w:r w:rsidRPr="005618E9">
                              <w:rPr>
                                <w:rFonts w:ascii="Times New Roman" w:hAnsi="Times New Roman" w:cs="Times New Roman"/>
                                <w:szCs w:val="24"/>
                              </w:rPr>
                              <w:t xml:space="preserve"> </w:t>
                            </w:r>
                            <w:r w:rsidRPr="005618E9">
                              <w:rPr>
                                <w:rFonts w:ascii="Times New Roman" w:hAnsi="Times New Roman" w:cs="Times New Roman"/>
                                <w:color w:val="000000" w:themeColor="text1"/>
                              </w:rPr>
                              <w:t>28 Prill 2015</w:t>
                            </w:r>
                          </w:p>
                          <w:p w14:paraId="01DBDCD8"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Pr>
                                <w:rFonts w:ascii="Times New Roman" w:hAnsi="Times New Roman" w:cs="Times New Roman"/>
                                <w:color w:val="000000" w:themeColor="text1"/>
                              </w:rPr>
                              <w:t xml:space="preserve">   15 vite  </w:t>
                            </w:r>
                          </w:p>
                          <w:p w14:paraId="6AB3F40D" w14:textId="77777777"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color w:val="000000" w:themeColor="text1"/>
                              </w:rPr>
                              <w:t xml:space="preserve"> </w:t>
                            </w:r>
                            <w:r w:rsidRPr="00EF5479">
                              <w:rPr>
                                <w:rFonts w:ascii="Times New Roman" w:hAnsi="Times New Roman" w:cs="Times New Roman"/>
                                <w:color w:val="000000" w:themeColor="text1"/>
                              </w:rPr>
                              <w:t xml:space="preserve"> Operim</w:t>
                            </w:r>
                          </w:p>
                          <w:p w14:paraId="14A68FAA" w14:textId="77777777" w:rsidR="0025668C" w:rsidRDefault="0025668C" w:rsidP="00C920F9">
                            <w:pPr>
                              <w:rPr>
                                <w:color w:val="808080" w:themeColor="background1" w:themeShade="8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79DAEF" id="Text Box 21" o:spid="_x0000_s1044" type="#_x0000_t202" style="position:absolute;left:0;text-align:left;margin-left:252.75pt;margin-top:126.1pt;width:264.25pt;height:162.7pt;z-index:-251663360;visibility:visible;mso-wrap-style:square;mso-width-percent:0;mso-height-percent:0;mso-wrap-distance-left:7.2pt;mso-wrap-distance-top:25.2pt;mso-wrap-distance-right:25.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" fillcolor="#eeece1 [3214]" strokecolor="#c4bc96 [2414]" strokeweight=".5pt">
                <v:fill r:id="rId10" o:title="" color2="white [3212]" type="pattern"/>
                <v:textbox inset="14.4pt,0,10.8pt,0">
                  <w:txbxContent>
                    <w:p w:rsidR="0025668C" w:rsidRPr="00FA559F" w:rsidRDefault="0025668C" w:rsidP="005A09B8">
                      <w:pPr>
                        <w:pBdr>
                          <w:left w:val="single" w:sz="80" w:space="3" w:color="7F7F7F" w:themeColor="text1" w:themeTint="80"/>
                          <w:bottom w:val="single" w:sz="8" w:space="3" w:color="7F7F7F" w:themeColor="text1" w:themeTint="80"/>
                        </w:pBdr>
                        <w:spacing w:before="40" w:line="288" w:lineRule="auto"/>
                        <w:rPr>
                          <w:rFonts w:ascii="Times New Roman" w:hAnsi="Times New Roman" w:cs="Times New Roman"/>
                          <w:b/>
                          <w:i/>
                          <w:color w:val="4A442A" w:themeColor="background2" w:themeShade="40"/>
                          <w:sz w:val="18"/>
                          <w:szCs w:val="27"/>
                        </w:rPr>
                      </w:pPr>
                      <w:r w:rsidRPr="00FA559F">
                        <w:rPr>
                          <w:rFonts w:ascii="Times New Roman" w:hAnsi="Times New Roman" w:cs="Times New Roman"/>
                          <w:b/>
                          <w:color w:val="4A442A" w:themeColor="background2" w:themeShade="40"/>
                          <w:sz w:val="20"/>
                          <w:szCs w:val="28"/>
                          <w:lang w:val="en-US"/>
                        </w:rPr>
                        <w:t>Kontrata Koncesionare “</w:t>
                      </w:r>
                      <w:r>
                        <w:rPr>
                          <w:rFonts w:ascii="Times New Roman" w:hAnsi="Times New Roman" w:cs="Times New Roman"/>
                          <w:b/>
                          <w:i/>
                          <w:color w:val="4A442A" w:themeColor="background2" w:themeShade="40"/>
                          <w:sz w:val="20"/>
                          <w:szCs w:val="28"/>
                          <w:lang w:val="en-US"/>
                        </w:rPr>
                        <w:t>Financimi, ngritja dhe operimi i shë</w:t>
                      </w:r>
                      <w:r w:rsidRPr="00FA559F">
                        <w:rPr>
                          <w:rFonts w:ascii="Times New Roman" w:hAnsi="Times New Roman" w:cs="Times New Roman"/>
                          <w:b/>
                          <w:i/>
                          <w:color w:val="4A442A" w:themeColor="background2" w:themeShade="40"/>
                          <w:sz w:val="20"/>
                          <w:szCs w:val="28"/>
                          <w:lang w:val="en-US"/>
                        </w:rPr>
                        <w:t>rbimit t</w:t>
                      </w:r>
                      <w:r>
                        <w:rPr>
                          <w:rFonts w:ascii="Times New Roman" w:hAnsi="Times New Roman" w:cs="Times New Roman"/>
                          <w:b/>
                          <w:i/>
                          <w:color w:val="4A442A" w:themeColor="background2" w:themeShade="40"/>
                          <w:sz w:val="20"/>
                          <w:szCs w:val="28"/>
                          <w:lang w:val="en-US"/>
                        </w:rPr>
                        <w:t>ë</w:t>
                      </w:r>
                      <w:r w:rsidRPr="00FA559F">
                        <w:rPr>
                          <w:rFonts w:ascii="Times New Roman" w:hAnsi="Times New Roman" w:cs="Times New Roman"/>
                          <w:b/>
                          <w:i/>
                          <w:color w:val="4A442A" w:themeColor="background2" w:themeShade="40"/>
                          <w:sz w:val="20"/>
                          <w:szCs w:val="28"/>
                          <w:lang w:val="en-US"/>
                        </w:rPr>
                        <w:t xml:space="preserve"> skanimit t</w:t>
                      </w:r>
                      <w:r>
                        <w:rPr>
                          <w:rFonts w:ascii="Times New Roman" w:hAnsi="Times New Roman" w:cs="Times New Roman"/>
                          <w:b/>
                          <w:i/>
                          <w:color w:val="4A442A" w:themeColor="background2" w:themeShade="40"/>
                          <w:sz w:val="20"/>
                          <w:szCs w:val="28"/>
                          <w:lang w:val="en-US"/>
                        </w:rPr>
                        <w:t>ë</w:t>
                      </w:r>
                      <w:r w:rsidRPr="00FA559F">
                        <w:rPr>
                          <w:rFonts w:ascii="Times New Roman" w:hAnsi="Times New Roman" w:cs="Times New Roman"/>
                          <w:b/>
                          <w:i/>
                          <w:color w:val="4A442A" w:themeColor="background2" w:themeShade="40"/>
                          <w:sz w:val="20"/>
                          <w:szCs w:val="28"/>
                          <w:lang w:val="en-US"/>
                        </w:rPr>
                        <w:t xml:space="preserve"> konteinereve e automjeteve t</w:t>
                      </w:r>
                      <w:r>
                        <w:rPr>
                          <w:rFonts w:ascii="Times New Roman" w:hAnsi="Times New Roman" w:cs="Times New Roman"/>
                          <w:b/>
                          <w:i/>
                          <w:color w:val="4A442A" w:themeColor="background2" w:themeShade="40"/>
                          <w:sz w:val="20"/>
                          <w:szCs w:val="28"/>
                          <w:lang w:val="en-US"/>
                        </w:rPr>
                        <w:t>ë</w:t>
                      </w:r>
                      <w:r w:rsidRPr="00FA559F">
                        <w:rPr>
                          <w:rFonts w:ascii="Times New Roman" w:hAnsi="Times New Roman" w:cs="Times New Roman"/>
                          <w:b/>
                          <w:i/>
                          <w:color w:val="4A442A" w:themeColor="background2" w:themeShade="40"/>
                          <w:sz w:val="20"/>
                          <w:szCs w:val="28"/>
                          <w:lang w:val="en-US"/>
                        </w:rPr>
                        <w:t xml:space="preserve"> tjera ne RSH</w:t>
                      </w:r>
                      <w:r w:rsidRPr="00FA559F">
                        <w:rPr>
                          <w:rFonts w:ascii="Times New Roman" w:hAnsi="Times New Roman" w:cs="Times New Roman"/>
                          <w:b/>
                          <w:sz w:val="20"/>
                          <w:szCs w:val="28"/>
                          <w:lang w:val="en-US"/>
                        </w:rPr>
                        <w:t>”</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Autoriteti Kontraktues:</w:t>
                      </w:r>
                      <w:r w:rsidRPr="00EF5479">
                        <w:rPr>
                          <w:rFonts w:ascii="Times New Roman" w:hAnsi="Times New Roman" w:cs="Times New Roman"/>
                          <w:color w:val="000000" w:themeColor="text1"/>
                        </w:rPr>
                        <w:t xml:space="preserve"> Ministria </w:t>
                      </w:r>
                      <w:r>
                        <w:rPr>
                          <w:rFonts w:ascii="Times New Roman" w:hAnsi="Times New Roman" w:cs="Times New Roman"/>
                          <w:color w:val="000000" w:themeColor="text1"/>
                        </w:rPr>
                        <w:t>e Financave dhe Ekonomisë</w:t>
                      </w:r>
                    </w:p>
                    <w:p w:rsidR="0025668C"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SPV:</w:t>
                      </w:r>
                      <w:r>
                        <w:rPr>
                          <w:rFonts w:ascii="Times New Roman" w:hAnsi="Times New Roman" w:cs="Times New Roman"/>
                          <w:color w:val="000000" w:themeColor="text1"/>
                        </w:rPr>
                        <w:t xml:space="preserve"> S2 Albania sh.p.k</w:t>
                      </w:r>
                    </w:p>
                    <w:p w:rsidR="0025668C" w:rsidRDefault="0025668C" w:rsidP="00645B95">
                      <w:pPr>
                        <w:pStyle w:val="ListParagraph"/>
                        <w:numPr>
                          <w:ilvl w:val="0"/>
                          <w:numId w:val="4"/>
                        </w:numPr>
                        <w:ind w:left="90"/>
                        <w:jc w:val="both"/>
                        <w:rPr>
                          <w:rFonts w:ascii="Times New Roman" w:hAnsi="Times New Roman" w:cs="Times New Roman"/>
                          <w:color w:val="000000" w:themeColor="text1"/>
                        </w:rPr>
                      </w:pPr>
                      <w:r>
                        <w:rPr>
                          <w:rFonts w:ascii="Times New Roman" w:hAnsi="Times New Roman" w:cs="Times New Roman"/>
                          <w:b/>
                          <w:color w:val="000000" w:themeColor="text1"/>
                        </w:rPr>
                        <w:t>Vlera e Investimit:</w:t>
                      </w:r>
                      <w:r>
                        <w:rPr>
                          <w:rFonts w:ascii="Times New Roman" w:hAnsi="Times New Roman" w:cs="Times New Roman"/>
                          <w:color w:val="000000" w:themeColor="text1"/>
                        </w:rPr>
                        <w:t xml:space="preserve"> </w:t>
                      </w:r>
                      <w:r w:rsidRPr="009A524D">
                        <w:rPr>
                          <w:rFonts w:ascii="Times New Roman" w:hAnsi="Times New Roman" w:cs="Times New Roman"/>
                          <w:color w:val="000000" w:themeColor="text1"/>
                        </w:rPr>
                        <w:t>2.83 miliardë Lekë</w:t>
                      </w:r>
                    </w:p>
                    <w:p w:rsidR="0025668C" w:rsidRPr="00AA4628" w:rsidRDefault="0025668C" w:rsidP="00645B95">
                      <w:pPr>
                        <w:pStyle w:val="ListParagraph"/>
                        <w:numPr>
                          <w:ilvl w:val="0"/>
                          <w:numId w:val="4"/>
                        </w:numPr>
                        <w:ind w:left="90"/>
                        <w:jc w:val="both"/>
                        <w:rPr>
                          <w:rFonts w:ascii="Times New Roman" w:hAnsi="Times New Roman" w:cs="Times New Roman"/>
                          <w:color w:val="000000" w:themeColor="text1"/>
                        </w:rPr>
                      </w:pPr>
                      <w:r w:rsidRPr="00AA4628">
                        <w:rPr>
                          <w:rFonts w:ascii="Times New Roman" w:hAnsi="Times New Roman" w:cs="Times New Roman"/>
                          <w:b/>
                          <w:color w:val="000000" w:themeColor="text1"/>
                        </w:rPr>
                        <w:t>Data e fillimit të kontratës:</w:t>
                      </w:r>
                      <w:r w:rsidRPr="00AA4628">
                        <w:rPr>
                          <w:rFonts w:ascii="Times New Roman" w:hAnsi="Times New Roman" w:cs="Times New Roman"/>
                          <w:color w:val="000000" w:themeColor="text1"/>
                        </w:rPr>
                        <w:t xml:space="preserve"> </w:t>
                      </w:r>
                      <w:r w:rsidRPr="005618E9">
                        <w:rPr>
                          <w:rFonts w:ascii="Times New Roman" w:hAnsi="Times New Roman" w:cs="Times New Roman"/>
                          <w:color w:val="000000" w:themeColor="text1"/>
                        </w:rPr>
                        <w:t>N</w:t>
                      </w:r>
                      <w:r>
                        <w:rPr>
                          <w:rFonts w:ascii="Times New Roman" w:hAnsi="Times New Roman" w:cs="Times New Roman"/>
                          <w:color w:val="000000" w:themeColor="text1"/>
                        </w:rPr>
                        <w:t>ën</w:t>
                      </w:r>
                      <w:r w:rsidRPr="005618E9">
                        <w:rPr>
                          <w:rFonts w:ascii="Times New Roman" w:hAnsi="Times New Roman" w:cs="Times New Roman"/>
                          <w:color w:val="000000" w:themeColor="text1"/>
                        </w:rPr>
                        <w:t xml:space="preserve">shkruar </w:t>
                      </w:r>
                      <w:r w:rsidRPr="005618E9">
                        <w:rPr>
                          <w:rFonts w:ascii="Times New Roman" w:hAnsi="Times New Roman" w:cs="Times New Roman"/>
                          <w:szCs w:val="24"/>
                        </w:rPr>
                        <w:t>10 prilli 2013, kontrata e rinegociuar m</w:t>
                      </w:r>
                      <w:r>
                        <w:rPr>
                          <w:rFonts w:ascii="Times New Roman" w:hAnsi="Times New Roman" w:cs="Times New Roman"/>
                          <w:szCs w:val="24"/>
                        </w:rPr>
                        <w:t>ë</w:t>
                      </w:r>
                      <w:r w:rsidRPr="005618E9">
                        <w:rPr>
                          <w:rFonts w:ascii="Times New Roman" w:hAnsi="Times New Roman" w:cs="Times New Roman"/>
                          <w:szCs w:val="24"/>
                        </w:rPr>
                        <w:t xml:space="preserve"> </w:t>
                      </w:r>
                      <w:r w:rsidRPr="005618E9">
                        <w:rPr>
                          <w:rFonts w:ascii="Times New Roman" w:hAnsi="Times New Roman" w:cs="Times New Roman"/>
                          <w:color w:val="000000" w:themeColor="text1"/>
                        </w:rPr>
                        <w:t>28 Prill 2015</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Koh</w:t>
                      </w:r>
                      <w:r>
                        <w:rPr>
                          <w:rFonts w:ascii="Times New Roman" w:hAnsi="Times New Roman" w:cs="Times New Roman"/>
                          <w:b/>
                          <w:color w:val="000000" w:themeColor="text1"/>
                        </w:rPr>
                        <w:t>ë</w:t>
                      </w:r>
                      <w:r w:rsidRPr="00EF5479">
                        <w:rPr>
                          <w:rFonts w:ascii="Times New Roman" w:hAnsi="Times New Roman" w:cs="Times New Roman"/>
                          <w:b/>
                          <w:color w:val="000000" w:themeColor="text1"/>
                        </w:rPr>
                        <w:t>zgjatja e kontrat</w:t>
                      </w:r>
                      <w:r>
                        <w:rPr>
                          <w:rFonts w:ascii="Times New Roman" w:hAnsi="Times New Roman" w:cs="Times New Roman"/>
                          <w:b/>
                          <w:color w:val="000000" w:themeColor="text1"/>
                        </w:rPr>
                        <w:t>ë</w:t>
                      </w:r>
                      <w:r w:rsidRPr="00EF5479">
                        <w:rPr>
                          <w:rFonts w:ascii="Times New Roman" w:hAnsi="Times New Roman" w:cs="Times New Roman"/>
                          <w:b/>
                          <w:color w:val="000000" w:themeColor="text1"/>
                        </w:rPr>
                        <w:t>s:</w:t>
                      </w:r>
                      <w:r>
                        <w:rPr>
                          <w:rFonts w:ascii="Times New Roman" w:hAnsi="Times New Roman" w:cs="Times New Roman"/>
                          <w:color w:val="000000" w:themeColor="text1"/>
                        </w:rPr>
                        <w:t xml:space="preserve">   15 vite  </w:t>
                      </w:r>
                    </w:p>
                    <w:p w:rsidR="0025668C" w:rsidRPr="00EF5479" w:rsidRDefault="0025668C" w:rsidP="00645B95">
                      <w:pPr>
                        <w:pStyle w:val="ListParagraph"/>
                        <w:numPr>
                          <w:ilvl w:val="0"/>
                          <w:numId w:val="4"/>
                        </w:numPr>
                        <w:ind w:left="90"/>
                        <w:jc w:val="both"/>
                        <w:rPr>
                          <w:rFonts w:ascii="Times New Roman" w:hAnsi="Times New Roman" w:cs="Times New Roman"/>
                          <w:color w:val="000000" w:themeColor="text1"/>
                        </w:rPr>
                      </w:pPr>
                      <w:r w:rsidRPr="00EF5479">
                        <w:rPr>
                          <w:rFonts w:ascii="Times New Roman" w:hAnsi="Times New Roman" w:cs="Times New Roman"/>
                          <w:b/>
                          <w:color w:val="000000" w:themeColor="text1"/>
                        </w:rPr>
                        <w:t>Faza aktuale</w:t>
                      </w:r>
                      <w:r>
                        <w:rPr>
                          <w:rFonts w:ascii="Times New Roman" w:hAnsi="Times New Roman" w:cs="Times New Roman"/>
                          <w:b/>
                          <w:color w:val="000000" w:themeColor="text1"/>
                        </w:rPr>
                        <w:t xml:space="preserve"> e projektit</w:t>
                      </w:r>
                      <w:r w:rsidRPr="00EF5479">
                        <w:rPr>
                          <w:rFonts w:ascii="Times New Roman" w:hAnsi="Times New Roman" w:cs="Times New Roman"/>
                          <w:b/>
                          <w:color w:val="000000" w:themeColor="text1"/>
                        </w:rPr>
                        <w:t>:</w:t>
                      </w:r>
                      <w:r>
                        <w:rPr>
                          <w:rFonts w:ascii="Times New Roman" w:hAnsi="Times New Roman" w:cs="Times New Roman"/>
                          <w:color w:val="000000" w:themeColor="text1"/>
                        </w:rPr>
                        <w:t xml:space="preserve"> </w:t>
                      </w:r>
                      <w:r w:rsidRPr="00EF5479">
                        <w:rPr>
                          <w:rFonts w:ascii="Times New Roman" w:hAnsi="Times New Roman" w:cs="Times New Roman"/>
                          <w:color w:val="000000" w:themeColor="text1"/>
                        </w:rPr>
                        <w:t xml:space="preserve"> Operim</w:t>
                      </w:r>
                    </w:p>
                    <w:p w:rsidR="0025668C" w:rsidRDefault="0025668C" w:rsidP="00C920F9">
                      <w:pPr>
                        <w:rPr>
                          <w:color w:val="808080" w:themeColor="background1" w:themeShade="80"/>
                        </w:rPr>
                      </w:pPr>
                    </w:p>
                  </w:txbxContent>
                </v:textbox>
                <w10:wrap type="tight" anchorx="margin" anchory="margin"/>
              </v:shape>
            </w:pict>
          </mc:Fallback>
        </mc:AlternateContent>
      </w:r>
      <w:r w:rsidR="0044066F">
        <w:rPr>
          <w:rFonts w:ascii="Times New Roman" w:eastAsia="Times New Roman" w:hAnsi="Times New Roman" w:cs="Times New Roman"/>
          <w:sz w:val="24"/>
          <w:szCs w:val="24"/>
        </w:rPr>
        <w:t>Kjo kontrat</w:t>
      </w:r>
      <w:r w:rsidR="00AB3C00">
        <w:rPr>
          <w:rFonts w:ascii="Times New Roman" w:eastAsia="Times New Roman" w:hAnsi="Times New Roman" w:cs="Times New Roman"/>
          <w:sz w:val="24"/>
          <w:szCs w:val="24"/>
        </w:rPr>
        <w:t>ë</w:t>
      </w:r>
      <w:r w:rsidR="00C920F9" w:rsidRPr="009B6417">
        <w:rPr>
          <w:rFonts w:ascii="Times New Roman" w:eastAsia="Times New Roman" w:hAnsi="Times New Roman" w:cs="Times New Roman"/>
          <w:sz w:val="24"/>
          <w:szCs w:val="24"/>
        </w:rPr>
        <w:t xml:space="preserve"> koncesionar</w:t>
      </w:r>
      <w:r w:rsidR="0044066F">
        <w:rPr>
          <w:rFonts w:ascii="Times New Roman" w:eastAsia="Times New Roman" w:hAnsi="Times New Roman" w:cs="Times New Roman"/>
          <w:sz w:val="24"/>
          <w:szCs w:val="24"/>
        </w:rPr>
        <w:t>e</w:t>
      </w:r>
      <w:r w:rsidR="00C920F9" w:rsidRPr="009B6417">
        <w:rPr>
          <w:rFonts w:ascii="Times New Roman" w:eastAsia="Times New Roman" w:hAnsi="Times New Roman" w:cs="Times New Roman"/>
          <w:sz w:val="24"/>
          <w:szCs w:val="24"/>
        </w:rPr>
        <w:t xml:space="preserve"> është me mbështetje </w:t>
      </w:r>
      <w:r w:rsidR="001B05EA">
        <w:rPr>
          <w:rFonts w:ascii="Times New Roman" w:eastAsia="Times New Roman" w:hAnsi="Times New Roman" w:cs="Times New Roman"/>
          <w:sz w:val="24"/>
          <w:szCs w:val="24"/>
        </w:rPr>
        <w:t>buxhetore</w:t>
      </w:r>
      <w:r w:rsidR="00C920F9" w:rsidRPr="009B6417">
        <w:rPr>
          <w:rFonts w:ascii="Times New Roman" w:eastAsia="Times New Roman" w:hAnsi="Times New Roman" w:cs="Times New Roman"/>
          <w:sz w:val="24"/>
          <w:szCs w:val="24"/>
        </w:rPr>
        <w:t xml:space="preserve"> dhe është realizuar nga bashkëpunimi i </w:t>
      </w:r>
      <w:r w:rsidR="00FA559F" w:rsidRPr="009B6417">
        <w:rPr>
          <w:rFonts w:ascii="Times New Roman" w:eastAsia="Times New Roman" w:hAnsi="Times New Roman" w:cs="Times New Roman"/>
          <w:sz w:val="24"/>
          <w:szCs w:val="24"/>
        </w:rPr>
        <w:t>Ministris</w:t>
      </w:r>
      <w:r w:rsidR="00B85EB6" w:rsidRPr="009B6417">
        <w:rPr>
          <w:rFonts w:ascii="Times New Roman" w:eastAsia="Times New Roman" w:hAnsi="Times New Roman" w:cs="Times New Roman"/>
          <w:sz w:val="24"/>
          <w:szCs w:val="24"/>
        </w:rPr>
        <w:t>ë</w:t>
      </w:r>
      <w:r w:rsidR="00FA559F" w:rsidRPr="009B6417">
        <w:rPr>
          <w:rFonts w:ascii="Times New Roman" w:eastAsia="Times New Roman" w:hAnsi="Times New Roman" w:cs="Times New Roman"/>
          <w:sz w:val="24"/>
          <w:szCs w:val="24"/>
        </w:rPr>
        <w:t xml:space="preserve"> s</w:t>
      </w:r>
      <w:r w:rsidR="00B85EB6" w:rsidRPr="009B6417">
        <w:rPr>
          <w:rFonts w:ascii="Times New Roman" w:eastAsia="Times New Roman" w:hAnsi="Times New Roman" w:cs="Times New Roman"/>
          <w:sz w:val="24"/>
          <w:szCs w:val="24"/>
        </w:rPr>
        <w:t>ë</w:t>
      </w:r>
      <w:r w:rsidR="00FA559F" w:rsidRPr="009B6417">
        <w:rPr>
          <w:rFonts w:ascii="Times New Roman" w:eastAsia="Times New Roman" w:hAnsi="Times New Roman" w:cs="Times New Roman"/>
          <w:sz w:val="24"/>
          <w:szCs w:val="24"/>
        </w:rPr>
        <w:t xml:space="preserve"> Financave </w:t>
      </w:r>
      <w:r w:rsidR="00C920F9" w:rsidRPr="009B6417">
        <w:rPr>
          <w:rFonts w:ascii="Times New Roman" w:eastAsia="Times New Roman" w:hAnsi="Times New Roman" w:cs="Times New Roman"/>
          <w:sz w:val="24"/>
          <w:szCs w:val="24"/>
        </w:rPr>
        <w:t>në cilësinë e Autoritetit Kontraktues dhe shoqërisë koncesionare “</w:t>
      </w:r>
      <w:r w:rsidR="00460825" w:rsidRPr="009B6417">
        <w:rPr>
          <w:rFonts w:ascii="Times New Roman" w:eastAsia="Times New Roman" w:hAnsi="Times New Roman" w:cs="Times New Roman"/>
          <w:sz w:val="24"/>
          <w:szCs w:val="24"/>
        </w:rPr>
        <w:t>S2 Albania</w:t>
      </w:r>
      <w:r w:rsidR="00FA559F" w:rsidRPr="009B6417">
        <w:rPr>
          <w:rFonts w:ascii="Times New Roman" w:eastAsia="Times New Roman" w:hAnsi="Times New Roman" w:cs="Times New Roman"/>
          <w:sz w:val="24"/>
          <w:szCs w:val="24"/>
        </w:rPr>
        <w:t>”, me një kohëzgjatje prej 15</w:t>
      </w:r>
      <w:r w:rsidR="00C920F9" w:rsidRPr="009B6417">
        <w:rPr>
          <w:rFonts w:ascii="Times New Roman" w:eastAsia="Times New Roman" w:hAnsi="Times New Roman" w:cs="Times New Roman"/>
          <w:sz w:val="24"/>
          <w:szCs w:val="24"/>
        </w:rPr>
        <w:t xml:space="preserve"> vitesh.</w:t>
      </w:r>
    </w:p>
    <w:p w14:paraId="4B0060F8" w14:textId="77777777" w:rsidR="00C920F9" w:rsidRPr="009B6417" w:rsidRDefault="00C920F9" w:rsidP="00432646">
      <w:pPr>
        <w:spacing w:after="0"/>
        <w:jc w:val="both"/>
        <w:rPr>
          <w:rFonts w:ascii="Times New Roman" w:hAnsi="Times New Roman" w:cs="Times New Roman"/>
          <w:sz w:val="24"/>
          <w:szCs w:val="24"/>
        </w:rPr>
      </w:pPr>
      <w:r w:rsidRPr="009B6417">
        <w:rPr>
          <w:rFonts w:ascii="Times New Roman" w:eastAsia="Times New Roman" w:hAnsi="Times New Roman" w:cs="Times New Roman"/>
          <w:sz w:val="24"/>
          <w:szCs w:val="24"/>
        </w:rPr>
        <w:t xml:space="preserve">Objekti i këtij projekti Koncesion/PPP </w:t>
      </w:r>
      <w:r w:rsidR="00432646" w:rsidRPr="009B6417">
        <w:rPr>
          <w:rFonts w:ascii="Times New Roman" w:hAnsi="Times New Roman" w:cs="Times New Roman"/>
          <w:sz w:val="24"/>
          <w:szCs w:val="24"/>
        </w:rPr>
        <w:t>është shmangia e nënrapo</w:t>
      </w:r>
      <w:r w:rsidR="001B05EA">
        <w:rPr>
          <w:rFonts w:ascii="Times New Roman" w:hAnsi="Times New Roman" w:cs="Times New Roman"/>
          <w:sz w:val="24"/>
          <w:szCs w:val="24"/>
        </w:rPr>
        <w:t xml:space="preserve">rtimeve të deklaratave doganore </w:t>
      </w:r>
      <w:r w:rsidR="00432646" w:rsidRPr="009B6417">
        <w:rPr>
          <w:rFonts w:ascii="Times New Roman" w:hAnsi="Times New Roman" w:cs="Times New Roman"/>
          <w:sz w:val="24"/>
          <w:szCs w:val="24"/>
        </w:rPr>
        <w:t>për efekt</w:t>
      </w:r>
      <w:r w:rsidR="00460825" w:rsidRPr="009B6417">
        <w:rPr>
          <w:rFonts w:ascii="Times New Roman" w:hAnsi="Times New Roman" w:cs="Times New Roman"/>
          <w:sz w:val="24"/>
          <w:szCs w:val="24"/>
        </w:rPr>
        <w:t xml:space="preserve"> të keqklasifikimeve të kodeve, </w:t>
      </w:r>
      <w:r w:rsidR="00432646" w:rsidRPr="009B6417">
        <w:rPr>
          <w:rFonts w:ascii="Times New Roman" w:hAnsi="Times New Roman" w:cs="Times New Roman"/>
          <w:sz w:val="24"/>
          <w:szCs w:val="24"/>
        </w:rPr>
        <w:t>të mallrave, për marrjen e d</w:t>
      </w:r>
      <w:r w:rsidR="007F61A7" w:rsidRPr="009B6417">
        <w:rPr>
          <w:rFonts w:ascii="Times New Roman" w:hAnsi="Times New Roman" w:cs="Times New Roman"/>
          <w:sz w:val="24"/>
          <w:szCs w:val="24"/>
        </w:rPr>
        <w:t xml:space="preserve">etyrimeve doganore ekzaktësisht </w:t>
      </w:r>
      <w:r w:rsidR="00432646" w:rsidRPr="009B6417">
        <w:rPr>
          <w:rFonts w:ascii="Times New Roman" w:hAnsi="Times New Roman" w:cs="Times New Roman"/>
          <w:sz w:val="24"/>
          <w:szCs w:val="24"/>
        </w:rPr>
        <w:t xml:space="preserve">për produkte që zhdoganohen, por </w:t>
      </w:r>
      <w:r w:rsidR="00C45E74" w:rsidRPr="009B6417">
        <w:rPr>
          <w:rFonts w:ascii="Times New Roman" w:hAnsi="Times New Roman" w:cs="Times New Roman"/>
          <w:sz w:val="24"/>
          <w:szCs w:val="24"/>
        </w:rPr>
        <w:t>gjithashtu ka si q</w:t>
      </w:r>
      <w:r w:rsidR="00B85EB6" w:rsidRPr="009B6417">
        <w:rPr>
          <w:rFonts w:ascii="Times New Roman" w:hAnsi="Times New Roman" w:cs="Times New Roman"/>
          <w:sz w:val="24"/>
          <w:szCs w:val="24"/>
        </w:rPr>
        <w:t>ë</w:t>
      </w:r>
      <w:r w:rsidR="00C45E74" w:rsidRPr="009B6417">
        <w:rPr>
          <w:rFonts w:ascii="Times New Roman" w:hAnsi="Times New Roman" w:cs="Times New Roman"/>
          <w:sz w:val="24"/>
          <w:szCs w:val="24"/>
        </w:rPr>
        <w:t>llim edhe p</w:t>
      </w:r>
      <w:r w:rsidR="00B85EB6" w:rsidRPr="009B6417">
        <w:rPr>
          <w:rFonts w:ascii="Times New Roman" w:hAnsi="Times New Roman" w:cs="Times New Roman"/>
          <w:sz w:val="24"/>
          <w:szCs w:val="24"/>
        </w:rPr>
        <w:t>ë</w:t>
      </w:r>
      <w:r w:rsidR="00C45E74" w:rsidRPr="009B6417">
        <w:rPr>
          <w:rFonts w:ascii="Times New Roman" w:hAnsi="Times New Roman" w:cs="Times New Roman"/>
          <w:sz w:val="24"/>
          <w:szCs w:val="24"/>
        </w:rPr>
        <w:t>rforcimin e  siguris</w:t>
      </w:r>
      <w:r w:rsidR="00B85EB6" w:rsidRPr="009B6417">
        <w:rPr>
          <w:rFonts w:ascii="Times New Roman" w:hAnsi="Times New Roman" w:cs="Times New Roman"/>
          <w:sz w:val="24"/>
          <w:szCs w:val="24"/>
        </w:rPr>
        <w:t>ë</w:t>
      </w:r>
      <w:r w:rsidR="00432646" w:rsidRPr="009B6417">
        <w:rPr>
          <w:rFonts w:ascii="Times New Roman" w:hAnsi="Times New Roman" w:cs="Times New Roman"/>
          <w:sz w:val="24"/>
          <w:szCs w:val="24"/>
        </w:rPr>
        <w:t xml:space="preserve"> kombëtare, sigurimi</w:t>
      </w:r>
      <w:r w:rsidR="00C45E74" w:rsidRPr="009B6417">
        <w:rPr>
          <w:rFonts w:ascii="Times New Roman" w:hAnsi="Times New Roman" w:cs="Times New Roman"/>
          <w:sz w:val="24"/>
          <w:szCs w:val="24"/>
        </w:rPr>
        <w:t>n</w:t>
      </w:r>
      <w:r w:rsidR="00432646" w:rsidRPr="009B6417">
        <w:rPr>
          <w:rFonts w:ascii="Times New Roman" w:hAnsi="Times New Roman" w:cs="Times New Roman"/>
          <w:sz w:val="24"/>
          <w:szCs w:val="24"/>
        </w:rPr>
        <w:t xml:space="preserve"> </w:t>
      </w:r>
      <w:r w:rsidR="00C45E74" w:rsidRPr="009B6417">
        <w:rPr>
          <w:rFonts w:ascii="Times New Roman" w:hAnsi="Times New Roman" w:cs="Times New Roman"/>
          <w:sz w:val="24"/>
          <w:szCs w:val="24"/>
        </w:rPr>
        <w:t xml:space="preserve">e </w:t>
      </w:r>
      <w:r w:rsidR="00432646" w:rsidRPr="009B6417">
        <w:rPr>
          <w:rFonts w:ascii="Times New Roman" w:hAnsi="Times New Roman" w:cs="Times New Roman"/>
          <w:sz w:val="24"/>
          <w:szCs w:val="24"/>
        </w:rPr>
        <w:t>kufijve nga parandalimi i kontrabandës, kryesisht të produkteve të akcizës, të lëndëve narkotike, të produkteve të dëmshme, të armëve, të municioneve, etj.</w:t>
      </w:r>
    </w:p>
    <w:p w14:paraId="6894EDBF" w14:textId="77777777" w:rsidR="00052612" w:rsidRPr="009B6417" w:rsidRDefault="002A02AE" w:rsidP="00387E16">
      <w:pPr>
        <w:spacing w:after="0"/>
        <w:jc w:val="both"/>
        <w:rPr>
          <w:rFonts w:ascii="Times New Roman" w:hAnsi="Times New Roman" w:cs="Times New Roman"/>
          <w:sz w:val="24"/>
          <w:szCs w:val="24"/>
        </w:rPr>
      </w:pPr>
      <w:r w:rsidRPr="009B6417">
        <w:rPr>
          <w:rFonts w:ascii="Times New Roman" w:hAnsi="Times New Roman" w:cs="Times New Roman"/>
          <w:sz w:val="24"/>
          <w:szCs w:val="24"/>
        </w:rPr>
        <w:t>Kjo kontrat</w:t>
      </w:r>
      <w:r w:rsidR="00B85EB6" w:rsidRPr="009B6417">
        <w:rPr>
          <w:rFonts w:ascii="Times New Roman" w:hAnsi="Times New Roman" w:cs="Times New Roman"/>
          <w:sz w:val="24"/>
          <w:szCs w:val="24"/>
        </w:rPr>
        <w:t>ë</w:t>
      </w:r>
      <w:r w:rsidRPr="009B6417">
        <w:rPr>
          <w:rFonts w:ascii="Times New Roman" w:hAnsi="Times New Roman" w:cs="Times New Roman"/>
          <w:sz w:val="24"/>
          <w:szCs w:val="24"/>
        </w:rPr>
        <w:t xml:space="preserve"> koncesioni </w:t>
      </w:r>
      <w:r w:rsidR="00B85EB6" w:rsidRPr="009B6417">
        <w:rPr>
          <w:rFonts w:ascii="Times New Roman" w:hAnsi="Times New Roman" w:cs="Times New Roman"/>
          <w:sz w:val="24"/>
          <w:szCs w:val="24"/>
        </w:rPr>
        <w:t>ë</w:t>
      </w:r>
      <w:r w:rsidRPr="009B6417">
        <w:rPr>
          <w:rFonts w:ascii="Times New Roman" w:hAnsi="Times New Roman" w:cs="Times New Roman"/>
          <w:sz w:val="24"/>
          <w:szCs w:val="24"/>
        </w:rPr>
        <w:t>sht</w:t>
      </w:r>
      <w:r w:rsidR="00B85EB6" w:rsidRPr="009B6417">
        <w:rPr>
          <w:rFonts w:ascii="Times New Roman" w:hAnsi="Times New Roman" w:cs="Times New Roman"/>
          <w:sz w:val="24"/>
          <w:szCs w:val="24"/>
        </w:rPr>
        <w:t>ë</w:t>
      </w:r>
      <w:r w:rsidRPr="009B6417">
        <w:rPr>
          <w:rFonts w:ascii="Times New Roman" w:hAnsi="Times New Roman" w:cs="Times New Roman"/>
          <w:sz w:val="24"/>
          <w:szCs w:val="24"/>
        </w:rPr>
        <w:t xml:space="preserve"> miratuar fillimisht me an</w:t>
      </w:r>
      <w:r w:rsidR="00B85EB6" w:rsidRPr="009B6417">
        <w:rPr>
          <w:rFonts w:ascii="Times New Roman" w:hAnsi="Times New Roman" w:cs="Times New Roman"/>
          <w:sz w:val="24"/>
          <w:szCs w:val="24"/>
        </w:rPr>
        <w:t>ë</w:t>
      </w:r>
      <w:r w:rsidRPr="009B6417">
        <w:rPr>
          <w:rFonts w:ascii="Times New Roman" w:hAnsi="Times New Roman" w:cs="Times New Roman"/>
          <w:sz w:val="24"/>
          <w:szCs w:val="24"/>
        </w:rPr>
        <w:t xml:space="preserve"> t</w:t>
      </w:r>
      <w:r w:rsidR="00B85EB6" w:rsidRPr="009B6417">
        <w:rPr>
          <w:rFonts w:ascii="Times New Roman" w:hAnsi="Times New Roman" w:cs="Times New Roman"/>
          <w:sz w:val="24"/>
          <w:szCs w:val="24"/>
        </w:rPr>
        <w:t>ë</w:t>
      </w:r>
      <w:r w:rsidRPr="009B6417">
        <w:rPr>
          <w:rFonts w:ascii="Times New Roman" w:hAnsi="Times New Roman" w:cs="Times New Roman"/>
          <w:sz w:val="24"/>
          <w:szCs w:val="24"/>
        </w:rPr>
        <w:t xml:space="preserve"> Ligjit </w:t>
      </w:r>
      <w:r w:rsidR="002E50A3" w:rsidRPr="009B6417">
        <w:rPr>
          <w:rFonts w:ascii="Times New Roman" w:hAnsi="Times New Roman" w:cs="Times New Roman"/>
          <w:sz w:val="24"/>
          <w:szCs w:val="24"/>
        </w:rPr>
        <w:t>Nr.</w:t>
      </w:r>
      <w:r w:rsidRPr="009B6417">
        <w:rPr>
          <w:rFonts w:ascii="Times New Roman" w:hAnsi="Times New Roman" w:cs="Times New Roman"/>
          <w:sz w:val="24"/>
          <w:szCs w:val="24"/>
        </w:rPr>
        <w:t xml:space="preserve">123/2013 dhe </w:t>
      </w:r>
      <w:r w:rsidR="00B85EB6" w:rsidRPr="009B6417">
        <w:rPr>
          <w:rFonts w:ascii="Times New Roman" w:hAnsi="Times New Roman" w:cs="Times New Roman"/>
          <w:sz w:val="24"/>
          <w:szCs w:val="24"/>
        </w:rPr>
        <w:t>ë</w:t>
      </w:r>
      <w:r w:rsidRPr="009B6417">
        <w:rPr>
          <w:rFonts w:ascii="Times New Roman" w:hAnsi="Times New Roman" w:cs="Times New Roman"/>
          <w:sz w:val="24"/>
          <w:szCs w:val="24"/>
        </w:rPr>
        <w:t>sht</w:t>
      </w:r>
      <w:r w:rsidR="00B85EB6" w:rsidRPr="009B6417">
        <w:rPr>
          <w:rFonts w:ascii="Times New Roman" w:hAnsi="Times New Roman" w:cs="Times New Roman"/>
          <w:sz w:val="24"/>
          <w:szCs w:val="24"/>
        </w:rPr>
        <w:t>ë</w:t>
      </w:r>
      <w:r w:rsidRPr="009B6417">
        <w:rPr>
          <w:rFonts w:ascii="Times New Roman" w:hAnsi="Times New Roman" w:cs="Times New Roman"/>
          <w:sz w:val="24"/>
          <w:szCs w:val="24"/>
        </w:rPr>
        <w:t xml:space="preserve"> ndryshuar m</w:t>
      </w:r>
      <w:r w:rsidR="00B85EB6" w:rsidRPr="009B6417">
        <w:rPr>
          <w:rFonts w:ascii="Times New Roman" w:hAnsi="Times New Roman" w:cs="Times New Roman"/>
          <w:sz w:val="24"/>
          <w:szCs w:val="24"/>
        </w:rPr>
        <w:t>ë</w:t>
      </w:r>
      <w:r w:rsidRPr="009B6417">
        <w:rPr>
          <w:rFonts w:ascii="Times New Roman" w:hAnsi="Times New Roman" w:cs="Times New Roman"/>
          <w:sz w:val="24"/>
          <w:szCs w:val="24"/>
        </w:rPr>
        <w:t xml:space="preserve"> pas me Ligjin </w:t>
      </w:r>
      <w:r w:rsidR="002E50A3" w:rsidRPr="009B6417">
        <w:rPr>
          <w:rFonts w:ascii="Times New Roman" w:hAnsi="Times New Roman" w:cs="Times New Roman"/>
          <w:sz w:val="24"/>
          <w:szCs w:val="24"/>
        </w:rPr>
        <w:t>Nr.</w:t>
      </w:r>
      <w:r w:rsidRPr="009B6417">
        <w:rPr>
          <w:rFonts w:ascii="Times New Roman" w:hAnsi="Times New Roman" w:cs="Times New Roman"/>
          <w:sz w:val="24"/>
          <w:szCs w:val="24"/>
        </w:rPr>
        <w:t>74/2015, p</w:t>
      </w:r>
      <w:r w:rsidR="00B85EB6" w:rsidRPr="009B6417">
        <w:rPr>
          <w:rFonts w:ascii="Times New Roman" w:hAnsi="Times New Roman" w:cs="Times New Roman"/>
          <w:sz w:val="24"/>
          <w:szCs w:val="24"/>
        </w:rPr>
        <w:t>ë</w:t>
      </w:r>
      <w:r w:rsidRPr="009B6417">
        <w:rPr>
          <w:rFonts w:ascii="Times New Roman" w:hAnsi="Times New Roman" w:cs="Times New Roman"/>
          <w:sz w:val="24"/>
          <w:szCs w:val="24"/>
        </w:rPr>
        <w:t>r shkak t</w:t>
      </w:r>
      <w:r w:rsidR="00B85EB6" w:rsidRPr="009B6417">
        <w:rPr>
          <w:rFonts w:ascii="Times New Roman" w:hAnsi="Times New Roman" w:cs="Times New Roman"/>
          <w:sz w:val="24"/>
          <w:szCs w:val="24"/>
        </w:rPr>
        <w:t>ë</w:t>
      </w:r>
      <w:r w:rsidRPr="009B6417">
        <w:rPr>
          <w:rFonts w:ascii="Times New Roman" w:hAnsi="Times New Roman" w:cs="Times New Roman"/>
          <w:sz w:val="24"/>
          <w:szCs w:val="24"/>
        </w:rPr>
        <w:t xml:space="preserve"> </w:t>
      </w:r>
      <w:r w:rsidR="00157795" w:rsidRPr="009B6417">
        <w:rPr>
          <w:rFonts w:ascii="Times New Roman" w:hAnsi="Times New Roman" w:cs="Times New Roman"/>
          <w:sz w:val="24"/>
          <w:szCs w:val="24"/>
        </w:rPr>
        <w:t>kund</w:t>
      </w:r>
      <w:r w:rsidR="00B85EB6" w:rsidRPr="009B6417">
        <w:rPr>
          <w:rFonts w:ascii="Times New Roman" w:hAnsi="Times New Roman" w:cs="Times New Roman"/>
          <w:sz w:val="24"/>
          <w:szCs w:val="24"/>
        </w:rPr>
        <w:t>ë</w:t>
      </w:r>
      <w:r w:rsidR="00157795" w:rsidRPr="009B6417">
        <w:rPr>
          <w:rFonts w:ascii="Times New Roman" w:hAnsi="Times New Roman" w:cs="Times New Roman"/>
          <w:sz w:val="24"/>
          <w:szCs w:val="24"/>
        </w:rPr>
        <w:t>rshtimeve t</w:t>
      </w:r>
      <w:r w:rsidR="00B85EB6" w:rsidRPr="009B6417">
        <w:rPr>
          <w:rFonts w:ascii="Times New Roman" w:hAnsi="Times New Roman" w:cs="Times New Roman"/>
          <w:sz w:val="24"/>
          <w:szCs w:val="24"/>
        </w:rPr>
        <w:t>ë</w:t>
      </w:r>
      <w:r w:rsidR="00157795" w:rsidRPr="009B6417">
        <w:rPr>
          <w:rFonts w:ascii="Times New Roman" w:hAnsi="Times New Roman" w:cs="Times New Roman"/>
          <w:sz w:val="24"/>
          <w:szCs w:val="24"/>
        </w:rPr>
        <w:t xml:space="preserve"> hasura nga bizneset n</w:t>
      </w:r>
      <w:r w:rsidR="00B85EB6" w:rsidRPr="009B6417">
        <w:rPr>
          <w:rFonts w:ascii="Times New Roman" w:hAnsi="Times New Roman" w:cs="Times New Roman"/>
          <w:sz w:val="24"/>
          <w:szCs w:val="24"/>
        </w:rPr>
        <w:t>ë</w:t>
      </w:r>
      <w:r w:rsidR="00157795" w:rsidRPr="009B6417">
        <w:rPr>
          <w:rFonts w:ascii="Times New Roman" w:hAnsi="Times New Roman" w:cs="Times New Roman"/>
          <w:sz w:val="24"/>
          <w:szCs w:val="24"/>
        </w:rPr>
        <w:t xml:space="preserve"> vend, pasi vlera e pages</w:t>
      </w:r>
      <w:r w:rsidR="00B85EB6" w:rsidRPr="009B6417">
        <w:rPr>
          <w:rFonts w:ascii="Times New Roman" w:hAnsi="Times New Roman" w:cs="Times New Roman"/>
          <w:sz w:val="24"/>
          <w:szCs w:val="24"/>
        </w:rPr>
        <w:t>ë</w:t>
      </w:r>
      <w:r w:rsidR="00157795" w:rsidRPr="009B6417">
        <w:rPr>
          <w:rFonts w:ascii="Times New Roman" w:hAnsi="Times New Roman" w:cs="Times New Roman"/>
          <w:sz w:val="24"/>
          <w:szCs w:val="24"/>
        </w:rPr>
        <w:t>s p</w:t>
      </w:r>
      <w:r w:rsidR="00B85EB6" w:rsidRPr="009B6417">
        <w:rPr>
          <w:rFonts w:ascii="Times New Roman" w:hAnsi="Times New Roman" w:cs="Times New Roman"/>
          <w:sz w:val="24"/>
          <w:szCs w:val="24"/>
        </w:rPr>
        <w:t>ë</w:t>
      </w:r>
      <w:r w:rsidR="00157795" w:rsidRPr="009B6417">
        <w:rPr>
          <w:rFonts w:ascii="Times New Roman" w:hAnsi="Times New Roman" w:cs="Times New Roman"/>
          <w:sz w:val="24"/>
          <w:szCs w:val="24"/>
        </w:rPr>
        <w:t>r deklaratat doganore implikonte kosto t</w:t>
      </w:r>
      <w:r w:rsidR="00B85EB6" w:rsidRPr="009B6417">
        <w:rPr>
          <w:rFonts w:ascii="Times New Roman" w:hAnsi="Times New Roman" w:cs="Times New Roman"/>
          <w:sz w:val="24"/>
          <w:szCs w:val="24"/>
        </w:rPr>
        <w:t>ë</w:t>
      </w:r>
      <w:r w:rsidR="00157795" w:rsidRPr="009B6417">
        <w:rPr>
          <w:rFonts w:ascii="Times New Roman" w:hAnsi="Times New Roman" w:cs="Times New Roman"/>
          <w:sz w:val="24"/>
          <w:szCs w:val="24"/>
        </w:rPr>
        <w:t xml:space="preserve"> larta p</w:t>
      </w:r>
      <w:r w:rsidR="00B85EB6" w:rsidRPr="009B6417">
        <w:rPr>
          <w:rFonts w:ascii="Times New Roman" w:hAnsi="Times New Roman" w:cs="Times New Roman"/>
          <w:sz w:val="24"/>
          <w:szCs w:val="24"/>
        </w:rPr>
        <w:t>ë</w:t>
      </w:r>
      <w:r w:rsidR="00157795" w:rsidRPr="009B6417">
        <w:rPr>
          <w:rFonts w:ascii="Times New Roman" w:hAnsi="Times New Roman" w:cs="Times New Roman"/>
          <w:sz w:val="24"/>
          <w:szCs w:val="24"/>
        </w:rPr>
        <w:t>r k</w:t>
      </w:r>
      <w:r w:rsidR="00B85EB6" w:rsidRPr="009B6417">
        <w:rPr>
          <w:rFonts w:ascii="Times New Roman" w:hAnsi="Times New Roman" w:cs="Times New Roman"/>
          <w:sz w:val="24"/>
          <w:szCs w:val="24"/>
        </w:rPr>
        <w:t>ë</w:t>
      </w:r>
      <w:r w:rsidR="00157795" w:rsidRPr="009B6417">
        <w:rPr>
          <w:rFonts w:ascii="Times New Roman" w:hAnsi="Times New Roman" w:cs="Times New Roman"/>
          <w:sz w:val="24"/>
          <w:szCs w:val="24"/>
        </w:rPr>
        <w:t>to t</w:t>
      </w:r>
      <w:r w:rsidR="00B85EB6" w:rsidRPr="009B6417">
        <w:rPr>
          <w:rFonts w:ascii="Times New Roman" w:hAnsi="Times New Roman" w:cs="Times New Roman"/>
          <w:sz w:val="24"/>
          <w:szCs w:val="24"/>
        </w:rPr>
        <w:t>ë</w:t>
      </w:r>
      <w:r w:rsidR="00157795" w:rsidRPr="009B6417">
        <w:rPr>
          <w:rFonts w:ascii="Times New Roman" w:hAnsi="Times New Roman" w:cs="Times New Roman"/>
          <w:sz w:val="24"/>
          <w:szCs w:val="24"/>
        </w:rPr>
        <w:t xml:space="preserve"> fundit. </w:t>
      </w:r>
      <w:r w:rsidR="006C3439" w:rsidRPr="009B6417">
        <w:rPr>
          <w:rFonts w:ascii="Times New Roman" w:hAnsi="Times New Roman" w:cs="Times New Roman"/>
          <w:sz w:val="24"/>
          <w:szCs w:val="24"/>
          <w:lang w:val="en-US"/>
        </w:rPr>
        <w:t>Ndryshimet e b</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ra konsistonin n</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 xml:space="preserve"> ndryshimin e vler</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s s</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 xml:space="preserve"> tarif</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s s</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 xml:space="preserve"> skanimit p</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r deklaratat doganore. N</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se para ndryshimeve tarifa p</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r çdo deklarate doganore t</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 xml:space="preserve"> skanuar ishte 39 Euro, tashm</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 xml:space="preserve"> me ndryshimin ligjor tarifa e skanimit u vendos t</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 xml:space="preserve"> jet</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 xml:space="preserve"> </w:t>
      </w:r>
      <w:r w:rsidR="006C3439" w:rsidRPr="009B6417">
        <w:rPr>
          <w:rFonts w:ascii="Times New Roman" w:hAnsi="Times New Roman" w:cs="Times New Roman"/>
          <w:sz w:val="24"/>
          <w:szCs w:val="24"/>
        </w:rPr>
        <w:t>5 Euro për deklaratat doganore nën ose të barabarta me 1000 Euro dhe 22 Euro për deklaratat doganore mbi 1000 Euro.</w:t>
      </w:r>
      <w:r w:rsidR="00387E16" w:rsidRPr="009B6417">
        <w:rPr>
          <w:rFonts w:ascii="Times New Roman" w:hAnsi="Times New Roman" w:cs="Times New Roman"/>
          <w:sz w:val="24"/>
          <w:szCs w:val="24"/>
        </w:rPr>
        <w:t xml:space="preserve"> </w:t>
      </w:r>
    </w:p>
    <w:p w14:paraId="3471A88E" w14:textId="77777777" w:rsidR="00387E16" w:rsidRPr="009B6417" w:rsidRDefault="00052612" w:rsidP="00387E16">
      <w:pPr>
        <w:spacing w:after="0"/>
        <w:jc w:val="both"/>
        <w:rPr>
          <w:rFonts w:ascii="Times New Roman" w:hAnsi="Times New Roman" w:cs="Times New Roman"/>
          <w:sz w:val="24"/>
          <w:szCs w:val="24"/>
        </w:rPr>
      </w:pPr>
      <w:r w:rsidRPr="009B6417">
        <w:rPr>
          <w:rFonts w:ascii="Times New Roman" w:hAnsi="Times New Roman" w:cs="Times New Roman"/>
          <w:sz w:val="24"/>
          <w:szCs w:val="24"/>
        </w:rPr>
        <w:t>Pas ndryshimeve, t</w:t>
      </w:r>
      <w:r w:rsidR="00387E16" w:rsidRPr="009B6417">
        <w:rPr>
          <w:rFonts w:ascii="Times New Roman" w:hAnsi="Times New Roman" w:cs="Times New Roman"/>
          <w:sz w:val="24"/>
          <w:szCs w:val="24"/>
        </w:rPr>
        <w:t>ë ardhurat e shoqërisë koncesio</w:t>
      </w:r>
      <w:r w:rsidR="005376FF">
        <w:rPr>
          <w:rFonts w:ascii="Times New Roman" w:hAnsi="Times New Roman" w:cs="Times New Roman"/>
          <w:sz w:val="24"/>
          <w:szCs w:val="24"/>
        </w:rPr>
        <w:t>na</w:t>
      </w:r>
      <w:r w:rsidR="00387E16" w:rsidRPr="009B6417">
        <w:rPr>
          <w:rFonts w:ascii="Times New Roman" w:hAnsi="Times New Roman" w:cs="Times New Roman"/>
          <w:sz w:val="24"/>
          <w:szCs w:val="24"/>
        </w:rPr>
        <w:t xml:space="preserve">re </w:t>
      </w:r>
      <w:r w:rsidR="007E3D03">
        <w:rPr>
          <w:rFonts w:ascii="Times New Roman" w:hAnsi="Times New Roman" w:cs="Times New Roman"/>
          <w:sz w:val="24"/>
          <w:szCs w:val="24"/>
        </w:rPr>
        <w:t>janë siguruar nga</w:t>
      </w:r>
      <w:r w:rsidR="00387E16" w:rsidRPr="009B6417">
        <w:rPr>
          <w:rFonts w:ascii="Times New Roman" w:hAnsi="Times New Roman" w:cs="Times New Roman"/>
          <w:sz w:val="24"/>
          <w:szCs w:val="24"/>
        </w:rPr>
        <w:t xml:space="preserve"> </w:t>
      </w:r>
      <w:r w:rsidR="007E3D03">
        <w:rPr>
          <w:rFonts w:ascii="Times New Roman" w:hAnsi="Times New Roman" w:cs="Times New Roman"/>
          <w:sz w:val="24"/>
          <w:szCs w:val="24"/>
        </w:rPr>
        <w:t>pagesat e</w:t>
      </w:r>
      <w:r w:rsidR="00387E16" w:rsidRPr="009B6417">
        <w:rPr>
          <w:rFonts w:ascii="Times New Roman" w:hAnsi="Times New Roman" w:cs="Times New Roman"/>
          <w:sz w:val="24"/>
          <w:szCs w:val="24"/>
        </w:rPr>
        <w:t xml:space="preserve"> bëra nga Autoriteti Kontrak</w:t>
      </w:r>
      <w:r w:rsidR="005376FF">
        <w:rPr>
          <w:rFonts w:ascii="Times New Roman" w:hAnsi="Times New Roman" w:cs="Times New Roman"/>
          <w:sz w:val="24"/>
          <w:szCs w:val="24"/>
        </w:rPr>
        <w:t>t</w:t>
      </w:r>
      <w:r w:rsidR="00387E16" w:rsidRPr="009B6417">
        <w:rPr>
          <w:rFonts w:ascii="Times New Roman" w:hAnsi="Times New Roman" w:cs="Times New Roman"/>
          <w:sz w:val="24"/>
          <w:szCs w:val="24"/>
        </w:rPr>
        <w:t xml:space="preserve">ues, i cili </w:t>
      </w:r>
      <w:r w:rsidR="007E3D03">
        <w:rPr>
          <w:rFonts w:ascii="Times New Roman" w:hAnsi="Times New Roman" w:cs="Times New Roman"/>
          <w:sz w:val="24"/>
          <w:szCs w:val="24"/>
        </w:rPr>
        <w:t>i paguan</w:t>
      </w:r>
      <w:r w:rsidR="00387E16" w:rsidRPr="009B6417">
        <w:rPr>
          <w:rFonts w:ascii="Times New Roman" w:hAnsi="Times New Roman" w:cs="Times New Roman"/>
          <w:sz w:val="24"/>
          <w:szCs w:val="24"/>
        </w:rPr>
        <w:t xml:space="preserve"> një tarifë prej 2,260,000 Euro për Shërbimet e Caktuara për çdo Vend, tarifë e cila do rritet çdo vit me koeficent 1.03. Nga kjo tarifë do të zbritet tarifa mujore koncesionare prej 2</w:t>
      </w:r>
      <w:r w:rsidR="00CC5C49" w:rsidRPr="009B6417">
        <w:rPr>
          <w:rFonts w:ascii="Times New Roman" w:hAnsi="Times New Roman" w:cs="Times New Roman"/>
          <w:sz w:val="24"/>
          <w:szCs w:val="24"/>
        </w:rPr>
        <w:t xml:space="preserve"> përqind</w:t>
      </w:r>
      <w:r w:rsidR="00387E16" w:rsidRPr="009B6417">
        <w:rPr>
          <w:rFonts w:ascii="Times New Roman" w:hAnsi="Times New Roman" w:cs="Times New Roman"/>
          <w:sz w:val="24"/>
          <w:szCs w:val="24"/>
        </w:rPr>
        <w:t xml:space="preserve"> e cila duhet t`i paguhet Autoritetit nga </w:t>
      </w:r>
      <w:r w:rsidRPr="009B6417">
        <w:rPr>
          <w:rFonts w:ascii="Times New Roman" w:hAnsi="Times New Roman" w:cs="Times New Roman"/>
          <w:sz w:val="24"/>
          <w:szCs w:val="24"/>
        </w:rPr>
        <w:t>shoq</w:t>
      </w:r>
      <w:r w:rsidR="00B85EB6" w:rsidRPr="009B6417">
        <w:rPr>
          <w:rFonts w:ascii="Times New Roman" w:hAnsi="Times New Roman" w:cs="Times New Roman"/>
          <w:sz w:val="24"/>
          <w:szCs w:val="24"/>
        </w:rPr>
        <w:t>ë</w:t>
      </w:r>
      <w:r w:rsidRPr="009B6417">
        <w:rPr>
          <w:rFonts w:ascii="Times New Roman" w:hAnsi="Times New Roman" w:cs="Times New Roman"/>
          <w:sz w:val="24"/>
          <w:szCs w:val="24"/>
        </w:rPr>
        <w:t>ria koncesionare</w:t>
      </w:r>
      <w:r w:rsidR="00387E16" w:rsidRPr="009B6417">
        <w:rPr>
          <w:rFonts w:ascii="Times New Roman" w:hAnsi="Times New Roman" w:cs="Times New Roman"/>
          <w:sz w:val="24"/>
          <w:szCs w:val="24"/>
        </w:rPr>
        <w:t xml:space="preserve">. Diferenca e mbetur </w:t>
      </w:r>
      <w:r w:rsidR="007E3D03">
        <w:rPr>
          <w:rFonts w:ascii="Times New Roman" w:hAnsi="Times New Roman" w:cs="Times New Roman"/>
          <w:sz w:val="24"/>
          <w:szCs w:val="24"/>
        </w:rPr>
        <w:t>përbën</w:t>
      </w:r>
      <w:r w:rsidR="00387E16" w:rsidRPr="009B6417">
        <w:rPr>
          <w:rFonts w:ascii="Times New Roman" w:hAnsi="Times New Roman" w:cs="Times New Roman"/>
          <w:sz w:val="24"/>
          <w:szCs w:val="24"/>
        </w:rPr>
        <w:t xml:space="preserve"> Tarifën e Shërbimit të Vendit</w:t>
      </w:r>
      <w:r w:rsidR="005376FF">
        <w:rPr>
          <w:rFonts w:ascii="Times New Roman" w:hAnsi="Times New Roman" w:cs="Times New Roman"/>
          <w:sz w:val="24"/>
          <w:szCs w:val="24"/>
        </w:rPr>
        <w:t>,</w:t>
      </w:r>
      <w:r w:rsidR="00387E16" w:rsidRPr="009B6417">
        <w:rPr>
          <w:rFonts w:ascii="Times New Roman" w:hAnsi="Times New Roman" w:cs="Times New Roman"/>
          <w:sz w:val="24"/>
          <w:szCs w:val="24"/>
        </w:rPr>
        <w:t xml:space="preserve"> e cila do paguhet në bazë mujore.</w:t>
      </w:r>
    </w:p>
    <w:p w14:paraId="075C2635" w14:textId="77777777" w:rsidR="006C3439" w:rsidRPr="009B6417" w:rsidRDefault="00387E16" w:rsidP="00387E16">
      <w:pPr>
        <w:spacing w:after="0"/>
        <w:jc w:val="both"/>
        <w:rPr>
          <w:rFonts w:ascii="Times New Roman" w:hAnsi="Times New Roman" w:cs="Times New Roman"/>
          <w:sz w:val="24"/>
          <w:szCs w:val="24"/>
        </w:rPr>
      </w:pPr>
      <w:r w:rsidRPr="009B6417">
        <w:rPr>
          <w:rFonts w:ascii="Times New Roman" w:hAnsi="Times New Roman" w:cs="Times New Roman"/>
          <w:sz w:val="24"/>
          <w:szCs w:val="24"/>
        </w:rPr>
        <w:t xml:space="preserve">Me ndryshimet e vitit 2015, përfitues i tarifës së skanimit të deklaratave doganore është Drejtoria e Përgjithshme e Doganave dhe Koncensionari përfiton gjatë periudhës së kontratës së koncensionit një tarifë bruto mesatarisht prej 13.5 milion Euro në vit (për 5 Vende Skanimi). </w:t>
      </w:r>
    </w:p>
    <w:p w14:paraId="753271D4" w14:textId="77777777" w:rsidR="00490643" w:rsidRPr="00161B15" w:rsidRDefault="002A02AE" w:rsidP="002A02AE">
      <w:pPr>
        <w:jc w:val="both"/>
        <w:rPr>
          <w:rFonts w:ascii="Times New Roman" w:hAnsi="Times New Roman" w:cs="Times New Roman"/>
          <w:sz w:val="24"/>
          <w:szCs w:val="24"/>
          <w:lang w:val="en-US"/>
        </w:rPr>
      </w:pPr>
      <w:r w:rsidRPr="009B6417">
        <w:rPr>
          <w:rFonts w:ascii="Times New Roman" w:hAnsi="Times New Roman" w:cs="Times New Roman"/>
          <w:sz w:val="24"/>
          <w:szCs w:val="24"/>
          <w:lang w:val="en-US"/>
        </w:rPr>
        <w:t>Nëpë</w:t>
      </w:r>
      <w:r w:rsidR="006C3439" w:rsidRPr="009B6417">
        <w:rPr>
          <w:rFonts w:ascii="Times New Roman" w:hAnsi="Times New Roman" w:cs="Times New Roman"/>
          <w:sz w:val="24"/>
          <w:szCs w:val="24"/>
          <w:lang w:val="en-US"/>
        </w:rPr>
        <w:t>rmjet k</w:t>
      </w:r>
      <w:r w:rsidR="00B85EB6" w:rsidRPr="009B6417">
        <w:rPr>
          <w:rFonts w:ascii="Times New Roman" w:hAnsi="Times New Roman" w:cs="Times New Roman"/>
          <w:sz w:val="24"/>
          <w:szCs w:val="24"/>
          <w:lang w:val="en-US"/>
        </w:rPr>
        <w:t>ë</w:t>
      </w:r>
      <w:r w:rsidR="006C3439" w:rsidRPr="009B6417">
        <w:rPr>
          <w:rFonts w:ascii="Times New Roman" w:hAnsi="Times New Roman" w:cs="Times New Roman"/>
          <w:sz w:val="24"/>
          <w:szCs w:val="24"/>
          <w:lang w:val="en-US"/>
        </w:rPr>
        <w:t>tyre</w:t>
      </w:r>
      <w:r w:rsidRPr="009B6417">
        <w:rPr>
          <w:rFonts w:ascii="Times New Roman" w:hAnsi="Times New Roman" w:cs="Times New Roman"/>
          <w:sz w:val="24"/>
          <w:szCs w:val="24"/>
          <w:lang w:val="en-US"/>
        </w:rPr>
        <w:t xml:space="preserve"> ndryshimeve ligjore të kryera në kontratën koncesionare të Shërbimit të Skanimit në Dogana, Ministria e Financave ka synuar që të minimizojë në maksimum kostot e biznesit që rezultonin </w:t>
      </w:r>
      <w:r w:rsidRPr="00161B15">
        <w:rPr>
          <w:rFonts w:ascii="Times New Roman" w:hAnsi="Times New Roman" w:cs="Times New Roman"/>
          <w:sz w:val="24"/>
          <w:szCs w:val="24"/>
          <w:lang w:val="en-US"/>
        </w:rPr>
        <w:t>tepër</w:t>
      </w:r>
      <w:r w:rsidR="005376FF" w:rsidRPr="00161B15">
        <w:rPr>
          <w:rFonts w:ascii="Times New Roman" w:hAnsi="Times New Roman" w:cs="Times New Roman"/>
          <w:sz w:val="24"/>
          <w:szCs w:val="24"/>
          <w:lang w:val="en-US"/>
        </w:rPr>
        <w:t xml:space="preserve"> të larta për skanimin e konteinerë</w:t>
      </w:r>
      <w:r w:rsidRPr="00161B15">
        <w:rPr>
          <w:rFonts w:ascii="Times New Roman" w:hAnsi="Times New Roman" w:cs="Times New Roman"/>
          <w:sz w:val="24"/>
          <w:szCs w:val="24"/>
          <w:lang w:val="en-US"/>
        </w:rPr>
        <w:t xml:space="preserve">ve të mallrave të importuara në doganë. </w:t>
      </w:r>
    </w:p>
    <w:p w14:paraId="2B45C329" w14:textId="77777777" w:rsidR="00C920F9" w:rsidRPr="00161B15" w:rsidRDefault="000C29C1" w:rsidP="00C920F9">
      <w:pPr>
        <w:jc w:val="both"/>
        <w:rPr>
          <w:rFonts w:ascii="Times New Roman" w:hAnsi="Times New Roman" w:cs="Times New Roman"/>
          <w:sz w:val="24"/>
          <w:szCs w:val="24"/>
          <w:lang w:val="en-US"/>
        </w:rPr>
      </w:pPr>
      <w:r w:rsidRPr="00161B15">
        <w:rPr>
          <w:rFonts w:ascii="Times New Roman" w:hAnsi="Times New Roman" w:cs="Times New Roman"/>
          <w:sz w:val="24"/>
          <w:szCs w:val="24"/>
          <w:lang w:val="en-US"/>
        </w:rPr>
        <w:t xml:space="preserve">Vlen </w:t>
      </w:r>
      <w:r w:rsidR="00641F0A" w:rsidRPr="00161B15">
        <w:rPr>
          <w:rFonts w:ascii="Times New Roman" w:hAnsi="Times New Roman" w:cs="Times New Roman"/>
          <w:sz w:val="24"/>
          <w:szCs w:val="24"/>
          <w:lang w:val="en-US"/>
        </w:rPr>
        <w:t>të thekso</w:t>
      </w:r>
      <w:r w:rsidRPr="00161B15">
        <w:rPr>
          <w:rFonts w:ascii="Times New Roman" w:hAnsi="Times New Roman" w:cs="Times New Roman"/>
          <w:sz w:val="24"/>
          <w:szCs w:val="24"/>
          <w:lang w:val="en-US"/>
        </w:rPr>
        <w:t>het</w:t>
      </w:r>
      <w:r w:rsidR="00641F0A" w:rsidRPr="00161B15">
        <w:rPr>
          <w:rFonts w:ascii="Times New Roman" w:hAnsi="Times New Roman" w:cs="Times New Roman"/>
          <w:sz w:val="24"/>
          <w:szCs w:val="24"/>
          <w:lang w:val="en-US"/>
        </w:rPr>
        <w:t xml:space="preserve"> se </w:t>
      </w:r>
      <w:r w:rsidR="00855399" w:rsidRPr="00161B15">
        <w:rPr>
          <w:rFonts w:ascii="Times New Roman" w:hAnsi="Times New Roman" w:cs="Times New Roman"/>
          <w:sz w:val="24"/>
          <w:szCs w:val="24"/>
          <w:lang w:val="en-US"/>
        </w:rPr>
        <w:t>në përfundim të këtij koncesioni, Shërbimi</w:t>
      </w:r>
      <w:r w:rsidR="005617D6" w:rsidRPr="00161B15">
        <w:rPr>
          <w:rFonts w:ascii="Times New Roman" w:hAnsi="Times New Roman" w:cs="Times New Roman"/>
          <w:sz w:val="24"/>
          <w:szCs w:val="24"/>
          <w:lang w:val="en-US"/>
        </w:rPr>
        <w:t>t</w:t>
      </w:r>
      <w:r w:rsidR="00855399" w:rsidRPr="00161B15">
        <w:rPr>
          <w:rFonts w:ascii="Times New Roman" w:hAnsi="Times New Roman" w:cs="Times New Roman"/>
          <w:sz w:val="24"/>
          <w:szCs w:val="24"/>
          <w:lang w:val="en-US"/>
        </w:rPr>
        <w:t xml:space="preserve"> Doganor</w:t>
      </w:r>
      <w:r w:rsidRPr="00161B15">
        <w:rPr>
          <w:rFonts w:ascii="Times New Roman" w:hAnsi="Times New Roman" w:cs="Times New Roman"/>
          <w:sz w:val="24"/>
          <w:szCs w:val="24"/>
          <w:lang w:val="en-US"/>
        </w:rPr>
        <w:t xml:space="preserve"> i kalohet në pronë</w:t>
      </w:r>
      <w:r w:rsidR="005376FF" w:rsidRPr="00161B15">
        <w:rPr>
          <w:rFonts w:ascii="Times New Roman" w:hAnsi="Times New Roman" w:cs="Times New Roman"/>
          <w:sz w:val="24"/>
          <w:szCs w:val="24"/>
          <w:lang w:val="en-US"/>
        </w:rPr>
        <w:t>si sistemi i skanerave si dhe të</w:t>
      </w:r>
      <w:r w:rsidRPr="00161B15">
        <w:rPr>
          <w:rFonts w:ascii="Times New Roman" w:hAnsi="Times New Roman" w:cs="Times New Roman"/>
          <w:sz w:val="24"/>
          <w:szCs w:val="24"/>
          <w:lang w:val="en-US"/>
        </w:rPr>
        <w:t xml:space="preserve"> tjera pajisje qe lidhen me shërbimin e skanimit</w:t>
      </w:r>
      <w:r w:rsidR="00052612" w:rsidRPr="00161B15">
        <w:rPr>
          <w:rFonts w:ascii="Times New Roman" w:hAnsi="Times New Roman" w:cs="Times New Roman"/>
          <w:sz w:val="24"/>
          <w:szCs w:val="24"/>
          <w:lang w:val="en-US"/>
        </w:rPr>
        <w:t xml:space="preserve"> te konteinerëve te vendosura n</w:t>
      </w:r>
      <w:r w:rsidR="00B85EB6" w:rsidRPr="00161B15">
        <w:rPr>
          <w:rFonts w:ascii="Times New Roman" w:hAnsi="Times New Roman" w:cs="Times New Roman"/>
          <w:sz w:val="24"/>
          <w:szCs w:val="24"/>
          <w:lang w:val="en-US"/>
        </w:rPr>
        <w:t>ë</w:t>
      </w:r>
      <w:r w:rsidRPr="00161B15">
        <w:rPr>
          <w:rFonts w:ascii="Times New Roman" w:hAnsi="Times New Roman" w:cs="Times New Roman"/>
          <w:sz w:val="24"/>
          <w:szCs w:val="24"/>
          <w:lang w:val="en-US"/>
        </w:rPr>
        <w:t xml:space="preserve"> pikat doganore</w:t>
      </w:r>
      <w:r w:rsidR="002043F5" w:rsidRPr="00161B15">
        <w:rPr>
          <w:rFonts w:ascii="Times New Roman" w:hAnsi="Times New Roman" w:cs="Times New Roman"/>
          <w:sz w:val="24"/>
          <w:szCs w:val="24"/>
          <w:lang w:val="en-US"/>
        </w:rPr>
        <w:t xml:space="preserve"> për të cilin në kontratë nuk është shprehur nëse ky kalim i aseteve do të bëhet i pashoqëruar me detyrime të mbartura.</w:t>
      </w:r>
    </w:p>
    <w:p w14:paraId="2E5CBA29" w14:textId="77777777" w:rsidR="00C920F9" w:rsidRPr="009B6417" w:rsidRDefault="00C920F9" w:rsidP="004C1F25">
      <w:pPr>
        <w:pStyle w:val="ListParagraph"/>
        <w:numPr>
          <w:ilvl w:val="2"/>
          <w:numId w:val="32"/>
        </w:numPr>
        <w:tabs>
          <w:tab w:val="left" w:pos="3553"/>
        </w:tabs>
        <w:jc w:val="both"/>
        <w:rPr>
          <w:rFonts w:ascii="Times New Roman" w:eastAsia="Times New Roman" w:hAnsi="Times New Roman" w:cs="Times New Roman"/>
          <w:sz w:val="24"/>
          <w:szCs w:val="24"/>
        </w:rPr>
      </w:pPr>
      <w:r w:rsidRPr="009B6417">
        <w:rPr>
          <w:rFonts w:ascii="Times New Roman" w:eastAsia="Times New Roman" w:hAnsi="Times New Roman" w:cs="Times New Roman"/>
          <w:b/>
          <w:i/>
          <w:sz w:val="24"/>
          <w:szCs w:val="24"/>
        </w:rPr>
        <w:lastRenderedPageBreak/>
        <w:t xml:space="preserve"> Performanca e projektit dhe lloji i financimit</w:t>
      </w:r>
    </w:p>
    <w:p w14:paraId="365E8E90" w14:textId="77777777" w:rsidR="00052612" w:rsidRPr="009B6417" w:rsidRDefault="006F6C3C" w:rsidP="00C920F9">
      <w:pPr>
        <w:pStyle w:val="NoSpacing"/>
        <w:spacing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Aktualisht ky projekt</w:t>
      </w:r>
      <w:r w:rsidR="00C920F9" w:rsidRPr="009B6417">
        <w:rPr>
          <w:rFonts w:ascii="Times New Roman" w:eastAsia="Times New Roman" w:hAnsi="Times New Roman" w:cs="Times New Roman"/>
          <w:sz w:val="24"/>
          <w:szCs w:val="24"/>
          <w:lang w:val="sq-AL"/>
        </w:rPr>
        <w:t xml:space="preserve"> është në fazën e operimit. </w:t>
      </w:r>
      <w:r w:rsidR="000C29C1" w:rsidRPr="009B6417">
        <w:rPr>
          <w:rFonts w:ascii="Times New Roman" w:hAnsi="Times New Roman" w:cs="Times New Roman"/>
          <w:sz w:val="24"/>
          <w:szCs w:val="24"/>
        </w:rPr>
        <w:t>S</w:t>
      </w:r>
      <w:r w:rsidR="00433F9B" w:rsidRPr="009B6417">
        <w:rPr>
          <w:rFonts w:ascii="Times New Roman" w:hAnsi="Times New Roman" w:cs="Times New Roman"/>
          <w:sz w:val="24"/>
          <w:szCs w:val="24"/>
        </w:rPr>
        <w:t xml:space="preserve">hërbimi i skanimit në Dogana </w:t>
      </w:r>
      <w:r w:rsidR="00641F0A" w:rsidRPr="009B6417">
        <w:rPr>
          <w:rFonts w:ascii="Times New Roman" w:hAnsi="Times New Roman" w:cs="Times New Roman"/>
          <w:sz w:val="24"/>
          <w:szCs w:val="24"/>
        </w:rPr>
        <w:t>ka mund</w:t>
      </w:r>
      <w:r w:rsidR="00B85EB6" w:rsidRPr="009B6417">
        <w:rPr>
          <w:rFonts w:ascii="Times New Roman" w:hAnsi="Times New Roman" w:cs="Times New Roman"/>
          <w:sz w:val="24"/>
          <w:szCs w:val="24"/>
        </w:rPr>
        <w:t>ë</w:t>
      </w:r>
      <w:r w:rsidR="00641F0A" w:rsidRPr="009B6417">
        <w:rPr>
          <w:rFonts w:ascii="Times New Roman" w:hAnsi="Times New Roman" w:cs="Times New Roman"/>
          <w:sz w:val="24"/>
          <w:szCs w:val="24"/>
        </w:rPr>
        <w:t>suar uljen progre</w:t>
      </w:r>
      <w:r w:rsidR="000C29C1" w:rsidRPr="009B6417">
        <w:rPr>
          <w:rFonts w:ascii="Times New Roman" w:hAnsi="Times New Roman" w:cs="Times New Roman"/>
          <w:sz w:val="24"/>
          <w:szCs w:val="24"/>
        </w:rPr>
        <w:t xml:space="preserve">sive të evazionit fiskal si dhe </w:t>
      </w:r>
      <w:r w:rsidR="00641F0A" w:rsidRPr="009B6417">
        <w:rPr>
          <w:rFonts w:ascii="Times New Roman" w:hAnsi="Times New Roman" w:cs="Times New Roman"/>
          <w:sz w:val="24"/>
          <w:szCs w:val="24"/>
        </w:rPr>
        <w:t>n</w:t>
      </w:r>
      <w:r w:rsidR="00B85EB6" w:rsidRPr="009B6417">
        <w:rPr>
          <w:rFonts w:ascii="Times New Roman" w:hAnsi="Times New Roman" w:cs="Times New Roman"/>
          <w:sz w:val="24"/>
          <w:szCs w:val="24"/>
        </w:rPr>
        <w:t>ë</w:t>
      </w:r>
      <w:r w:rsidR="00641F0A" w:rsidRPr="009B6417">
        <w:rPr>
          <w:rFonts w:ascii="Times New Roman" w:hAnsi="Times New Roman" w:cs="Times New Roman"/>
          <w:sz w:val="24"/>
          <w:szCs w:val="24"/>
        </w:rPr>
        <w:t>p</w:t>
      </w:r>
      <w:r w:rsidR="00B85EB6" w:rsidRPr="009B6417">
        <w:rPr>
          <w:rFonts w:ascii="Times New Roman" w:hAnsi="Times New Roman" w:cs="Times New Roman"/>
          <w:sz w:val="24"/>
          <w:szCs w:val="24"/>
        </w:rPr>
        <w:t>ë</w:t>
      </w:r>
      <w:r w:rsidR="00641F0A" w:rsidRPr="009B6417">
        <w:rPr>
          <w:rFonts w:ascii="Times New Roman" w:hAnsi="Times New Roman" w:cs="Times New Roman"/>
          <w:sz w:val="24"/>
          <w:szCs w:val="24"/>
        </w:rPr>
        <w:t>rmjet k</w:t>
      </w:r>
      <w:r w:rsidR="00B85EB6" w:rsidRPr="009B6417">
        <w:rPr>
          <w:rFonts w:ascii="Times New Roman" w:hAnsi="Times New Roman" w:cs="Times New Roman"/>
          <w:sz w:val="24"/>
          <w:szCs w:val="24"/>
        </w:rPr>
        <w:t>ë</w:t>
      </w:r>
      <w:r w:rsidR="00641F0A" w:rsidRPr="009B6417">
        <w:rPr>
          <w:rFonts w:ascii="Times New Roman" w:hAnsi="Times New Roman" w:cs="Times New Roman"/>
          <w:sz w:val="24"/>
          <w:szCs w:val="24"/>
        </w:rPr>
        <w:t>tij sh</w:t>
      </w:r>
      <w:r w:rsidR="00B85EB6" w:rsidRPr="009B6417">
        <w:rPr>
          <w:rFonts w:ascii="Times New Roman" w:hAnsi="Times New Roman" w:cs="Times New Roman"/>
          <w:sz w:val="24"/>
          <w:szCs w:val="24"/>
        </w:rPr>
        <w:t>ë</w:t>
      </w:r>
      <w:r w:rsidR="00641F0A" w:rsidRPr="009B6417">
        <w:rPr>
          <w:rFonts w:ascii="Times New Roman" w:hAnsi="Times New Roman" w:cs="Times New Roman"/>
          <w:sz w:val="24"/>
          <w:szCs w:val="24"/>
        </w:rPr>
        <w:t>rbimi jan</w:t>
      </w:r>
      <w:r w:rsidR="00B85EB6" w:rsidRPr="009B6417">
        <w:rPr>
          <w:rFonts w:ascii="Times New Roman" w:hAnsi="Times New Roman" w:cs="Times New Roman"/>
          <w:sz w:val="24"/>
          <w:szCs w:val="24"/>
        </w:rPr>
        <w:t>ë</w:t>
      </w:r>
      <w:r w:rsidR="00641F0A" w:rsidRPr="009B6417">
        <w:rPr>
          <w:rFonts w:ascii="Times New Roman" w:hAnsi="Times New Roman" w:cs="Times New Roman"/>
          <w:sz w:val="24"/>
          <w:szCs w:val="24"/>
        </w:rPr>
        <w:t xml:space="preserve"> evidentuar në kohë transportimi i</w:t>
      </w:r>
      <w:r w:rsidR="000C29C1" w:rsidRPr="009B6417">
        <w:rPr>
          <w:rFonts w:ascii="Times New Roman" w:hAnsi="Times New Roman" w:cs="Times New Roman"/>
          <w:sz w:val="24"/>
          <w:szCs w:val="24"/>
        </w:rPr>
        <w:t xml:space="preserve"> lëndëve dhe substancave të ndaluara me ligj (lëndë narkotike, mbetje radioaktive etj.)</w:t>
      </w:r>
      <w:r>
        <w:rPr>
          <w:rFonts w:ascii="Times New Roman" w:hAnsi="Times New Roman" w:cs="Times New Roman"/>
          <w:sz w:val="24"/>
          <w:szCs w:val="24"/>
        </w:rPr>
        <w:t>, si trafikimi i q</w:t>
      </w:r>
      <w:r w:rsidR="00AB3C00">
        <w:rPr>
          <w:rFonts w:ascii="Times New Roman" w:hAnsi="Times New Roman" w:cs="Times New Roman"/>
          <w:sz w:val="24"/>
          <w:szCs w:val="24"/>
        </w:rPr>
        <w:t>ë</w:t>
      </w:r>
      <w:r>
        <w:rPr>
          <w:rFonts w:ascii="Times New Roman" w:hAnsi="Times New Roman" w:cs="Times New Roman"/>
          <w:sz w:val="24"/>
          <w:szCs w:val="24"/>
        </w:rPr>
        <w:t>nieve njer</w:t>
      </w:r>
      <w:r w:rsidR="00AB3C00">
        <w:rPr>
          <w:rFonts w:ascii="Times New Roman" w:hAnsi="Times New Roman" w:cs="Times New Roman"/>
          <w:sz w:val="24"/>
          <w:szCs w:val="24"/>
        </w:rPr>
        <w:t>ë</w:t>
      </w:r>
      <w:r>
        <w:rPr>
          <w:rFonts w:ascii="Times New Roman" w:hAnsi="Times New Roman" w:cs="Times New Roman"/>
          <w:sz w:val="24"/>
          <w:szCs w:val="24"/>
        </w:rPr>
        <w:t>zore.</w:t>
      </w:r>
    </w:p>
    <w:p w14:paraId="648FF1B8" w14:textId="77777777" w:rsidR="00CA0640" w:rsidRPr="009B6417" w:rsidRDefault="00C920F9" w:rsidP="00052612">
      <w:pPr>
        <w:pStyle w:val="NoSpacing"/>
        <w:spacing w:line="276" w:lineRule="auto"/>
        <w:jc w:val="both"/>
        <w:rPr>
          <w:rFonts w:ascii="Times New Roman" w:hAnsi="Times New Roman" w:cs="Times New Roman"/>
          <w:sz w:val="24"/>
          <w:szCs w:val="24"/>
        </w:rPr>
      </w:pPr>
      <w:r w:rsidRPr="009B6417">
        <w:rPr>
          <w:rFonts w:ascii="Times New Roman" w:hAnsi="Times New Roman" w:cs="Times New Roman"/>
          <w:sz w:val="24"/>
          <w:szCs w:val="24"/>
          <w:lang w:val="sq-AL"/>
        </w:rPr>
        <w:t>Meqënëse kjo kontratë koncesionare/PPP është me mbështetje buxhetore, në tabelën 1</w:t>
      </w:r>
      <w:r w:rsidR="006B6D4D">
        <w:rPr>
          <w:rFonts w:ascii="Times New Roman" w:hAnsi="Times New Roman" w:cs="Times New Roman"/>
          <w:sz w:val="24"/>
          <w:szCs w:val="24"/>
          <w:lang w:val="sq-AL"/>
        </w:rPr>
        <w:t>8</w:t>
      </w:r>
      <w:r w:rsidRPr="009B6417">
        <w:rPr>
          <w:rFonts w:ascii="Times New Roman" w:hAnsi="Times New Roman" w:cs="Times New Roman"/>
          <w:sz w:val="24"/>
          <w:szCs w:val="24"/>
          <w:lang w:val="sq-AL"/>
        </w:rPr>
        <w:t xml:space="preserve"> janë dhënë vlerat e pagesave nga buxheti i</w:t>
      </w:r>
      <w:r w:rsidR="001251B6">
        <w:rPr>
          <w:rFonts w:ascii="Times New Roman" w:hAnsi="Times New Roman" w:cs="Times New Roman"/>
          <w:sz w:val="24"/>
          <w:szCs w:val="24"/>
          <w:lang w:val="sq-AL"/>
        </w:rPr>
        <w:t xml:space="preserve"> shtetit të realizuara për vitet</w:t>
      </w:r>
      <w:r w:rsidRPr="009B6417">
        <w:rPr>
          <w:rFonts w:ascii="Times New Roman" w:hAnsi="Times New Roman" w:cs="Times New Roman"/>
          <w:sz w:val="24"/>
          <w:szCs w:val="24"/>
          <w:lang w:val="sq-AL"/>
        </w:rPr>
        <w:t xml:space="preserve"> 2018</w:t>
      </w:r>
      <w:r w:rsidR="001251B6">
        <w:rPr>
          <w:rFonts w:ascii="Times New Roman" w:hAnsi="Times New Roman" w:cs="Times New Roman"/>
          <w:sz w:val="24"/>
          <w:szCs w:val="24"/>
          <w:lang w:val="sq-AL"/>
        </w:rPr>
        <w:t>-2019</w:t>
      </w:r>
      <w:r w:rsidRPr="009B6417">
        <w:rPr>
          <w:rFonts w:ascii="Times New Roman" w:hAnsi="Times New Roman" w:cs="Times New Roman"/>
          <w:sz w:val="24"/>
          <w:szCs w:val="24"/>
          <w:lang w:val="sq-AL"/>
        </w:rPr>
        <w:t xml:space="preserve"> dhe të planifi</w:t>
      </w:r>
      <w:r w:rsidR="00F1794A">
        <w:rPr>
          <w:rFonts w:ascii="Times New Roman" w:hAnsi="Times New Roman" w:cs="Times New Roman"/>
          <w:sz w:val="24"/>
          <w:szCs w:val="24"/>
          <w:lang w:val="sq-AL"/>
        </w:rPr>
        <w:t xml:space="preserve">kuara për vitet </w:t>
      </w:r>
      <w:r w:rsidR="001251B6">
        <w:rPr>
          <w:rFonts w:ascii="Times New Roman" w:hAnsi="Times New Roman" w:cs="Times New Roman"/>
          <w:sz w:val="24"/>
          <w:szCs w:val="24"/>
          <w:lang w:val="sq-AL"/>
        </w:rPr>
        <w:t>2020-2021</w:t>
      </w:r>
      <w:r w:rsidR="00F1794A">
        <w:rPr>
          <w:rFonts w:ascii="Times New Roman" w:hAnsi="Times New Roman" w:cs="Times New Roman"/>
          <w:sz w:val="24"/>
          <w:szCs w:val="24"/>
          <w:lang w:val="sq-AL"/>
        </w:rPr>
        <w:t xml:space="preserve"> Për vitin</w:t>
      </w:r>
      <w:r w:rsidRPr="009B6417">
        <w:rPr>
          <w:rFonts w:ascii="Times New Roman" w:hAnsi="Times New Roman" w:cs="Times New Roman"/>
          <w:sz w:val="24"/>
          <w:szCs w:val="24"/>
          <w:lang w:val="sq-AL"/>
        </w:rPr>
        <w:t xml:space="preserve"> 2019 financimi nga buxheti i shtetit ka qënë në vlerën </w:t>
      </w:r>
      <w:r w:rsidR="00885923" w:rsidRPr="009B6417">
        <w:rPr>
          <w:rFonts w:ascii="Times New Roman" w:hAnsi="Times New Roman" w:cs="Times New Roman"/>
          <w:sz w:val="24"/>
          <w:szCs w:val="24"/>
        </w:rPr>
        <w:t xml:space="preserve">rreth </w:t>
      </w:r>
      <w:r w:rsidR="00855399" w:rsidRPr="009B6417">
        <w:rPr>
          <w:rFonts w:ascii="Times New Roman" w:hAnsi="Times New Roman" w:cs="Times New Roman"/>
          <w:sz w:val="24"/>
          <w:szCs w:val="24"/>
        </w:rPr>
        <w:t>1</w:t>
      </w:r>
      <w:r w:rsidR="00F1794A">
        <w:rPr>
          <w:rFonts w:ascii="Times New Roman" w:hAnsi="Times New Roman" w:cs="Times New Roman"/>
          <w:sz w:val="24"/>
          <w:szCs w:val="24"/>
        </w:rPr>
        <w:t>,5</w:t>
      </w:r>
      <w:r w:rsidR="00855399" w:rsidRPr="009B6417">
        <w:rPr>
          <w:rFonts w:ascii="Times New Roman" w:hAnsi="Times New Roman" w:cs="Times New Roman"/>
          <w:sz w:val="24"/>
          <w:szCs w:val="24"/>
        </w:rPr>
        <w:t xml:space="preserve"> miliardë </w:t>
      </w:r>
      <w:r w:rsidR="00F1794A">
        <w:rPr>
          <w:rFonts w:ascii="Times New Roman" w:hAnsi="Times New Roman" w:cs="Times New Roman"/>
          <w:sz w:val="24"/>
          <w:szCs w:val="24"/>
        </w:rPr>
        <w:t xml:space="preserve">lekë, </w:t>
      </w:r>
      <w:r w:rsidR="00885923" w:rsidRPr="009B6417">
        <w:rPr>
          <w:rFonts w:ascii="Times New Roman" w:hAnsi="Times New Roman" w:cs="Times New Roman"/>
          <w:sz w:val="24"/>
          <w:szCs w:val="24"/>
        </w:rPr>
        <w:t xml:space="preserve">duke rezultuar me një realizim prej </w:t>
      </w:r>
      <w:r w:rsidR="00F1794A">
        <w:rPr>
          <w:rFonts w:ascii="Times New Roman" w:hAnsi="Times New Roman" w:cs="Times New Roman"/>
          <w:sz w:val="24"/>
          <w:szCs w:val="24"/>
        </w:rPr>
        <w:t>99.8</w:t>
      </w:r>
      <w:r w:rsidR="00885923" w:rsidRPr="009B6417">
        <w:rPr>
          <w:rFonts w:ascii="Times New Roman" w:hAnsi="Times New Roman" w:cs="Times New Roman"/>
          <w:sz w:val="24"/>
          <w:szCs w:val="24"/>
        </w:rPr>
        <w:t xml:space="preserve"> </w:t>
      </w:r>
      <w:r w:rsidR="00CC5C49" w:rsidRPr="009B6417">
        <w:rPr>
          <w:rFonts w:ascii="Times New Roman" w:hAnsi="Times New Roman" w:cs="Times New Roman"/>
          <w:sz w:val="24"/>
          <w:szCs w:val="24"/>
        </w:rPr>
        <w:t>përqind</w:t>
      </w:r>
      <w:r w:rsidR="00885923" w:rsidRPr="009B6417">
        <w:rPr>
          <w:rFonts w:ascii="Times New Roman" w:hAnsi="Times New Roman" w:cs="Times New Roman"/>
          <w:sz w:val="24"/>
          <w:szCs w:val="24"/>
        </w:rPr>
        <w:t xml:space="preserve"> të planit vjetor.</w:t>
      </w:r>
    </w:p>
    <w:p w14:paraId="0138FDA8" w14:textId="77777777" w:rsidR="00C920F9" w:rsidRPr="00C71666" w:rsidRDefault="0052775C" w:rsidP="006B6D4D">
      <w:pPr>
        <w:pStyle w:val="Caption"/>
      </w:pPr>
      <w:bookmarkStart w:id="101" w:name="_Toc40422401"/>
      <w:r w:rsidRPr="00C71666">
        <w:t xml:space="preserve">Tabela </w:t>
      </w:r>
      <w:r w:rsidR="00E54EC8" w:rsidRPr="00C71666">
        <w:fldChar w:fldCharType="begin"/>
      </w:r>
      <w:r w:rsidR="00815B1B" w:rsidRPr="00C71666">
        <w:instrText xml:space="preserve"> SEQ Tabela \* ARABIC </w:instrText>
      </w:r>
      <w:r w:rsidR="00E54EC8" w:rsidRPr="00C71666">
        <w:fldChar w:fldCharType="separate"/>
      </w:r>
      <w:r w:rsidR="00F20848">
        <w:rPr>
          <w:noProof/>
        </w:rPr>
        <w:t>18</w:t>
      </w:r>
      <w:r w:rsidR="00E54EC8" w:rsidRPr="00C71666">
        <w:rPr>
          <w:noProof/>
        </w:rPr>
        <w:fldChar w:fldCharType="end"/>
      </w:r>
      <w:r w:rsidR="00097410" w:rsidRPr="00C71666">
        <w:t>:</w:t>
      </w:r>
      <w:r w:rsidR="00C920F9" w:rsidRPr="00C71666">
        <w:t xml:space="preserve"> Pagesat buxhetore për projektin “</w:t>
      </w:r>
      <w:r w:rsidR="00641F0A" w:rsidRPr="00C71666">
        <w:t>Skanimi i Doganave</w:t>
      </w:r>
      <w:r w:rsidR="00C920F9" w:rsidRPr="00C71666">
        <w:t>”</w:t>
      </w:r>
      <w:bookmarkEnd w:id="101"/>
    </w:p>
    <w:tbl>
      <w:tblPr>
        <w:tblStyle w:val="PlainTable1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98"/>
        <w:gridCol w:w="1053"/>
        <w:gridCol w:w="1307"/>
        <w:gridCol w:w="1260"/>
        <w:gridCol w:w="1350"/>
        <w:gridCol w:w="1710"/>
        <w:gridCol w:w="1818"/>
      </w:tblGrid>
      <w:tr w:rsidR="00885923" w:rsidRPr="003C2F4F" w14:paraId="1AFE58F3" w14:textId="77777777" w:rsidTr="004F7100">
        <w:trPr>
          <w:cnfStyle w:val="100000000000" w:firstRow="1" w:lastRow="0" w:firstColumn="0" w:lastColumn="0" w:oddVBand="0" w:evenVBand="0" w:oddHBand="0" w:evenHBand="0" w:firstRowFirstColumn="0" w:firstRowLastColumn="0" w:lastRowFirstColumn="0" w:lastRowLastColumn="0"/>
          <w:trHeight w:hRule="exact" w:val="288"/>
        </w:trPr>
        <w:tc>
          <w:tcPr>
            <w:tcW w:w="1798" w:type="dxa"/>
            <w:vMerge w:val="restart"/>
            <w:shd w:val="clear" w:color="auto" w:fill="DDD9C3" w:themeFill="background2" w:themeFillShade="E6"/>
            <w:hideMark/>
          </w:tcPr>
          <w:p w14:paraId="0267D965" w14:textId="77777777" w:rsidR="00885923" w:rsidRPr="003C2F4F" w:rsidRDefault="00885923" w:rsidP="00C45E74">
            <w:pPr>
              <w:pStyle w:val="NoSpacing"/>
              <w:spacing w:line="276" w:lineRule="auto"/>
              <w:jc w:val="both"/>
              <w:rPr>
                <w:rFonts w:ascii="Times New Roman" w:hAnsi="Times New Roman" w:cs="Times New Roman"/>
                <w:i/>
                <w:sz w:val="20"/>
                <w:szCs w:val="24"/>
                <w:lang w:val="sq-AL"/>
              </w:rPr>
            </w:pPr>
            <w:r w:rsidRPr="003C2F4F">
              <w:rPr>
                <w:rFonts w:ascii="Times New Roman" w:hAnsi="Times New Roman" w:cs="Times New Roman"/>
                <w:i/>
                <w:sz w:val="20"/>
                <w:szCs w:val="24"/>
                <w:lang w:val="sq-AL"/>
              </w:rPr>
              <w:t>Viti</w:t>
            </w:r>
          </w:p>
        </w:tc>
        <w:tc>
          <w:tcPr>
            <w:tcW w:w="2360" w:type="dxa"/>
            <w:gridSpan w:val="2"/>
            <w:shd w:val="clear" w:color="auto" w:fill="DDD9C3" w:themeFill="background2" w:themeFillShade="E6"/>
            <w:hideMark/>
          </w:tcPr>
          <w:p w14:paraId="650BB67B" w14:textId="77777777" w:rsidR="00885923" w:rsidRPr="003C2F4F" w:rsidRDefault="00885923" w:rsidP="00885923">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2018</w:t>
            </w:r>
          </w:p>
        </w:tc>
        <w:tc>
          <w:tcPr>
            <w:tcW w:w="2610" w:type="dxa"/>
            <w:gridSpan w:val="2"/>
            <w:shd w:val="clear" w:color="auto" w:fill="DDD9C3" w:themeFill="background2" w:themeFillShade="E6"/>
            <w:hideMark/>
          </w:tcPr>
          <w:p w14:paraId="0D647A44" w14:textId="77777777" w:rsidR="00885923" w:rsidRPr="003C2F4F" w:rsidRDefault="00885923" w:rsidP="00885923">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2019</w:t>
            </w:r>
          </w:p>
        </w:tc>
        <w:tc>
          <w:tcPr>
            <w:tcW w:w="1710" w:type="dxa"/>
            <w:shd w:val="clear" w:color="auto" w:fill="DDD9C3" w:themeFill="background2" w:themeFillShade="E6"/>
            <w:hideMark/>
          </w:tcPr>
          <w:p w14:paraId="62B34B4F" w14:textId="77777777" w:rsidR="00885923" w:rsidRPr="003C2F4F" w:rsidRDefault="00885923" w:rsidP="00885923">
            <w:pPr>
              <w:pStyle w:val="NoSpacing"/>
              <w:spacing w:line="276" w:lineRule="auto"/>
              <w:rPr>
                <w:rFonts w:ascii="Times New Roman" w:hAnsi="Times New Roman" w:cs="Times New Roman"/>
                <w:i/>
                <w:sz w:val="20"/>
                <w:szCs w:val="24"/>
                <w:lang w:val="sq-AL"/>
              </w:rPr>
            </w:pPr>
            <w:r w:rsidRPr="003C2F4F">
              <w:rPr>
                <w:rFonts w:ascii="Times New Roman" w:hAnsi="Times New Roman" w:cs="Times New Roman"/>
                <w:i/>
                <w:sz w:val="20"/>
                <w:szCs w:val="24"/>
                <w:lang w:val="sq-AL"/>
              </w:rPr>
              <w:t>2020</w:t>
            </w:r>
          </w:p>
          <w:p w14:paraId="135CEFEA" w14:textId="77777777" w:rsidR="00885923" w:rsidRPr="003C2F4F" w:rsidRDefault="00885923" w:rsidP="00885923">
            <w:pPr>
              <w:pStyle w:val="NoSpacing"/>
              <w:spacing w:line="276" w:lineRule="auto"/>
              <w:rPr>
                <w:rFonts w:ascii="Times New Roman" w:hAnsi="Times New Roman" w:cs="Times New Roman"/>
                <w:i/>
                <w:sz w:val="20"/>
                <w:szCs w:val="24"/>
                <w:lang w:val="sq-AL"/>
              </w:rPr>
            </w:pPr>
          </w:p>
          <w:p w14:paraId="6F6CB228" w14:textId="77777777" w:rsidR="00885923" w:rsidRPr="003C2F4F" w:rsidRDefault="00885923" w:rsidP="00885923">
            <w:pPr>
              <w:pStyle w:val="NoSpacing"/>
              <w:spacing w:line="276" w:lineRule="auto"/>
              <w:jc w:val="center"/>
              <w:rPr>
                <w:rFonts w:ascii="Times New Roman" w:hAnsi="Times New Roman" w:cs="Times New Roman"/>
                <w:i/>
                <w:sz w:val="20"/>
                <w:szCs w:val="24"/>
                <w:lang w:val="sq-AL"/>
              </w:rPr>
            </w:pPr>
          </w:p>
        </w:tc>
        <w:tc>
          <w:tcPr>
            <w:tcW w:w="1818" w:type="dxa"/>
            <w:shd w:val="clear" w:color="auto" w:fill="DDD9C3" w:themeFill="background2" w:themeFillShade="E6"/>
            <w:hideMark/>
          </w:tcPr>
          <w:p w14:paraId="37FB93AE" w14:textId="77777777" w:rsidR="00885923" w:rsidRPr="003C2F4F" w:rsidRDefault="00885923" w:rsidP="00885923">
            <w:pPr>
              <w:pStyle w:val="NoSpacing"/>
              <w:spacing w:line="276" w:lineRule="auto"/>
              <w:jc w:val="center"/>
              <w:rPr>
                <w:rFonts w:ascii="Times New Roman" w:hAnsi="Times New Roman" w:cs="Times New Roman"/>
                <w:i/>
                <w:sz w:val="20"/>
                <w:szCs w:val="24"/>
                <w:lang w:val="sq-AL"/>
              </w:rPr>
            </w:pPr>
            <w:r w:rsidRPr="003C2F4F">
              <w:rPr>
                <w:rFonts w:ascii="Times New Roman" w:hAnsi="Times New Roman" w:cs="Times New Roman"/>
                <w:i/>
                <w:sz w:val="20"/>
                <w:szCs w:val="24"/>
                <w:lang w:val="sq-AL"/>
              </w:rPr>
              <w:t>2021</w:t>
            </w:r>
          </w:p>
          <w:p w14:paraId="495D4A75" w14:textId="77777777" w:rsidR="00885923" w:rsidRPr="003C2F4F" w:rsidRDefault="00885923" w:rsidP="00885923">
            <w:pPr>
              <w:pStyle w:val="NoSpacing"/>
              <w:spacing w:line="276" w:lineRule="auto"/>
              <w:jc w:val="center"/>
              <w:rPr>
                <w:rFonts w:ascii="Times New Roman" w:hAnsi="Times New Roman" w:cs="Times New Roman"/>
                <w:i/>
                <w:sz w:val="20"/>
                <w:szCs w:val="24"/>
                <w:lang w:val="sq-AL"/>
              </w:rPr>
            </w:pPr>
          </w:p>
        </w:tc>
      </w:tr>
      <w:tr w:rsidR="00885923" w:rsidRPr="003C2F4F" w14:paraId="3F4A3CB9" w14:textId="77777777" w:rsidTr="004F7100">
        <w:trPr>
          <w:cnfStyle w:val="000000100000" w:firstRow="0" w:lastRow="0" w:firstColumn="0" w:lastColumn="0" w:oddVBand="0" w:evenVBand="0" w:oddHBand="1" w:evenHBand="0" w:firstRowFirstColumn="0" w:firstRowLastColumn="0" w:lastRowFirstColumn="0" w:lastRowLastColumn="0"/>
          <w:trHeight w:hRule="exact" w:val="288"/>
        </w:trPr>
        <w:tc>
          <w:tcPr>
            <w:tcW w:w="1798" w:type="dxa"/>
            <w:vMerge/>
            <w:shd w:val="clear" w:color="auto" w:fill="DDD9C3" w:themeFill="background2" w:themeFillShade="E6"/>
          </w:tcPr>
          <w:p w14:paraId="2AA73214" w14:textId="77777777" w:rsidR="00885923" w:rsidRPr="003C2F4F" w:rsidRDefault="00885923" w:rsidP="00C45E74">
            <w:pPr>
              <w:pStyle w:val="NoSpacing"/>
              <w:spacing w:line="276" w:lineRule="auto"/>
              <w:jc w:val="both"/>
              <w:rPr>
                <w:rFonts w:ascii="Times New Roman" w:hAnsi="Times New Roman" w:cs="Times New Roman"/>
                <w:i/>
                <w:sz w:val="20"/>
                <w:szCs w:val="24"/>
                <w:lang w:val="sq-AL"/>
              </w:rPr>
            </w:pPr>
          </w:p>
        </w:tc>
        <w:tc>
          <w:tcPr>
            <w:tcW w:w="1053" w:type="dxa"/>
            <w:shd w:val="clear" w:color="auto" w:fill="DDD9C3" w:themeFill="background2" w:themeFillShade="E6"/>
          </w:tcPr>
          <w:p w14:paraId="6B38EDE6" w14:textId="77777777" w:rsidR="00885923" w:rsidRPr="003C2F4F" w:rsidRDefault="00885923" w:rsidP="00885923">
            <w:pPr>
              <w:pStyle w:val="NoSpacing"/>
              <w:spacing w:line="276" w:lineRule="auto"/>
              <w:jc w:val="both"/>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Plan</w:t>
            </w:r>
          </w:p>
        </w:tc>
        <w:tc>
          <w:tcPr>
            <w:tcW w:w="1307" w:type="dxa"/>
            <w:shd w:val="clear" w:color="auto" w:fill="DDD9C3" w:themeFill="background2" w:themeFillShade="E6"/>
          </w:tcPr>
          <w:p w14:paraId="020B7915" w14:textId="77777777" w:rsidR="00885923" w:rsidRPr="003C2F4F" w:rsidRDefault="00885923" w:rsidP="00885923">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Fakt</w:t>
            </w:r>
          </w:p>
        </w:tc>
        <w:tc>
          <w:tcPr>
            <w:tcW w:w="1260" w:type="dxa"/>
            <w:shd w:val="clear" w:color="auto" w:fill="DDD9C3" w:themeFill="background2" w:themeFillShade="E6"/>
          </w:tcPr>
          <w:p w14:paraId="0D30DD18" w14:textId="77777777" w:rsidR="00885923" w:rsidRPr="003C2F4F" w:rsidRDefault="00885923" w:rsidP="00885923">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Plan</w:t>
            </w:r>
          </w:p>
        </w:tc>
        <w:tc>
          <w:tcPr>
            <w:tcW w:w="1350" w:type="dxa"/>
            <w:shd w:val="clear" w:color="auto" w:fill="DDD9C3" w:themeFill="background2" w:themeFillShade="E6"/>
          </w:tcPr>
          <w:p w14:paraId="269E999F" w14:textId="77777777" w:rsidR="00885923" w:rsidRPr="003C2F4F" w:rsidRDefault="00855399" w:rsidP="00F1794A">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F</w:t>
            </w:r>
            <w:r w:rsidR="00D14EFB" w:rsidRPr="003C2F4F">
              <w:rPr>
                <w:rFonts w:ascii="Times New Roman" w:hAnsi="Times New Roman" w:cs="Times New Roman"/>
                <w:b/>
                <w:i/>
                <w:sz w:val="20"/>
                <w:szCs w:val="24"/>
                <w:lang w:val="sq-AL"/>
              </w:rPr>
              <w:t>akt</w:t>
            </w:r>
          </w:p>
        </w:tc>
        <w:tc>
          <w:tcPr>
            <w:tcW w:w="1710" w:type="dxa"/>
            <w:shd w:val="clear" w:color="auto" w:fill="DDD9C3" w:themeFill="background2" w:themeFillShade="E6"/>
          </w:tcPr>
          <w:p w14:paraId="2D782033" w14:textId="77777777" w:rsidR="00885923" w:rsidRPr="003C2F4F" w:rsidRDefault="00885923" w:rsidP="00885923">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Projektuar</w:t>
            </w:r>
          </w:p>
        </w:tc>
        <w:tc>
          <w:tcPr>
            <w:tcW w:w="1818" w:type="dxa"/>
            <w:shd w:val="clear" w:color="auto" w:fill="DDD9C3" w:themeFill="background2" w:themeFillShade="E6"/>
          </w:tcPr>
          <w:p w14:paraId="74781F00" w14:textId="77777777" w:rsidR="00885923" w:rsidRPr="003C2F4F" w:rsidRDefault="00885923" w:rsidP="00885923">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Projektuar</w:t>
            </w:r>
          </w:p>
        </w:tc>
      </w:tr>
      <w:tr w:rsidR="001C5C04" w:rsidRPr="003C2F4F" w14:paraId="02C085BF" w14:textId="77777777" w:rsidTr="00855399">
        <w:trPr>
          <w:trHeight w:hRule="exact" w:val="478"/>
        </w:trPr>
        <w:tc>
          <w:tcPr>
            <w:tcW w:w="1798" w:type="dxa"/>
            <w:shd w:val="clear" w:color="auto" w:fill="EEECE1" w:themeFill="background2"/>
            <w:hideMark/>
          </w:tcPr>
          <w:p w14:paraId="1E084EDD" w14:textId="77777777" w:rsidR="00885923" w:rsidRPr="003C2F4F" w:rsidRDefault="00885923" w:rsidP="00C45E74">
            <w:pPr>
              <w:pStyle w:val="NoSpacing"/>
              <w:spacing w:line="276" w:lineRule="auto"/>
              <w:jc w:val="both"/>
              <w:rPr>
                <w:rFonts w:ascii="Times New Roman" w:hAnsi="Times New Roman" w:cs="Times New Roman"/>
                <w:b/>
                <w:i/>
                <w:sz w:val="20"/>
                <w:szCs w:val="24"/>
                <w:lang w:val="sq-AL"/>
              </w:rPr>
            </w:pPr>
            <w:r w:rsidRPr="003C2F4F">
              <w:rPr>
                <w:rFonts w:ascii="Times New Roman" w:hAnsi="Times New Roman" w:cs="Times New Roman"/>
                <w:b/>
                <w:bCs/>
                <w:i/>
                <w:sz w:val="20"/>
                <w:szCs w:val="24"/>
                <w:lang w:val="sq-AL"/>
              </w:rPr>
              <w:t>Pagesat Buxhetore (në mijë lekë)</w:t>
            </w:r>
          </w:p>
        </w:tc>
        <w:tc>
          <w:tcPr>
            <w:tcW w:w="1053" w:type="dxa"/>
            <w:shd w:val="clear" w:color="auto" w:fill="EEECE1" w:themeFill="background2"/>
            <w:vAlign w:val="center"/>
            <w:hideMark/>
          </w:tcPr>
          <w:p w14:paraId="3FC63CF7" w14:textId="77777777" w:rsidR="00885923" w:rsidRPr="003C2F4F" w:rsidRDefault="00885923" w:rsidP="00855399">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1,525,580</w:t>
            </w:r>
          </w:p>
        </w:tc>
        <w:tc>
          <w:tcPr>
            <w:tcW w:w="1307" w:type="dxa"/>
            <w:shd w:val="clear" w:color="auto" w:fill="EEECE1" w:themeFill="background2"/>
            <w:vAlign w:val="center"/>
          </w:tcPr>
          <w:p w14:paraId="331DB0EA" w14:textId="77777777" w:rsidR="00885923" w:rsidRPr="003C2F4F" w:rsidRDefault="00885923" w:rsidP="00855399">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1,525,579</w:t>
            </w:r>
          </w:p>
        </w:tc>
        <w:tc>
          <w:tcPr>
            <w:tcW w:w="1260" w:type="dxa"/>
            <w:shd w:val="clear" w:color="auto" w:fill="EEECE1" w:themeFill="background2"/>
            <w:vAlign w:val="center"/>
            <w:hideMark/>
          </w:tcPr>
          <w:p w14:paraId="1518CB0A" w14:textId="31045E64" w:rsidR="00885923" w:rsidRPr="003C2F4F" w:rsidRDefault="00C71666" w:rsidP="00E83B73">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1,5</w:t>
            </w:r>
            <w:r w:rsidR="00F1794A">
              <w:rPr>
                <w:rFonts w:ascii="Times New Roman" w:hAnsi="Times New Roman" w:cs="Times New Roman"/>
                <w:b/>
                <w:i/>
                <w:sz w:val="20"/>
                <w:szCs w:val="24"/>
                <w:lang w:val="sq-AL"/>
              </w:rPr>
              <w:t>12,57</w:t>
            </w:r>
            <w:r w:rsidR="00E83B73">
              <w:rPr>
                <w:rFonts w:ascii="Times New Roman" w:hAnsi="Times New Roman" w:cs="Times New Roman"/>
                <w:b/>
                <w:i/>
                <w:sz w:val="20"/>
                <w:szCs w:val="24"/>
                <w:lang w:val="sq-AL"/>
              </w:rPr>
              <w:t>1</w:t>
            </w:r>
          </w:p>
        </w:tc>
        <w:tc>
          <w:tcPr>
            <w:tcW w:w="1350" w:type="dxa"/>
            <w:shd w:val="clear" w:color="auto" w:fill="EEECE1" w:themeFill="background2"/>
            <w:vAlign w:val="center"/>
          </w:tcPr>
          <w:p w14:paraId="733203CA" w14:textId="77777777" w:rsidR="00885923" w:rsidRPr="003C2F4F" w:rsidRDefault="00855399" w:rsidP="00F1794A">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1,</w:t>
            </w:r>
            <w:r w:rsidR="00F1794A">
              <w:rPr>
                <w:rFonts w:ascii="Times New Roman" w:hAnsi="Times New Roman" w:cs="Times New Roman"/>
                <w:b/>
                <w:i/>
                <w:sz w:val="20"/>
                <w:szCs w:val="24"/>
                <w:lang w:val="sq-AL"/>
              </w:rPr>
              <w:t>509,659</w:t>
            </w:r>
          </w:p>
        </w:tc>
        <w:tc>
          <w:tcPr>
            <w:tcW w:w="1710" w:type="dxa"/>
            <w:shd w:val="clear" w:color="auto" w:fill="EEECE1" w:themeFill="background2"/>
            <w:vAlign w:val="center"/>
            <w:hideMark/>
          </w:tcPr>
          <w:p w14:paraId="60C84F52" w14:textId="77777777" w:rsidR="00885923" w:rsidRPr="003C2F4F" w:rsidRDefault="005604A0" w:rsidP="00855399">
            <w:pPr>
              <w:pStyle w:val="NoSpacing"/>
              <w:spacing w:line="276" w:lineRule="auto"/>
              <w:jc w:val="center"/>
              <w:rPr>
                <w:rFonts w:ascii="Times New Roman" w:hAnsi="Times New Roman" w:cs="Times New Roman"/>
                <w:b/>
                <w:i/>
                <w:sz w:val="20"/>
                <w:szCs w:val="24"/>
                <w:lang w:val="sq-AL"/>
              </w:rPr>
            </w:pPr>
            <w:r>
              <w:rPr>
                <w:rFonts w:ascii="Times New Roman" w:hAnsi="Times New Roman" w:cs="Times New Roman"/>
                <w:b/>
                <w:i/>
                <w:sz w:val="20"/>
                <w:szCs w:val="24"/>
                <w:lang w:val="sq-AL"/>
              </w:rPr>
              <w:t>1,540,896</w:t>
            </w:r>
          </w:p>
        </w:tc>
        <w:tc>
          <w:tcPr>
            <w:tcW w:w="1818" w:type="dxa"/>
            <w:shd w:val="clear" w:color="auto" w:fill="EEECE1" w:themeFill="background2"/>
            <w:vAlign w:val="center"/>
            <w:hideMark/>
          </w:tcPr>
          <w:p w14:paraId="7F97EF33" w14:textId="77777777" w:rsidR="00885923" w:rsidRPr="003C2F4F" w:rsidRDefault="001C5C04" w:rsidP="005604A0">
            <w:pPr>
              <w:pStyle w:val="NoSpacing"/>
              <w:spacing w:line="276" w:lineRule="auto"/>
              <w:jc w:val="center"/>
              <w:rPr>
                <w:rFonts w:ascii="Times New Roman" w:hAnsi="Times New Roman" w:cs="Times New Roman"/>
                <w:b/>
                <w:i/>
                <w:sz w:val="20"/>
                <w:szCs w:val="24"/>
                <w:lang w:val="sq-AL"/>
              </w:rPr>
            </w:pPr>
            <w:r w:rsidRPr="003C2F4F">
              <w:rPr>
                <w:rFonts w:ascii="Times New Roman" w:hAnsi="Times New Roman" w:cs="Times New Roman"/>
                <w:b/>
                <w:i/>
                <w:sz w:val="20"/>
                <w:szCs w:val="24"/>
                <w:lang w:val="sq-AL"/>
              </w:rPr>
              <w:t>1,</w:t>
            </w:r>
            <w:r w:rsidR="005604A0">
              <w:rPr>
                <w:rFonts w:ascii="Times New Roman" w:hAnsi="Times New Roman" w:cs="Times New Roman"/>
                <w:b/>
                <w:i/>
                <w:sz w:val="20"/>
                <w:szCs w:val="24"/>
                <w:lang w:val="sq-AL"/>
              </w:rPr>
              <w:t>587,123</w:t>
            </w:r>
          </w:p>
        </w:tc>
      </w:tr>
    </w:tbl>
    <w:p w14:paraId="2ED79A93" w14:textId="77777777" w:rsidR="00AF7ACC" w:rsidRPr="00AF7ACC" w:rsidRDefault="00AF7ACC" w:rsidP="00AF7ACC">
      <w:pPr>
        <w:jc w:val="both"/>
        <w:rPr>
          <w:rFonts w:ascii="Times New Roman" w:hAnsi="Times New Roman" w:cs="Times New Roman"/>
          <w:sz w:val="6"/>
          <w:szCs w:val="24"/>
        </w:rPr>
      </w:pPr>
    </w:p>
    <w:p w14:paraId="2051B6FF" w14:textId="77777777" w:rsidR="00C920F9" w:rsidRPr="00AF7ACC" w:rsidRDefault="00885923" w:rsidP="00AF7ACC">
      <w:pPr>
        <w:jc w:val="both"/>
        <w:rPr>
          <w:rFonts w:ascii="Times New Roman" w:hAnsi="Times New Roman" w:cs="Times New Roman"/>
          <w:sz w:val="24"/>
          <w:szCs w:val="24"/>
          <w:lang w:val="en-US"/>
        </w:rPr>
      </w:pPr>
      <w:r w:rsidRPr="00AF7ACC">
        <w:rPr>
          <w:rFonts w:ascii="Times New Roman" w:hAnsi="Times New Roman" w:cs="Times New Roman"/>
          <w:sz w:val="24"/>
          <w:szCs w:val="24"/>
        </w:rPr>
        <w:t>Tregues performance për koncesionin e Skanimit në Dogana, është raportuar disponueshmëria e skanerit (</w:t>
      </w:r>
      <w:r w:rsidR="00940E5F" w:rsidRPr="00AF7ACC">
        <w:rPr>
          <w:rFonts w:ascii="Times New Roman" w:hAnsi="Times New Roman" w:cs="Times New Roman"/>
          <w:sz w:val="24"/>
          <w:szCs w:val="24"/>
        </w:rPr>
        <w:t>pra gatishm</w:t>
      </w:r>
      <w:r w:rsidR="00426D01" w:rsidRPr="00AF7ACC">
        <w:rPr>
          <w:rFonts w:ascii="Times New Roman" w:hAnsi="Times New Roman" w:cs="Times New Roman"/>
          <w:sz w:val="24"/>
          <w:szCs w:val="24"/>
        </w:rPr>
        <w:t>ë</w:t>
      </w:r>
      <w:r w:rsidR="00940E5F" w:rsidRPr="00AF7ACC">
        <w:rPr>
          <w:rFonts w:ascii="Times New Roman" w:hAnsi="Times New Roman" w:cs="Times New Roman"/>
          <w:sz w:val="24"/>
          <w:szCs w:val="24"/>
        </w:rPr>
        <w:t xml:space="preserve">ria </w:t>
      </w:r>
      <w:r w:rsidRPr="00AF7ACC">
        <w:rPr>
          <w:rFonts w:ascii="Times New Roman" w:hAnsi="Times New Roman" w:cs="Times New Roman"/>
          <w:sz w:val="24"/>
          <w:szCs w:val="24"/>
        </w:rPr>
        <w:t xml:space="preserve">për të matur nivelin e përmbushjes së shërbimit të ofruar). </w:t>
      </w:r>
      <w:r w:rsidR="00F1794A" w:rsidRPr="00AF7ACC">
        <w:rPr>
          <w:rFonts w:ascii="Times New Roman" w:hAnsi="Times New Roman" w:cs="Times New Roman"/>
          <w:sz w:val="24"/>
          <w:szCs w:val="24"/>
        </w:rPr>
        <w:t>Për vitin 2019 ky tre</w:t>
      </w:r>
      <w:r w:rsidR="001251B6" w:rsidRPr="00AF7ACC">
        <w:rPr>
          <w:rFonts w:ascii="Times New Roman" w:hAnsi="Times New Roman" w:cs="Times New Roman"/>
          <w:sz w:val="24"/>
          <w:szCs w:val="24"/>
        </w:rPr>
        <w:t>gues ka qënë mesatarisht 99.8%,</w:t>
      </w:r>
      <w:r w:rsidR="00F1794A" w:rsidRPr="00AF7ACC">
        <w:rPr>
          <w:rFonts w:ascii="Times New Roman" w:hAnsi="Times New Roman" w:cs="Times New Roman"/>
          <w:sz w:val="24"/>
          <w:szCs w:val="24"/>
        </w:rPr>
        <w:t xml:space="preserve"> në krahasim me 93.7% që ka qënë parashikuar për këtë vit. Kjo ka ardhur si rezultat i mirëmbajtjes dhe kryerjes së shërbimeve korrekte të pajisjeve.</w:t>
      </w:r>
      <w:r w:rsidR="001251B6" w:rsidRPr="00AF7ACC">
        <w:rPr>
          <w:rFonts w:ascii="Times New Roman" w:hAnsi="Times New Roman" w:cs="Times New Roman"/>
          <w:sz w:val="24"/>
          <w:szCs w:val="24"/>
        </w:rPr>
        <w:t xml:space="preserve"> Gjishashtu të gjitha pikat doganore kanë qënë subjekt i inspektimeve të Institutit të Shëndetit,  Zyra e Mbrojtjes nga Rrezatimet </w:t>
      </w:r>
      <w:r w:rsidR="00AF7ACC">
        <w:rPr>
          <w:rFonts w:ascii="Times New Roman" w:hAnsi="Times New Roman" w:cs="Times New Roman"/>
          <w:sz w:val="24"/>
          <w:szCs w:val="24"/>
        </w:rPr>
        <w:t>t</w:t>
      </w:r>
      <w:r w:rsidR="00AB3C00">
        <w:rPr>
          <w:rFonts w:ascii="Times New Roman" w:hAnsi="Times New Roman" w:cs="Times New Roman"/>
          <w:sz w:val="24"/>
          <w:szCs w:val="24"/>
        </w:rPr>
        <w:t>ë</w:t>
      </w:r>
      <w:r w:rsidR="00AF7ACC">
        <w:rPr>
          <w:rFonts w:ascii="Times New Roman" w:hAnsi="Times New Roman" w:cs="Times New Roman"/>
          <w:sz w:val="24"/>
          <w:szCs w:val="24"/>
        </w:rPr>
        <w:t xml:space="preserve"> cilat kan</w:t>
      </w:r>
      <w:r w:rsidR="00AB3C00">
        <w:rPr>
          <w:rFonts w:ascii="Times New Roman" w:hAnsi="Times New Roman" w:cs="Times New Roman"/>
          <w:sz w:val="24"/>
          <w:szCs w:val="24"/>
        </w:rPr>
        <w:t>ë</w:t>
      </w:r>
      <w:r w:rsidR="00AF7ACC">
        <w:rPr>
          <w:rFonts w:ascii="Times New Roman" w:hAnsi="Times New Roman" w:cs="Times New Roman"/>
          <w:sz w:val="24"/>
          <w:szCs w:val="24"/>
        </w:rPr>
        <w:t xml:space="preserve"> rezultuar n</w:t>
      </w:r>
      <w:r w:rsidR="00AB3C00">
        <w:rPr>
          <w:rFonts w:ascii="Times New Roman" w:hAnsi="Times New Roman" w:cs="Times New Roman"/>
          <w:sz w:val="24"/>
          <w:szCs w:val="24"/>
        </w:rPr>
        <w:t>ë</w:t>
      </w:r>
      <w:r w:rsidR="00AF7ACC">
        <w:rPr>
          <w:rFonts w:ascii="Times New Roman" w:hAnsi="Times New Roman" w:cs="Times New Roman"/>
          <w:sz w:val="24"/>
          <w:szCs w:val="24"/>
        </w:rPr>
        <w:t xml:space="preserve"> p</w:t>
      </w:r>
      <w:r w:rsidR="00AB3C00">
        <w:rPr>
          <w:rFonts w:ascii="Times New Roman" w:hAnsi="Times New Roman" w:cs="Times New Roman"/>
          <w:sz w:val="24"/>
          <w:szCs w:val="24"/>
        </w:rPr>
        <w:t>ë</w:t>
      </w:r>
      <w:r w:rsidR="00AF7ACC">
        <w:rPr>
          <w:rFonts w:ascii="Times New Roman" w:hAnsi="Times New Roman" w:cs="Times New Roman"/>
          <w:sz w:val="24"/>
          <w:szCs w:val="24"/>
        </w:rPr>
        <w:t xml:space="preserve">rfundimn se </w:t>
      </w:r>
      <w:r w:rsidR="00AF7ACC" w:rsidRPr="00AF7ACC">
        <w:rPr>
          <w:rFonts w:ascii="Times New Roman" w:hAnsi="Times New Roman" w:cs="Times New Roman"/>
          <w:sz w:val="24"/>
          <w:szCs w:val="24"/>
        </w:rPr>
        <w:t xml:space="preserve"> niveli i rrezatimit </w:t>
      </w:r>
      <w:r w:rsidR="00AB3C00">
        <w:rPr>
          <w:rFonts w:ascii="Times New Roman" w:hAnsi="Times New Roman" w:cs="Times New Roman"/>
          <w:sz w:val="24"/>
          <w:szCs w:val="24"/>
        </w:rPr>
        <w:t>ë</w:t>
      </w:r>
      <w:r w:rsidR="00AF7ACC">
        <w:rPr>
          <w:rFonts w:ascii="Times New Roman" w:hAnsi="Times New Roman" w:cs="Times New Roman"/>
          <w:sz w:val="24"/>
          <w:szCs w:val="24"/>
        </w:rPr>
        <w:t>sht</w:t>
      </w:r>
      <w:r w:rsidR="00AB3C00">
        <w:rPr>
          <w:rFonts w:ascii="Times New Roman" w:hAnsi="Times New Roman" w:cs="Times New Roman"/>
          <w:sz w:val="24"/>
          <w:szCs w:val="24"/>
        </w:rPr>
        <w:t>ë</w:t>
      </w:r>
      <w:r w:rsidR="00AF7ACC">
        <w:rPr>
          <w:rFonts w:ascii="Times New Roman" w:hAnsi="Times New Roman" w:cs="Times New Roman"/>
          <w:sz w:val="24"/>
          <w:szCs w:val="24"/>
        </w:rPr>
        <w:t xml:space="preserve"> </w:t>
      </w:r>
      <w:r w:rsidR="00AF7ACC" w:rsidRPr="00AF7ACC">
        <w:rPr>
          <w:rFonts w:ascii="Times New Roman" w:hAnsi="Times New Roman" w:cs="Times New Roman"/>
          <w:sz w:val="24"/>
          <w:szCs w:val="24"/>
        </w:rPr>
        <w:t>në parametrat e kërkuara sipas normave kombëtare dhe ndërkombëtare.</w:t>
      </w:r>
    </w:p>
    <w:p w14:paraId="79E62AF3" w14:textId="456FD44A" w:rsidR="002950CD" w:rsidRPr="009B6417" w:rsidRDefault="00114169" w:rsidP="00B079B1">
      <w:pPr>
        <w:spacing w:after="0"/>
        <w:jc w:val="both"/>
        <w:rPr>
          <w:rFonts w:ascii="Times New Roman" w:hAnsi="Times New Roman" w:cs="Times New Roman"/>
          <w:sz w:val="24"/>
          <w:szCs w:val="24"/>
        </w:rPr>
      </w:pPr>
      <w:r w:rsidRPr="009B6417">
        <w:rPr>
          <w:rFonts w:ascii="Times New Roman" w:hAnsi="Times New Roman" w:cs="Times New Roman"/>
          <w:sz w:val="24"/>
          <w:szCs w:val="24"/>
        </w:rPr>
        <w:t>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lidhje me numrin e kontenier</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ve q</w:t>
      </w:r>
      <w:r w:rsidR="00426D01" w:rsidRPr="009B6417">
        <w:rPr>
          <w:rFonts w:ascii="Times New Roman" w:hAnsi="Times New Roman" w:cs="Times New Roman"/>
          <w:sz w:val="24"/>
          <w:szCs w:val="24"/>
        </w:rPr>
        <w:t>ë</w:t>
      </w:r>
      <w:r w:rsidR="00AF7ACC">
        <w:rPr>
          <w:rFonts w:ascii="Times New Roman" w:hAnsi="Times New Roman" w:cs="Times New Roman"/>
          <w:sz w:val="24"/>
          <w:szCs w:val="24"/>
        </w:rPr>
        <w:t xml:space="preserve"> kan</w:t>
      </w:r>
      <w:r w:rsidR="00AB3C00">
        <w:rPr>
          <w:rFonts w:ascii="Times New Roman" w:hAnsi="Times New Roman" w:cs="Times New Roman"/>
          <w:sz w:val="24"/>
          <w:szCs w:val="24"/>
        </w:rPr>
        <w:t>ë</w:t>
      </w:r>
      <w:r w:rsidR="00AF7ACC">
        <w:rPr>
          <w:rFonts w:ascii="Times New Roman" w:hAnsi="Times New Roman" w:cs="Times New Roman"/>
          <w:sz w:val="24"/>
          <w:szCs w:val="24"/>
        </w:rPr>
        <w:t xml:space="preserve"> kaluar</w:t>
      </w:r>
      <w:r w:rsidRPr="009B6417">
        <w:rPr>
          <w:rFonts w:ascii="Times New Roman" w:hAnsi="Times New Roman" w:cs="Times New Roman"/>
          <w:sz w:val="24"/>
          <w:szCs w:val="24"/>
        </w:rPr>
        <w:t xml:space="preserve"> 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w:t>
      </w:r>
      <w:r w:rsidRPr="00AF7ACC">
        <w:rPr>
          <w:rFonts w:ascii="Times New Roman" w:hAnsi="Times New Roman" w:cs="Times New Roman"/>
          <w:sz w:val="24"/>
          <w:szCs w:val="24"/>
        </w:rPr>
        <w:t>dogan</w:t>
      </w:r>
      <w:r w:rsidR="00426D01" w:rsidRPr="00AF7ACC">
        <w:rPr>
          <w:rFonts w:ascii="Times New Roman" w:hAnsi="Times New Roman" w:cs="Times New Roman"/>
          <w:sz w:val="24"/>
          <w:szCs w:val="24"/>
        </w:rPr>
        <w:t>ë</w:t>
      </w:r>
      <w:r w:rsidR="00AF7ACC">
        <w:rPr>
          <w:rFonts w:ascii="Times New Roman" w:hAnsi="Times New Roman" w:cs="Times New Roman"/>
          <w:sz w:val="24"/>
          <w:szCs w:val="24"/>
        </w:rPr>
        <w:t xml:space="preserve"> (import, eksport, tranzit)</w:t>
      </w:r>
      <w:r w:rsidRPr="00AF7ACC">
        <w:rPr>
          <w:rFonts w:ascii="Times New Roman" w:hAnsi="Times New Roman" w:cs="Times New Roman"/>
          <w:sz w:val="24"/>
          <w:szCs w:val="24"/>
        </w:rPr>
        <w:t xml:space="preserve"> p</w:t>
      </w:r>
      <w:r w:rsidR="00426D01" w:rsidRPr="00AF7ACC">
        <w:rPr>
          <w:rFonts w:ascii="Times New Roman" w:hAnsi="Times New Roman" w:cs="Times New Roman"/>
          <w:sz w:val="24"/>
          <w:szCs w:val="24"/>
        </w:rPr>
        <w:t>ë</w:t>
      </w:r>
      <w:r w:rsidRPr="00AF7ACC">
        <w:rPr>
          <w:rFonts w:ascii="Times New Roman" w:hAnsi="Times New Roman" w:cs="Times New Roman"/>
          <w:sz w:val="24"/>
          <w:szCs w:val="24"/>
        </w:rPr>
        <w:t>r</w:t>
      </w:r>
      <w:r w:rsidR="0050333A" w:rsidRPr="00AF7ACC">
        <w:rPr>
          <w:rFonts w:ascii="Times New Roman" w:hAnsi="Times New Roman" w:cs="Times New Roman"/>
          <w:sz w:val="24"/>
          <w:szCs w:val="24"/>
        </w:rPr>
        <w:t xml:space="preserve"> </w:t>
      </w:r>
      <w:r w:rsidR="00AF7ACC" w:rsidRPr="00AF7ACC">
        <w:rPr>
          <w:rFonts w:ascii="Times New Roman" w:hAnsi="Times New Roman" w:cs="Times New Roman"/>
          <w:sz w:val="24"/>
          <w:szCs w:val="24"/>
        </w:rPr>
        <w:t xml:space="preserve">vitin </w:t>
      </w:r>
      <w:r w:rsidR="0050333A" w:rsidRPr="00AF7ACC">
        <w:rPr>
          <w:rFonts w:ascii="Times New Roman" w:hAnsi="Times New Roman" w:cs="Times New Roman"/>
          <w:sz w:val="24"/>
          <w:szCs w:val="24"/>
        </w:rPr>
        <w:t>2019 jan</w:t>
      </w:r>
      <w:r w:rsidR="00426D01" w:rsidRPr="00AF7ACC">
        <w:rPr>
          <w:rFonts w:ascii="Times New Roman" w:hAnsi="Times New Roman" w:cs="Times New Roman"/>
          <w:sz w:val="24"/>
          <w:szCs w:val="24"/>
        </w:rPr>
        <w:t>ë</w:t>
      </w:r>
      <w:r w:rsidR="0050333A" w:rsidRPr="00AF7ACC">
        <w:rPr>
          <w:rFonts w:ascii="Times New Roman" w:hAnsi="Times New Roman" w:cs="Times New Roman"/>
          <w:sz w:val="24"/>
          <w:szCs w:val="24"/>
        </w:rPr>
        <w:t xml:space="preserve"> sh</w:t>
      </w:r>
      <w:r w:rsidR="00426D01" w:rsidRPr="00AF7ACC">
        <w:rPr>
          <w:rFonts w:ascii="Times New Roman" w:hAnsi="Times New Roman" w:cs="Times New Roman"/>
          <w:sz w:val="24"/>
          <w:szCs w:val="24"/>
        </w:rPr>
        <w:t>ë</w:t>
      </w:r>
      <w:r w:rsidR="0050333A" w:rsidRPr="00AF7ACC">
        <w:rPr>
          <w:rFonts w:ascii="Times New Roman" w:hAnsi="Times New Roman" w:cs="Times New Roman"/>
          <w:sz w:val="24"/>
          <w:szCs w:val="24"/>
        </w:rPr>
        <w:t xml:space="preserve">nuar </w:t>
      </w:r>
      <w:r w:rsidR="00AF7ACC" w:rsidRPr="00064282">
        <w:rPr>
          <w:rFonts w:ascii="Times New Roman" w:hAnsi="Times New Roman" w:cs="Times New Roman"/>
          <w:sz w:val="24"/>
          <w:szCs w:val="24"/>
        </w:rPr>
        <w:t>50,013</w:t>
      </w:r>
      <w:r w:rsidR="0050333A" w:rsidRPr="00064282">
        <w:rPr>
          <w:rFonts w:ascii="Times New Roman" w:hAnsi="Times New Roman" w:cs="Times New Roman"/>
          <w:sz w:val="24"/>
          <w:szCs w:val="24"/>
        </w:rPr>
        <w:t xml:space="preserve"> t</w:t>
      </w:r>
      <w:r w:rsidR="00426D01" w:rsidRPr="00064282">
        <w:rPr>
          <w:rFonts w:ascii="Times New Roman" w:hAnsi="Times New Roman" w:cs="Times New Roman"/>
          <w:sz w:val="24"/>
          <w:szCs w:val="24"/>
        </w:rPr>
        <w:t>ë</w:t>
      </w:r>
      <w:r w:rsidR="0050333A" w:rsidRPr="00064282">
        <w:rPr>
          <w:rFonts w:ascii="Times New Roman" w:hAnsi="Times New Roman" w:cs="Times New Roman"/>
          <w:sz w:val="24"/>
          <w:szCs w:val="24"/>
        </w:rPr>
        <w:t xml:space="preserve"> till</w:t>
      </w:r>
      <w:r w:rsidR="00426D01" w:rsidRPr="00064282">
        <w:rPr>
          <w:rFonts w:ascii="Times New Roman" w:hAnsi="Times New Roman" w:cs="Times New Roman"/>
          <w:sz w:val="24"/>
          <w:szCs w:val="24"/>
        </w:rPr>
        <w:t>ë</w:t>
      </w:r>
      <w:r w:rsidR="0050333A" w:rsidRPr="00064282">
        <w:rPr>
          <w:rFonts w:ascii="Times New Roman" w:hAnsi="Times New Roman" w:cs="Times New Roman"/>
          <w:sz w:val="24"/>
          <w:szCs w:val="24"/>
        </w:rPr>
        <w:t>,</w:t>
      </w:r>
      <w:r w:rsidRPr="00064282">
        <w:rPr>
          <w:rFonts w:ascii="Times New Roman" w:hAnsi="Times New Roman" w:cs="Times New Roman"/>
          <w:sz w:val="24"/>
          <w:szCs w:val="24"/>
        </w:rPr>
        <w:t xml:space="preserve"> nd</w:t>
      </w:r>
      <w:r w:rsidR="00426D01" w:rsidRPr="00064282">
        <w:rPr>
          <w:rFonts w:ascii="Times New Roman" w:hAnsi="Times New Roman" w:cs="Times New Roman"/>
          <w:sz w:val="24"/>
          <w:szCs w:val="24"/>
        </w:rPr>
        <w:t>ë</w:t>
      </w:r>
      <w:r w:rsidRPr="00064282">
        <w:rPr>
          <w:rFonts w:ascii="Times New Roman" w:hAnsi="Times New Roman" w:cs="Times New Roman"/>
          <w:sz w:val="24"/>
          <w:szCs w:val="24"/>
        </w:rPr>
        <w:t xml:space="preserve">rsa numri </w:t>
      </w:r>
      <w:r w:rsidR="00064282" w:rsidRPr="00064282">
        <w:rPr>
          <w:rFonts w:ascii="Times New Roman" w:hAnsi="Times New Roman" w:cs="Times New Roman"/>
          <w:sz w:val="24"/>
          <w:szCs w:val="24"/>
        </w:rPr>
        <w:t xml:space="preserve">total i skanimeve për këtë vit ka qenë </w:t>
      </w:r>
      <w:r w:rsidR="00AF7ACC" w:rsidRPr="00064282">
        <w:rPr>
          <w:rFonts w:ascii="Times New Roman" w:hAnsi="Times New Roman" w:cs="Times New Roman"/>
          <w:sz w:val="24"/>
          <w:szCs w:val="24"/>
        </w:rPr>
        <w:t>266,665</w:t>
      </w:r>
      <w:r w:rsidR="000C3B95">
        <w:rPr>
          <w:rFonts w:ascii="Times New Roman" w:hAnsi="Times New Roman" w:cs="Times New Roman"/>
          <w:sz w:val="24"/>
          <w:szCs w:val="24"/>
        </w:rPr>
        <w:t xml:space="preserve"> </w:t>
      </w:r>
      <w:r w:rsidR="00064282" w:rsidRPr="00064282">
        <w:rPr>
          <w:rFonts w:ascii="Times New Roman" w:hAnsi="Times New Roman" w:cs="Times New Roman"/>
          <w:sz w:val="24"/>
          <w:szCs w:val="24"/>
        </w:rPr>
        <w:t>(k</w:t>
      </w:r>
      <w:r w:rsidR="000C3B95">
        <w:rPr>
          <w:rFonts w:ascii="Times New Roman" w:hAnsi="Times New Roman" w:cs="Times New Roman"/>
          <w:sz w:val="24"/>
          <w:szCs w:val="24"/>
        </w:rPr>
        <w:t>ë</w:t>
      </w:r>
      <w:r w:rsidR="00064282" w:rsidRPr="00064282">
        <w:rPr>
          <w:rFonts w:ascii="Times New Roman" w:hAnsi="Times New Roman" w:cs="Times New Roman"/>
          <w:sz w:val="24"/>
          <w:szCs w:val="24"/>
        </w:rPr>
        <w:t>tu përfshihen kontenierë, automjete, autobuzë etj)</w:t>
      </w:r>
      <w:r w:rsidRPr="00064282">
        <w:rPr>
          <w:rFonts w:ascii="Times New Roman" w:hAnsi="Times New Roman" w:cs="Times New Roman"/>
          <w:sz w:val="24"/>
          <w:szCs w:val="24"/>
        </w:rPr>
        <w:t>.</w:t>
      </w:r>
      <w:r w:rsidRPr="00AF7ACC">
        <w:rPr>
          <w:rFonts w:ascii="Times New Roman" w:hAnsi="Times New Roman" w:cs="Times New Roman"/>
          <w:sz w:val="24"/>
          <w:szCs w:val="24"/>
        </w:rPr>
        <w:t xml:space="preserve"> Referuar numrit t</w:t>
      </w:r>
      <w:r w:rsidR="00426D01" w:rsidRPr="00AF7ACC">
        <w:rPr>
          <w:rFonts w:ascii="Times New Roman" w:hAnsi="Times New Roman" w:cs="Times New Roman"/>
          <w:sz w:val="24"/>
          <w:szCs w:val="24"/>
        </w:rPr>
        <w:t>ë</w:t>
      </w:r>
      <w:r w:rsidRPr="00AF7ACC">
        <w:rPr>
          <w:rFonts w:ascii="Times New Roman" w:hAnsi="Times New Roman" w:cs="Times New Roman"/>
          <w:sz w:val="24"/>
          <w:szCs w:val="24"/>
        </w:rPr>
        <w:t xml:space="preserve"> kontenier</w:t>
      </w:r>
      <w:r w:rsidR="00426D01" w:rsidRPr="00AF7ACC">
        <w:rPr>
          <w:rFonts w:ascii="Times New Roman" w:hAnsi="Times New Roman" w:cs="Times New Roman"/>
          <w:sz w:val="24"/>
          <w:szCs w:val="24"/>
        </w:rPr>
        <w:t>ë</w:t>
      </w:r>
      <w:r w:rsidRPr="00AF7ACC">
        <w:rPr>
          <w:rFonts w:ascii="Times New Roman" w:hAnsi="Times New Roman" w:cs="Times New Roman"/>
          <w:sz w:val="24"/>
          <w:szCs w:val="24"/>
        </w:rPr>
        <w:t>ve q</w:t>
      </w:r>
      <w:r w:rsidR="00426D01" w:rsidRPr="00AF7ACC">
        <w:rPr>
          <w:rFonts w:ascii="Times New Roman" w:hAnsi="Times New Roman" w:cs="Times New Roman"/>
          <w:sz w:val="24"/>
          <w:szCs w:val="24"/>
        </w:rPr>
        <w:t>ë</w:t>
      </w:r>
      <w:r w:rsidRPr="00AF7ACC">
        <w:rPr>
          <w:rFonts w:ascii="Times New Roman" w:hAnsi="Times New Roman" w:cs="Times New Roman"/>
          <w:sz w:val="24"/>
          <w:szCs w:val="24"/>
        </w:rPr>
        <w:t xml:space="preserve"> skanohen n</w:t>
      </w:r>
      <w:r w:rsidR="00426D01" w:rsidRPr="00AF7ACC">
        <w:rPr>
          <w:rFonts w:ascii="Times New Roman" w:hAnsi="Times New Roman" w:cs="Times New Roman"/>
          <w:sz w:val="24"/>
          <w:szCs w:val="24"/>
        </w:rPr>
        <w:t>ë</w:t>
      </w:r>
      <w:r w:rsidRPr="00AF7ACC">
        <w:rPr>
          <w:rFonts w:ascii="Times New Roman" w:hAnsi="Times New Roman" w:cs="Times New Roman"/>
          <w:sz w:val="24"/>
          <w:szCs w:val="24"/>
        </w:rPr>
        <w:t xml:space="preserve"> doganat Kapshtic</w:t>
      </w:r>
      <w:r w:rsidR="00426D01" w:rsidRPr="00AF7ACC">
        <w:rPr>
          <w:rFonts w:ascii="Times New Roman" w:hAnsi="Times New Roman" w:cs="Times New Roman"/>
          <w:sz w:val="24"/>
          <w:szCs w:val="24"/>
        </w:rPr>
        <w:t>ë</w:t>
      </w:r>
      <w:r w:rsidRPr="00AF7ACC">
        <w:rPr>
          <w:rFonts w:ascii="Times New Roman" w:hAnsi="Times New Roman" w:cs="Times New Roman"/>
          <w:sz w:val="24"/>
          <w:szCs w:val="24"/>
        </w:rPr>
        <w:t>, Morin</w:t>
      </w:r>
      <w:r w:rsidR="00426D01" w:rsidRPr="00AF7ACC">
        <w:rPr>
          <w:rFonts w:ascii="Times New Roman" w:hAnsi="Times New Roman" w:cs="Times New Roman"/>
          <w:sz w:val="24"/>
          <w:szCs w:val="24"/>
        </w:rPr>
        <w:t>ë</w:t>
      </w:r>
      <w:r w:rsidRPr="00AF7ACC">
        <w:rPr>
          <w:rFonts w:ascii="Times New Roman" w:hAnsi="Times New Roman" w:cs="Times New Roman"/>
          <w:sz w:val="24"/>
          <w:szCs w:val="24"/>
        </w:rPr>
        <w:t>, Qaf</w:t>
      </w:r>
      <w:r w:rsidR="00426D01" w:rsidRPr="00AF7ACC">
        <w:rPr>
          <w:rFonts w:ascii="Times New Roman" w:hAnsi="Times New Roman" w:cs="Times New Roman"/>
          <w:sz w:val="24"/>
          <w:szCs w:val="24"/>
        </w:rPr>
        <w:t>ë</w:t>
      </w:r>
      <w:r w:rsidRPr="00AF7ACC">
        <w:rPr>
          <w:rFonts w:ascii="Times New Roman" w:hAnsi="Times New Roman" w:cs="Times New Roman"/>
          <w:sz w:val="24"/>
          <w:szCs w:val="24"/>
        </w:rPr>
        <w:t xml:space="preserve"> Than</w:t>
      </w:r>
      <w:r w:rsidR="00426D01" w:rsidRPr="00AF7ACC">
        <w:rPr>
          <w:rFonts w:ascii="Times New Roman" w:hAnsi="Times New Roman" w:cs="Times New Roman"/>
          <w:sz w:val="24"/>
          <w:szCs w:val="24"/>
        </w:rPr>
        <w:t>ë</w:t>
      </w:r>
      <w:r w:rsidRPr="00AF7ACC">
        <w:rPr>
          <w:rFonts w:ascii="Times New Roman" w:hAnsi="Times New Roman" w:cs="Times New Roman"/>
          <w:sz w:val="24"/>
          <w:szCs w:val="24"/>
        </w:rPr>
        <w:t xml:space="preserve"> dhe Kakavij</w:t>
      </w:r>
      <w:r w:rsidR="00426D01" w:rsidRPr="00AF7ACC">
        <w:rPr>
          <w:rFonts w:ascii="Times New Roman" w:hAnsi="Times New Roman" w:cs="Times New Roman"/>
          <w:sz w:val="24"/>
          <w:szCs w:val="24"/>
        </w:rPr>
        <w:t>ë</w:t>
      </w:r>
      <w:r w:rsidR="005617D6" w:rsidRPr="00AF7ACC">
        <w:rPr>
          <w:rFonts w:ascii="Times New Roman" w:hAnsi="Times New Roman" w:cs="Times New Roman"/>
          <w:sz w:val="24"/>
          <w:szCs w:val="24"/>
        </w:rPr>
        <w:t>,</w:t>
      </w:r>
      <w:r w:rsidRPr="00AF7ACC">
        <w:rPr>
          <w:rFonts w:ascii="Times New Roman" w:hAnsi="Times New Roman" w:cs="Times New Roman"/>
          <w:sz w:val="24"/>
          <w:szCs w:val="24"/>
        </w:rPr>
        <w:t xml:space="preserve"> skanohen t</w:t>
      </w:r>
      <w:r w:rsidR="00426D01" w:rsidRPr="00AF7ACC">
        <w:rPr>
          <w:rFonts w:ascii="Times New Roman" w:hAnsi="Times New Roman" w:cs="Times New Roman"/>
          <w:sz w:val="24"/>
          <w:szCs w:val="24"/>
        </w:rPr>
        <w:t>ë</w:t>
      </w:r>
      <w:r w:rsidRPr="00AF7ACC">
        <w:rPr>
          <w:rFonts w:ascii="Times New Roman" w:hAnsi="Times New Roman" w:cs="Times New Roman"/>
          <w:sz w:val="24"/>
          <w:szCs w:val="24"/>
        </w:rPr>
        <w:t xml:space="preserve"> gjith</w:t>
      </w:r>
      <w:r w:rsidR="00426D01" w:rsidRPr="00AF7ACC">
        <w:rPr>
          <w:rFonts w:ascii="Times New Roman" w:hAnsi="Times New Roman" w:cs="Times New Roman"/>
          <w:sz w:val="24"/>
          <w:szCs w:val="24"/>
        </w:rPr>
        <w:t>ë</w:t>
      </w:r>
      <w:r w:rsidRPr="009B6417">
        <w:rPr>
          <w:rFonts w:ascii="Times New Roman" w:hAnsi="Times New Roman" w:cs="Times New Roman"/>
          <w:sz w:val="24"/>
          <w:szCs w:val="24"/>
        </w:rPr>
        <w:t xml:space="preserve"> kontenier</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t q</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kalojn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p</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mjet k</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tyre pikave kufitare, nd</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rsa 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Dogan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n e Durr</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sit skanimi i kontenier</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ve b</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het mbi baz</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n e profileve 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riskut- natyr</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s s</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mallit, origjin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s etj. </w:t>
      </w:r>
    </w:p>
    <w:p w14:paraId="0E0AB613" w14:textId="77777777" w:rsidR="00940E5F" w:rsidRPr="009B6417" w:rsidRDefault="00114169" w:rsidP="00B079B1">
      <w:pPr>
        <w:spacing w:after="0"/>
        <w:jc w:val="both"/>
        <w:rPr>
          <w:rFonts w:ascii="Times New Roman" w:hAnsi="Times New Roman" w:cs="Times New Roman"/>
          <w:sz w:val="24"/>
          <w:szCs w:val="24"/>
        </w:rPr>
      </w:pPr>
      <w:r w:rsidRPr="009B6417">
        <w:rPr>
          <w:rFonts w:ascii="Times New Roman" w:hAnsi="Times New Roman" w:cs="Times New Roman"/>
          <w:sz w:val="24"/>
          <w:szCs w:val="24"/>
        </w:rPr>
        <w:t>Nga 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dh</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nat e gjeneruara nga si</w:t>
      </w:r>
      <w:r w:rsidR="00A82105" w:rsidRPr="009B6417">
        <w:rPr>
          <w:rFonts w:ascii="Times New Roman" w:hAnsi="Times New Roman" w:cs="Times New Roman"/>
          <w:sz w:val="24"/>
          <w:szCs w:val="24"/>
        </w:rPr>
        <w:t>stemi i skanimit dhe mbik</w:t>
      </w:r>
      <w:r w:rsidR="00426D01" w:rsidRPr="009B6417">
        <w:rPr>
          <w:rFonts w:ascii="Times New Roman" w:hAnsi="Times New Roman" w:cs="Times New Roman"/>
          <w:sz w:val="24"/>
          <w:szCs w:val="24"/>
        </w:rPr>
        <w:t>ë</w:t>
      </w:r>
      <w:r w:rsidR="00A82105" w:rsidRPr="009B6417">
        <w:rPr>
          <w:rFonts w:ascii="Times New Roman" w:hAnsi="Times New Roman" w:cs="Times New Roman"/>
          <w:sz w:val="24"/>
          <w:szCs w:val="24"/>
        </w:rPr>
        <w:t>qyrur rregullisht nga Drej</w:t>
      </w:r>
      <w:r w:rsidR="00940E5F" w:rsidRPr="009B6417">
        <w:rPr>
          <w:rFonts w:ascii="Times New Roman" w:hAnsi="Times New Roman" w:cs="Times New Roman"/>
          <w:sz w:val="24"/>
          <w:szCs w:val="24"/>
        </w:rPr>
        <w:t>toria e P</w:t>
      </w:r>
      <w:r w:rsidR="00426D01" w:rsidRPr="009B6417">
        <w:rPr>
          <w:rFonts w:ascii="Times New Roman" w:hAnsi="Times New Roman" w:cs="Times New Roman"/>
          <w:sz w:val="24"/>
          <w:szCs w:val="24"/>
        </w:rPr>
        <w:t>ë</w:t>
      </w:r>
      <w:r w:rsidR="00940E5F" w:rsidRPr="009B6417">
        <w:rPr>
          <w:rFonts w:ascii="Times New Roman" w:hAnsi="Times New Roman" w:cs="Times New Roman"/>
          <w:sz w:val="24"/>
          <w:szCs w:val="24"/>
        </w:rPr>
        <w:t>rgjithshme e Doganave numri i skanimeve t</w:t>
      </w:r>
      <w:r w:rsidR="00426D01" w:rsidRPr="009B6417">
        <w:rPr>
          <w:rFonts w:ascii="Times New Roman" w:hAnsi="Times New Roman" w:cs="Times New Roman"/>
          <w:sz w:val="24"/>
          <w:szCs w:val="24"/>
        </w:rPr>
        <w:t>ë</w:t>
      </w:r>
      <w:r w:rsidR="00940E5F" w:rsidRPr="009B6417">
        <w:rPr>
          <w:rFonts w:ascii="Times New Roman" w:hAnsi="Times New Roman" w:cs="Times New Roman"/>
          <w:sz w:val="24"/>
          <w:szCs w:val="24"/>
        </w:rPr>
        <w:t xml:space="preserve"> kryera ka patur tend</w:t>
      </w:r>
      <w:r w:rsidR="00F1794A">
        <w:rPr>
          <w:rFonts w:ascii="Times New Roman" w:hAnsi="Times New Roman" w:cs="Times New Roman"/>
          <w:sz w:val="24"/>
          <w:szCs w:val="24"/>
        </w:rPr>
        <w:t>e</w:t>
      </w:r>
      <w:r w:rsidR="00940E5F" w:rsidRPr="009B6417">
        <w:rPr>
          <w:rFonts w:ascii="Times New Roman" w:hAnsi="Times New Roman" w:cs="Times New Roman"/>
          <w:sz w:val="24"/>
          <w:szCs w:val="24"/>
        </w:rPr>
        <w:t>nc</w:t>
      </w:r>
      <w:r w:rsidR="00426D01" w:rsidRPr="009B6417">
        <w:rPr>
          <w:rFonts w:ascii="Times New Roman" w:hAnsi="Times New Roman" w:cs="Times New Roman"/>
          <w:sz w:val="24"/>
          <w:szCs w:val="24"/>
        </w:rPr>
        <w:t>ë</w:t>
      </w:r>
      <w:r w:rsidR="00940E5F" w:rsidRPr="009B6417">
        <w:rPr>
          <w:rFonts w:ascii="Times New Roman" w:hAnsi="Times New Roman" w:cs="Times New Roman"/>
          <w:sz w:val="24"/>
          <w:szCs w:val="24"/>
        </w:rPr>
        <w:t xml:space="preserve"> rrit</w:t>
      </w:r>
      <w:r w:rsidR="00426D01" w:rsidRPr="009B6417">
        <w:rPr>
          <w:rFonts w:ascii="Times New Roman" w:hAnsi="Times New Roman" w:cs="Times New Roman"/>
          <w:sz w:val="24"/>
          <w:szCs w:val="24"/>
        </w:rPr>
        <w:t>ë</w:t>
      </w:r>
      <w:r w:rsidR="00940E5F" w:rsidRPr="009B6417">
        <w:rPr>
          <w:rFonts w:ascii="Times New Roman" w:hAnsi="Times New Roman" w:cs="Times New Roman"/>
          <w:sz w:val="24"/>
          <w:szCs w:val="24"/>
        </w:rPr>
        <w:t>se, konkretisht:</w:t>
      </w:r>
    </w:p>
    <w:p w14:paraId="4BF7ABE0" w14:textId="77777777" w:rsidR="00097410" w:rsidRPr="00B52897" w:rsidRDefault="00097410" w:rsidP="00B079B1">
      <w:pPr>
        <w:spacing w:after="0"/>
        <w:jc w:val="both"/>
        <w:rPr>
          <w:rFonts w:ascii="Times New Roman" w:hAnsi="Times New Roman" w:cs="Times New Roman"/>
          <w:sz w:val="2"/>
          <w:szCs w:val="24"/>
        </w:rPr>
      </w:pPr>
    </w:p>
    <w:p w14:paraId="77899A52" w14:textId="77777777" w:rsidR="002950CD" w:rsidRPr="009B6417" w:rsidRDefault="0052775C" w:rsidP="006B6D4D">
      <w:pPr>
        <w:pStyle w:val="Caption"/>
      </w:pPr>
      <w:bookmarkStart w:id="102" w:name="_Toc40422402"/>
      <w:r w:rsidRPr="009B6417">
        <w:t xml:space="preserve">Tabela </w:t>
      </w:r>
      <w:r w:rsidR="00E54EC8">
        <w:fldChar w:fldCharType="begin"/>
      </w:r>
      <w:r w:rsidR="00815B1B">
        <w:instrText xml:space="preserve"> SEQ Tabela \* ARABIC </w:instrText>
      </w:r>
      <w:r w:rsidR="00E54EC8">
        <w:fldChar w:fldCharType="separate"/>
      </w:r>
      <w:r w:rsidR="00F20848">
        <w:rPr>
          <w:noProof/>
        </w:rPr>
        <w:t>19</w:t>
      </w:r>
      <w:r w:rsidR="00E54EC8">
        <w:rPr>
          <w:noProof/>
        </w:rPr>
        <w:fldChar w:fldCharType="end"/>
      </w:r>
      <w:r w:rsidR="00097410" w:rsidRPr="009B6417">
        <w:t>: Numri i skanimeve ndër vite</w:t>
      </w:r>
      <w:bookmarkEnd w:id="102"/>
    </w:p>
    <w:tbl>
      <w:tblPr>
        <w:tblStyle w:val="TableGrid"/>
        <w:tblW w:w="0" w:type="auto"/>
        <w:shd w:val="clear" w:color="auto" w:fill="DDD9C3" w:themeFill="background2" w:themeFillShade="E6"/>
        <w:tblLook w:val="04A0" w:firstRow="1" w:lastRow="0" w:firstColumn="1" w:lastColumn="0" w:noHBand="0" w:noVBand="1"/>
      </w:tblPr>
      <w:tblGrid>
        <w:gridCol w:w="1678"/>
        <w:gridCol w:w="1678"/>
        <w:gridCol w:w="1678"/>
        <w:gridCol w:w="1678"/>
        <w:gridCol w:w="1679"/>
        <w:gridCol w:w="1679"/>
      </w:tblGrid>
      <w:tr w:rsidR="00940E5F" w:rsidRPr="009B6417" w14:paraId="5D90D1A9" w14:textId="77777777" w:rsidTr="002950CD">
        <w:tc>
          <w:tcPr>
            <w:tcW w:w="1678" w:type="dxa"/>
            <w:shd w:val="clear" w:color="auto" w:fill="DDD9C3" w:themeFill="background2" w:themeFillShade="E6"/>
          </w:tcPr>
          <w:p w14:paraId="74F235D8" w14:textId="77777777" w:rsidR="00940E5F" w:rsidRPr="009B6417" w:rsidRDefault="00940E5F" w:rsidP="00B079B1">
            <w:pPr>
              <w:jc w:val="both"/>
              <w:rPr>
                <w:rFonts w:ascii="Times New Roman" w:hAnsi="Times New Roman" w:cs="Times New Roman"/>
                <w:i/>
                <w:sz w:val="24"/>
                <w:szCs w:val="24"/>
              </w:rPr>
            </w:pPr>
            <w:r w:rsidRPr="009B6417">
              <w:rPr>
                <w:rFonts w:ascii="Times New Roman" w:hAnsi="Times New Roman" w:cs="Times New Roman"/>
                <w:i/>
                <w:sz w:val="24"/>
                <w:szCs w:val="24"/>
              </w:rPr>
              <w:t>Viti</w:t>
            </w:r>
          </w:p>
        </w:tc>
        <w:tc>
          <w:tcPr>
            <w:tcW w:w="1678" w:type="dxa"/>
            <w:shd w:val="clear" w:color="auto" w:fill="DDD9C3" w:themeFill="background2" w:themeFillShade="E6"/>
          </w:tcPr>
          <w:p w14:paraId="0B089BA1" w14:textId="77777777" w:rsidR="00940E5F" w:rsidRPr="009B6417" w:rsidRDefault="00940E5F" w:rsidP="00B079B1">
            <w:pPr>
              <w:jc w:val="both"/>
              <w:rPr>
                <w:rFonts w:ascii="Times New Roman" w:hAnsi="Times New Roman" w:cs="Times New Roman"/>
                <w:i/>
                <w:sz w:val="24"/>
                <w:szCs w:val="24"/>
              </w:rPr>
            </w:pPr>
            <w:r w:rsidRPr="009B6417">
              <w:rPr>
                <w:rFonts w:ascii="Times New Roman" w:hAnsi="Times New Roman" w:cs="Times New Roman"/>
                <w:i/>
                <w:sz w:val="24"/>
                <w:szCs w:val="24"/>
              </w:rPr>
              <w:t>2015</w:t>
            </w:r>
          </w:p>
        </w:tc>
        <w:tc>
          <w:tcPr>
            <w:tcW w:w="1678" w:type="dxa"/>
            <w:shd w:val="clear" w:color="auto" w:fill="DDD9C3" w:themeFill="background2" w:themeFillShade="E6"/>
          </w:tcPr>
          <w:p w14:paraId="64472236" w14:textId="77777777" w:rsidR="00940E5F" w:rsidRPr="009B6417" w:rsidRDefault="00940E5F" w:rsidP="00B079B1">
            <w:pPr>
              <w:jc w:val="both"/>
              <w:rPr>
                <w:rFonts w:ascii="Times New Roman" w:hAnsi="Times New Roman" w:cs="Times New Roman"/>
                <w:i/>
                <w:sz w:val="24"/>
                <w:szCs w:val="24"/>
              </w:rPr>
            </w:pPr>
            <w:r w:rsidRPr="009B6417">
              <w:rPr>
                <w:rFonts w:ascii="Times New Roman" w:hAnsi="Times New Roman" w:cs="Times New Roman"/>
                <w:i/>
                <w:sz w:val="24"/>
                <w:szCs w:val="24"/>
              </w:rPr>
              <w:t>2016</w:t>
            </w:r>
          </w:p>
        </w:tc>
        <w:tc>
          <w:tcPr>
            <w:tcW w:w="1678" w:type="dxa"/>
            <w:shd w:val="clear" w:color="auto" w:fill="DDD9C3" w:themeFill="background2" w:themeFillShade="E6"/>
          </w:tcPr>
          <w:p w14:paraId="17F870B3" w14:textId="77777777" w:rsidR="00940E5F" w:rsidRPr="009B6417" w:rsidRDefault="00940E5F" w:rsidP="00B079B1">
            <w:pPr>
              <w:jc w:val="both"/>
              <w:rPr>
                <w:rFonts w:ascii="Times New Roman" w:hAnsi="Times New Roman" w:cs="Times New Roman"/>
                <w:i/>
                <w:sz w:val="24"/>
                <w:szCs w:val="24"/>
              </w:rPr>
            </w:pPr>
            <w:r w:rsidRPr="009B6417">
              <w:rPr>
                <w:rFonts w:ascii="Times New Roman" w:hAnsi="Times New Roman" w:cs="Times New Roman"/>
                <w:i/>
                <w:sz w:val="24"/>
                <w:szCs w:val="24"/>
              </w:rPr>
              <w:t>2017</w:t>
            </w:r>
          </w:p>
        </w:tc>
        <w:tc>
          <w:tcPr>
            <w:tcW w:w="1679" w:type="dxa"/>
            <w:shd w:val="clear" w:color="auto" w:fill="DDD9C3" w:themeFill="background2" w:themeFillShade="E6"/>
          </w:tcPr>
          <w:p w14:paraId="310838E7" w14:textId="77777777" w:rsidR="00940E5F" w:rsidRPr="009B6417" w:rsidRDefault="00940E5F" w:rsidP="00B079B1">
            <w:pPr>
              <w:jc w:val="both"/>
              <w:rPr>
                <w:rFonts w:ascii="Times New Roman" w:hAnsi="Times New Roman" w:cs="Times New Roman"/>
                <w:i/>
                <w:sz w:val="24"/>
                <w:szCs w:val="24"/>
              </w:rPr>
            </w:pPr>
            <w:r w:rsidRPr="009B6417">
              <w:rPr>
                <w:rFonts w:ascii="Times New Roman" w:hAnsi="Times New Roman" w:cs="Times New Roman"/>
                <w:i/>
                <w:sz w:val="24"/>
                <w:szCs w:val="24"/>
              </w:rPr>
              <w:t>2018</w:t>
            </w:r>
          </w:p>
        </w:tc>
        <w:tc>
          <w:tcPr>
            <w:tcW w:w="1679" w:type="dxa"/>
            <w:shd w:val="clear" w:color="auto" w:fill="DDD9C3" w:themeFill="background2" w:themeFillShade="E6"/>
          </w:tcPr>
          <w:p w14:paraId="237BC066" w14:textId="77777777" w:rsidR="00940E5F" w:rsidRPr="009B6417" w:rsidRDefault="00AF7ACC" w:rsidP="00B079B1">
            <w:pPr>
              <w:jc w:val="both"/>
              <w:rPr>
                <w:rFonts w:ascii="Times New Roman" w:hAnsi="Times New Roman" w:cs="Times New Roman"/>
                <w:i/>
                <w:sz w:val="24"/>
                <w:szCs w:val="24"/>
              </w:rPr>
            </w:pPr>
            <w:r>
              <w:rPr>
                <w:rFonts w:ascii="Times New Roman" w:hAnsi="Times New Roman" w:cs="Times New Roman"/>
                <w:i/>
                <w:sz w:val="24"/>
                <w:szCs w:val="24"/>
              </w:rPr>
              <w:t>2019</w:t>
            </w:r>
          </w:p>
        </w:tc>
      </w:tr>
      <w:tr w:rsidR="00940E5F" w:rsidRPr="009B6417" w14:paraId="72DAB948" w14:textId="77777777" w:rsidTr="002950CD">
        <w:tc>
          <w:tcPr>
            <w:tcW w:w="1678" w:type="dxa"/>
            <w:shd w:val="clear" w:color="auto" w:fill="EEECE1" w:themeFill="background2"/>
          </w:tcPr>
          <w:p w14:paraId="17C81A9C" w14:textId="77777777" w:rsidR="00940E5F" w:rsidRPr="009B6417" w:rsidRDefault="002E50A3" w:rsidP="00B079B1">
            <w:pPr>
              <w:jc w:val="both"/>
              <w:rPr>
                <w:rFonts w:ascii="Times New Roman" w:hAnsi="Times New Roman" w:cs="Times New Roman"/>
                <w:i/>
                <w:sz w:val="24"/>
                <w:szCs w:val="24"/>
              </w:rPr>
            </w:pPr>
            <w:r w:rsidRPr="009B6417">
              <w:rPr>
                <w:rFonts w:ascii="Times New Roman" w:hAnsi="Times New Roman" w:cs="Times New Roman"/>
                <w:i/>
                <w:sz w:val="24"/>
                <w:szCs w:val="24"/>
              </w:rPr>
              <w:t>Nr.</w:t>
            </w:r>
            <w:r w:rsidR="00940E5F" w:rsidRPr="009B6417">
              <w:rPr>
                <w:rFonts w:ascii="Times New Roman" w:hAnsi="Times New Roman" w:cs="Times New Roman"/>
                <w:i/>
                <w:sz w:val="24"/>
                <w:szCs w:val="24"/>
              </w:rPr>
              <w:t>i skanimeve</w:t>
            </w:r>
          </w:p>
        </w:tc>
        <w:tc>
          <w:tcPr>
            <w:tcW w:w="1678" w:type="dxa"/>
            <w:shd w:val="clear" w:color="auto" w:fill="EEECE1" w:themeFill="background2"/>
          </w:tcPr>
          <w:p w14:paraId="72B1A0D2" w14:textId="77777777" w:rsidR="00940E5F" w:rsidRPr="009B6417" w:rsidRDefault="002950CD" w:rsidP="00B079B1">
            <w:pPr>
              <w:jc w:val="both"/>
              <w:rPr>
                <w:rFonts w:ascii="Times New Roman" w:hAnsi="Times New Roman" w:cs="Times New Roman"/>
                <w:i/>
                <w:sz w:val="24"/>
                <w:szCs w:val="24"/>
              </w:rPr>
            </w:pPr>
            <w:r w:rsidRPr="009B6417">
              <w:rPr>
                <w:rFonts w:ascii="Times New Roman" w:hAnsi="Times New Roman" w:cs="Times New Roman"/>
                <w:i/>
                <w:sz w:val="24"/>
                <w:szCs w:val="24"/>
              </w:rPr>
              <w:t>14,655</w:t>
            </w:r>
          </w:p>
        </w:tc>
        <w:tc>
          <w:tcPr>
            <w:tcW w:w="1678" w:type="dxa"/>
            <w:shd w:val="clear" w:color="auto" w:fill="EEECE1" w:themeFill="background2"/>
          </w:tcPr>
          <w:p w14:paraId="23738370" w14:textId="77777777" w:rsidR="00940E5F" w:rsidRPr="009B6417" w:rsidRDefault="002950CD" w:rsidP="00B079B1">
            <w:pPr>
              <w:jc w:val="both"/>
              <w:rPr>
                <w:rFonts w:ascii="Times New Roman" w:hAnsi="Times New Roman" w:cs="Times New Roman"/>
                <w:i/>
                <w:sz w:val="24"/>
                <w:szCs w:val="24"/>
              </w:rPr>
            </w:pPr>
            <w:r w:rsidRPr="009B6417">
              <w:rPr>
                <w:rFonts w:ascii="Times New Roman" w:hAnsi="Times New Roman" w:cs="Times New Roman"/>
                <w:i/>
                <w:sz w:val="24"/>
                <w:szCs w:val="24"/>
              </w:rPr>
              <w:t>169,528</w:t>
            </w:r>
          </w:p>
        </w:tc>
        <w:tc>
          <w:tcPr>
            <w:tcW w:w="1678" w:type="dxa"/>
            <w:shd w:val="clear" w:color="auto" w:fill="EEECE1" w:themeFill="background2"/>
          </w:tcPr>
          <w:p w14:paraId="21862FF0" w14:textId="77777777" w:rsidR="00940E5F" w:rsidRPr="009B6417" w:rsidRDefault="002950CD" w:rsidP="00B079B1">
            <w:pPr>
              <w:jc w:val="both"/>
              <w:rPr>
                <w:rFonts w:ascii="Times New Roman" w:hAnsi="Times New Roman" w:cs="Times New Roman"/>
                <w:i/>
                <w:sz w:val="24"/>
                <w:szCs w:val="24"/>
              </w:rPr>
            </w:pPr>
            <w:r w:rsidRPr="009B6417">
              <w:rPr>
                <w:rFonts w:ascii="Times New Roman" w:hAnsi="Times New Roman" w:cs="Times New Roman"/>
                <w:i/>
                <w:sz w:val="24"/>
                <w:szCs w:val="24"/>
              </w:rPr>
              <w:t>226,948</w:t>
            </w:r>
          </w:p>
        </w:tc>
        <w:tc>
          <w:tcPr>
            <w:tcW w:w="1679" w:type="dxa"/>
            <w:shd w:val="clear" w:color="auto" w:fill="EEECE1" w:themeFill="background2"/>
          </w:tcPr>
          <w:p w14:paraId="33E9D245" w14:textId="77777777" w:rsidR="00940E5F" w:rsidRPr="009B6417" w:rsidRDefault="002950CD" w:rsidP="00B079B1">
            <w:pPr>
              <w:jc w:val="both"/>
              <w:rPr>
                <w:rFonts w:ascii="Times New Roman" w:hAnsi="Times New Roman" w:cs="Times New Roman"/>
                <w:i/>
                <w:sz w:val="24"/>
                <w:szCs w:val="24"/>
              </w:rPr>
            </w:pPr>
            <w:r w:rsidRPr="009B6417">
              <w:rPr>
                <w:rFonts w:ascii="Times New Roman" w:hAnsi="Times New Roman" w:cs="Times New Roman"/>
                <w:i/>
                <w:sz w:val="24"/>
                <w:szCs w:val="24"/>
              </w:rPr>
              <w:t>272,576</w:t>
            </w:r>
          </w:p>
        </w:tc>
        <w:tc>
          <w:tcPr>
            <w:tcW w:w="1679" w:type="dxa"/>
            <w:shd w:val="clear" w:color="auto" w:fill="EEECE1" w:themeFill="background2"/>
          </w:tcPr>
          <w:p w14:paraId="2C3470DE" w14:textId="77777777" w:rsidR="00940E5F" w:rsidRPr="009B6417" w:rsidRDefault="00AF7ACC" w:rsidP="00B079B1">
            <w:pPr>
              <w:jc w:val="both"/>
              <w:rPr>
                <w:rFonts w:ascii="Times New Roman" w:hAnsi="Times New Roman" w:cs="Times New Roman"/>
                <w:i/>
                <w:sz w:val="24"/>
                <w:szCs w:val="24"/>
              </w:rPr>
            </w:pPr>
            <w:r>
              <w:rPr>
                <w:rFonts w:ascii="Times New Roman" w:hAnsi="Times New Roman" w:cs="Times New Roman"/>
                <w:i/>
                <w:sz w:val="24"/>
                <w:szCs w:val="24"/>
              </w:rPr>
              <w:t>266,655</w:t>
            </w:r>
          </w:p>
        </w:tc>
      </w:tr>
    </w:tbl>
    <w:p w14:paraId="4C02E7AE" w14:textId="77777777" w:rsidR="001D3562" w:rsidRPr="009B6417" w:rsidRDefault="001D3562" w:rsidP="00AA01DE">
      <w:pPr>
        <w:pStyle w:val="NoSpacing"/>
        <w:spacing w:line="276" w:lineRule="auto"/>
        <w:jc w:val="both"/>
        <w:rPr>
          <w:rFonts w:ascii="Times New Roman" w:hAnsi="Times New Roman" w:cs="Times New Roman"/>
          <w:sz w:val="24"/>
          <w:szCs w:val="24"/>
        </w:rPr>
      </w:pPr>
    </w:p>
    <w:p w14:paraId="267EE70A" w14:textId="77777777" w:rsidR="00AA01DE" w:rsidRPr="009B6417" w:rsidRDefault="00932734" w:rsidP="00AA01DE">
      <w:pPr>
        <w:pStyle w:val="NoSpacing"/>
        <w:spacing w:line="276" w:lineRule="auto"/>
        <w:jc w:val="both"/>
        <w:rPr>
          <w:rFonts w:ascii="Times New Roman" w:hAnsi="Times New Roman" w:cs="Times New Roman"/>
          <w:sz w:val="24"/>
          <w:szCs w:val="24"/>
        </w:rPr>
      </w:pPr>
      <w:r w:rsidRPr="009B6417">
        <w:rPr>
          <w:rFonts w:ascii="Times New Roman" w:hAnsi="Times New Roman" w:cs="Times New Roman"/>
          <w:sz w:val="24"/>
          <w:szCs w:val="24"/>
        </w:rPr>
        <w:t>Nëpërmjet këtij shërbimi janë evidentuar në kohë transportimi i lëndëve dhe substancave të ndaluara me ligj (lëndë narkotike, mbetje radioactive etj.), kontrabanda e produkteve farmaceutike, mallra kontraband</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trafikim i njer</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zve, pastrim parash etj. P</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r </w:t>
      </w:r>
      <w:r w:rsidR="00AF7ACC">
        <w:rPr>
          <w:rFonts w:ascii="Times New Roman" w:hAnsi="Times New Roman" w:cs="Times New Roman"/>
          <w:sz w:val="24"/>
          <w:szCs w:val="24"/>
        </w:rPr>
        <w:t xml:space="preserve">vitin </w:t>
      </w:r>
      <w:r w:rsidRPr="009B6417">
        <w:rPr>
          <w:rFonts w:ascii="Times New Roman" w:hAnsi="Times New Roman" w:cs="Times New Roman"/>
          <w:sz w:val="24"/>
          <w:szCs w:val="24"/>
        </w:rPr>
        <w:t>2019, nga skanimi 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doganat e vendit jan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evidentuar 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total </w:t>
      </w:r>
      <w:r w:rsidR="00AF7ACC">
        <w:rPr>
          <w:rFonts w:ascii="Times New Roman" w:hAnsi="Times New Roman" w:cs="Times New Roman"/>
          <w:sz w:val="24"/>
          <w:szCs w:val="24"/>
        </w:rPr>
        <w:t>30</w:t>
      </w:r>
      <w:r w:rsidRPr="009B6417">
        <w:rPr>
          <w:rFonts w:ascii="Times New Roman" w:hAnsi="Times New Roman" w:cs="Times New Roman"/>
          <w:sz w:val="24"/>
          <w:szCs w:val="24"/>
        </w:rPr>
        <w:t xml:space="preserve"> raste 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tilla</w:t>
      </w:r>
      <w:r w:rsidR="00C75A40" w:rsidRPr="009B6417">
        <w:rPr>
          <w:rFonts w:ascii="Times New Roman" w:hAnsi="Times New Roman" w:cs="Times New Roman"/>
          <w:sz w:val="24"/>
          <w:szCs w:val="24"/>
        </w:rPr>
        <w:t>.</w:t>
      </w:r>
    </w:p>
    <w:p w14:paraId="6D722287" w14:textId="77777777" w:rsidR="00F1794A" w:rsidRDefault="0050333A" w:rsidP="00F70FF9">
      <w:pPr>
        <w:pStyle w:val="NoSpacing"/>
        <w:spacing w:line="276" w:lineRule="auto"/>
        <w:jc w:val="both"/>
        <w:rPr>
          <w:rFonts w:ascii="Times New Roman" w:hAnsi="Times New Roman" w:cs="Times New Roman"/>
          <w:sz w:val="24"/>
          <w:szCs w:val="24"/>
        </w:rPr>
      </w:pPr>
      <w:r w:rsidRPr="009B6417">
        <w:rPr>
          <w:rFonts w:ascii="Times New Roman" w:hAnsi="Times New Roman" w:cs="Times New Roman"/>
          <w:sz w:val="24"/>
          <w:szCs w:val="24"/>
        </w:rPr>
        <w:t>“S2 Albania” sh.p.k ka investuar 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nd</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rtimin e Qendr</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s Operacionale, e cila mund</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son analiz</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n e imazheve nga zyra q</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ndrore. CertScani </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sht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platforma q</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b</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n 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mundur ‘zgjidhjen e integruar’ nga m</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w:t>
      </w:r>
      <w:r w:rsidRPr="009B6417">
        <w:rPr>
          <w:rFonts w:ascii="Times New Roman" w:hAnsi="Times New Roman" w:cs="Times New Roman"/>
          <w:sz w:val="24"/>
          <w:szCs w:val="24"/>
        </w:rPr>
        <w:lastRenderedPageBreak/>
        <w:t>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avancuarat 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nivel global 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k</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fush</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sht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b</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r</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lidhja me fib</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r optike e 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gjitha pikave 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operimit (skanerave) me qendr</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n dhe kjo do 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b</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het plot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sisht operacionale n</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fillim t</w:t>
      </w:r>
      <w:r w:rsidR="00426D01" w:rsidRPr="009B6417">
        <w:rPr>
          <w:rFonts w:ascii="Times New Roman" w:hAnsi="Times New Roman" w:cs="Times New Roman"/>
          <w:sz w:val="24"/>
          <w:szCs w:val="24"/>
        </w:rPr>
        <w:t>ë</w:t>
      </w:r>
      <w:r w:rsidRPr="009B6417">
        <w:rPr>
          <w:rFonts w:ascii="Times New Roman" w:hAnsi="Times New Roman" w:cs="Times New Roman"/>
          <w:sz w:val="24"/>
          <w:szCs w:val="24"/>
        </w:rPr>
        <w:t xml:space="preserve"> vitit 2020. </w:t>
      </w:r>
    </w:p>
    <w:p w14:paraId="4EA38237" w14:textId="77777777" w:rsidR="00F1794A" w:rsidRDefault="00F1794A" w:rsidP="00F70FF9">
      <w:pPr>
        <w:pStyle w:val="NoSpacing"/>
        <w:spacing w:line="276" w:lineRule="auto"/>
        <w:jc w:val="both"/>
        <w:rPr>
          <w:rFonts w:ascii="Times New Roman" w:hAnsi="Times New Roman" w:cs="Times New Roman"/>
          <w:sz w:val="24"/>
          <w:szCs w:val="24"/>
        </w:rPr>
      </w:pPr>
    </w:p>
    <w:p w14:paraId="71C7447B" w14:textId="77777777" w:rsidR="005376FF" w:rsidRPr="005376FF" w:rsidRDefault="005376FF" w:rsidP="00F70FF9">
      <w:pPr>
        <w:pStyle w:val="NoSpacing"/>
        <w:spacing w:line="276" w:lineRule="auto"/>
        <w:jc w:val="both"/>
        <w:rPr>
          <w:rFonts w:ascii="Times New Roman" w:hAnsi="Times New Roman" w:cs="Times New Roman"/>
          <w:sz w:val="6"/>
          <w:szCs w:val="24"/>
        </w:rPr>
      </w:pPr>
    </w:p>
    <w:p w14:paraId="049B0DFC" w14:textId="77777777" w:rsidR="00494B84" w:rsidRPr="00B52897" w:rsidRDefault="00494B84" w:rsidP="00F70FF9">
      <w:pPr>
        <w:pStyle w:val="NoSpacing"/>
        <w:spacing w:line="276" w:lineRule="auto"/>
        <w:jc w:val="both"/>
        <w:rPr>
          <w:rFonts w:ascii="Times New Roman" w:hAnsi="Times New Roman" w:cs="Times New Roman"/>
          <w:sz w:val="8"/>
          <w:szCs w:val="24"/>
        </w:rPr>
      </w:pPr>
    </w:p>
    <w:p w14:paraId="4B743438" w14:textId="77777777" w:rsidR="005376FF" w:rsidRDefault="00C920F9" w:rsidP="004C1F25">
      <w:pPr>
        <w:pStyle w:val="ListParagraph"/>
        <w:numPr>
          <w:ilvl w:val="2"/>
          <w:numId w:val="32"/>
        </w:numPr>
        <w:tabs>
          <w:tab w:val="left" w:pos="3553"/>
        </w:tabs>
        <w:spacing w:after="0"/>
        <w:jc w:val="both"/>
        <w:rPr>
          <w:rFonts w:ascii="Times New Roman" w:eastAsia="Times New Roman" w:hAnsi="Times New Roman" w:cs="Times New Roman"/>
          <w:b/>
          <w:i/>
          <w:sz w:val="24"/>
          <w:szCs w:val="24"/>
        </w:rPr>
      </w:pPr>
      <w:r w:rsidRPr="009B6417">
        <w:rPr>
          <w:rFonts w:ascii="Times New Roman" w:eastAsia="Times New Roman" w:hAnsi="Times New Roman" w:cs="Times New Roman"/>
          <w:b/>
          <w:i/>
          <w:sz w:val="24"/>
          <w:szCs w:val="24"/>
        </w:rPr>
        <w:t xml:space="preserve"> Risqet </w:t>
      </w:r>
    </w:p>
    <w:p w14:paraId="4404209C" w14:textId="77777777" w:rsidR="006A445E" w:rsidRPr="005376FF" w:rsidRDefault="00C64212" w:rsidP="005376FF">
      <w:pPr>
        <w:tabs>
          <w:tab w:val="left" w:pos="3553"/>
        </w:tabs>
        <w:spacing w:after="0"/>
        <w:jc w:val="both"/>
        <w:rPr>
          <w:rFonts w:ascii="Times New Roman" w:eastAsia="Times New Roman" w:hAnsi="Times New Roman" w:cs="Times New Roman"/>
          <w:b/>
          <w:i/>
          <w:sz w:val="24"/>
          <w:szCs w:val="24"/>
        </w:rPr>
      </w:pPr>
      <w:r>
        <w:rPr>
          <w:rFonts w:ascii="Times New Roman" w:eastAsiaTheme="minorEastAsia" w:hAnsi="Times New Roman" w:cs="Times New Roman"/>
          <w:sz w:val="24"/>
          <w:szCs w:val="24"/>
          <w:lang w:val="en-US" w:eastAsia="ja-JP"/>
        </w:rPr>
        <w:t>Në lidhje me risqet e</w:t>
      </w:r>
      <w:r w:rsidR="005617D6" w:rsidRPr="005376FF">
        <w:rPr>
          <w:rFonts w:ascii="Times New Roman" w:eastAsiaTheme="minorEastAsia" w:hAnsi="Times New Roman" w:cs="Times New Roman"/>
          <w:sz w:val="24"/>
          <w:szCs w:val="24"/>
          <w:lang w:val="en-US" w:eastAsia="ja-JP"/>
        </w:rPr>
        <w:t xml:space="preserve"> kontratës </w:t>
      </w:r>
      <w:bookmarkStart w:id="103" w:name="_Toc19882544"/>
      <w:r>
        <w:rPr>
          <w:rFonts w:ascii="Times New Roman" w:eastAsiaTheme="minorEastAsia" w:hAnsi="Times New Roman" w:cs="Times New Roman"/>
          <w:sz w:val="24"/>
          <w:szCs w:val="24"/>
          <w:lang w:val="en-US" w:eastAsia="ja-JP"/>
        </w:rPr>
        <w:t xml:space="preserve">risqet </w:t>
      </w:r>
      <w:r w:rsidR="00ED296B">
        <w:rPr>
          <w:rFonts w:ascii="Times New Roman" w:eastAsiaTheme="minorEastAsia" w:hAnsi="Times New Roman" w:cs="Times New Roman"/>
          <w:sz w:val="24"/>
          <w:szCs w:val="24"/>
          <w:lang w:val="en-US" w:eastAsia="ja-JP"/>
        </w:rPr>
        <w:t>e alokuara tek koncesionari janë risku i ndërtimit, risku i operimit dhe performancës dhe risku i lejeve dhe licencave, ndërsa risqet e alokuara tek pala publike janë risku i forcës madhore, risku i ndryshimeve ligjore, risku politik dhe risku finanicar/kursi i këmbimit. Ndërkohë janë ndarë mes palëve risku i rinegocimit, risku i transferimit të aseteve dhe risku i ndërprerjes së kontratës koncesionare.</w:t>
      </w:r>
    </w:p>
    <w:bookmarkEnd w:id="103"/>
    <w:p w14:paraId="6D63D976" w14:textId="77777777" w:rsidR="00B52897" w:rsidRDefault="006A445E" w:rsidP="00CA0640">
      <w:pPr>
        <w:spacing w:after="0"/>
        <w:jc w:val="both"/>
        <w:rPr>
          <w:rFonts w:ascii="Times New Roman" w:hAnsi="Times New Roman" w:cs="Times New Roman"/>
          <w:sz w:val="24"/>
          <w:szCs w:val="24"/>
          <w:lang w:val="en-US"/>
        </w:rPr>
      </w:pPr>
      <w:r w:rsidRPr="009B6417">
        <w:rPr>
          <w:rFonts w:ascii="Times New Roman" w:eastAsia="Times New Roman" w:hAnsi="Times New Roman" w:cs="Times New Roman"/>
          <w:sz w:val="24"/>
          <w:szCs w:val="24"/>
        </w:rPr>
        <w:t>L</w:t>
      </w:r>
      <w:r w:rsidR="005617D6" w:rsidRPr="009B6417">
        <w:rPr>
          <w:rFonts w:ascii="Times New Roman" w:eastAsia="Times New Roman" w:hAnsi="Times New Roman" w:cs="Times New Roman"/>
          <w:sz w:val="24"/>
          <w:szCs w:val="24"/>
        </w:rPr>
        <w:t xml:space="preserve">idhur me risqet aktualisht </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sht</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 xml:space="preserve"> aktivizuar risku i rinegocimit t</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 xml:space="preserve"> kontrat</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s, pasi nga Komisioni p</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r Sigurin</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 xml:space="preserve"> Komb</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 xml:space="preserve">tare </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sht</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 xml:space="preserve"> propozuar shtimi i nj</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 xml:space="preserve"> vendi t</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 xml:space="preserve"> ri skanimi, konkretisht n</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 xml:space="preserve"> dogan</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n e Hanit t</w:t>
      </w:r>
      <w:r w:rsidRPr="009B6417">
        <w:rPr>
          <w:rFonts w:ascii="Times New Roman" w:eastAsia="Times New Roman" w:hAnsi="Times New Roman" w:cs="Times New Roman"/>
          <w:sz w:val="24"/>
          <w:szCs w:val="24"/>
        </w:rPr>
        <w:t>ë</w:t>
      </w:r>
      <w:r w:rsidR="005617D6" w:rsidRPr="009B6417">
        <w:rPr>
          <w:rFonts w:ascii="Times New Roman" w:eastAsia="Times New Roman" w:hAnsi="Times New Roman" w:cs="Times New Roman"/>
          <w:sz w:val="24"/>
          <w:szCs w:val="24"/>
        </w:rPr>
        <w:t xml:space="preserve"> Hotit.</w:t>
      </w:r>
      <w:r w:rsidR="005376FF">
        <w:rPr>
          <w:rFonts w:ascii="Times New Roman" w:eastAsia="Times New Roman" w:hAnsi="Times New Roman" w:cs="Times New Roman"/>
          <w:sz w:val="24"/>
          <w:szCs w:val="24"/>
        </w:rPr>
        <w:t xml:space="preserve"> </w:t>
      </w:r>
      <w:r w:rsidR="005376FF" w:rsidRPr="00161B15">
        <w:rPr>
          <w:rFonts w:ascii="Times New Roman" w:eastAsia="Times New Roman" w:hAnsi="Times New Roman" w:cs="Times New Roman"/>
          <w:sz w:val="24"/>
          <w:szCs w:val="24"/>
        </w:rPr>
        <w:t>Në këtë kuadër Autoriteti do të bëjë përpjekjet më të mira për të realizuar zbatimin e objektit të kësaj kontrate.</w:t>
      </w:r>
      <w:r w:rsidR="00526E1C">
        <w:rPr>
          <w:rFonts w:ascii="Times New Roman" w:eastAsia="Times New Roman" w:hAnsi="Times New Roman" w:cs="Times New Roman"/>
          <w:sz w:val="24"/>
          <w:szCs w:val="24"/>
        </w:rPr>
        <w:t xml:space="preserve"> Gjithashtu një risk tjetër i kësaj kontrate është risku i tranferimit të aseteve në pronësi të shtetit shqiptar, pasi në kontratë nuk është e shprehur </w:t>
      </w:r>
      <w:r w:rsidR="00526E1C" w:rsidRPr="00161B15">
        <w:rPr>
          <w:rFonts w:ascii="Times New Roman" w:hAnsi="Times New Roman" w:cs="Times New Roman"/>
          <w:sz w:val="24"/>
          <w:szCs w:val="24"/>
          <w:lang w:val="en-US"/>
        </w:rPr>
        <w:t>nëse ky kalim i aseteve do të bëhet i pashoqëruar me detyrime të mbartura.</w:t>
      </w:r>
    </w:p>
    <w:p w14:paraId="2A9A6713" w14:textId="77777777" w:rsidR="002C66FB" w:rsidRDefault="002C66FB" w:rsidP="00CA0640">
      <w:pPr>
        <w:spacing w:after="0"/>
        <w:jc w:val="both"/>
        <w:rPr>
          <w:rFonts w:ascii="Times New Roman" w:hAnsi="Times New Roman" w:cs="Times New Roman"/>
          <w:sz w:val="24"/>
          <w:szCs w:val="24"/>
          <w:lang w:val="en-US"/>
        </w:rPr>
      </w:pPr>
    </w:p>
    <w:p w14:paraId="00710A44" w14:textId="77777777" w:rsidR="002C66FB" w:rsidRDefault="002C66FB" w:rsidP="00CA0640">
      <w:pPr>
        <w:spacing w:after="0"/>
        <w:jc w:val="both"/>
        <w:rPr>
          <w:rFonts w:ascii="Times New Roman" w:hAnsi="Times New Roman" w:cs="Times New Roman"/>
          <w:sz w:val="24"/>
          <w:szCs w:val="24"/>
          <w:lang w:val="en-US"/>
        </w:rPr>
      </w:pPr>
    </w:p>
    <w:p w14:paraId="0BA37553" w14:textId="77777777" w:rsidR="002C66FB" w:rsidRDefault="002C66FB" w:rsidP="00CA0640">
      <w:pPr>
        <w:spacing w:after="0"/>
        <w:jc w:val="both"/>
        <w:rPr>
          <w:rFonts w:ascii="Times New Roman" w:hAnsi="Times New Roman" w:cs="Times New Roman"/>
          <w:sz w:val="24"/>
          <w:szCs w:val="24"/>
          <w:lang w:val="en-US"/>
        </w:rPr>
      </w:pPr>
    </w:p>
    <w:p w14:paraId="18D8A17C" w14:textId="77777777" w:rsidR="002C66FB" w:rsidRDefault="002C66FB" w:rsidP="00CA0640">
      <w:pPr>
        <w:spacing w:after="0"/>
        <w:jc w:val="both"/>
        <w:rPr>
          <w:rFonts w:ascii="Times New Roman" w:hAnsi="Times New Roman" w:cs="Times New Roman"/>
          <w:sz w:val="24"/>
          <w:szCs w:val="24"/>
          <w:lang w:val="en-US"/>
        </w:rPr>
      </w:pPr>
    </w:p>
    <w:p w14:paraId="49B7D718" w14:textId="77777777" w:rsidR="002C66FB" w:rsidRDefault="002C66FB" w:rsidP="00CA0640">
      <w:pPr>
        <w:spacing w:after="0"/>
        <w:jc w:val="both"/>
        <w:rPr>
          <w:rFonts w:ascii="Times New Roman" w:hAnsi="Times New Roman" w:cs="Times New Roman"/>
          <w:sz w:val="24"/>
          <w:szCs w:val="24"/>
          <w:lang w:val="en-US"/>
        </w:rPr>
      </w:pPr>
    </w:p>
    <w:p w14:paraId="2CC38907" w14:textId="77777777" w:rsidR="002C66FB" w:rsidRDefault="002C66FB" w:rsidP="00CA0640">
      <w:pPr>
        <w:spacing w:after="0"/>
        <w:jc w:val="both"/>
        <w:rPr>
          <w:rFonts w:ascii="Times New Roman" w:hAnsi="Times New Roman" w:cs="Times New Roman"/>
          <w:sz w:val="24"/>
          <w:szCs w:val="24"/>
          <w:lang w:val="en-US"/>
        </w:rPr>
      </w:pPr>
    </w:p>
    <w:p w14:paraId="646C907B" w14:textId="77777777" w:rsidR="002C66FB" w:rsidRDefault="002C66FB" w:rsidP="00CA0640">
      <w:pPr>
        <w:spacing w:after="0"/>
        <w:jc w:val="both"/>
        <w:rPr>
          <w:rFonts w:ascii="Times New Roman" w:hAnsi="Times New Roman" w:cs="Times New Roman"/>
          <w:sz w:val="24"/>
          <w:szCs w:val="24"/>
          <w:lang w:val="en-US"/>
        </w:rPr>
      </w:pPr>
    </w:p>
    <w:p w14:paraId="33EFAEB4" w14:textId="77777777" w:rsidR="002C66FB" w:rsidRDefault="002C66FB" w:rsidP="00CA0640">
      <w:pPr>
        <w:spacing w:after="0"/>
        <w:jc w:val="both"/>
        <w:rPr>
          <w:rFonts w:ascii="Times New Roman" w:hAnsi="Times New Roman" w:cs="Times New Roman"/>
          <w:sz w:val="24"/>
          <w:szCs w:val="24"/>
          <w:lang w:val="en-US"/>
        </w:rPr>
      </w:pPr>
    </w:p>
    <w:p w14:paraId="0D0DF813" w14:textId="77777777" w:rsidR="002C66FB" w:rsidRDefault="002C66FB" w:rsidP="00CA0640">
      <w:pPr>
        <w:spacing w:after="0"/>
        <w:jc w:val="both"/>
        <w:rPr>
          <w:rFonts w:ascii="Times New Roman" w:hAnsi="Times New Roman" w:cs="Times New Roman"/>
          <w:sz w:val="24"/>
          <w:szCs w:val="24"/>
          <w:lang w:val="en-US"/>
        </w:rPr>
      </w:pPr>
    </w:p>
    <w:p w14:paraId="6BF2ABB8" w14:textId="77777777" w:rsidR="002C66FB" w:rsidRDefault="002C66FB" w:rsidP="00CA0640">
      <w:pPr>
        <w:spacing w:after="0"/>
        <w:jc w:val="both"/>
        <w:rPr>
          <w:rFonts w:ascii="Times New Roman" w:hAnsi="Times New Roman" w:cs="Times New Roman"/>
          <w:sz w:val="24"/>
          <w:szCs w:val="24"/>
          <w:lang w:val="en-US"/>
        </w:rPr>
      </w:pPr>
    </w:p>
    <w:p w14:paraId="57B2A23C" w14:textId="77777777" w:rsidR="002C66FB" w:rsidRDefault="002C66FB" w:rsidP="00CA0640">
      <w:pPr>
        <w:spacing w:after="0"/>
        <w:jc w:val="both"/>
        <w:rPr>
          <w:rFonts w:ascii="Times New Roman" w:hAnsi="Times New Roman" w:cs="Times New Roman"/>
          <w:sz w:val="24"/>
          <w:szCs w:val="24"/>
          <w:lang w:val="en-US"/>
        </w:rPr>
      </w:pPr>
    </w:p>
    <w:p w14:paraId="7B06C351" w14:textId="77777777" w:rsidR="002C66FB" w:rsidRDefault="002C66FB" w:rsidP="00CA0640">
      <w:pPr>
        <w:spacing w:after="0"/>
        <w:jc w:val="both"/>
        <w:rPr>
          <w:rFonts w:ascii="Times New Roman" w:hAnsi="Times New Roman" w:cs="Times New Roman"/>
          <w:sz w:val="24"/>
          <w:szCs w:val="24"/>
          <w:lang w:val="en-US"/>
        </w:rPr>
      </w:pPr>
    </w:p>
    <w:p w14:paraId="4D7FED5E" w14:textId="77777777" w:rsidR="002C66FB" w:rsidRDefault="002C66FB" w:rsidP="00CA0640">
      <w:pPr>
        <w:spacing w:after="0"/>
        <w:jc w:val="both"/>
        <w:rPr>
          <w:rFonts w:ascii="Times New Roman" w:hAnsi="Times New Roman" w:cs="Times New Roman"/>
          <w:sz w:val="24"/>
          <w:szCs w:val="24"/>
          <w:lang w:val="en-US"/>
        </w:rPr>
      </w:pPr>
    </w:p>
    <w:p w14:paraId="3FC1FB33" w14:textId="77777777" w:rsidR="002C66FB" w:rsidRDefault="002C66FB" w:rsidP="00CA0640">
      <w:pPr>
        <w:spacing w:after="0"/>
        <w:jc w:val="both"/>
        <w:rPr>
          <w:rFonts w:ascii="Times New Roman" w:hAnsi="Times New Roman" w:cs="Times New Roman"/>
          <w:sz w:val="24"/>
          <w:szCs w:val="24"/>
          <w:lang w:val="en-US"/>
        </w:rPr>
      </w:pPr>
    </w:p>
    <w:p w14:paraId="0FCEBB62" w14:textId="77777777" w:rsidR="002C66FB" w:rsidRDefault="002C66FB" w:rsidP="00CA0640">
      <w:pPr>
        <w:spacing w:after="0"/>
        <w:jc w:val="both"/>
        <w:rPr>
          <w:rFonts w:ascii="Times New Roman" w:hAnsi="Times New Roman" w:cs="Times New Roman"/>
          <w:sz w:val="24"/>
          <w:szCs w:val="24"/>
          <w:lang w:val="en-US"/>
        </w:rPr>
      </w:pPr>
    </w:p>
    <w:p w14:paraId="08F748A4" w14:textId="77777777" w:rsidR="002C66FB" w:rsidRDefault="002C66FB" w:rsidP="00CA0640">
      <w:pPr>
        <w:spacing w:after="0"/>
        <w:jc w:val="both"/>
        <w:rPr>
          <w:rFonts w:ascii="Times New Roman" w:hAnsi="Times New Roman" w:cs="Times New Roman"/>
          <w:sz w:val="24"/>
          <w:szCs w:val="24"/>
          <w:lang w:val="en-US"/>
        </w:rPr>
      </w:pPr>
    </w:p>
    <w:p w14:paraId="11AA6B3C" w14:textId="77777777" w:rsidR="002C66FB" w:rsidRDefault="002C66FB" w:rsidP="00CA0640">
      <w:pPr>
        <w:spacing w:after="0"/>
        <w:jc w:val="both"/>
        <w:rPr>
          <w:rFonts w:ascii="Times New Roman" w:hAnsi="Times New Roman" w:cs="Times New Roman"/>
          <w:sz w:val="24"/>
          <w:szCs w:val="24"/>
          <w:lang w:val="en-US"/>
        </w:rPr>
      </w:pPr>
    </w:p>
    <w:p w14:paraId="51E0A45A" w14:textId="77777777" w:rsidR="002C66FB" w:rsidRDefault="002C66FB" w:rsidP="00CA0640">
      <w:pPr>
        <w:spacing w:after="0"/>
        <w:jc w:val="both"/>
        <w:rPr>
          <w:rFonts w:ascii="Times New Roman" w:hAnsi="Times New Roman" w:cs="Times New Roman"/>
          <w:sz w:val="24"/>
          <w:szCs w:val="24"/>
          <w:lang w:val="en-US"/>
        </w:rPr>
      </w:pPr>
    </w:p>
    <w:p w14:paraId="320DFC72" w14:textId="77777777" w:rsidR="002C66FB" w:rsidRDefault="002C66FB" w:rsidP="00CA0640">
      <w:pPr>
        <w:spacing w:after="0"/>
        <w:jc w:val="both"/>
        <w:rPr>
          <w:rFonts w:ascii="Times New Roman" w:eastAsia="Times New Roman" w:hAnsi="Times New Roman" w:cs="Times New Roman"/>
          <w:sz w:val="24"/>
          <w:szCs w:val="24"/>
        </w:rPr>
      </w:pPr>
    </w:p>
    <w:p w14:paraId="5D9A5C88" w14:textId="77777777" w:rsidR="00760261" w:rsidRPr="00161B15" w:rsidRDefault="00760261" w:rsidP="00CA0640">
      <w:pPr>
        <w:spacing w:after="0"/>
        <w:jc w:val="both"/>
        <w:rPr>
          <w:rFonts w:ascii="Times New Roman" w:eastAsia="Times New Roman" w:hAnsi="Times New Roman" w:cs="Times New Roman"/>
          <w:sz w:val="24"/>
          <w:szCs w:val="24"/>
        </w:rPr>
      </w:pPr>
    </w:p>
    <w:p w14:paraId="05DCB350" w14:textId="77777777" w:rsidR="00AE2680" w:rsidRPr="00B52897" w:rsidRDefault="002064BE" w:rsidP="004C1F25">
      <w:pPr>
        <w:pStyle w:val="Heading1"/>
        <w:numPr>
          <w:ilvl w:val="0"/>
          <w:numId w:val="32"/>
        </w:numPr>
        <w:rPr>
          <w:rFonts w:ascii="Times New Roman" w:eastAsia="Times New Roman" w:hAnsi="Times New Roman" w:cs="Times New Roman"/>
          <w:b/>
          <w:sz w:val="24"/>
          <w:szCs w:val="22"/>
        </w:rPr>
      </w:pPr>
      <w:bookmarkStart w:id="104" w:name="_Toc37196711"/>
      <w:r w:rsidRPr="00B52897">
        <w:rPr>
          <w:rFonts w:ascii="Times New Roman" w:hAnsi="Times New Roman" w:cs="Times New Roman"/>
          <w:b/>
          <w:sz w:val="24"/>
          <w:szCs w:val="22"/>
        </w:rPr>
        <w:lastRenderedPageBreak/>
        <w:t>Lista e Konc</w:t>
      </w:r>
      <w:r w:rsidR="007E1CA9" w:rsidRPr="00B52897">
        <w:rPr>
          <w:rFonts w:ascii="Times New Roman" w:hAnsi="Times New Roman" w:cs="Times New Roman"/>
          <w:b/>
          <w:sz w:val="24"/>
          <w:szCs w:val="22"/>
        </w:rPr>
        <w:t xml:space="preserve">esioneve/PPP </w:t>
      </w:r>
      <w:r w:rsidRPr="00B52897">
        <w:rPr>
          <w:rFonts w:ascii="Times New Roman" w:hAnsi="Times New Roman" w:cs="Times New Roman"/>
          <w:b/>
          <w:sz w:val="24"/>
          <w:szCs w:val="22"/>
        </w:rPr>
        <w:t>të miratuara</w:t>
      </w:r>
      <w:bookmarkEnd w:id="104"/>
    </w:p>
    <w:p w14:paraId="7ED7B8BC" w14:textId="77777777" w:rsidR="00960C7D" w:rsidRDefault="00CA0640" w:rsidP="007760BD">
      <w:pPr>
        <w:pStyle w:val="Heading1"/>
        <w:jc w:val="both"/>
        <w:rPr>
          <w:rFonts w:ascii="Times New Roman" w:hAnsi="Times New Roman" w:cs="Times New Roman"/>
          <w:sz w:val="24"/>
          <w:szCs w:val="24"/>
        </w:rPr>
      </w:pPr>
      <w:bookmarkStart w:id="105" w:name="_Toc23765742"/>
      <w:bookmarkStart w:id="106" w:name="_Toc37196712"/>
      <w:r w:rsidRPr="007E3D03">
        <w:rPr>
          <w:rFonts w:ascii="Times New Roman" w:hAnsi="Times New Roman" w:cs="Times New Roman"/>
          <w:color w:val="auto"/>
          <w:sz w:val="24"/>
          <w:szCs w:val="22"/>
        </w:rPr>
        <w:t>N</w:t>
      </w:r>
      <w:r w:rsidR="002B6E52" w:rsidRPr="007E3D03">
        <w:rPr>
          <w:rFonts w:ascii="Times New Roman" w:hAnsi="Times New Roman" w:cs="Times New Roman"/>
          <w:color w:val="auto"/>
          <w:sz w:val="24"/>
          <w:szCs w:val="22"/>
        </w:rPr>
        <w:t>ë</w:t>
      </w:r>
      <w:r w:rsidRPr="007E3D03">
        <w:rPr>
          <w:rFonts w:ascii="Times New Roman" w:hAnsi="Times New Roman" w:cs="Times New Roman"/>
          <w:color w:val="auto"/>
          <w:sz w:val="24"/>
          <w:szCs w:val="22"/>
        </w:rPr>
        <w:t xml:space="preserve"> tabel</w:t>
      </w:r>
      <w:r w:rsidR="002B6E52" w:rsidRPr="007E3D03">
        <w:rPr>
          <w:rFonts w:ascii="Times New Roman" w:hAnsi="Times New Roman" w:cs="Times New Roman"/>
          <w:color w:val="auto"/>
          <w:sz w:val="24"/>
          <w:szCs w:val="22"/>
        </w:rPr>
        <w:t>ë</w:t>
      </w:r>
      <w:r w:rsidR="00C64212">
        <w:rPr>
          <w:rFonts w:ascii="Times New Roman" w:hAnsi="Times New Roman" w:cs="Times New Roman"/>
          <w:color w:val="auto"/>
          <w:sz w:val="24"/>
          <w:szCs w:val="22"/>
        </w:rPr>
        <w:t>n 20</w:t>
      </w:r>
      <w:r w:rsidRPr="007E3D03">
        <w:rPr>
          <w:rFonts w:ascii="Times New Roman" w:hAnsi="Times New Roman" w:cs="Times New Roman"/>
          <w:color w:val="auto"/>
          <w:sz w:val="24"/>
          <w:szCs w:val="22"/>
        </w:rPr>
        <w:t xml:space="preserve"> </w:t>
      </w:r>
      <w:r w:rsidR="002B6E52" w:rsidRPr="007E3D03">
        <w:rPr>
          <w:rFonts w:ascii="Times New Roman" w:hAnsi="Times New Roman" w:cs="Times New Roman"/>
          <w:color w:val="auto"/>
          <w:sz w:val="24"/>
          <w:szCs w:val="22"/>
        </w:rPr>
        <w:t>ë</w:t>
      </w:r>
      <w:r w:rsidRPr="007E3D03">
        <w:rPr>
          <w:rFonts w:ascii="Times New Roman" w:hAnsi="Times New Roman" w:cs="Times New Roman"/>
          <w:color w:val="auto"/>
          <w:sz w:val="24"/>
          <w:szCs w:val="22"/>
        </w:rPr>
        <w:t>sht</w:t>
      </w:r>
      <w:r w:rsidR="002B6E52" w:rsidRPr="007E3D03">
        <w:rPr>
          <w:rFonts w:ascii="Times New Roman" w:hAnsi="Times New Roman" w:cs="Times New Roman"/>
          <w:color w:val="auto"/>
          <w:sz w:val="24"/>
          <w:szCs w:val="22"/>
        </w:rPr>
        <w:t>ë</w:t>
      </w:r>
      <w:r w:rsidRPr="007E3D03">
        <w:rPr>
          <w:rFonts w:ascii="Times New Roman" w:hAnsi="Times New Roman" w:cs="Times New Roman"/>
          <w:color w:val="auto"/>
          <w:sz w:val="24"/>
          <w:szCs w:val="22"/>
        </w:rPr>
        <w:t xml:space="preserve"> paraqitur lista e kontratave koncesionare totale t</w:t>
      </w:r>
      <w:r w:rsidR="002B6E52" w:rsidRPr="007E3D03">
        <w:rPr>
          <w:rFonts w:ascii="Times New Roman" w:hAnsi="Times New Roman" w:cs="Times New Roman"/>
          <w:color w:val="auto"/>
          <w:sz w:val="24"/>
          <w:szCs w:val="22"/>
        </w:rPr>
        <w:t>ë</w:t>
      </w:r>
      <w:r w:rsidRPr="007E3D03">
        <w:rPr>
          <w:rFonts w:ascii="Times New Roman" w:hAnsi="Times New Roman" w:cs="Times New Roman"/>
          <w:color w:val="auto"/>
          <w:sz w:val="24"/>
          <w:szCs w:val="22"/>
        </w:rPr>
        <w:t xml:space="preserve"> publikuara në </w:t>
      </w:r>
      <w:r w:rsidR="00F70FF9" w:rsidRPr="007E3D03">
        <w:rPr>
          <w:rFonts w:ascii="Times New Roman" w:hAnsi="Times New Roman" w:cs="Times New Roman"/>
          <w:color w:val="auto"/>
          <w:sz w:val="24"/>
          <w:szCs w:val="22"/>
        </w:rPr>
        <w:t xml:space="preserve"> Regjistri</w:t>
      </w:r>
      <w:r w:rsidRPr="007E3D03">
        <w:rPr>
          <w:rFonts w:ascii="Times New Roman" w:hAnsi="Times New Roman" w:cs="Times New Roman"/>
          <w:color w:val="auto"/>
          <w:sz w:val="24"/>
          <w:szCs w:val="22"/>
        </w:rPr>
        <w:t>n</w:t>
      </w:r>
      <w:r w:rsidR="00F70FF9" w:rsidRPr="007E3D03">
        <w:rPr>
          <w:rFonts w:ascii="Times New Roman" w:hAnsi="Times New Roman" w:cs="Times New Roman"/>
          <w:color w:val="auto"/>
          <w:sz w:val="24"/>
          <w:szCs w:val="22"/>
        </w:rPr>
        <w:t xml:space="preserve"> Publik </w:t>
      </w:r>
      <w:r w:rsidRPr="007E3D03">
        <w:rPr>
          <w:rFonts w:ascii="Times New Roman" w:hAnsi="Times New Roman" w:cs="Times New Roman"/>
          <w:color w:val="auto"/>
          <w:sz w:val="24"/>
          <w:szCs w:val="22"/>
        </w:rPr>
        <w:t>e</w:t>
      </w:r>
      <w:r w:rsidR="00F70FF9" w:rsidRPr="007E3D03">
        <w:rPr>
          <w:rFonts w:ascii="Times New Roman" w:hAnsi="Times New Roman" w:cs="Times New Roman"/>
          <w:color w:val="auto"/>
          <w:sz w:val="24"/>
          <w:szCs w:val="22"/>
        </w:rPr>
        <w:t xml:space="preserve"> Koncesioneve</w:t>
      </w:r>
      <w:r w:rsidRPr="007E3D03">
        <w:rPr>
          <w:rFonts w:ascii="Times New Roman" w:hAnsi="Times New Roman" w:cs="Times New Roman"/>
          <w:color w:val="auto"/>
          <w:sz w:val="24"/>
          <w:szCs w:val="22"/>
        </w:rPr>
        <w:t xml:space="preserve"> në faqen e ATRAK</w:t>
      </w:r>
      <w:r w:rsidR="00ED296B">
        <w:rPr>
          <w:rFonts w:ascii="Times New Roman" w:hAnsi="Times New Roman" w:cs="Times New Roman"/>
          <w:color w:val="auto"/>
          <w:sz w:val="24"/>
          <w:szCs w:val="22"/>
        </w:rPr>
        <w:t>O-s (2020</w:t>
      </w:r>
      <w:r w:rsidRPr="007E3D03">
        <w:rPr>
          <w:rFonts w:ascii="Times New Roman" w:hAnsi="Times New Roman" w:cs="Times New Roman"/>
          <w:color w:val="auto"/>
          <w:sz w:val="24"/>
          <w:szCs w:val="22"/>
        </w:rPr>
        <w:t>), sipas raportimeve t</w:t>
      </w:r>
      <w:r w:rsidR="002B6E52" w:rsidRPr="007E3D03">
        <w:rPr>
          <w:rFonts w:ascii="Times New Roman" w:hAnsi="Times New Roman" w:cs="Times New Roman"/>
          <w:color w:val="auto"/>
          <w:sz w:val="24"/>
          <w:szCs w:val="22"/>
        </w:rPr>
        <w:t>ë</w:t>
      </w:r>
      <w:r w:rsidRPr="007E3D03">
        <w:rPr>
          <w:rFonts w:ascii="Times New Roman" w:hAnsi="Times New Roman" w:cs="Times New Roman"/>
          <w:color w:val="auto"/>
          <w:sz w:val="24"/>
          <w:szCs w:val="22"/>
        </w:rPr>
        <w:t xml:space="preserve"> Autoriteteve Kontraktuese pran</w:t>
      </w:r>
      <w:r w:rsidR="002B6E52" w:rsidRPr="007E3D03">
        <w:rPr>
          <w:rFonts w:ascii="Times New Roman" w:hAnsi="Times New Roman" w:cs="Times New Roman"/>
          <w:color w:val="auto"/>
          <w:sz w:val="24"/>
          <w:szCs w:val="22"/>
        </w:rPr>
        <w:t>ë</w:t>
      </w:r>
      <w:r w:rsidRPr="007E3D03">
        <w:rPr>
          <w:rFonts w:ascii="Times New Roman" w:hAnsi="Times New Roman" w:cs="Times New Roman"/>
          <w:color w:val="auto"/>
          <w:sz w:val="24"/>
          <w:szCs w:val="22"/>
        </w:rPr>
        <w:t xml:space="preserve"> kësaj Agjencie.</w:t>
      </w:r>
      <w:bookmarkEnd w:id="105"/>
      <w:bookmarkEnd w:id="106"/>
      <w:r w:rsidR="0072145D">
        <w:rPr>
          <w:rFonts w:ascii="Times New Roman" w:hAnsi="Times New Roman" w:cs="Times New Roman"/>
          <w:color w:val="auto"/>
          <w:sz w:val="24"/>
          <w:szCs w:val="22"/>
        </w:rPr>
        <w:t xml:space="preserve"> </w:t>
      </w:r>
    </w:p>
    <w:p w14:paraId="34D6F8BD" w14:textId="77777777" w:rsidR="00960C7D" w:rsidRPr="00960C7D" w:rsidRDefault="00960C7D" w:rsidP="00004BEA">
      <w:pPr>
        <w:pStyle w:val="NoSpacing"/>
        <w:spacing w:line="276" w:lineRule="auto"/>
        <w:jc w:val="both"/>
        <w:rPr>
          <w:rFonts w:ascii="Times New Roman" w:hAnsi="Times New Roman" w:cs="Times New Roman"/>
          <w:sz w:val="24"/>
          <w:szCs w:val="24"/>
        </w:rPr>
      </w:pPr>
      <w:r>
        <w:rPr>
          <w:rFonts w:ascii="Times New Roman" w:eastAsiaTheme="majorEastAsia" w:hAnsi="Times New Roman" w:cs="Times New Roman"/>
          <w:sz w:val="24"/>
          <w:szCs w:val="24"/>
        </w:rPr>
        <w:t xml:space="preserve"> </w:t>
      </w:r>
    </w:p>
    <w:p w14:paraId="361128A0" w14:textId="77777777" w:rsidR="00CA0640" w:rsidRPr="006B6D4D" w:rsidRDefault="00CA0640" w:rsidP="006B6D4D">
      <w:pPr>
        <w:pStyle w:val="Caption"/>
      </w:pPr>
      <w:bookmarkStart w:id="107" w:name="_Toc40422403"/>
      <w:r w:rsidRPr="006B6D4D">
        <w:t xml:space="preserve">Tabela </w:t>
      </w:r>
      <w:r w:rsidR="00E54EC8" w:rsidRPr="006B6D4D">
        <w:fldChar w:fldCharType="begin"/>
      </w:r>
      <w:r w:rsidR="00815B1B" w:rsidRPr="006B6D4D">
        <w:instrText xml:space="preserve"> SEQ Tabela \* ARABIC </w:instrText>
      </w:r>
      <w:r w:rsidR="00E54EC8" w:rsidRPr="006B6D4D">
        <w:fldChar w:fldCharType="separate"/>
      </w:r>
      <w:r w:rsidR="00F20848" w:rsidRPr="006B6D4D">
        <w:rPr>
          <w:noProof/>
        </w:rPr>
        <w:t>20</w:t>
      </w:r>
      <w:r w:rsidR="00E54EC8" w:rsidRPr="006B6D4D">
        <w:rPr>
          <w:noProof/>
        </w:rPr>
        <w:fldChar w:fldCharType="end"/>
      </w:r>
      <w:r w:rsidRPr="006B6D4D">
        <w:t>: Lista e kontratave koncesionare/PPP</w:t>
      </w:r>
      <w:bookmarkEnd w:id="107"/>
      <w:r w:rsidRPr="006B6D4D">
        <w:t xml:space="preserve"> </w:t>
      </w:r>
    </w:p>
    <w:p w14:paraId="4B506448" w14:textId="77777777" w:rsidR="00C64212" w:rsidRDefault="00C64212" w:rsidP="00CA0640">
      <w:pPr>
        <w:spacing w:after="0"/>
        <w:rPr>
          <w:rFonts w:ascii="Times New Roman" w:hAnsi="Times New Roman" w:cs="Times New Roman"/>
        </w:rPr>
      </w:pPr>
    </w:p>
    <w:tbl>
      <w:tblPr>
        <w:tblStyle w:val="PlainTable41"/>
        <w:tblW w:w="1030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
        <w:gridCol w:w="6945"/>
        <w:gridCol w:w="2400"/>
      </w:tblGrid>
      <w:tr w:rsidR="00092C3F" w:rsidRPr="00281CD2" w14:paraId="740D264E" w14:textId="77777777" w:rsidTr="00EC1116">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60" w:type="dxa"/>
            <w:shd w:val="clear" w:color="auto" w:fill="D9D9D9" w:themeFill="background1" w:themeFillShade="D9"/>
            <w:noWrap/>
            <w:vAlign w:val="center"/>
            <w:hideMark/>
          </w:tcPr>
          <w:p w14:paraId="6623F60C" w14:textId="77777777" w:rsidR="00092C3F" w:rsidRPr="00281CD2" w:rsidRDefault="00092C3F" w:rsidP="00EC1116">
            <w:pPr>
              <w:jc w:val="center"/>
              <w:rPr>
                <w:rFonts w:ascii="Times New Roman" w:eastAsia="Times New Roman" w:hAnsi="Times New Roman" w:cs="Times New Roman"/>
                <w:bCs w:val="0"/>
                <w:sz w:val="20"/>
                <w:szCs w:val="20"/>
                <w:lang w:val="en-US"/>
              </w:rPr>
            </w:pPr>
            <w:r w:rsidRPr="00281CD2">
              <w:rPr>
                <w:rFonts w:ascii="Times New Roman" w:eastAsia="Times New Roman" w:hAnsi="Times New Roman" w:cs="Times New Roman"/>
                <w:bCs w:val="0"/>
                <w:sz w:val="20"/>
                <w:szCs w:val="20"/>
                <w:lang w:val="en-US"/>
              </w:rPr>
              <w:t>Nr.</w:t>
            </w:r>
          </w:p>
        </w:tc>
        <w:tc>
          <w:tcPr>
            <w:tcW w:w="6945" w:type="dxa"/>
            <w:shd w:val="clear" w:color="auto" w:fill="D9D9D9" w:themeFill="background1" w:themeFillShade="D9"/>
            <w:noWrap/>
            <w:vAlign w:val="center"/>
            <w:hideMark/>
          </w:tcPr>
          <w:p w14:paraId="0CA306AD" w14:textId="77777777" w:rsidR="00092C3F" w:rsidRPr="00281CD2" w:rsidRDefault="00092C3F" w:rsidP="00EC111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lang w:val="en-US"/>
              </w:rPr>
            </w:pPr>
            <w:r w:rsidRPr="00281CD2">
              <w:rPr>
                <w:rFonts w:ascii="Times New Roman" w:eastAsia="Times New Roman" w:hAnsi="Times New Roman" w:cs="Times New Roman"/>
                <w:bCs w:val="0"/>
                <w:sz w:val="20"/>
                <w:szCs w:val="20"/>
                <w:lang w:val="en-US"/>
              </w:rPr>
              <w:t>Objekti i Kontrat</w:t>
            </w:r>
            <w:r w:rsidR="003A341A">
              <w:rPr>
                <w:rFonts w:ascii="Times New Roman" w:eastAsia="Times New Roman" w:hAnsi="Times New Roman" w:cs="Times New Roman"/>
                <w:bCs w:val="0"/>
                <w:sz w:val="20"/>
                <w:szCs w:val="20"/>
                <w:lang w:val="en-US"/>
              </w:rPr>
              <w:t>ë</w:t>
            </w:r>
            <w:r w:rsidRPr="00281CD2">
              <w:rPr>
                <w:rFonts w:ascii="Times New Roman" w:eastAsia="Times New Roman" w:hAnsi="Times New Roman" w:cs="Times New Roman"/>
                <w:bCs w:val="0"/>
                <w:sz w:val="20"/>
                <w:szCs w:val="20"/>
                <w:lang w:val="en-US"/>
              </w:rPr>
              <w:t>s</w:t>
            </w:r>
          </w:p>
        </w:tc>
        <w:tc>
          <w:tcPr>
            <w:tcW w:w="2400" w:type="dxa"/>
            <w:shd w:val="clear" w:color="auto" w:fill="D9D9D9" w:themeFill="background1" w:themeFillShade="D9"/>
            <w:noWrap/>
            <w:vAlign w:val="center"/>
            <w:hideMark/>
          </w:tcPr>
          <w:p w14:paraId="6543C5EE" w14:textId="77777777" w:rsidR="00092C3F" w:rsidRPr="00281CD2" w:rsidRDefault="00092C3F" w:rsidP="00EC111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lang w:val="en-US"/>
              </w:rPr>
            </w:pPr>
            <w:r w:rsidRPr="00281CD2">
              <w:rPr>
                <w:rFonts w:ascii="Times New Roman" w:hAnsi="Times New Roman" w:cs="Times New Roman"/>
                <w:bCs w:val="0"/>
                <w:sz w:val="20"/>
                <w:szCs w:val="20"/>
              </w:rPr>
              <w:t>Vlera e Investimit në mijë Lekë</w:t>
            </w:r>
          </w:p>
        </w:tc>
      </w:tr>
      <w:tr w:rsidR="00092C3F" w:rsidRPr="00281CD2" w14:paraId="799A1036" w14:textId="77777777" w:rsidTr="00EC111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837F4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w:t>
            </w:r>
          </w:p>
        </w:tc>
        <w:tc>
          <w:tcPr>
            <w:tcW w:w="6945" w:type="dxa"/>
            <w:hideMark/>
          </w:tcPr>
          <w:p w14:paraId="4AB70496"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Transferimi i Aeroportit "Nënë Tereza"</w:t>
            </w:r>
          </w:p>
        </w:tc>
        <w:tc>
          <w:tcPr>
            <w:tcW w:w="2400" w:type="dxa"/>
            <w:noWrap/>
            <w:hideMark/>
          </w:tcPr>
          <w:p w14:paraId="6A37CC00"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9,114,560</w:t>
            </w:r>
          </w:p>
        </w:tc>
      </w:tr>
      <w:tr w:rsidR="00092C3F" w:rsidRPr="00281CD2" w14:paraId="210479E5"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6CDD4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w:t>
            </w:r>
          </w:p>
        </w:tc>
        <w:tc>
          <w:tcPr>
            <w:tcW w:w="6945" w:type="dxa"/>
            <w:hideMark/>
          </w:tcPr>
          <w:p w14:paraId="3970E759"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Hidrocentralit Egnatia</w:t>
            </w:r>
          </w:p>
        </w:tc>
        <w:tc>
          <w:tcPr>
            <w:tcW w:w="2400" w:type="dxa"/>
            <w:noWrap/>
            <w:hideMark/>
          </w:tcPr>
          <w:p w14:paraId="3B6807EA"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321,957</w:t>
            </w:r>
          </w:p>
        </w:tc>
      </w:tr>
      <w:tr w:rsidR="00092C3F" w:rsidRPr="00281CD2" w14:paraId="45F041EF"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3C51085"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3</w:t>
            </w:r>
          </w:p>
        </w:tc>
        <w:tc>
          <w:tcPr>
            <w:tcW w:w="6945" w:type="dxa"/>
            <w:hideMark/>
          </w:tcPr>
          <w:p w14:paraId="7A179F58"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mirëmbajtja dhe transferimi i hidrocentralit Verbë - Selcë.</w:t>
            </w:r>
          </w:p>
        </w:tc>
        <w:tc>
          <w:tcPr>
            <w:tcW w:w="2400" w:type="dxa"/>
            <w:noWrap/>
            <w:hideMark/>
          </w:tcPr>
          <w:p w14:paraId="7748FBC9"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285,214</w:t>
            </w:r>
          </w:p>
        </w:tc>
      </w:tr>
      <w:tr w:rsidR="00092C3F" w:rsidRPr="00281CD2" w14:paraId="68DF71FE"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D1E47A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4</w:t>
            </w:r>
          </w:p>
        </w:tc>
        <w:tc>
          <w:tcPr>
            <w:tcW w:w="6945" w:type="dxa"/>
            <w:hideMark/>
          </w:tcPr>
          <w:p w14:paraId="7DB0166D"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transferitmi i hidrocentralit Tervol</w:t>
            </w:r>
          </w:p>
        </w:tc>
        <w:tc>
          <w:tcPr>
            <w:tcW w:w="2400" w:type="dxa"/>
            <w:noWrap/>
            <w:hideMark/>
          </w:tcPr>
          <w:p w14:paraId="67595359"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325,800</w:t>
            </w:r>
          </w:p>
        </w:tc>
      </w:tr>
      <w:tr w:rsidR="00092C3F" w:rsidRPr="00281CD2" w14:paraId="7B2A5BB8"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F25165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5</w:t>
            </w:r>
          </w:p>
        </w:tc>
        <w:tc>
          <w:tcPr>
            <w:tcW w:w="6945" w:type="dxa"/>
            <w:hideMark/>
          </w:tcPr>
          <w:p w14:paraId="2CD78F48"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Projektimi, financimi ndertimin, operimi, mirembajtia dhe transferimi i Hidrocentralit ne Lumin Devoll</w:t>
            </w:r>
          </w:p>
        </w:tc>
        <w:tc>
          <w:tcPr>
            <w:tcW w:w="2400" w:type="dxa"/>
            <w:noWrap/>
            <w:hideMark/>
          </w:tcPr>
          <w:p w14:paraId="64A0780C"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130,000,000</w:t>
            </w:r>
          </w:p>
        </w:tc>
      </w:tr>
      <w:tr w:rsidR="00092C3F" w:rsidRPr="00281CD2" w14:paraId="084312B9"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0D893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6</w:t>
            </w:r>
          </w:p>
        </w:tc>
        <w:tc>
          <w:tcPr>
            <w:tcW w:w="6945" w:type="dxa"/>
            <w:hideMark/>
          </w:tcPr>
          <w:p w14:paraId="595702D6"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Hidrocentralit Stojan</w:t>
            </w:r>
          </w:p>
        </w:tc>
        <w:tc>
          <w:tcPr>
            <w:tcW w:w="2400" w:type="dxa"/>
            <w:noWrap/>
            <w:hideMark/>
          </w:tcPr>
          <w:p w14:paraId="7A14BA7C"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124,334</w:t>
            </w:r>
          </w:p>
        </w:tc>
      </w:tr>
      <w:tr w:rsidR="00092C3F" w:rsidRPr="00281CD2" w14:paraId="5717E70B"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031F76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7</w:t>
            </w:r>
          </w:p>
        </w:tc>
        <w:tc>
          <w:tcPr>
            <w:tcW w:w="6945" w:type="dxa"/>
            <w:hideMark/>
          </w:tcPr>
          <w:p w14:paraId="67EE27F3"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Stavec</w:t>
            </w:r>
          </w:p>
        </w:tc>
        <w:tc>
          <w:tcPr>
            <w:tcW w:w="2400" w:type="dxa"/>
            <w:noWrap/>
            <w:hideMark/>
          </w:tcPr>
          <w:p w14:paraId="367F922F"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870,315</w:t>
            </w:r>
          </w:p>
        </w:tc>
      </w:tr>
      <w:tr w:rsidR="00092C3F" w:rsidRPr="00281CD2" w14:paraId="66462C11"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07864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8</w:t>
            </w:r>
          </w:p>
        </w:tc>
        <w:tc>
          <w:tcPr>
            <w:tcW w:w="6945" w:type="dxa"/>
            <w:hideMark/>
          </w:tcPr>
          <w:p w14:paraId="7AB67614"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Rapun 1, Rapun 2</w:t>
            </w:r>
          </w:p>
        </w:tc>
        <w:tc>
          <w:tcPr>
            <w:tcW w:w="2400" w:type="dxa"/>
            <w:noWrap/>
            <w:hideMark/>
          </w:tcPr>
          <w:p w14:paraId="44DCD0E1"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749,448</w:t>
            </w:r>
          </w:p>
        </w:tc>
      </w:tr>
      <w:tr w:rsidR="00092C3F" w:rsidRPr="00281CD2" w14:paraId="538E0C2F"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D156A55"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9</w:t>
            </w:r>
          </w:p>
        </w:tc>
        <w:tc>
          <w:tcPr>
            <w:tcW w:w="6945" w:type="dxa"/>
            <w:hideMark/>
          </w:tcPr>
          <w:p w14:paraId="299D16C6"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ndërtimin operimin dhe transferimin e Hidrocentralit Peshku</w:t>
            </w:r>
          </w:p>
        </w:tc>
        <w:tc>
          <w:tcPr>
            <w:tcW w:w="2400" w:type="dxa"/>
            <w:noWrap/>
            <w:hideMark/>
          </w:tcPr>
          <w:p w14:paraId="0A7F5FE2"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188,056</w:t>
            </w:r>
          </w:p>
        </w:tc>
      </w:tr>
      <w:tr w:rsidR="00092C3F" w:rsidRPr="00281CD2" w14:paraId="57BC6E33"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B7651E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10</w:t>
            </w:r>
          </w:p>
        </w:tc>
        <w:tc>
          <w:tcPr>
            <w:tcW w:w="6945" w:type="dxa"/>
            <w:hideMark/>
          </w:tcPr>
          <w:p w14:paraId="5531A552"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shfrytëzim dhe transferim të Hidrocentraleve Lura 1, 2 dhe 3</w:t>
            </w:r>
          </w:p>
        </w:tc>
        <w:tc>
          <w:tcPr>
            <w:tcW w:w="2400" w:type="dxa"/>
            <w:noWrap/>
            <w:hideMark/>
          </w:tcPr>
          <w:p w14:paraId="6CA02BC7"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1,300,178</w:t>
            </w:r>
          </w:p>
        </w:tc>
      </w:tr>
      <w:tr w:rsidR="00092C3F" w:rsidRPr="00281CD2" w14:paraId="49E41C17"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2DC6C9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11</w:t>
            </w:r>
          </w:p>
        </w:tc>
        <w:tc>
          <w:tcPr>
            <w:tcW w:w="6945" w:type="dxa"/>
            <w:hideMark/>
          </w:tcPr>
          <w:p w14:paraId="0D3E1946"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Hec Holta Kabash dhe Holta Porocan</w:t>
            </w:r>
          </w:p>
        </w:tc>
        <w:tc>
          <w:tcPr>
            <w:tcW w:w="2400" w:type="dxa"/>
            <w:noWrap/>
            <w:hideMark/>
          </w:tcPr>
          <w:p w14:paraId="225C4C34"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500,000</w:t>
            </w:r>
          </w:p>
        </w:tc>
      </w:tr>
      <w:tr w:rsidR="00092C3F" w:rsidRPr="00281CD2" w14:paraId="1D5D00EE"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F1676D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12</w:t>
            </w:r>
          </w:p>
        </w:tc>
        <w:tc>
          <w:tcPr>
            <w:tcW w:w="6945" w:type="dxa"/>
            <w:hideMark/>
          </w:tcPr>
          <w:p w14:paraId="2BDA2A2A"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Ndërtimin, pronësinë, shfrytëzimin, mirëmbajtien dhe transferimin e Hidrocentralit të ri në Ashta</w:t>
            </w:r>
          </w:p>
        </w:tc>
        <w:tc>
          <w:tcPr>
            <w:tcW w:w="2400" w:type="dxa"/>
            <w:noWrap/>
            <w:hideMark/>
          </w:tcPr>
          <w:p w14:paraId="6B906419"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19,520,000</w:t>
            </w:r>
          </w:p>
        </w:tc>
      </w:tr>
      <w:tr w:rsidR="00092C3F" w:rsidRPr="00281CD2" w14:paraId="205DEF4D"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F9690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13</w:t>
            </w:r>
          </w:p>
        </w:tc>
        <w:tc>
          <w:tcPr>
            <w:tcW w:w="6945" w:type="dxa"/>
            <w:hideMark/>
          </w:tcPr>
          <w:p w14:paraId="623EFEB8"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Prodhimi dhe shpëndarja e kartave të identitetit dhe pasaportave elektronike.</w:t>
            </w:r>
          </w:p>
        </w:tc>
        <w:tc>
          <w:tcPr>
            <w:tcW w:w="2400" w:type="dxa"/>
            <w:noWrap/>
            <w:hideMark/>
          </w:tcPr>
          <w:p w14:paraId="25BEB622"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0</w:t>
            </w:r>
          </w:p>
        </w:tc>
      </w:tr>
      <w:tr w:rsidR="00092C3F" w:rsidRPr="00281CD2" w14:paraId="3E71EAB7"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EB2123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14</w:t>
            </w:r>
          </w:p>
        </w:tc>
        <w:tc>
          <w:tcPr>
            <w:tcW w:w="6945" w:type="dxa"/>
            <w:hideMark/>
          </w:tcPr>
          <w:p w14:paraId="2072DA59"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Steblevë</w:t>
            </w:r>
          </w:p>
        </w:tc>
        <w:tc>
          <w:tcPr>
            <w:tcW w:w="2400" w:type="dxa"/>
            <w:noWrap/>
            <w:hideMark/>
          </w:tcPr>
          <w:p w14:paraId="712F4B8A"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159,680</w:t>
            </w:r>
          </w:p>
        </w:tc>
      </w:tr>
      <w:tr w:rsidR="00092C3F" w:rsidRPr="00281CD2" w14:paraId="6F9739FE"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3463271"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15</w:t>
            </w:r>
          </w:p>
        </w:tc>
        <w:tc>
          <w:tcPr>
            <w:tcW w:w="6945" w:type="dxa"/>
            <w:hideMark/>
          </w:tcPr>
          <w:p w14:paraId="2709E93A"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Suha 2</w:t>
            </w:r>
          </w:p>
        </w:tc>
        <w:tc>
          <w:tcPr>
            <w:tcW w:w="2400" w:type="dxa"/>
            <w:noWrap/>
            <w:hideMark/>
          </w:tcPr>
          <w:p w14:paraId="4245172F"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360,000</w:t>
            </w:r>
          </w:p>
        </w:tc>
      </w:tr>
      <w:tr w:rsidR="00092C3F" w:rsidRPr="00281CD2" w14:paraId="5A6A967A"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98AFE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16</w:t>
            </w:r>
          </w:p>
        </w:tc>
        <w:tc>
          <w:tcPr>
            <w:tcW w:w="6945" w:type="dxa"/>
            <w:hideMark/>
          </w:tcPr>
          <w:p w14:paraId="57A0D050"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i Hidrocentralit Tuçep 2</w:t>
            </w:r>
          </w:p>
        </w:tc>
        <w:tc>
          <w:tcPr>
            <w:tcW w:w="2400" w:type="dxa"/>
            <w:noWrap/>
            <w:hideMark/>
          </w:tcPr>
          <w:p w14:paraId="4F646B06"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166,000</w:t>
            </w:r>
          </w:p>
        </w:tc>
      </w:tr>
      <w:tr w:rsidR="00092C3F" w:rsidRPr="00281CD2" w14:paraId="3EDB3CB7"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1BA33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17</w:t>
            </w:r>
          </w:p>
        </w:tc>
        <w:tc>
          <w:tcPr>
            <w:tcW w:w="6945" w:type="dxa"/>
            <w:hideMark/>
          </w:tcPr>
          <w:p w14:paraId="2D51F144"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hidrocentralit QYTEZË</w:t>
            </w:r>
          </w:p>
        </w:tc>
        <w:tc>
          <w:tcPr>
            <w:tcW w:w="2400" w:type="dxa"/>
            <w:noWrap/>
            <w:hideMark/>
          </w:tcPr>
          <w:p w14:paraId="3BA18795"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27,700</w:t>
            </w:r>
          </w:p>
        </w:tc>
      </w:tr>
      <w:tr w:rsidR="00092C3F" w:rsidRPr="00281CD2" w14:paraId="4BA68990"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BB50D4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18</w:t>
            </w:r>
          </w:p>
        </w:tc>
        <w:tc>
          <w:tcPr>
            <w:tcW w:w="6945" w:type="dxa"/>
            <w:hideMark/>
          </w:tcPr>
          <w:p w14:paraId="6BCC0E20"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hidrocentraleve PRELLE 1 dhe PRELLE 2</w:t>
            </w:r>
          </w:p>
        </w:tc>
        <w:tc>
          <w:tcPr>
            <w:tcW w:w="2400" w:type="dxa"/>
            <w:noWrap/>
            <w:hideMark/>
          </w:tcPr>
          <w:p w14:paraId="0E46C2A9"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1,512,586</w:t>
            </w:r>
          </w:p>
        </w:tc>
      </w:tr>
      <w:tr w:rsidR="00092C3F" w:rsidRPr="00281CD2" w14:paraId="555ED48F"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EF82DA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19</w:t>
            </w:r>
          </w:p>
        </w:tc>
        <w:tc>
          <w:tcPr>
            <w:tcW w:w="6945" w:type="dxa"/>
            <w:hideMark/>
          </w:tcPr>
          <w:p w14:paraId="21FD5A48"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transferimi i hidrocentralit Lapaj</w:t>
            </w:r>
          </w:p>
        </w:tc>
        <w:tc>
          <w:tcPr>
            <w:tcW w:w="2400" w:type="dxa"/>
            <w:noWrap/>
            <w:hideMark/>
          </w:tcPr>
          <w:p w14:paraId="0F7D4F7B"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1,453,500</w:t>
            </w:r>
          </w:p>
        </w:tc>
      </w:tr>
      <w:tr w:rsidR="00092C3F" w:rsidRPr="00281CD2" w14:paraId="571D1938"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20D589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20</w:t>
            </w:r>
          </w:p>
        </w:tc>
        <w:tc>
          <w:tcPr>
            <w:tcW w:w="6945" w:type="dxa"/>
            <w:hideMark/>
          </w:tcPr>
          <w:p w14:paraId="450CDFF1"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Vlushë</w:t>
            </w:r>
          </w:p>
        </w:tc>
        <w:tc>
          <w:tcPr>
            <w:tcW w:w="2400" w:type="dxa"/>
            <w:noWrap/>
            <w:hideMark/>
          </w:tcPr>
          <w:p w14:paraId="19F7EBC8"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1,718,835</w:t>
            </w:r>
          </w:p>
        </w:tc>
      </w:tr>
      <w:tr w:rsidR="00092C3F" w:rsidRPr="00281CD2" w14:paraId="71E33CD3"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25D50B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21</w:t>
            </w:r>
          </w:p>
        </w:tc>
        <w:tc>
          <w:tcPr>
            <w:tcW w:w="6945" w:type="dxa"/>
            <w:hideMark/>
          </w:tcPr>
          <w:p w14:paraId="20EE2804"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Stravaj</w:t>
            </w:r>
          </w:p>
        </w:tc>
        <w:tc>
          <w:tcPr>
            <w:tcW w:w="2400" w:type="dxa"/>
            <w:noWrap/>
            <w:hideMark/>
          </w:tcPr>
          <w:p w14:paraId="6B81E962"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503,529</w:t>
            </w:r>
          </w:p>
        </w:tc>
      </w:tr>
      <w:tr w:rsidR="00092C3F" w:rsidRPr="00281CD2" w14:paraId="0B50F0E5"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A15DF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22</w:t>
            </w:r>
          </w:p>
        </w:tc>
        <w:tc>
          <w:tcPr>
            <w:tcW w:w="6945" w:type="dxa"/>
            <w:hideMark/>
          </w:tcPr>
          <w:p w14:paraId="0A9EBB8E"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Kacni</w:t>
            </w:r>
          </w:p>
        </w:tc>
        <w:tc>
          <w:tcPr>
            <w:tcW w:w="2400" w:type="dxa"/>
            <w:noWrap/>
            <w:hideMark/>
          </w:tcPr>
          <w:p w14:paraId="068DDC81"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133,121</w:t>
            </w:r>
          </w:p>
        </w:tc>
      </w:tr>
      <w:tr w:rsidR="00092C3F" w:rsidRPr="00281CD2" w14:paraId="1D3417C1"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36453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23</w:t>
            </w:r>
          </w:p>
        </w:tc>
        <w:tc>
          <w:tcPr>
            <w:tcW w:w="6945" w:type="dxa"/>
            <w:hideMark/>
          </w:tcPr>
          <w:p w14:paraId="2C0A9937"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Strelca 1, Strelca 2, Strelca 3</w:t>
            </w:r>
          </w:p>
        </w:tc>
        <w:tc>
          <w:tcPr>
            <w:tcW w:w="2400" w:type="dxa"/>
            <w:noWrap/>
            <w:hideMark/>
          </w:tcPr>
          <w:p w14:paraId="2DA48FF9"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1,084,000</w:t>
            </w:r>
          </w:p>
        </w:tc>
      </w:tr>
      <w:tr w:rsidR="00092C3F" w:rsidRPr="00281CD2" w14:paraId="74AE6C4F"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28007D9"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24</w:t>
            </w:r>
          </w:p>
        </w:tc>
        <w:tc>
          <w:tcPr>
            <w:tcW w:w="6945" w:type="dxa"/>
            <w:hideMark/>
          </w:tcPr>
          <w:p w14:paraId="34BA0DA3"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Bistrica 3 dhe 4</w:t>
            </w:r>
          </w:p>
        </w:tc>
        <w:tc>
          <w:tcPr>
            <w:tcW w:w="2400" w:type="dxa"/>
            <w:noWrap/>
            <w:hideMark/>
          </w:tcPr>
          <w:p w14:paraId="60A9FF27"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756,400</w:t>
            </w:r>
          </w:p>
        </w:tc>
      </w:tr>
      <w:tr w:rsidR="00092C3F" w:rsidRPr="00281CD2" w14:paraId="53C790FA"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7DF72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25</w:t>
            </w:r>
          </w:p>
        </w:tc>
        <w:tc>
          <w:tcPr>
            <w:tcW w:w="6945" w:type="dxa"/>
            <w:hideMark/>
          </w:tcPr>
          <w:p w14:paraId="15806985"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Lengarica 1 dhe 2</w:t>
            </w:r>
          </w:p>
        </w:tc>
        <w:tc>
          <w:tcPr>
            <w:tcW w:w="2400" w:type="dxa"/>
            <w:noWrap/>
            <w:hideMark/>
          </w:tcPr>
          <w:p w14:paraId="7A5CC391"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1,980,904</w:t>
            </w:r>
          </w:p>
        </w:tc>
      </w:tr>
      <w:tr w:rsidR="00092C3F" w:rsidRPr="00281CD2" w14:paraId="4A56262A"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11B80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26</w:t>
            </w:r>
          </w:p>
        </w:tc>
        <w:tc>
          <w:tcPr>
            <w:tcW w:w="6945" w:type="dxa"/>
            <w:hideMark/>
          </w:tcPr>
          <w:p w14:paraId="04CE1CB8"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Sllabinjë</w:t>
            </w:r>
          </w:p>
        </w:tc>
        <w:tc>
          <w:tcPr>
            <w:tcW w:w="2400" w:type="dxa"/>
            <w:noWrap/>
            <w:hideMark/>
          </w:tcPr>
          <w:p w14:paraId="72308473"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1,290,117</w:t>
            </w:r>
          </w:p>
        </w:tc>
      </w:tr>
      <w:tr w:rsidR="00092C3F" w:rsidRPr="00281CD2" w14:paraId="1E914248"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602F2C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27</w:t>
            </w:r>
          </w:p>
        </w:tc>
        <w:tc>
          <w:tcPr>
            <w:tcW w:w="6945" w:type="dxa"/>
            <w:hideMark/>
          </w:tcPr>
          <w:p w14:paraId="1A295846"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Martanesh</w:t>
            </w:r>
          </w:p>
        </w:tc>
        <w:tc>
          <w:tcPr>
            <w:tcW w:w="2400" w:type="dxa"/>
            <w:noWrap/>
            <w:hideMark/>
          </w:tcPr>
          <w:p w14:paraId="3F2C38F1"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857,862</w:t>
            </w:r>
          </w:p>
        </w:tc>
      </w:tr>
      <w:tr w:rsidR="00092C3F" w:rsidRPr="00281CD2" w14:paraId="027421D8"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5A877A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28</w:t>
            </w:r>
          </w:p>
        </w:tc>
        <w:tc>
          <w:tcPr>
            <w:tcW w:w="6945" w:type="dxa"/>
            <w:hideMark/>
          </w:tcPr>
          <w:p w14:paraId="6B025385"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Bishnica 1 dhe 2</w:t>
            </w:r>
          </w:p>
        </w:tc>
        <w:tc>
          <w:tcPr>
            <w:tcW w:w="2400" w:type="dxa"/>
            <w:noWrap/>
            <w:hideMark/>
          </w:tcPr>
          <w:p w14:paraId="534B1511"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250,000</w:t>
            </w:r>
          </w:p>
        </w:tc>
      </w:tr>
      <w:tr w:rsidR="00092C3F" w:rsidRPr="00281CD2" w14:paraId="5AC04B6F"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C4307D4"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29</w:t>
            </w:r>
          </w:p>
        </w:tc>
        <w:tc>
          <w:tcPr>
            <w:tcW w:w="6945" w:type="dxa"/>
            <w:hideMark/>
          </w:tcPr>
          <w:p w14:paraId="729017DF"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Selishtë</w:t>
            </w:r>
          </w:p>
        </w:tc>
        <w:tc>
          <w:tcPr>
            <w:tcW w:w="2400" w:type="dxa"/>
            <w:noWrap/>
            <w:hideMark/>
          </w:tcPr>
          <w:p w14:paraId="1CF0BE46"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120,000</w:t>
            </w:r>
          </w:p>
        </w:tc>
      </w:tr>
      <w:tr w:rsidR="00092C3F" w:rsidRPr="00281CD2" w14:paraId="367EFD36"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1AD085"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lastRenderedPageBreak/>
              <w:t>30</w:t>
            </w:r>
          </w:p>
        </w:tc>
        <w:tc>
          <w:tcPr>
            <w:tcW w:w="6945" w:type="dxa"/>
            <w:hideMark/>
          </w:tcPr>
          <w:p w14:paraId="05BE4713"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Orgjost i Ri; Bele 1, 2; Topojan 1,2</w:t>
            </w:r>
          </w:p>
        </w:tc>
        <w:tc>
          <w:tcPr>
            <w:tcW w:w="2400" w:type="dxa"/>
            <w:noWrap/>
            <w:hideMark/>
          </w:tcPr>
          <w:p w14:paraId="6FB965B0"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3,565,745</w:t>
            </w:r>
          </w:p>
        </w:tc>
      </w:tr>
      <w:tr w:rsidR="00092C3F" w:rsidRPr="00281CD2" w14:paraId="74A35123"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0C4C63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31</w:t>
            </w:r>
          </w:p>
        </w:tc>
        <w:tc>
          <w:tcPr>
            <w:tcW w:w="6945" w:type="dxa"/>
            <w:hideMark/>
          </w:tcPr>
          <w:p w14:paraId="57F56F18"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Kabash 1 dhe 2</w:t>
            </w:r>
          </w:p>
        </w:tc>
        <w:tc>
          <w:tcPr>
            <w:tcW w:w="2400" w:type="dxa"/>
            <w:noWrap/>
            <w:hideMark/>
          </w:tcPr>
          <w:p w14:paraId="7DB3C541"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671,000</w:t>
            </w:r>
          </w:p>
        </w:tc>
      </w:tr>
      <w:tr w:rsidR="00092C3F" w:rsidRPr="00281CD2" w14:paraId="2B56DD10"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86C95B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32</w:t>
            </w:r>
          </w:p>
        </w:tc>
        <w:tc>
          <w:tcPr>
            <w:tcW w:w="6945" w:type="dxa"/>
            <w:hideMark/>
          </w:tcPr>
          <w:p w14:paraId="38B94E66"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Rehabilitimi, Operimi dhe Transferimi i Hidrocentralit "Labinot-Mal"</w:t>
            </w:r>
          </w:p>
        </w:tc>
        <w:tc>
          <w:tcPr>
            <w:tcW w:w="2400" w:type="dxa"/>
            <w:noWrap/>
            <w:hideMark/>
          </w:tcPr>
          <w:p w14:paraId="3801779F"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12,500</w:t>
            </w:r>
          </w:p>
        </w:tc>
      </w:tr>
      <w:tr w:rsidR="00092C3F" w:rsidRPr="00281CD2" w14:paraId="4D5C9B99"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E6B8189"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33</w:t>
            </w:r>
          </w:p>
        </w:tc>
        <w:tc>
          <w:tcPr>
            <w:tcW w:w="6945" w:type="dxa"/>
            <w:hideMark/>
          </w:tcPr>
          <w:p w14:paraId="3D552CA0"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transferitmi i hidrocentralit Çarshovë</w:t>
            </w:r>
          </w:p>
        </w:tc>
        <w:tc>
          <w:tcPr>
            <w:tcW w:w="2400" w:type="dxa"/>
            <w:noWrap/>
            <w:hideMark/>
          </w:tcPr>
          <w:p w14:paraId="079DD763"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83,500</w:t>
            </w:r>
          </w:p>
        </w:tc>
      </w:tr>
      <w:tr w:rsidR="00092C3F" w:rsidRPr="00281CD2" w14:paraId="5F9FA048" w14:textId="77777777" w:rsidTr="00EC1116">
        <w:trPr>
          <w:trHeight w:val="3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4CA23F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34</w:t>
            </w:r>
          </w:p>
        </w:tc>
        <w:tc>
          <w:tcPr>
            <w:tcW w:w="6945" w:type="dxa"/>
            <w:hideMark/>
          </w:tcPr>
          <w:p w14:paraId="09D34780"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dhënien me koncesion të prodhimit të kripës Nartë, Vlorë</w:t>
            </w:r>
          </w:p>
        </w:tc>
        <w:tc>
          <w:tcPr>
            <w:tcW w:w="2400" w:type="dxa"/>
            <w:noWrap/>
            <w:hideMark/>
          </w:tcPr>
          <w:p w14:paraId="096AC1F6"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1,400,000</w:t>
            </w:r>
          </w:p>
        </w:tc>
      </w:tr>
      <w:tr w:rsidR="00092C3F" w:rsidRPr="00281CD2" w14:paraId="27EADE41" w14:textId="77777777" w:rsidTr="00EC1116">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9D4C08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35</w:t>
            </w:r>
          </w:p>
        </w:tc>
        <w:tc>
          <w:tcPr>
            <w:tcW w:w="6945" w:type="dxa"/>
            <w:hideMark/>
          </w:tcPr>
          <w:p w14:paraId="41EBA542"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Dhënien me Koncesion të Rregjistrit te Barreve Siguruese</w:t>
            </w:r>
          </w:p>
        </w:tc>
        <w:tc>
          <w:tcPr>
            <w:tcW w:w="2400" w:type="dxa"/>
            <w:noWrap/>
            <w:hideMark/>
          </w:tcPr>
          <w:p w14:paraId="082FAC1F"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35,692</w:t>
            </w:r>
          </w:p>
        </w:tc>
      </w:tr>
      <w:tr w:rsidR="00092C3F" w:rsidRPr="00281CD2" w14:paraId="2A8EDFDD"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85D37E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36</w:t>
            </w:r>
          </w:p>
        </w:tc>
        <w:tc>
          <w:tcPr>
            <w:tcW w:w="6945" w:type="dxa"/>
            <w:hideMark/>
          </w:tcPr>
          <w:p w14:paraId="2B36A662"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Darsi 1, Darsi 2, Darsi 3, Darsi 4</w:t>
            </w:r>
          </w:p>
        </w:tc>
        <w:tc>
          <w:tcPr>
            <w:tcW w:w="2400" w:type="dxa"/>
            <w:noWrap/>
            <w:hideMark/>
          </w:tcPr>
          <w:p w14:paraId="6A99D50A"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1,230,441</w:t>
            </w:r>
          </w:p>
        </w:tc>
      </w:tr>
      <w:tr w:rsidR="00092C3F" w:rsidRPr="00281CD2" w14:paraId="1B05079D"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2EE51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37</w:t>
            </w:r>
          </w:p>
        </w:tc>
        <w:tc>
          <w:tcPr>
            <w:tcW w:w="6945" w:type="dxa"/>
            <w:hideMark/>
          </w:tcPr>
          <w:p w14:paraId="1017B252"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ne lumin e Shalës</w:t>
            </w:r>
          </w:p>
        </w:tc>
        <w:tc>
          <w:tcPr>
            <w:tcW w:w="2400" w:type="dxa"/>
            <w:noWrap/>
            <w:hideMark/>
          </w:tcPr>
          <w:p w14:paraId="7820BD24"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18,915,951</w:t>
            </w:r>
          </w:p>
        </w:tc>
      </w:tr>
      <w:tr w:rsidR="00092C3F" w:rsidRPr="00281CD2" w14:paraId="1DE1B00C"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01DD7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38</w:t>
            </w:r>
          </w:p>
        </w:tc>
        <w:tc>
          <w:tcPr>
            <w:tcW w:w="6945" w:type="dxa"/>
            <w:hideMark/>
          </w:tcPr>
          <w:p w14:paraId="019ADAE2"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Valbona</w:t>
            </w:r>
          </w:p>
        </w:tc>
        <w:tc>
          <w:tcPr>
            <w:tcW w:w="2400" w:type="dxa"/>
            <w:noWrap/>
            <w:hideMark/>
          </w:tcPr>
          <w:p w14:paraId="2CCBB4BE"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274,205</w:t>
            </w:r>
          </w:p>
        </w:tc>
      </w:tr>
      <w:tr w:rsidR="00092C3F" w:rsidRPr="00281CD2" w14:paraId="37647CAE"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62B8539"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39</w:t>
            </w:r>
          </w:p>
        </w:tc>
        <w:tc>
          <w:tcPr>
            <w:tcW w:w="6945" w:type="dxa"/>
            <w:hideMark/>
          </w:tcPr>
          <w:p w14:paraId="7EA2E17D"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5 Hidrocentraleve në rrjedhën e lumit Shkumbin</w:t>
            </w:r>
          </w:p>
        </w:tc>
        <w:tc>
          <w:tcPr>
            <w:tcW w:w="2400" w:type="dxa"/>
            <w:noWrap/>
            <w:hideMark/>
          </w:tcPr>
          <w:p w14:paraId="49B171B8"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847,000</w:t>
            </w:r>
          </w:p>
        </w:tc>
      </w:tr>
      <w:tr w:rsidR="00092C3F" w:rsidRPr="00281CD2" w14:paraId="44D2B654"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50FFB1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40</w:t>
            </w:r>
          </w:p>
        </w:tc>
        <w:tc>
          <w:tcPr>
            <w:tcW w:w="6945" w:type="dxa"/>
            <w:hideMark/>
          </w:tcPr>
          <w:p w14:paraId="711FD5E6"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ndertimin, operim dhe transferim të Hidrocentraleve Veleshica 1, 2, 3, 4, 5, 6 Sllove dhe Bjeshke</w:t>
            </w:r>
          </w:p>
        </w:tc>
        <w:tc>
          <w:tcPr>
            <w:tcW w:w="2400" w:type="dxa"/>
            <w:noWrap/>
            <w:hideMark/>
          </w:tcPr>
          <w:p w14:paraId="6D5DDC20"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3,254,323</w:t>
            </w:r>
          </w:p>
        </w:tc>
      </w:tr>
      <w:tr w:rsidR="00092C3F" w:rsidRPr="00281CD2" w14:paraId="5B8E2B99"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A99459"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41</w:t>
            </w:r>
          </w:p>
        </w:tc>
        <w:tc>
          <w:tcPr>
            <w:tcW w:w="6945" w:type="dxa"/>
            <w:hideMark/>
          </w:tcPr>
          <w:p w14:paraId="1EAD0063"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i Hidrocentralit Dragobia</w:t>
            </w:r>
          </w:p>
        </w:tc>
        <w:tc>
          <w:tcPr>
            <w:tcW w:w="2400" w:type="dxa"/>
            <w:noWrap/>
            <w:hideMark/>
          </w:tcPr>
          <w:p w14:paraId="6DF49893"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2,404,858</w:t>
            </w:r>
          </w:p>
        </w:tc>
      </w:tr>
      <w:tr w:rsidR="00092C3F" w:rsidRPr="00281CD2" w14:paraId="7A32B975"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82B718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42</w:t>
            </w:r>
          </w:p>
        </w:tc>
        <w:tc>
          <w:tcPr>
            <w:tcW w:w="6945" w:type="dxa"/>
            <w:hideMark/>
          </w:tcPr>
          <w:p w14:paraId="35AE7BC4"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Bënçë dhe Tepelenë</w:t>
            </w:r>
          </w:p>
        </w:tc>
        <w:tc>
          <w:tcPr>
            <w:tcW w:w="2400" w:type="dxa"/>
            <w:noWrap/>
            <w:hideMark/>
          </w:tcPr>
          <w:p w14:paraId="01CEEBA5"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675,221</w:t>
            </w:r>
          </w:p>
        </w:tc>
      </w:tr>
      <w:tr w:rsidR="00092C3F" w:rsidRPr="00281CD2" w14:paraId="50686321"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701B745"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43</w:t>
            </w:r>
          </w:p>
        </w:tc>
        <w:tc>
          <w:tcPr>
            <w:tcW w:w="6945" w:type="dxa"/>
            <w:hideMark/>
          </w:tcPr>
          <w:p w14:paraId="67E07C8C"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Meshanik dhe Guvë</w:t>
            </w:r>
          </w:p>
        </w:tc>
        <w:tc>
          <w:tcPr>
            <w:tcW w:w="2400" w:type="dxa"/>
            <w:noWrap/>
            <w:hideMark/>
          </w:tcPr>
          <w:p w14:paraId="2A1706B0"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216,153</w:t>
            </w:r>
          </w:p>
        </w:tc>
      </w:tr>
      <w:tr w:rsidR="00092C3F" w:rsidRPr="00281CD2" w14:paraId="30BDF049"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FAFD6F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44</w:t>
            </w:r>
          </w:p>
        </w:tc>
        <w:tc>
          <w:tcPr>
            <w:tcW w:w="6945" w:type="dxa"/>
            <w:hideMark/>
          </w:tcPr>
          <w:p w14:paraId="27D74DE7"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Çaje, Reke, Livadhe, Shkinak, Lapaj 2, Bushtrica 1, Bushtrica 2 dhe Bushtrica 3</w:t>
            </w:r>
          </w:p>
        </w:tc>
        <w:tc>
          <w:tcPr>
            <w:tcW w:w="2400" w:type="dxa"/>
            <w:noWrap/>
            <w:hideMark/>
          </w:tcPr>
          <w:p w14:paraId="09D44DEB"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3,673,402</w:t>
            </w:r>
          </w:p>
        </w:tc>
      </w:tr>
      <w:tr w:rsidR="00092C3F" w:rsidRPr="00281CD2" w14:paraId="5DF3601A"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B7F80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45</w:t>
            </w:r>
          </w:p>
        </w:tc>
        <w:tc>
          <w:tcPr>
            <w:tcW w:w="6945" w:type="dxa"/>
            <w:hideMark/>
          </w:tcPr>
          <w:p w14:paraId="09B3511B"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trenasferim i hidrocentralit Labinot Fushë</w:t>
            </w:r>
          </w:p>
        </w:tc>
        <w:tc>
          <w:tcPr>
            <w:tcW w:w="2400" w:type="dxa"/>
            <w:noWrap/>
            <w:hideMark/>
          </w:tcPr>
          <w:p w14:paraId="3F3B3880"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347,706</w:t>
            </w:r>
          </w:p>
        </w:tc>
      </w:tr>
      <w:tr w:rsidR="00092C3F" w:rsidRPr="00281CD2" w14:paraId="3835B79F"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BABFA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46</w:t>
            </w:r>
          </w:p>
        </w:tc>
        <w:tc>
          <w:tcPr>
            <w:tcW w:w="6945" w:type="dxa"/>
            <w:hideMark/>
          </w:tcPr>
          <w:p w14:paraId="03574D54"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Hidrocentraleve në Pellgun Ujëmbledhës të Shmilit dhe Zallit të Gjurait, Rrethi Librazhd</w:t>
            </w:r>
          </w:p>
        </w:tc>
        <w:tc>
          <w:tcPr>
            <w:tcW w:w="2400" w:type="dxa"/>
            <w:noWrap/>
            <w:hideMark/>
          </w:tcPr>
          <w:p w14:paraId="473E32F5"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1,165,964</w:t>
            </w:r>
          </w:p>
        </w:tc>
      </w:tr>
      <w:tr w:rsidR="00092C3F" w:rsidRPr="00281CD2" w14:paraId="0C6053EB"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FD227B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47</w:t>
            </w:r>
          </w:p>
        </w:tc>
        <w:tc>
          <w:tcPr>
            <w:tcW w:w="6945" w:type="dxa"/>
            <w:hideMark/>
          </w:tcPr>
          <w:p w14:paraId="3C49EF2B"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Hidrocentraleve, Cemerica 1, Cemerica 2 dhe Cemerica 3</w:t>
            </w:r>
          </w:p>
        </w:tc>
        <w:tc>
          <w:tcPr>
            <w:tcW w:w="2400" w:type="dxa"/>
            <w:noWrap/>
            <w:hideMark/>
          </w:tcPr>
          <w:p w14:paraId="7B69293F"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300,674</w:t>
            </w:r>
          </w:p>
        </w:tc>
      </w:tr>
      <w:tr w:rsidR="00092C3F" w:rsidRPr="00281CD2" w14:paraId="3A5E132E"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68025E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48</w:t>
            </w:r>
          </w:p>
        </w:tc>
        <w:tc>
          <w:tcPr>
            <w:tcW w:w="6945" w:type="dxa"/>
            <w:hideMark/>
          </w:tcPr>
          <w:p w14:paraId="5D3BE0D8"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hidrocentraleve RAPUN 3, RAPUN 3A dhe RAPUN 4</w:t>
            </w:r>
          </w:p>
        </w:tc>
        <w:tc>
          <w:tcPr>
            <w:tcW w:w="2400" w:type="dxa"/>
            <w:noWrap/>
            <w:hideMark/>
          </w:tcPr>
          <w:p w14:paraId="5D2D9FF3"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790,361</w:t>
            </w:r>
          </w:p>
        </w:tc>
      </w:tr>
      <w:tr w:rsidR="00092C3F" w:rsidRPr="00281CD2" w14:paraId="09DCA29A"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12A6C0"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49</w:t>
            </w:r>
          </w:p>
        </w:tc>
        <w:tc>
          <w:tcPr>
            <w:tcW w:w="6945" w:type="dxa"/>
            <w:hideMark/>
          </w:tcPr>
          <w:p w14:paraId="5493E1D3"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Rehabilitimin, operimin dhe transferimin e hidrocentralit DOMAJ, Has</w:t>
            </w:r>
          </w:p>
        </w:tc>
        <w:tc>
          <w:tcPr>
            <w:tcW w:w="2400" w:type="dxa"/>
            <w:noWrap/>
            <w:hideMark/>
          </w:tcPr>
          <w:p w14:paraId="484B3FD5"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12,370</w:t>
            </w:r>
          </w:p>
        </w:tc>
      </w:tr>
      <w:tr w:rsidR="00092C3F" w:rsidRPr="00281CD2" w14:paraId="670ED37B"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56A7B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50</w:t>
            </w:r>
          </w:p>
        </w:tc>
        <w:tc>
          <w:tcPr>
            <w:tcW w:w="6945" w:type="dxa"/>
            <w:hideMark/>
          </w:tcPr>
          <w:p w14:paraId="476CF30B"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hidrocentraleve mbi Lumin Kardhiq</w:t>
            </w:r>
          </w:p>
        </w:tc>
        <w:tc>
          <w:tcPr>
            <w:tcW w:w="2400" w:type="dxa"/>
            <w:noWrap/>
            <w:hideMark/>
          </w:tcPr>
          <w:p w14:paraId="39B4C5A3"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1,041,453</w:t>
            </w:r>
          </w:p>
        </w:tc>
      </w:tr>
      <w:tr w:rsidR="00092C3F" w:rsidRPr="00281CD2" w14:paraId="00CD029F"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ED40AA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51</w:t>
            </w:r>
          </w:p>
        </w:tc>
        <w:tc>
          <w:tcPr>
            <w:tcW w:w="6945" w:type="dxa"/>
            <w:hideMark/>
          </w:tcPr>
          <w:p w14:paraId="67A94A89"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hidrocentraleve TREBINJA 1, TREBINJA 2, POTGOZHAN, KALIVAÇ dhe DUNICE</w:t>
            </w:r>
          </w:p>
        </w:tc>
        <w:tc>
          <w:tcPr>
            <w:tcW w:w="2400" w:type="dxa"/>
            <w:noWrap/>
            <w:hideMark/>
          </w:tcPr>
          <w:p w14:paraId="649D4781"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175,586</w:t>
            </w:r>
          </w:p>
        </w:tc>
      </w:tr>
      <w:tr w:rsidR="00092C3F" w:rsidRPr="00281CD2" w14:paraId="471F7FC6"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3EA50A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52</w:t>
            </w:r>
          </w:p>
        </w:tc>
        <w:tc>
          <w:tcPr>
            <w:tcW w:w="6945" w:type="dxa"/>
            <w:hideMark/>
          </w:tcPr>
          <w:p w14:paraId="5F25B831"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transferimin e hidrocentralit ZEREC</w:t>
            </w:r>
          </w:p>
        </w:tc>
        <w:tc>
          <w:tcPr>
            <w:tcW w:w="2400" w:type="dxa"/>
            <w:noWrap/>
            <w:hideMark/>
          </w:tcPr>
          <w:p w14:paraId="45180FB6"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120,312</w:t>
            </w:r>
          </w:p>
        </w:tc>
      </w:tr>
      <w:tr w:rsidR="00092C3F" w:rsidRPr="00281CD2" w14:paraId="15847D42"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75B3C9"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53</w:t>
            </w:r>
          </w:p>
        </w:tc>
        <w:tc>
          <w:tcPr>
            <w:tcW w:w="6945" w:type="dxa"/>
            <w:hideMark/>
          </w:tcPr>
          <w:p w14:paraId="247EEC3B"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i hidrocentraleve ARRËZ, SHËNDELLI, SOTIRE, PODE, MESARE, URA, RAJAN 2, RADON, DEDOVE, PESHTAN, OSNATI DHE GRADISHT</w:t>
            </w:r>
          </w:p>
        </w:tc>
        <w:tc>
          <w:tcPr>
            <w:tcW w:w="2400" w:type="dxa"/>
            <w:noWrap/>
            <w:hideMark/>
          </w:tcPr>
          <w:p w14:paraId="34394E7A"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837,404</w:t>
            </w:r>
          </w:p>
        </w:tc>
      </w:tr>
      <w:tr w:rsidR="00092C3F" w:rsidRPr="00281CD2" w14:paraId="322C1C43"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6C605C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54</w:t>
            </w:r>
          </w:p>
        </w:tc>
        <w:tc>
          <w:tcPr>
            <w:tcW w:w="6945" w:type="dxa"/>
            <w:hideMark/>
          </w:tcPr>
          <w:p w14:paraId="45D84AA1"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i hidrocentraleve KUKUR 1, 2, 3, 4 dhe 5</w:t>
            </w:r>
          </w:p>
        </w:tc>
        <w:tc>
          <w:tcPr>
            <w:tcW w:w="2400" w:type="dxa"/>
            <w:noWrap/>
            <w:hideMark/>
          </w:tcPr>
          <w:p w14:paraId="15B3EA31"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4,547,551</w:t>
            </w:r>
          </w:p>
        </w:tc>
      </w:tr>
      <w:tr w:rsidR="00092C3F" w:rsidRPr="00281CD2" w14:paraId="71AAF876"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1451499"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55</w:t>
            </w:r>
          </w:p>
        </w:tc>
        <w:tc>
          <w:tcPr>
            <w:tcW w:w="6945" w:type="dxa"/>
            <w:hideMark/>
          </w:tcPr>
          <w:p w14:paraId="32341EC1"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transferimi i hidrocentraleve Sotirë, Sotirë 2</w:t>
            </w:r>
          </w:p>
        </w:tc>
        <w:tc>
          <w:tcPr>
            <w:tcW w:w="2400" w:type="dxa"/>
            <w:noWrap/>
            <w:hideMark/>
          </w:tcPr>
          <w:p w14:paraId="148C9E8B"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144,555</w:t>
            </w:r>
          </w:p>
        </w:tc>
      </w:tr>
      <w:tr w:rsidR="00092C3F" w:rsidRPr="00281CD2" w14:paraId="42C26193"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0AA90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56</w:t>
            </w:r>
          </w:p>
        </w:tc>
        <w:tc>
          <w:tcPr>
            <w:tcW w:w="6945" w:type="dxa"/>
            <w:hideMark/>
          </w:tcPr>
          <w:p w14:paraId="7F032338"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transferimi i hidrocentraleve Gur Shpat1, Gur Shpat 2</w:t>
            </w:r>
          </w:p>
        </w:tc>
        <w:tc>
          <w:tcPr>
            <w:tcW w:w="2400" w:type="dxa"/>
            <w:noWrap/>
            <w:hideMark/>
          </w:tcPr>
          <w:p w14:paraId="366B0598"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176,739</w:t>
            </w:r>
          </w:p>
        </w:tc>
      </w:tr>
      <w:tr w:rsidR="00092C3F" w:rsidRPr="00281CD2" w14:paraId="5C1E60C3"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26179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57</w:t>
            </w:r>
          </w:p>
        </w:tc>
        <w:tc>
          <w:tcPr>
            <w:tcW w:w="6945" w:type="dxa"/>
            <w:hideMark/>
          </w:tcPr>
          <w:p w14:paraId="6E632DB4"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transferimi i hidrocentralit Mollaj</w:t>
            </w:r>
          </w:p>
        </w:tc>
        <w:tc>
          <w:tcPr>
            <w:tcW w:w="2400" w:type="dxa"/>
            <w:noWrap/>
            <w:hideMark/>
          </w:tcPr>
          <w:p w14:paraId="6DDD4148"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79,700</w:t>
            </w:r>
          </w:p>
        </w:tc>
      </w:tr>
      <w:tr w:rsidR="00092C3F" w:rsidRPr="00281CD2" w14:paraId="063EFC8B"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473118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58</w:t>
            </w:r>
          </w:p>
        </w:tc>
        <w:tc>
          <w:tcPr>
            <w:tcW w:w="6945" w:type="dxa"/>
            <w:hideMark/>
          </w:tcPr>
          <w:p w14:paraId="1D75199A"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mirëmbajtja dhe transferimi i hidrocentraleve të kaskadës së lumit Dardhë.</w:t>
            </w:r>
          </w:p>
        </w:tc>
        <w:tc>
          <w:tcPr>
            <w:tcW w:w="2400" w:type="dxa"/>
            <w:noWrap/>
            <w:hideMark/>
          </w:tcPr>
          <w:p w14:paraId="3063F872"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907,956</w:t>
            </w:r>
          </w:p>
        </w:tc>
      </w:tr>
      <w:tr w:rsidR="00092C3F" w:rsidRPr="00281CD2" w14:paraId="027C1400"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6B0CC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59</w:t>
            </w:r>
          </w:p>
        </w:tc>
        <w:tc>
          <w:tcPr>
            <w:tcW w:w="6945" w:type="dxa"/>
            <w:hideMark/>
          </w:tcPr>
          <w:p w14:paraId="5AD6158B"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mirëmbajtja dhe transferimi i hidrocentralit Lena 1, Lena 2, Lena 2-A</w:t>
            </w:r>
          </w:p>
        </w:tc>
        <w:tc>
          <w:tcPr>
            <w:tcW w:w="2400" w:type="dxa"/>
            <w:noWrap/>
            <w:hideMark/>
          </w:tcPr>
          <w:p w14:paraId="62055ADF"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311,332</w:t>
            </w:r>
          </w:p>
        </w:tc>
      </w:tr>
      <w:tr w:rsidR="00092C3F" w:rsidRPr="00281CD2" w14:paraId="55F72761"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D18088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60</w:t>
            </w:r>
          </w:p>
        </w:tc>
        <w:tc>
          <w:tcPr>
            <w:tcW w:w="6945" w:type="dxa"/>
            <w:hideMark/>
          </w:tcPr>
          <w:p w14:paraId="4E0D3782"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mirëmbajtja dhe transferimi i hidrocentralit Picar 1</w:t>
            </w:r>
          </w:p>
        </w:tc>
        <w:tc>
          <w:tcPr>
            <w:tcW w:w="2400" w:type="dxa"/>
            <w:noWrap/>
            <w:hideMark/>
          </w:tcPr>
          <w:p w14:paraId="6C1753CF"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35,456</w:t>
            </w:r>
          </w:p>
        </w:tc>
      </w:tr>
      <w:tr w:rsidR="00092C3F" w:rsidRPr="00281CD2" w14:paraId="6E44A210"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5AEA5C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61</w:t>
            </w:r>
          </w:p>
        </w:tc>
        <w:tc>
          <w:tcPr>
            <w:tcW w:w="6945" w:type="dxa"/>
            <w:hideMark/>
          </w:tcPr>
          <w:p w14:paraId="1819BE13"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mirëmbajtja dhe transferimi i hidrocentralit Qafëzezë</w:t>
            </w:r>
          </w:p>
        </w:tc>
        <w:tc>
          <w:tcPr>
            <w:tcW w:w="2400" w:type="dxa"/>
            <w:noWrap/>
            <w:hideMark/>
          </w:tcPr>
          <w:p w14:paraId="2E9D9407"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51,955</w:t>
            </w:r>
          </w:p>
        </w:tc>
      </w:tr>
      <w:tr w:rsidR="00092C3F" w:rsidRPr="00281CD2" w14:paraId="02B9DEA4"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A0A31A1"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62</w:t>
            </w:r>
          </w:p>
        </w:tc>
        <w:tc>
          <w:tcPr>
            <w:tcW w:w="6945" w:type="dxa"/>
            <w:hideMark/>
          </w:tcPr>
          <w:p w14:paraId="541EC408"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mirëmbajtja dhe transferitm te hidrocentraleve Murdhar 1 dhe Murdhar 2</w:t>
            </w:r>
          </w:p>
        </w:tc>
        <w:tc>
          <w:tcPr>
            <w:tcW w:w="2400" w:type="dxa"/>
            <w:noWrap/>
            <w:hideMark/>
          </w:tcPr>
          <w:p w14:paraId="3B5338E1"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501,412</w:t>
            </w:r>
          </w:p>
        </w:tc>
      </w:tr>
      <w:tr w:rsidR="00092C3F" w:rsidRPr="00281CD2" w14:paraId="3F4E30F3"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F9EF75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lastRenderedPageBreak/>
              <w:t>63</w:t>
            </w:r>
          </w:p>
        </w:tc>
        <w:tc>
          <w:tcPr>
            <w:tcW w:w="6945" w:type="dxa"/>
            <w:hideMark/>
          </w:tcPr>
          <w:p w14:paraId="0082D20C"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Kontratë Koncesioni për kultivimin e ullirit deri në 1000 ha, Kavajë</w:t>
            </w:r>
          </w:p>
        </w:tc>
        <w:tc>
          <w:tcPr>
            <w:tcW w:w="2400" w:type="dxa"/>
            <w:noWrap/>
            <w:hideMark/>
          </w:tcPr>
          <w:p w14:paraId="35C0C4E4"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1,906,500</w:t>
            </w:r>
          </w:p>
        </w:tc>
      </w:tr>
      <w:tr w:rsidR="00092C3F" w:rsidRPr="00281CD2" w14:paraId="08C2A753"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B8C294"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64</w:t>
            </w:r>
          </w:p>
        </w:tc>
        <w:tc>
          <w:tcPr>
            <w:tcW w:w="6945" w:type="dxa"/>
            <w:hideMark/>
          </w:tcPr>
          <w:p w14:paraId="0C0D7B9D"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Nishova 1, 2</w:t>
            </w:r>
          </w:p>
        </w:tc>
        <w:tc>
          <w:tcPr>
            <w:tcW w:w="2400" w:type="dxa"/>
            <w:noWrap/>
            <w:hideMark/>
          </w:tcPr>
          <w:p w14:paraId="7C4BF353"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89,684</w:t>
            </w:r>
          </w:p>
        </w:tc>
      </w:tr>
      <w:tr w:rsidR="00092C3F" w:rsidRPr="00281CD2" w14:paraId="38C9E43B"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E99CB7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65</w:t>
            </w:r>
          </w:p>
        </w:tc>
        <w:tc>
          <w:tcPr>
            <w:tcW w:w="6945" w:type="dxa"/>
            <w:hideMark/>
          </w:tcPr>
          <w:p w14:paraId="5D200D97"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Përroi i Trebishit, Bulqizë</w:t>
            </w:r>
          </w:p>
        </w:tc>
        <w:tc>
          <w:tcPr>
            <w:tcW w:w="2400" w:type="dxa"/>
            <w:noWrap/>
            <w:hideMark/>
          </w:tcPr>
          <w:p w14:paraId="31B646E1"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209,336</w:t>
            </w:r>
          </w:p>
        </w:tc>
      </w:tr>
      <w:tr w:rsidR="00092C3F" w:rsidRPr="00281CD2" w14:paraId="6C3F70D7"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44571A4"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66</w:t>
            </w:r>
          </w:p>
        </w:tc>
        <w:tc>
          <w:tcPr>
            <w:tcW w:w="6945" w:type="dxa"/>
            <w:hideMark/>
          </w:tcPr>
          <w:p w14:paraId="672581FC"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Radovë</w:t>
            </w:r>
          </w:p>
        </w:tc>
        <w:tc>
          <w:tcPr>
            <w:tcW w:w="2400" w:type="dxa"/>
            <w:noWrap/>
            <w:hideMark/>
          </w:tcPr>
          <w:p w14:paraId="24F87F7C"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188,000</w:t>
            </w:r>
          </w:p>
        </w:tc>
      </w:tr>
      <w:tr w:rsidR="00092C3F" w:rsidRPr="00281CD2" w14:paraId="0D002630"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8D8DC2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67</w:t>
            </w:r>
          </w:p>
        </w:tc>
        <w:tc>
          <w:tcPr>
            <w:tcW w:w="6945" w:type="dxa"/>
            <w:hideMark/>
          </w:tcPr>
          <w:p w14:paraId="12834566"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Hurdhasi 1, 2, 3</w:t>
            </w:r>
          </w:p>
        </w:tc>
        <w:tc>
          <w:tcPr>
            <w:tcW w:w="2400" w:type="dxa"/>
            <w:noWrap/>
            <w:hideMark/>
          </w:tcPr>
          <w:p w14:paraId="510A237C"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200,000</w:t>
            </w:r>
          </w:p>
        </w:tc>
      </w:tr>
      <w:tr w:rsidR="00092C3F" w:rsidRPr="00281CD2" w14:paraId="5D14EF7F"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C5C69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68</w:t>
            </w:r>
          </w:p>
        </w:tc>
        <w:tc>
          <w:tcPr>
            <w:tcW w:w="6945" w:type="dxa"/>
            <w:hideMark/>
          </w:tcPr>
          <w:p w14:paraId="13618AAC"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Progonat, Lekdush - Bënçë e Sipërme (Zgjidhur më 02.03.2018).</w:t>
            </w:r>
          </w:p>
        </w:tc>
        <w:tc>
          <w:tcPr>
            <w:tcW w:w="2400" w:type="dxa"/>
            <w:noWrap/>
            <w:hideMark/>
          </w:tcPr>
          <w:p w14:paraId="201191D9"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929,147</w:t>
            </w:r>
          </w:p>
        </w:tc>
      </w:tr>
      <w:tr w:rsidR="00092C3F" w:rsidRPr="00281CD2" w14:paraId="4578B761"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734C7C9"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69</w:t>
            </w:r>
          </w:p>
        </w:tc>
        <w:tc>
          <w:tcPr>
            <w:tcW w:w="6945" w:type="dxa"/>
            <w:hideMark/>
          </w:tcPr>
          <w:p w14:paraId="0EE12C09"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Peqin</w:t>
            </w:r>
          </w:p>
        </w:tc>
        <w:tc>
          <w:tcPr>
            <w:tcW w:w="2400" w:type="dxa"/>
            <w:noWrap/>
            <w:hideMark/>
          </w:tcPr>
          <w:p w14:paraId="6F6309B7"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521,573</w:t>
            </w:r>
          </w:p>
        </w:tc>
      </w:tr>
      <w:tr w:rsidR="00092C3F" w:rsidRPr="00281CD2" w14:paraId="57C707D0"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31FCE7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70</w:t>
            </w:r>
          </w:p>
        </w:tc>
        <w:tc>
          <w:tcPr>
            <w:tcW w:w="6945" w:type="dxa"/>
            <w:hideMark/>
          </w:tcPr>
          <w:p w14:paraId="364191D7"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Nicë</w:t>
            </w:r>
          </w:p>
        </w:tc>
        <w:tc>
          <w:tcPr>
            <w:tcW w:w="2400" w:type="dxa"/>
            <w:noWrap/>
            <w:hideMark/>
          </w:tcPr>
          <w:p w14:paraId="0C84A553"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49,800</w:t>
            </w:r>
          </w:p>
        </w:tc>
      </w:tr>
      <w:tr w:rsidR="00092C3F" w:rsidRPr="00281CD2" w14:paraId="7259110A"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983AC4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71</w:t>
            </w:r>
          </w:p>
        </w:tc>
        <w:tc>
          <w:tcPr>
            <w:tcW w:w="6945" w:type="dxa"/>
            <w:hideMark/>
          </w:tcPr>
          <w:p w14:paraId="1B74E0FC"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Vërtop</w:t>
            </w:r>
          </w:p>
        </w:tc>
        <w:tc>
          <w:tcPr>
            <w:tcW w:w="2400" w:type="dxa"/>
            <w:noWrap/>
            <w:hideMark/>
          </w:tcPr>
          <w:p w14:paraId="6DE7D812"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283,950</w:t>
            </w:r>
          </w:p>
        </w:tc>
      </w:tr>
      <w:tr w:rsidR="00092C3F" w:rsidRPr="00281CD2" w14:paraId="6ED88023"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DEF990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72</w:t>
            </w:r>
          </w:p>
        </w:tc>
        <w:tc>
          <w:tcPr>
            <w:tcW w:w="6945" w:type="dxa"/>
            <w:hideMark/>
          </w:tcPr>
          <w:p w14:paraId="4BCF81A1"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Shtika 1,2,3,4</w:t>
            </w:r>
          </w:p>
        </w:tc>
        <w:tc>
          <w:tcPr>
            <w:tcW w:w="2400" w:type="dxa"/>
            <w:noWrap/>
            <w:hideMark/>
          </w:tcPr>
          <w:p w14:paraId="72ACEBA1"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87,570</w:t>
            </w:r>
          </w:p>
        </w:tc>
      </w:tr>
      <w:tr w:rsidR="00092C3F" w:rsidRPr="00281CD2" w14:paraId="3A6CA281"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B8BA4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73</w:t>
            </w:r>
          </w:p>
        </w:tc>
        <w:tc>
          <w:tcPr>
            <w:tcW w:w="6945" w:type="dxa"/>
            <w:hideMark/>
          </w:tcPr>
          <w:p w14:paraId="03CED724"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Lumi Zalli i Okshtunit</w:t>
            </w:r>
          </w:p>
        </w:tc>
        <w:tc>
          <w:tcPr>
            <w:tcW w:w="2400" w:type="dxa"/>
            <w:noWrap/>
            <w:hideMark/>
          </w:tcPr>
          <w:p w14:paraId="31202D0A"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4,443,351</w:t>
            </w:r>
          </w:p>
        </w:tc>
      </w:tr>
      <w:tr w:rsidR="00092C3F" w:rsidRPr="00281CD2" w14:paraId="27257ACA"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4A2FD3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74</w:t>
            </w:r>
          </w:p>
        </w:tc>
        <w:tc>
          <w:tcPr>
            <w:tcW w:w="6945" w:type="dxa"/>
            <w:hideMark/>
          </w:tcPr>
          <w:p w14:paraId="2BD876E1"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Gostivisht, Langarica3, Ura e Dashit</w:t>
            </w:r>
          </w:p>
        </w:tc>
        <w:tc>
          <w:tcPr>
            <w:tcW w:w="2400" w:type="dxa"/>
            <w:noWrap/>
            <w:hideMark/>
          </w:tcPr>
          <w:p w14:paraId="2A555834"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309,816</w:t>
            </w:r>
          </w:p>
        </w:tc>
      </w:tr>
      <w:tr w:rsidR="00092C3F" w:rsidRPr="00281CD2" w14:paraId="7A5B6635"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3E45E30"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75</w:t>
            </w:r>
          </w:p>
        </w:tc>
        <w:tc>
          <w:tcPr>
            <w:tcW w:w="6945" w:type="dxa"/>
            <w:hideMark/>
          </w:tcPr>
          <w:p w14:paraId="4AFE4A3A"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Shemri dhe Mgulle</w:t>
            </w:r>
          </w:p>
        </w:tc>
        <w:tc>
          <w:tcPr>
            <w:tcW w:w="2400" w:type="dxa"/>
            <w:noWrap/>
            <w:hideMark/>
          </w:tcPr>
          <w:p w14:paraId="18727767"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69,027</w:t>
            </w:r>
          </w:p>
        </w:tc>
      </w:tr>
      <w:tr w:rsidR="00092C3F" w:rsidRPr="00281CD2" w14:paraId="3CD6E581"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6CFD8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76</w:t>
            </w:r>
          </w:p>
        </w:tc>
        <w:tc>
          <w:tcPr>
            <w:tcW w:w="6945" w:type="dxa"/>
            <w:hideMark/>
          </w:tcPr>
          <w:p w14:paraId="3346409D"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Kryezi dhe Kryezi i Epërm</w:t>
            </w:r>
          </w:p>
        </w:tc>
        <w:tc>
          <w:tcPr>
            <w:tcW w:w="2400" w:type="dxa"/>
            <w:noWrap/>
            <w:hideMark/>
          </w:tcPr>
          <w:p w14:paraId="29299F74"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50,419</w:t>
            </w:r>
          </w:p>
        </w:tc>
      </w:tr>
      <w:tr w:rsidR="00092C3F" w:rsidRPr="00281CD2" w14:paraId="63B36D28"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2F60D4"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77</w:t>
            </w:r>
          </w:p>
        </w:tc>
        <w:tc>
          <w:tcPr>
            <w:tcW w:w="6945" w:type="dxa"/>
            <w:hideMark/>
          </w:tcPr>
          <w:p w14:paraId="03A26C20"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Belesova 1 dhe 2</w:t>
            </w:r>
          </w:p>
        </w:tc>
        <w:tc>
          <w:tcPr>
            <w:tcW w:w="2400" w:type="dxa"/>
            <w:noWrap/>
            <w:hideMark/>
          </w:tcPr>
          <w:p w14:paraId="091AC991"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46,315</w:t>
            </w:r>
          </w:p>
        </w:tc>
      </w:tr>
      <w:tr w:rsidR="00092C3F" w:rsidRPr="00281CD2" w14:paraId="474994E3"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6F7B2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78</w:t>
            </w:r>
          </w:p>
        </w:tc>
        <w:tc>
          <w:tcPr>
            <w:tcW w:w="6945" w:type="dxa"/>
            <w:hideMark/>
          </w:tcPr>
          <w:p w14:paraId="50D5AA3E"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Borje, Oreshkë, Cernalevë, Cernalevë 1</w:t>
            </w:r>
          </w:p>
        </w:tc>
        <w:tc>
          <w:tcPr>
            <w:tcW w:w="2400" w:type="dxa"/>
            <w:noWrap/>
            <w:hideMark/>
          </w:tcPr>
          <w:p w14:paraId="2FF0E337"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830,097</w:t>
            </w:r>
          </w:p>
        </w:tc>
      </w:tr>
      <w:tr w:rsidR="00092C3F" w:rsidRPr="00281CD2" w14:paraId="78024AC5"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E1B57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79</w:t>
            </w:r>
          </w:p>
        </w:tc>
        <w:tc>
          <w:tcPr>
            <w:tcW w:w="6945" w:type="dxa"/>
            <w:hideMark/>
          </w:tcPr>
          <w:p w14:paraId="29FC3AE7"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koka 1</w:t>
            </w:r>
          </w:p>
        </w:tc>
        <w:tc>
          <w:tcPr>
            <w:tcW w:w="2400" w:type="dxa"/>
            <w:noWrap/>
            <w:hideMark/>
          </w:tcPr>
          <w:p w14:paraId="4C6C7646"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392,862</w:t>
            </w:r>
          </w:p>
        </w:tc>
      </w:tr>
      <w:tr w:rsidR="00092C3F" w:rsidRPr="00281CD2" w14:paraId="1D486BD3"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AFB64A0"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80</w:t>
            </w:r>
          </w:p>
        </w:tc>
        <w:tc>
          <w:tcPr>
            <w:tcW w:w="6945" w:type="dxa"/>
            <w:hideMark/>
          </w:tcPr>
          <w:p w14:paraId="695007BE"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Klos</w:t>
            </w:r>
          </w:p>
        </w:tc>
        <w:tc>
          <w:tcPr>
            <w:tcW w:w="2400" w:type="dxa"/>
            <w:noWrap/>
            <w:hideMark/>
          </w:tcPr>
          <w:p w14:paraId="3E45F803"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96,422</w:t>
            </w:r>
          </w:p>
        </w:tc>
      </w:tr>
      <w:tr w:rsidR="00092C3F" w:rsidRPr="00281CD2" w14:paraId="6F9ABCD1"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E5D443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81</w:t>
            </w:r>
          </w:p>
        </w:tc>
        <w:tc>
          <w:tcPr>
            <w:tcW w:w="6945" w:type="dxa"/>
            <w:hideMark/>
          </w:tcPr>
          <w:p w14:paraId="5B0F8FAE"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Pobreg</w:t>
            </w:r>
          </w:p>
        </w:tc>
        <w:tc>
          <w:tcPr>
            <w:tcW w:w="2400" w:type="dxa"/>
            <w:noWrap/>
            <w:hideMark/>
          </w:tcPr>
          <w:p w14:paraId="7F07F6F9"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995,035</w:t>
            </w:r>
          </w:p>
        </w:tc>
      </w:tr>
      <w:tr w:rsidR="00092C3F" w:rsidRPr="00281CD2" w14:paraId="4E88504D"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4AA2A0"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82</w:t>
            </w:r>
          </w:p>
        </w:tc>
        <w:tc>
          <w:tcPr>
            <w:tcW w:w="6945" w:type="dxa"/>
            <w:hideMark/>
          </w:tcPr>
          <w:p w14:paraId="304DA1FA"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Liqenet, Maja e Madhe, Zanore, Dragostunjë, Frari, Hotolisht, Ura</w:t>
            </w:r>
          </w:p>
        </w:tc>
        <w:tc>
          <w:tcPr>
            <w:tcW w:w="2400" w:type="dxa"/>
            <w:noWrap/>
            <w:hideMark/>
          </w:tcPr>
          <w:p w14:paraId="2D4BC319"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424,081</w:t>
            </w:r>
          </w:p>
        </w:tc>
      </w:tr>
      <w:tr w:rsidR="00092C3F" w:rsidRPr="00281CD2" w14:paraId="491C9CA7"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E7D78F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83</w:t>
            </w:r>
          </w:p>
        </w:tc>
        <w:tc>
          <w:tcPr>
            <w:tcW w:w="6945" w:type="dxa"/>
            <w:hideMark/>
          </w:tcPr>
          <w:p w14:paraId="0E971B50"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Gomsiqe 1,2,3,4 (Zgjidhur me marrëveshjen me nr 242 Rep, nr 1186/1 Kol datë 16.11.2018)</w:t>
            </w:r>
          </w:p>
        </w:tc>
        <w:tc>
          <w:tcPr>
            <w:tcW w:w="2400" w:type="dxa"/>
            <w:noWrap/>
            <w:hideMark/>
          </w:tcPr>
          <w:p w14:paraId="55FF95A4"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2,149,411</w:t>
            </w:r>
          </w:p>
        </w:tc>
      </w:tr>
      <w:tr w:rsidR="00092C3F" w:rsidRPr="00281CD2" w14:paraId="4431792A"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B297F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84</w:t>
            </w:r>
          </w:p>
        </w:tc>
        <w:tc>
          <w:tcPr>
            <w:tcW w:w="6945" w:type="dxa"/>
            <w:hideMark/>
          </w:tcPr>
          <w:p w14:paraId="037CF51E"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Thanë, Mollas</w:t>
            </w:r>
          </w:p>
        </w:tc>
        <w:tc>
          <w:tcPr>
            <w:tcW w:w="2400" w:type="dxa"/>
            <w:noWrap/>
            <w:hideMark/>
          </w:tcPr>
          <w:p w14:paraId="6BD42237"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1,042,888</w:t>
            </w:r>
          </w:p>
        </w:tc>
      </w:tr>
      <w:tr w:rsidR="00092C3F" w:rsidRPr="00281CD2" w14:paraId="119C7B83"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020A5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85</w:t>
            </w:r>
          </w:p>
        </w:tc>
        <w:tc>
          <w:tcPr>
            <w:tcW w:w="6945" w:type="dxa"/>
            <w:hideMark/>
          </w:tcPr>
          <w:p w14:paraId="1E545DEA"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Projektim, financim, rehabilitm, testim, shfrytezim dhe mirembajtje të Qendrave të Kontrollit Teknik të mjeteve.</w:t>
            </w:r>
          </w:p>
        </w:tc>
        <w:tc>
          <w:tcPr>
            <w:tcW w:w="2400" w:type="dxa"/>
            <w:noWrap/>
            <w:hideMark/>
          </w:tcPr>
          <w:p w14:paraId="25A3A277"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561,003</w:t>
            </w:r>
          </w:p>
        </w:tc>
      </w:tr>
      <w:tr w:rsidR="00092C3F" w:rsidRPr="00281CD2" w14:paraId="27CE2E9B"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3B009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86</w:t>
            </w:r>
          </w:p>
        </w:tc>
        <w:tc>
          <w:tcPr>
            <w:tcW w:w="6945" w:type="dxa"/>
            <w:hideMark/>
          </w:tcPr>
          <w:p w14:paraId="619397CB"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Financimi, Projektimi, Ndërtimi, Vënia në Punë, Administrimi, Mirëmbajtja dhe Transferimin e Hidrocentraleve "Shkallë", "Cerrujë", "Plesha", "Bejni1", "Bejni2", "Klos".</w:t>
            </w:r>
          </w:p>
        </w:tc>
        <w:tc>
          <w:tcPr>
            <w:tcW w:w="2400" w:type="dxa"/>
            <w:noWrap/>
            <w:hideMark/>
          </w:tcPr>
          <w:p w14:paraId="7633443F"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1,465,040</w:t>
            </w:r>
          </w:p>
        </w:tc>
      </w:tr>
      <w:tr w:rsidR="00092C3F" w:rsidRPr="00281CD2" w14:paraId="37504FBE"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DEC4C1"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87</w:t>
            </w:r>
          </w:p>
        </w:tc>
        <w:tc>
          <w:tcPr>
            <w:tcW w:w="6945" w:type="dxa"/>
            <w:hideMark/>
          </w:tcPr>
          <w:p w14:paraId="1C2EEECA"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transferimi i hidrocentralit Fterre dhe Fterre 1.</w:t>
            </w:r>
          </w:p>
        </w:tc>
        <w:tc>
          <w:tcPr>
            <w:tcW w:w="2400" w:type="dxa"/>
            <w:noWrap/>
            <w:hideMark/>
          </w:tcPr>
          <w:p w14:paraId="4F8B8A95"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650,566</w:t>
            </w:r>
          </w:p>
        </w:tc>
      </w:tr>
      <w:tr w:rsidR="00092C3F" w:rsidRPr="00281CD2" w14:paraId="402FDA0F"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100F2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88</w:t>
            </w:r>
          </w:p>
        </w:tc>
        <w:tc>
          <w:tcPr>
            <w:tcW w:w="6945" w:type="dxa"/>
            <w:hideMark/>
          </w:tcPr>
          <w:p w14:paraId="462230EC"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transferitmi i hidrocentralit Faqekuq 1 dhe 2</w:t>
            </w:r>
          </w:p>
        </w:tc>
        <w:tc>
          <w:tcPr>
            <w:tcW w:w="2400" w:type="dxa"/>
            <w:noWrap/>
            <w:hideMark/>
          </w:tcPr>
          <w:p w14:paraId="28BB9AD6"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587,975</w:t>
            </w:r>
          </w:p>
        </w:tc>
      </w:tr>
      <w:tr w:rsidR="00092C3F" w:rsidRPr="00281CD2" w14:paraId="07279E01"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6CD54E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89</w:t>
            </w:r>
          </w:p>
        </w:tc>
        <w:tc>
          <w:tcPr>
            <w:tcW w:w="6945" w:type="dxa"/>
            <w:hideMark/>
          </w:tcPr>
          <w:p w14:paraId="0E3E1701"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transferitmi i hidrocentralit Dishnicë</w:t>
            </w:r>
          </w:p>
        </w:tc>
        <w:tc>
          <w:tcPr>
            <w:tcW w:w="2400" w:type="dxa"/>
            <w:noWrap/>
            <w:hideMark/>
          </w:tcPr>
          <w:p w14:paraId="7F053DFA"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15,300</w:t>
            </w:r>
          </w:p>
        </w:tc>
      </w:tr>
      <w:tr w:rsidR="00092C3F" w:rsidRPr="00281CD2" w14:paraId="49D9A6A2"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E53B59"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90</w:t>
            </w:r>
          </w:p>
        </w:tc>
        <w:tc>
          <w:tcPr>
            <w:tcW w:w="6945" w:type="dxa"/>
            <w:hideMark/>
          </w:tcPr>
          <w:p w14:paraId="1622748A"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transferitmi i hidrocentralit Lubonjë</w:t>
            </w:r>
          </w:p>
        </w:tc>
        <w:tc>
          <w:tcPr>
            <w:tcW w:w="2400" w:type="dxa"/>
            <w:noWrap/>
            <w:hideMark/>
          </w:tcPr>
          <w:p w14:paraId="42DD963E"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39,000</w:t>
            </w:r>
          </w:p>
        </w:tc>
      </w:tr>
      <w:tr w:rsidR="00092C3F" w:rsidRPr="00281CD2" w14:paraId="27453BA9"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DDA741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91</w:t>
            </w:r>
          </w:p>
        </w:tc>
        <w:tc>
          <w:tcPr>
            <w:tcW w:w="6945" w:type="dxa"/>
            <w:hideMark/>
          </w:tcPr>
          <w:p w14:paraId="00A444AA"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Topçias</w:t>
            </w:r>
          </w:p>
        </w:tc>
        <w:tc>
          <w:tcPr>
            <w:tcW w:w="2400" w:type="dxa"/>
            <w:noWrap/>
            <w:hideMark/>
          </w:tcPr>
          <w:p w14:paraId="38EAEAFA"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128,221</w:t>
            </w:r>
          </w:p>
        </w:tc>
      </w:tr>
      <w:tr w:rsidR="00092C3F" w:rsidRPr="00281CD2" w14:paraId="1B88726A"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0E823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92</w:t>
            </w:r>
          </w:p>
        </w:tc>
        <w:tc>
          <w:tcPr>
            <w:tcW w:w="6945" w:type="dxa"/>
            <w:hideMark/>
          </w:tcPr>
          <w:p w14:paraId="15A70859"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Ndërtimin, operimin dhe transferimin e Hidrocentraleve Kaskada e Luses</w:t>
            </w:r>
          </w:p>
        </w:tc>
        <w:tc>
          <w:tcPr>
            <w:tcW w:w="2400" w:type="dxa"/>
            <w:noWrap/>
            <w:hideMark/>
          </w:tcPr>
          <w:p w14:paraId="43F7FBEC"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743,776</w:t>
            </w:r>
          </w:p>
        </w:tc>
      </w:tr>
      <w:tr w:rsidR="00092C3F" w:rsidRPr="00281CD2" w14:paraId="771A1E02"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9A12A4"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93</w:t>
            </w:r>
          </w:p>
        </w:tc>
        <w:tc>
          <w:tcPr>
            <w:tcW w:w="6945" w:type="dxa"/>
            <w:hideMark/>
          </w:tcPr>
          <w:p w14:paraId="1DC9F805"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i Hidrocentralit Spathare</w:t>
            </w:r>
          </w:p>
        </w:tc>
        <w:tc>
          <w:tcPr>
            <w:tcW w:w="2400" w:type="dxa"/>
            <w:noWrap/>
            <w:hideMark/>
          </w:tcPr>
          <w:p w14:paraId="683C9482"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80,071</w:t>
            </w:r>
          </w:p>
        </w:tc>
      </w:tr>
      <w:tr w:rsidR="00092C3F" w:rsidRPr="00281CD2" w14:paraId="54D022EE"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FFE2A50"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94</w:t>
            </w:r>
          </w:p>
        </w:tc>
        <w:tc>
          <w:tcPr>
            <w:tcW w:w="6945" w:type="dxa"/>
            <w:hideMark/>
          </w:tcPr>
          <w:p w14:paraId="14AA1502"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mirëmbajtja dhe transferimi i hidrocentraleve Lenie, Shalës, Strelcë</w:t>
            </w:r>
          </w:p>
        </w:tc>
        <w:tc>
          <w:tcPr>
            <w:tcW w:w="2400" w:type="dxa"/>
            <w:noWrap/>
            <w:hideMark/>
          </w:tcPr>
          <w:p w14:paraId="5BF4AE50"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354,282</w:t>
            </w:r>
          </w:p>
        </w:tc>
      </w:tr>
      <w:tr w:rsidR="00092C3F" w:rsidRPr="00281CD2" w14:paraId="68771EC5"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FD8E591"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95</w:t>
            </w:r>
          </w:p>
        </w:tc>
        <w:tc>
          <w:tcPr>
            <w:tcW w:w="6945" w:type="dxa"/>
            <w:hideMark/>
          </w:tcPr>
          <w:p w14:paraId="4EEBD519"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Shutinë</w:t>
            </w:r>
          </w:p>
        </w:tc>
        <w:tc>
          <w:tcPr>
            <w:tcW w:w="2400" w:type="dxa"/>
            <w:noWrap/>
            <w:hideMark/>
          </w:tcPr>
          <w:p w14:paraId="485B0FBA"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115,000</w:t>
            </w:r>
          </w:p>
        </w:tc>
      </w:tr>
      <w:tr w:rsidR="00092C3F" w:rsidRPr="00281CD2" w14:paraId="3FC4B243"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CE4615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96</w:t>
            </w:r>
          </w:p>
        </w:tc>
        <w:tc>
          <w:tcPr>
            <w:tcW w:w="6945" w:type="dxa"/>
            <w:hideMark/>
          </w:tcPr>
          <w:p w14:paraId="2077A837"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Dobjot i Madh, Arrëz, Miras, Menkulas, Bracen, Kuç.</w:t>
            </w:r>
          </w:p>
        </w:tc>
        <w:tc>
          <w:tcPr>
            <w:tcW w:w="2400" w:type="dxa"/>
            <w:noWrap/>
            <w:hideMark/>
          </w:tcPr>
          <w:p w14:paraId="297D1CC0"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124,254</w:t>
            </w:r>
          </w:p>
        </w:tc>
      </w:tr>
      <w:tr w:rsidR="00092C3F" w:rsidRPr="00281CD2" w14:paraId="03EECB34"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F79D3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lastRenderedPageBreak/>
              <w:t>97</w:t>
            </w:r>
          </w:p>
        </w:tc>
        <w:tc>
          <w:tcPr>
            <w:tcW w:w="6945" w:type="dxa"/>
            <w:hideMark/>
          </w:tcPr>
          <w:p w14:paraId="71581263"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Përroin Sheja e Librazhdit</w:t>
            </w:r>
          </w:p>
        </w:tc>
        <w:tc>
          <w:tcPr>
            <w:tcW w:w="2400" w:type="dxa"/>
            <w:noWrap/>
            <w:hideMark/>
          </w:tcPr>
          <w:p w14:paraId="5AC64917"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492,776</w:t>
            </w:r>
          </w:p>
        </w:tc>
      </w:tr>
      <w:tr w:rsidR="00092C3F" w:rsidRPr="00281CD2" w14:paraId="4977C8DE"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AF6472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98</w:t>
            </w:r>
          </w:p>
        </w:tc>
        <w:tc>
          <w:tcPr>
            <w:tcW w:w="6945" w:type="dxa"/>
            <w:hideMark/>
          </w:tcPr>
          <w:p w14:paraId="55159FE1"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Gojan, Gjegjan, Peshqesh, Ura e Fanit, Fangu</w:t>
            </w:r>
          </w:p>
        </w:tc>
        <w:tc>
          <w:tcPr>
            <w:tcW w:w="2400" w:type="dxa"/>
            <w:noWrap/>
            <w:hideMark/>
          </w:tcPr>
          <w:p w14:paraId="39A3516E"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16,322,956</w:t>
            </w:r>
          </w:p>
        </w:tc>
      </w:tr>
      <w:tr w:rsidR="00092C3F" w:rsidRPr="00281CD2" w14:paraId="5B7EF7F3"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61D9A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99</w:t>
            </w:r>
          </w:p>
        </w:tc>
        <w:tc>
          <w:tcPr>
            <w:tcW w:w="6945" w:type="dxa"/>
            <w:hideMark/>
          </w:tcPr>
          <w:p w14:paraId="2BE859FA"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në Rrjedhën e lumit Shkumbin, Qukës</w:t>
            </w:r>
          </w:p>
        </w:tc>
        <w:tc>
          <w:tcPr>
            <w:tcW w:w="2400" w:type="dxa"/>
            <w:noWrap/>
            <w:hideMark/>
          </w:tcPr>
          <w:p w14:paraId="0BD09208"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6,249,093</w:t>
            </w:r>
          </w:p>
        </w:tc>
      </w:tr>
      <w:tr w:rsidR="00092C3F" w:rsidRPr="00281CD2" w14:paraId="7062F4F9"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0FB043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100</w:t>
            </w:r>
          </w:p>
        </w:tc>
        <w:tc>
          <w:tcPr>
            <w:tcW w:w="6945" w:type="dxa"/>
            <w:hideMark/>
          </w:tcPr>
          <w:p w14:paraId="28DD6AC7"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në Pellgun Ujëmbledhës të Zallit të Bulqizes/Vajkal- Rrethi Bulqize</w:t>
            </w:r>
          </w:p>
        </w:tc>
        <w:tc>
          <w:tcPr>
            <w:tcW w:w="2400" w:type="dxa"/>
            <w:noWrap/>
            <w:hideMark/>
          </w:tcPr>
          <w:p w14:paraId="515621FE"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587,564</w:t>
            </w:r>
          </w:p>
        </w:tc>
      </w:tr>
      <w:tr w:rsidR="00092C3F" w:rsidRPr="00281CD2" w14:paraId="0EB1B588"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5CDD49"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101</w:t>
            </w:r>
          </w:p>
        </w:tc>
        <w:tc>
          <w:tcPr>
            <w:tcW w:w="6945" w:type="dxa"/>
            <w:hideMark/>
          </w:tcPr>
          <w:p w14:paraId="48A1F17E"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i Hidrocentraleve mbi Lumin Curraj, Rrethi Tropojë</w:t>
            </w:r>
          </w:p>
        </w:tc>
        <w:tc>
          <w:tcPr>
            <w:tcW w:w="2400" w:type="dxa"/>
            <w:noWrap/>
            <w:hideMark/>
          </w:tcPr>
          <w:p w14:paraId="07BA3C8E"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13,728,387</w:t>
            </w:r>
          </w:p>
        </w:tc>
      </w:tr>
      <w:tr w:rsidR="00092C3F" w:rsidRPr="00281CD2" w14:paraId="018A666B"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8DE0B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102</w:t>
            </w:r>
          </w:p>
        </w:tc>
        <w:tc>
          <w:tcPr>
            <w:tcW w:w="6945" w:type="dxa"/>
            <w:hideMark/>
          </w:tcPr>
          <w:p w14:paraId="27F3DE06"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i Hidrocentralit Suha-1</w:t>
            </w:r>
          </w:p>
        </w:tc>
        <w:tc>
          <w:tcPr>
            <w:tcW w:w="2400" w:type="dxa"/>
            <w:noWrap/>
            <w:hideMark/>
          </w:tcPr>
          <w:p w14:paraId="51994F77"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3,181,563</w:t>
            </w:r>
          </w:p>
        </w:tc>
      </w:tr>
      <w:tr w:rsidR="00092C3F" w:rsidRPr="00281CD2" w14:paraId="0D2C3503"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87D6B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103</w:t>
            </w:r>
          </w:p>
        </w:tc>
        <w:tc>
          <w:tcPr>
            <w:tcW w:w="6945" w:type="dxa"/>
            <w:hideMark/>
          </w:tcPr>
          <w:p w14:paraId="3744D4AB"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hidrocentraleve GERMANI 1, 2, 3, 4 dhe 5</w:t>
            </w:r>
          </w:p>
        </w:tc>
        <w:tc>
          <w:tcPr>
            <w:tcW w:w="2400" w:type="dxa"/>
            <w:noWrap/>
            <w:hideMark/>
          </w:tcPr>
          <w:p w14:paraId="669F6D2D"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348,238</w:t>
            </w:r>
          </w:p>
        </w:tc>
      </w:tr>
      <w:tr w:rsidR="00092C3F" w:rsidRPr="00281CD2" w14:paraId="393DAEB4"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3FA698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104</w:t>
            </w:r>
          </w:p>
        </w:tc>
        <w:tc>
          <w:tcPr>
            <w:tcW w:w="6945" w:type="dxa"/>
            <w:hideMark/>
          </w:tcPr>
          <w:p w14:paraId="68AEB3FC"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e hidrocentraleve SHEBA 1, SHEBA 2, SHEBA 3 dhe SHEBA 4</w:t>
            </w:r>
          </w:p>
        </w:tc>
        <w:tc>
          <w:tcPr>
            <w:tcW w:w="2400" w:type="dxa"/>
            <w:noWrap/>
            <w:hideMark/>
          </w:tcPr>
          <w:p w14:paraId="113BABE2"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416,000</w:t>
            </w:r>
          </w:p>
        </w:tc>
      </w:tr>
      <w:tr w:rsidR="00092C3F" w:rsidRPr="00281CD2" w14:paraId="4487FB4D"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E6412A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105</w:t>
            </w:r>
          </w:p>
        </w:tc>
        <w:tc>
          <w:tcPr>
            <w:tcW w:w="6945" w:type="dxa"/>
            <w:hideMark/>
          </w:tcPr>
          <w:p w14:paraId="302D1DD0"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Çekrezë 1, 2</w:t>
            </w:r>
          </w:p>
        </w:tc>
        <w:tc>
          <w:tcPr>
            <w:tcW w:w="2400" w:type="dxa"/>
            <w:noWrap/>
            <w:hideMark/>
          </w:tcPr>
          <w:p w14:paraId="4DDD796C"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123,858</w:t>
            </w:r>
          </w:p>
        </w:tc>
      </w:tr>
      <w:tr w:rsidR="00092C3F" w:rsidRPr="00281CD2" w14:paraId="6935408E"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FC0955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106</w:t>
            </w:r>
          </w:p>
        </w:tc>
        <w:tc>
          <w:tcPr>
            <w:tcW w:w="6945" w:type="dxa"/>
            <w:hideMark/>
          </w:tcPr>
          <w:p w14:paraId="0A2EC2D7"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Koxheraj</w:t>
            </w:r>
          </w:p>
        </w:tc>
        <w:tc>
          <w:tcPr>
            <w:tcW w:w="2400" w:type="dxa"/>
            <w:noWrap/>
            <w:hideMark/>
          </w:tcPr>
          <w:p w14:paraId="3EF57278"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102,963</w:t>
            </w:r>
          </w:p>
        </w:tc>
      </w:tr>
      <w:tr w:rsidR="00092C3F" w:rsidRPr="00281CD2" w14:paraId="621F5FDA"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AFA750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107</w:t>
            </w:r>
          </w:p>
        </w:tc>
        <w:tc>
          <w:tcPr>
            <w:tcW w:w="6945" w:type="dxa"/>
            <w:hideMark/>
          </w:tcPr>
          <w:p w14:paraId="35698263"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Kozel, Helmes 1 dhe Helmes 2</w:t>
            </w:r>
          </w:p>
        </w:tc>
        <w:tc>
          <w:tcPr>
            <w:tcW w:w="2400" w:type="dxa"/>
            <w:noWrap/>
            <w:hideMark/>
          </w:tcPr>
          <w:p w14:paraId="2BBBE3D0"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108,000</w:t>
            </w:r>
          </w:p>
        </w:tc>
      </w:tr>
      <w:tr w:rsidR="00092C3F" w:rsidRPr="00281CD2" w14:paraId="7215C833"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8AD1E5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108</w:t>
            </w:r>
          </w:p>
        </w:tc>
        <w:tc>
          <w:tcPr>
            <w:tcW w:w="6945" w:type="dxa"/>
            <w:hideMark/>
          </w:tcPr>
          <w:p w14:paraId="5472AC67"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Ujanik 2</w:t>
            </w:r>
          </w:p>
        </w:tc>
        <w:tc>
          <w:tcPr>
            <w:tcW w:w="2400" w:type="dxa"/>
            <w:noWrap/>
            <w:hideMark/>
          </w:tcPr>
          <w:p w14:paraId="4E4CC45B"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134,550</w:t>
            </w:r>
          </w:p>
        </w:tc>
      </w:tr>
      <w:tr w:rsidR="00092C3F" w:rsidRPr="00281CD2" w14:paraId="19A2521F"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8AE310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109</w:t>
            </w:r>
          </w:p>
        </w:tc>
        <w:tc>
          <w:tcPr>
            <w:tcW w:w="6945" w:type="dxa"/>
            <w:hideMark/>
          </w:tcPr>
          <w:p w14:paraId="5D9AE388"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Bisak</w:t>
            </w:r>
          </w:p>
        </w:tc>
        <w:tc>
          <w:tcPr>
            <w:tcW w:w="2400" w:type="dxa"/>
            <w:noWrap/>
            <w:hideMark/>
          </w:tcPr>
          <w:p w14:paraId="1A17AF07"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50,618</w:t>
            </w:r>
          </w:p>
        </w:tc>
      </w:tr>
      <w:tr w:rsidR="00092C3F" w:rsidRPr="00281CD2" w14:paraId="68D7175A"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353A0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110</w:t>
            </w:r>
          </w:p>
        </w:tc>
        <w:tc>
          <w:tcPr>
            <w:tcW w:w="6945" w:type="dxa"/>
            <w:hideMark/>
          </w:tcPr>
          <w:p w14:paraId="2C00761D"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Ostren i Vogël</w:t>
            </w:r>
          </w:p>
        </w:tc>
        <w:tc>
          <w:tcPr>
            <w:tcW w:w="2400" w:type="dxa"/>
            <w:noWrap/>
            <w:hideMark/>
          </w:tcPr>
          <w:p w14:paraId="28C00045"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46,871</w:t>
            </w:r>
          </w:p>
        </w:tc>
      </w:tr>
      <w:tr w:rsidR="00092C3F" w:rsidRPr="00281CD2" w14:paraId="4971B347" w14:textId="77777777" w:rsidTr="00EC111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A7D20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111</w:t>
            </w:r>
          </w:p>
        </w:tc>
        <w:tc>
          <w:tcPr>
            <w:tcW w:w="6945" w:type="dxa"/>
            <w:hideMark/>
          </w:tcPr>
          <w:p w14:paraId="27322E51"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Krijimi dhe funksionimi i sistemit të kontrollit të pullave fiskale.</w:t>
            </w:r>
          </w:p>
        </w:tc>
        <w:tc>
          <w:tcPr>
            <w:tcW w:w="2400" w:type="dxa"/>
            <w:noWrap/>
            <w:hideMark/>
          </w:tcPr>
          <w:p w14:paraId="4B279AFD"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1,263,508</w:t>
            </w:r>
          </w:p>
        </w:tc>
      </w:tr>
      <w:tr w:rsidR="00092C3F" w:rsidRPr="00281CD2" w14:paraId="138E2D46"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9F77CB1"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112</w:t>
            </w:r>
          </w:p>
        </w:tc>
        <w:tc>
          <w:tcPr>
            <w:tcW w:w="6945" w:type="dxa"/>
            <w:hideMark/>
          </w:tcPr>
          <w:p w14:paraId="16775A3C"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Menaxhimi, operimi, mirembajtja dhe pëmirësimi teknik i terminalit të konteinerve në portin e Durrësit</w:t>
            </w:r>
          </w:p>
        </w:tc>
        <w:tc>
          <w:tcPr>
            <w:tcW w:w="2400" w:type="dxa"/>
            <w:noWrap/>
            <w:hideMark/>
          </w:tcPr>
          <w:p w14:paraId="7BCD71A8"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3,191,825</w:t>
            </w:r>
          </w:p>
        </w:tc>
      </w:tr>
      <w:tr w:rsidR="00092C3F" w:rsidRPr="00281CD2" w14:paraId="62471340"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06B97F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113</w:t>
            </w:r>
          </w:p>
        </w:tc>
        <w:tc>
          <w:tcPr>
            <w:tcW w:w="6945" w:type="dxa"/>
            <w:hideMark/>
          </w:tcPr>
          <w:p w14:paraId="4AB2C2A4"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Truen</w:t>
            </w:r>
          </w:p>
        </w:tc>
        <w:tc>
          <w:tcPr>
            <w:tcW w:w="2400" w:type="dxa"/>
            <w:noWrap/>
            <w:hideMark/>
          </w:tcPr>
          <w:p w14:paraId="46E1DF7A"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192,560</w:t>
            </w:r>
          </w:p>
        </w:tc>
      </w:tr>
      <w:tr w:rsidR="00092C3F" w:rsidRPr="00281CD2" w14:paraId="5DD412FB"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BBA6679"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114</w:t>
            </w:r>
          </w:p>
        </w:tc>
        <w:tc>
          <w:tcPr>
            <w:tcW w:w="6945" w:type="dxa"/>
            <w:hideMark/>
          </w:tcPr>
          <w:p w14:paraId="18FA2333"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mbi përroin Zalli i Lunikut Librazhd</w:t>
            </w:r>
          </w:p>
        </w:tc>
        <w:tc>
          <w:tcPr>
            <w:tcW w:w="2400" w:type="dxa"/>
            <w:noWrap/>
            <w:hideMark/>
          </w:tcPr>
          <w:p w14:paraId="4F251CF0"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1,702,149</w:t>
            </w:r>
          </w:p>
        </w:tc>
      </w:tr>
      <w:tr w:rsidR="00092C3F" w:rsidRPr="00281CD2" w14:paraId="67AA3187"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E9015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115</w:t>
            </w:r>
          </w:p>
        </w:tc>
        <w:tc>
          <w:tcPr>
            <w:tcW w:w="6945" w:type="dxa"/>
            <w:hideMark/>
          </w:tcPr>
          <w:p w14:paraId="24E49456"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Gjoni, Blishta, Klosi, Domi, Luçi, Shoshaj, Zenishti, Burreli</w:t>
            </w:r>
          </w:p>
        </w:tc>
        <w:tc>
          <w:tcPr>
            <w:tcW w:w="2400" w:type="dxa"/>
            <w:noWrap/>
            <w:hideMark/>
          </w:tcPr>
          <w:p w14:paraId="701B7025"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4,069,596</w:t>
            </w:r>
          </w:p>
        </w:tc>
      </w:tr>
      <w:tr w:rsidR="00092C3F" w:rsidRPr="00281CD2" w14:paraId="009CD0AB"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73AEC1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116</w:t>
            </w:r>
          </w:p>
        </w:tc>
        <w:tc>
          <w:tcPr>
            <w:tcW w:w="6945" w:type="dxa"/>
            <w:hideMark/>
          </w:tcPr>
          <w:p w14:paraId="7A7F5B2F"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Myhejani 1, Myhejani 2, Myhejani 3</w:t>
            </w:r>
          </w:p>
        </w:tc>
        <w:tc>
          <w:tcPr>
            <w:tcW w:w="2400" w:type="dxa"/>
            <w:noWrap/>
            <w:hideMark/>
          </w:tcPr>
          <w:p w14:paraId="02DA0274"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577,625</w:t>
            </w:r>
          </w:p>
        </w:tc>
      </w:tr>
      <w:tr w:rsidR="00092C3F" w:rsidRPr="00281CD2" w14:paraId="5D40F78C"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AFDF044"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117</w:t>
            </w:r>
          </w:p>
        </w:tc>
        <w:tc>
          <w:tcPr>
            <w:tcW w:w="6945" w:type="dxa"/>
            <w:hideMark/>
          </w:tcPr>
          <w:p w14:paraId="1AF71766"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Backa 1, Backa 2, Backa A, Backa B, Backa C</w:t>
            </w:r>
          </w:p>
        </w:tc>
        <w:tc>
          <w:tcPr>
            <w:tcW w:w="2400" w:type="dxa"/>
            <w:noWrap/>
            <w:hideMark/>
          </w:tcPr>
          <w:p w14:paraId="14495B51"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1,156,809</w:t>
            </w:r>
          </w:p>
        </w:tc>
      </w:tr>
      <w:tr w:rsidR="00092C3F" w:rsidRPr="00281CD2" w14:paraId="1902DBD2"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065922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118</w:t>
            </w:r>
          </w:p>
        </w:tc>
        <w:tc>
          <w:tcPr>
            <w:tcW w:w="6945" w:type="dxa"/>
            <w:hideMark/>
          </w:tcPr>
          <w:p w14:paraId="73A40375"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Lefter 1, Lefter 2A, Lefter 2B, Lefter 3 (Zgjidhur me marrëveshjen me nr 2357 Rep nr 1173/3 Kol datë 06.11.2018)</w:t>
            </w:r>
          </w:p>
        </w:tc>
        <w:tc>
          <w:tcPr>
            <w:tcW w:w="2400" w:type="dxa"/>
            <w:noWrap/>
            <w:hideMark/>
          </w:tcPr>
          <w:p w14:paraId="762588ED"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208,659</w:t>
            </w:r>
          </w:p>
        </w:tc>
      </w:tr>
      <w:tr w:rsidR="00092C3F" w:rsidRPr="00281CD2" w14:paraId="71FD6F95"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DB7B42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119</w:t>
            </w:r>
          </w:p>
        </w:tc>
        <w:tc>
          <w:tcPr>
            <w:tcW w:w="6945" w:type="dxa"/>
            <w:hideMark/>
          </w:tcPr>
          <w:p w14:paraId="2B87CE42"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Hidrocentralit Lingjaca</w:t>
            </w:r>
          </w:p>
        </w:tc>
        <w:tc>
          <w:tcPr>
            <w:tcW w:w="2400" w:type="dxa"/>
            <w:noWrap/>
            <w:hideMark/>
          </w:tcPr>
          <w:p w14:paraId="14007E64"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149,525</w:t>
            </w:r>
          </w:p>
        </w:tc>
      </w:tr>
      <w:tr w:rsidR="00092C3F" w:rsidRPr="00281CD2" w14:paraId="6387F424"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2AE9C3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120</w:t>
            </w:r>
          </w:p>
        </w:tc>
        <w:tc>
          <w:tcPr>
            <w:tcW w:w="6945" w:type="dxa"/>
            <w:hideMark/>
          </w:tcPr>
          <w:p w14:paraId="1FACCCC5"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I hidrocentraleve FLETI 1, FLETI 2, FLETI A dhe FLETI B</w:t>
            </w:r>
          </w:p>
        </w:tc>
        <w:tc>
          <w:tcPr>
            <w:tcW w:w="2400" w:type="dxa"/>
            <w:noWrap/>
            <w:hideMark/>
          </w:tcPr>
          <w:p w14:paraId="433857AA"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815,964</w:t>
            </w:r>
          </w:p>
        </w:tc>
      </w:tr>
      <w:tr w:rsidR="00092C3F" w:rsidRPr="00281CD2" w14:paraId="756EC9C8"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ADEBA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121</w:t>
            </w:r>
          </w:p>
        </w:tc>
        <w:tc>
          <w:tcPr>
            <w:tcW w:w="6945" w:type="dxa"/>
            <w:hideMark/>
          </w:tcPr>
          <w:p w14:paraId="383773EA"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hidrocentralit LLËNGË</w:t>
            </w:r>
          </w:p>
        </w:tc>
        <w:tc>
          <w:tcPr>
            <w:tcW w:w="2400" w:type="dxa"/>
            <w:noWrap/>
            <w:hideMark/>
          </w:tcPr>
          <w:p w14:paraId="42669BAB"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252,560</w:t>
            </w:r>
          </w:p>
        </w:tc>
      </w:tr>
      <w:tr w:rsidR="00092C3F" w:rsidRPr="00281CD2" w14:paraId="7391047B"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3FF59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122</w:t>
            </w:r>
          </w:p>
        </w:tc>
        <w:tc>
          <w:tcPr>
            <w:tcW w:w="6945" w:type="dxa"/>
            <w:hideMark/>
          </w:tcPr>
          <w:p w14:paraId="4EBE80E5"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hidrocentraleve të Lashkizës</w:t>
            </w:r>
          </w:p>
        </w:tc>
        <w:tc>
          <w:tcPr>
            <w:tcW w:w="2400" w:type="dxa"/>
            <w:noWrap/>
            <w:hideMark/>
          </w:tcPr>
          <w:p w14:paraId="7D63AA81"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322,691</w:t>
            </w:r>
          </w:p>
        </w:tc>
      </w:tr>
      <w:tr w:rsidR="00092C3F" w:rsidRPr="00281CD2" w14:paraId="62721128"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D65D8F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123</w:t>
            </w:r>
          </w:p>
        </w:tc>
        <w:tc>
          <w:tcPr>
            <w:tcW w:w="6945" w:type="dxa"/>
            <w:hideMark/>
          </w:tcPr>
          <w:p w14:paraId="67428148"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transferimin e hidrocentraleve ZAJE, TUJAN, XHAFERAJ, KOLLOVOZ, NOVOSEJË, MËSHTEKËN</w:t>
            </w:r>
          </w:p>
        </w:tc>
        <w:tc>
          <w:tcPr>
            <w:tcW w:w="2400" w:type="dxa"/>
            <w:noWrap/>
            <w:hideMark/>
          </w:tcPr>
          <w:p w14:paraId="7D668E67"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223,087</w:t>
            </w:r>
          </w:p>
        </w:tc>
      </w:tr>
      <w:tr w:rsidR="00092C3F" w:rsidRPr="00281CD2" w14:paraId="4B1BBD9C"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D09229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124</w:t>
            </w:r>
          </w:p>
        </w:tc>
        <w:tc>
          <w:tcPr>
            <w:tcW w:w="6945" w:type="dxa"/>
            <w:hideMark/>
          </w:tcPr>
          <w:p w14:paraId="7280ECBE"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Lumi Treskës</w:t>
            </w:r>
          </w:p>
        </w:tc>
        <w:tc>
          <w:tcPr>
            <w:tcW w:w="2400" w:type="dxa"/>
            <w:noWrap/>
            <w:hideMark/>
          </w:tcPr>
          <w:p w14:paraId="570738D2"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656,545</w:t>
            </w:r>
          </w:p>
        </w:tc>
      </w:tr>
      <w:tr w:rsidR="00092C3F" w:rsidRPr="00281CD2" w14:paraId="3B584D95"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45E40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125</w:t>
            </w:r>
          </w:p>
        </w:tc>
        <w:tc>
          <w:tcPr>
            <w:tcW w:w="6945" w:type="dxa"/>
            <w:hideMark/>
          </w:tcPr>
          <w:p w14:paraId="4E4A095B"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Kryerja e shërbimit të rimorkimit të anijeve, Shërbimi i Transportit, Transportimi i Ekuipazheve të anijeve, Operacionet e ngarkim-shkarkimit.</w:t>
            </w:r>
          </w:p>
        </w:tc>
        <w:tc>
          <w:tcPr>
            <w:tcW w:w="2400" w:type="dxa"/>
            <w:noWrap/>
            <w:hideMark/>
          </w:tcPr>
          <w:p w14:paraId="0955CAF8"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1,200,000</w:t>
            </w:r>
          </w:p>
        </w:tc>
      </w:tr>
      <w:tr w:rsidR="00092C3F" w:rsidRPr="00281CD2" w14:paraId="57B144E5"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5A51D8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126</w:t>
            </w:r>
          </w:p>
        </w:tc>
        <w:tc>
          <w:tcPr>
            <w:tcW w:w="6945" w:type="dxa"/>
            <w:hideMark/>
          </w:tcPr>
          <w:p w14:paraId="6A6A9A0F"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Malla</w:t>
            </w:r>
          </w:p>
        </w:tc>
        <w:tc>
          <w:tcPr>
            <w:tcW w:w="2400" w:type="dxa"/>
            <w:noWrap/>
            <w:hideMark/>
          </w:tcPr>
          <w:p w14:paraId="16A51F5F"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176,321</w:t>
            </w:r>
          </w:p>
        </w:tc>
      </w:tr>
      <w:tr w:rsidR="00092C3F" w:rsidRPr="00281CD2" w14:paraId="49CBCB83"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ACE6A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127</w:t>
            </w:r>
          </w:p>
        </w:tc>
        <w:tc>
          <w:tcPr>
            <w:tcW w:w="6945" w:type="dxa"/>
            <w:hideMark/>
          </w:tcPr>
          <w:p w14:paraId="721A3A62"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Zalli i Qarishtes</w:t>
            </w:r>
          </w:p>
        </w:tc>
        <w:tc>
          <w:tcPr>
            <w:tcW w:w="2400" w:type="dxa"/>
            <w:noWrap/>
            <w:hideMark/>
          </w:tcPr>
          <w:p w14:paraId="733EC300"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5,273,943</w:t>
            </w:r>
          </w:p>
        </w:tc>
      </w:tr>
      <w:tr w:rsidR="00092C3F" w:rsidRPr="00281CD2" w14:paraId="3D1DFECA"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4B4BD0"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128</w:t>
            </w:r>
          </w:p>
        </w:tc>
        <w:tc>
          <w:tcPr>
            <w:tcW w:w="6945" w:type="dxa"/>
            <w:hideMark/>
          </w:tcPr>
          <w:p w14:paraId="25A841A2"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Zall Xhuxhe 1, Zhall Xhuxhe 2</w:t>
            </w:r>
          </w:p>
        </w:tc>
        <w:tc>
          <w:tcPr>
            <w:tcW w:w="2400" w:type="dxa"/>
            <w:noWrap/>
            <w:hideMark/>
          </w:tcPr>
          <w:p w14:paraId="42EA99E0"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85,780</w:t>
            </w:r>
          </w:p>
        </w:tc>
      </w:tr>
      <w:tr w:rsidR="00092C3F" w:rsidRPr="00281CD2" w14:paraId="6458A096"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2C4721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lastRenderedPageBreak/>
              <w:t>129</w:t>
            </w:r>
          </w:p>
        </w:tc>
        <w:tc>
          <w:tcPr>
            <w:tcW w:w="6945" w:type="dxa"/>
            <w:hideMark/>
          </w:tcPr>
          <w:p w14:paraId="055A7724"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Sekë</w:t>
            </w:r>
          </w:p>
        </w:tc>
        <w:tc>
          <w:tcPr>
            <w:tcW w:w="2400" w:type="dxa"/>
            <w:noWrap/>
            <w:hideMark/>
          </w:tcPr>
          <w:p w14:paraId="7A9940D2"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1,177,888</w:t>
            </w:r>
          </w:p>
        </w:tc>
      </w:tr>
      <w:tr w:rsidR="00092C3F" w:rsidRPr="00281CD2" w14:paraId="1B5140DC"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1594B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130</w:t>
            </w:r>
          </w:p>
        </w:tc>
        <w:tc>
          <w:tcPr>
            <w:tcW w:w="6945" w:type="dxa"/>
            <w:hideMark/>
          </w:tcPr>
          <w:p w14:paraId="51F67AAE"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mbi lumin Gostimë, Egnatia Shushicë</w:t>
            </w:r>
          </w:p>
        </w:tc>
        <w:tc>
          <w:tcPr>
            <w:tcW w:w="2400" w:type="dxa"/>
            <w:noWrap/>
            <w:hideMark/>
          </w:tcPr>
          <w:p w14:paraId="77CD5560"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7,806,058</w:t>
            </w:r>
          </w:p>
        </w:tc>
      </w:tr>
      <w:tr w:rsidR="00092C3F" w:rsidRPr="00281CD2" w14:paraId="6F8CC23B"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31EA80"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131</w:t>
            </w:r>
          </w:p>
        </w:tc>
        <w:tc>
          <w:tcPr>
            <w:tcW w:w="6945" w:type="dxa"/>
            <w:hideMark/>
          </w:tcPr>
          <w:p w14:paraId="70FDFB47"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mbi lumin Valbonë rrethi Tropojë.</w:t>
            </w:r>
          </w:p>
        </w:tc>
        <w:tc>
          <w:tcPr>
            <w:tcW w:w="2400" w:type="dxa"/>
            <w:noWrap/>
            <w:hideMark/>
          </w:tcPr>
          <w:p w14:paraId="5A9DB745"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7,327,423</w:t>
            </w:r>
          </w:p>
        </w:tc>
      </w:tr>
      <w:tr w:rsidR="00092C3F" w:rsidRPr="00281CD2" w14:paraId="3391B337"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6044E6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132</w:t>
            </w:r>
          </w:p>
        </w:tc>
        <w:tc>
          <w:tcPr>
            <w:tcW w:w="6945" w:type="dxa"/>
            <w:hideMark/>
          </w:tcPr>
          <w:p w14:paraId="6E411172"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të Hidrocentraleve në Kaskadën e Osumit</w:t>
            </w:r>
          </w:p>
        </w:tc>
        <w:tc>
          <w:tcPr>
            <w:tcW w:w="2400" w:type="dxa"/>
            <w:noWrap/>
            <w:hideMark/>
          </w:tcPr>
          <w:p w14:paraId="5147338E"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32,377,517</w:t>
            </w:r>
          </w:p>
        </w:tc>
      </w:tr>
      <w:tr w:rsidR="00092C3F" w:rsidRPr="00281CD2" w14:paraId="0B9EAFB2"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951CA5"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133</w:t>
            </w:r>
          </w:p>
        </w:tc>
        <w:tc>
          <w:tcPr>
            <w:tcW w:w="6945" w:type="dxa"/>
            <w:hideMark/>
          </w:tcPr>
          <w:p w14:paraId="2E78D3B6"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Cangonj</w:t>
            </w:r>
          </w:p>
        </w:tc>
        <w:tc>
          <w:tcPr>
            <w:tcW w:w="2400" w:type="dxa"/>
            <w:noWrap/>
            <w:hideMark/>
          </w:tcPr>
          <w:p w14:paraId="6C5ECB00"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62,650</w:t>
            </w:r>
          </w:p>
        </w:tc>
      </w:tr>
      <w:tr w:rsidR="00092C3F" w:rsidRPr="00281CD2" w14:paraId="004E2EC6"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1C6FA55"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134</w:t>
            </w:r>
          </w:p>
        </w:tc>
        <w:tc>
          <w:tcPr>
            <w:tcW w:w="6945" w:type="dxa"/>
            <w:hideMark/>
          </w:tcPr>
          <w:p w14:paraId="297E7156"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Iballe 1, 2, Sapaç 1, 2, Berisha dhe Liqeni, Rrethi Pukë</w:t>
            </w:r>
          </w:p>
        </w:tc>
        <w:tc>
          <w:tcPr>
            <w:tcW w:w="2400" w:type="dxa"/>
            <w:noWrap/>
            <w:hideMark/>
          </w:tcPr>
          <w:p w14:paraId="72CEBDA4"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1,572,169</w:t>
            </w:r>
          </w:p>
        </w:tc>
      </w:tr>
      <w:tr w:rsidR="00092C3F" w:rsidRPr="00281CD2" w14:paraId="4252FB26"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650E8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135</w:t>
            </w:r>
          </w:p>
        </w:tc>
        <w:tc>
          <w:tcPr>
            <w:tcW w:w="6945" w:type="dxa"/>
            <w:hideMark/>
          </w:tcPr>
          <w:p w14:paraId="09EA945B"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Arrez 1, Arrez 2, Arrez 3 dhe Arrez 4</w:t>
            </w:r>
          </w:p>
        </w:tc>
        <w:tc>
          <w:tcPr>
            <w:tcW w:w="2400" w:type="dxa"/>
            <w:noWrap/>
            <w:hideMark/>
          </w:tcPr>
          <w:p w14:paraId="074A23FB"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295,860</w:t>
            </w:r>
          </w:p>
        </w:tc>
      </w:tr>
      <w:tr w:rsidR="00092C3F" w:rsidRPr="00281CD2" w14:paraId="7CE6100B"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79A5A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136</w:t>
            </w:r>
          </w:p>
        </w:tc>
        <w:tc>
          <w:tcPr>
            <w:tcW w:w="6945" w:type="dxa"/>
            <w:hideMark/>
          </w:tcPr>
          <w:p w14:paraId="49D541D3"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Kasollet e Selcës</w:t>
            </w:r>
          </w:p>
        </w:tc>
        <w:tc>
          <w:tcPr>
            <w:tcW w:w="2400" w:type="dxa"/>
            <w:noWrap/>
            <w:hideMark/>
          </w:tcPr>
          <w:p w14:paraId="154B180B"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526,318</w:t>
            </w:r>
          </w:p>
        </w:tc>
      </w:tr>
      <w:tr w:rsidR="00092C3F" w:rsidRPr="00281CD2" w14:paraId="5D26AF83"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102831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137</w:t>
            </w:r>
          </w:p>
        </w:tc>
        <w:tc>
          <w:tcPr>
            <w:tcW w:w="6945" w:type="dxa"/>
            <w:hideMark/>
          </w:tcPr>
          <w:p w14:paraId="786BBE07"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Ballenjë</w:t>
            </w:r>
          </w:p>
        </w:tc>
        <w:tc>
          <w:tcPr>
            <w:tcW w:w="2400" w:type="dxa"/>
            <w:noWrap/>
            <w:hideMark/>
          </w:tcPr>
          <w:p w14:paraId="586606FB"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138,315</w:t>
            </w:r>
          </w:p>
        </w:tc>
      </w:tr>
      <w:tr w:rsidR="00092C3F" w:rsidRPr="00281CD2" w14:paraId="0CFC3A42"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02816B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138</w:t>
            </w:r>
          </w:p>
        </w:tc>
        <w:tc>
          <w:tcPr>
            <w:tcW w:w="6945" w:type="dxa"/>
            <w:hideMark/>
          </w:tcPr>
          <w:p w14:paraId="0CFD7548"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Lumzi</w:t>
            </w:r>
          </w:p>
        </w:tc>
        <w:tc>
          <w:tcPr>
            <w:tcW w:w="2400" w:type="dxa"/>
            <w:noWrap/>
            <w:hideMark/>
          </w:tcPr>
          <w:p w14:paraId="7289011A"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1,725,593</w:t>
            </w:r>
          </w:p>
        </w:tc>
      </w:tr>
      <w:tr w:rsidR="00092C3F" w:rsidRPr="00281CD2" w14:paraId="0DC5992D"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353BA89"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139</w:t>
            </w:r>
          </w:p>
        </w:tc>
        <w:tc>
          <w:tcPr>
            <w:tcW w:w="6945" w:type="dxa"/>
            <w:hideMark/>
          </w:tcPr>
          <w:p w14:paraId="7E27FB53"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Plepi, në Përroin e Plepit, Komuna Okshtun, Rrethi Diber</w:t>
            </w:r>
          </w:p>
        </w:tc>
        <w:tc>
          <w:tcPr>
            <w:tcW w:w="2400" w:type="dxa"/>
            <w:noWrap/>
            <w:hideMark/>
          </w:tcPr>
          <w:p w14:paraId="5EE18C06"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86,818</w:t>
            </w:r>
          </w:p>
        </w:tc>
      </w:tr>
      <w:tr w:rsidR="00092C3F" w:rsidRPr="00281CD2" w14:paraId="5FB199A1"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92026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140</w:t>
            </w:r>
          </w:p>
        </w:tc>
        <w:tc>
          <w:tcPr>
            <w:tcW w:w="6945" w:type="dxa"/>
            <w:hideMark/>
          </w:tcPr>
          <w:p w14:paraId="2C7305F5"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Vendresh, në Pellgun ujëmbledhës Përroi Vendreshes, Komuna Vendresh, Rrethi Skrapar</w:t>
            </w:r>
          </w:p>
        </w:tc>
        <w:tc>
          <w:tcPr>
            <w:tcW w:w="2400" w:type="dxa"/>
            <w:noWrap/>
            <w:hideMark/>
          </w:tcPr>
          <w:p w14:paraId="53B84811"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37,250</w:t>
            </w:r>
          </w:p>
        </w:tc>
      </w:tr>
      <w:tr w:rsidR="00092C3F" w:rsidRPr="00281CD2" w14:paraId="564F4228"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5F8D14"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141</w:t>
            </w:r>
          </w:p>
        </w:tc>
        <w:tc>
          <w:tcPr>
            <w:tcW w:w="6945" w:type="dxa"/>
            <w:hideMark/>
          </w:tcPr>
          <w:p w14:paraId="5BB41F11"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mbi Lumin Gjader</w:t>
            </w:r>
          </w:p>
        </w:tc>
        <w:tc>
          <w:tcPr>
            <w:tcW w:w="2400" w:type="dxa"/>
            <w:noWrap/>
            <w:hideMark/>
          </w:tcPr>
          <w:p w14:paraId="2818B11C"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1,592,691</w:t>
            </w:r>
          </w:p>
        </w:tc>
      </w:tr>
      <w:tr w:rsidR="00092C3F" w:rsidRPr="00281CD2" w14:paraId="082B979B"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A9E135"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142</w:t>
            </w:r>
          </w:p>
        </w:tc>
        <w:tc>
          <w:tcPr>
            <w:tcW w:w="6945" w:type="dxa"/>
            <w:hideMark/>
          </w:tcPr>
          <w:p w14:paraId="45317E94"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Dobrenje-Tomorrice, në Përroin e Hijes, Skrapar</w:t>
            </w:r>
          </w:p>
        </w:tc>
        <w:tc>
          <w:tcPr>
            <w:tcW w:w="2400" w:type="dxa"/>
            <w:noWrap/>
            <w:hideMark/>
          </w:tcPr>
          <w:p w14:paraId="16D1C2D1"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106,780</w:t>
            </w:r>
          </w:p>
        </w:tc>
      </w:tr>
      <w:tr w:rsidR="00092C3F" w:rsidRPr="00281CD2" w14:paraId="71697EF8"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B63DA5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143</w:t>
            </w:r>
          </w:p>
        </w:tc>
        <w:tc>
          <w:tcPr>
            <w:tcW w:w="6945" w:type="dxa"/>
            <w:hideMark/>
          </w:tcPr>
          <w:p w14:paraId="10BB3A6F"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Potam</w:t>
            </w:r>
          </w:p>
        </w:tc>
        <w:tc>
          <w:tcPr>
            <w:tcW w:w="2400" w:type="dxa"/>
            <w:noWrap/>
            <w:hideMark/>
          </w:tcPr>
          <w:p w14:paraId="79BD621A"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291,900</w:t>
            </w:r>
          </w:p>
        </w:tc>
      </w:tr>
      <w:tr w:rsidR="00092C3F" w:rsidRPr="00281CD2" w14:paraId="3ACBA711"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38F64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144</w:t>
            </w:r>
          </w:p>
        </w:tc>
        <w:tc>
          <w:tcPr>
            <w:tcW w:w="6945" w:type="dxa"/>
            <w:hideMark/>
          </w:tcPr>
          <w:p w14:paraId="5F4D5B02"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Guri I Kuq 1/1 dhe Guri I Kuq 1/2</w:t>
            </w:r>
          </w:p>
        </w:tc>
        <w:tc>
          <w:tcPr>
            <w:tcW w:w="2400" w:type="dxa"/>
            <w:noWrap/>
            <w:hideMark/>
          </w:tcPr>
          <w:p w14:paraId="35A94BBF"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136,964</w:t>
            </w:r>
          </w:p>
        </w:tc>
      </w:tr>
      <w:tr w:rsidR="00092C3F" w:rsidRPr="00281CD2" w14:paraId="3E24648D"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1D5185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145</w:t>
            </w:r>
          </w:p>
        </w:tc>
        <w:tc>
          <w:tcPr>
            <w:tcW w:w="6945" w:type="dxa"/>
            <w:hideMark/>
          </w:tcPr>
          <w:p w14:paraId="57144B73"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Denas</w:t>
            </w:r>
          </w:p>
        </w:tc>
        <w:tc>
          <w:tcPr>
            <w:tcW w:w="2400" w:type="dxa"/>
            <w:noWrap/>
            <w:hideMark/>
          </w:tcPr>
          <w:p w14:paraId="409F664D"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936,000</w:t>
            </w:r>
          </w:p>
        </w:tc>
      </w:tr>
      <w:tr w:rsidR="00092C3F" w:rsidRPr="00281CD2" w14:paraId="12AB0134"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324121"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146</w:t>
            </w:r>
          </w:p>
        </w:tc>
        <w:tc>
          <w:tcPr>
            <w:tcW w:w="6945" w:type="dxa"/>
            <w:hideMark/>
          </w:tcPr>
          <w:p w14:paraId="43F9428A"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Vokopola 1, Vokopola 2 dhe Vokopola 3</w:t>
            </w:r>
          </w:p>
        </w:tc>
        <w:tc>
          <w:tcPr>
            <w:tcW w:w="2400" w:type="dxa"/>
            <w:noWrap/>
            <w:hideMark/>
          </w:tcPr>
          <w:p w14:paraId="4C7A80C6"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497,258</w:t>
            </w:r>
          </w:p>
        </w:tc>
      </w:tr>
      <w:tr w:rsidR="00092C3F" w:rsidRPr="00281CD2" w14:paraId="2C12F606"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559D021"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147</w:t>
            </w:r>
          </w:p>
        </w:tc>
        <w:tc>
          <w:tcPr>
            <w:tcW w:w="6945" w:type="dxa"/>
            <w:hideMark/>
          </w:tcPr>
          <w:p w14:paraId="21924A39"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Shengjon, Komuna Fan, Rrethi Mirditë</w:t>
            </w:r>
          </w:p>
        </w:tc>
        <w:tc>
          <w:tcPr>
            <w:tcW w:w="2400" w:type="dxa"/>
            <w:noWrap/>
            <w:hideMark/>
          </w:tcPr>
          <w:p w14:paraId="04362415"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101,242</w:t>
            </w:r>
          </w:p>
        </w:tc>
      </w:tr>
      <w:tr w:rsidR="00092C3F" w:rsidRPr="00281CD2" w14:paraId="06D1DBA8"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75071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148</w:t>
            </w:r>
          </w:p>
        </w:tc>
        <w:tc>
          <w:tcPr>
            <w:tcW w:w="6945" w:type="dxa"/>
            <w:hideMark/>
          </w:tcPr>
          <w:p w14:paraId="1A9DDF11"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Skatinë</w:t>
            </w:r>
          </w:p>
        </w:tc>
        <w:tc>
          <w:tcPr>
            <w:tcW w:w="2400" w:type="dxa"/>
            <w:noWrap/>
            <w:hideMark/>
          </w:tcPr>
          <w:p w14:paraId="35833D42"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129,542</w:t>
            </w:r>
          </w:p>
        </w:tc>
      </w:tr>
      <w:tr w:rsidR="00092C3F" w:rsidRPr="00281CD2" w14:paraId="24927C59"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E464D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149</w:t>
            </w:r>
          </w:p>
        </w:tc>
        <w:tc>
          <w:tcPr>
            <w:tcW w:w="6945" w:type="dxa"/>
            <w:hideMark/>
          </w:tcPr>
          <w:p w14:paraId="43FE7243"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Shkopet 2 dhe Shkopet 3</w:t>
            </w:r>
          </w:p>
        </w:tc>
        <w:tc>
          <w:tcPr>
            <w:tcW w:w="2400" w:type="dxa"/>
            <w:noWrap/>
            <w:hideMark/>
          </w:tcPr>
          <w:p w14:paraId="13725779"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2,273,384</w:t>
            </w:r>
          </w:p>
        </w:tc>
      </w:tr>
      <w:tr w:rsidR="00092C3F" w:rsidRPr="00281CD2" w14:paraId="326485FE"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2B92F6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150</w:t>
            </w:r>
          </w:p>
        </w:tc>
        <w:tc>
          <w:tcPr>
            <w:tcW w:w="6945" w:type="dxa"/>
            <w:hideMark/>
          </w:tcPr>
          <w:p w14:paraId="355D8BA5"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Bregu i Madh</w:t>
            </w:r>
          </w:p>
        </w:tc>
        <w:tc>
          <w:tcPr>
            <w:tcW w:w="2400" w:type="dxa"/>
            <w:noWrap/>
            <w:hideMark/>
          </w:tcPr>
          <w:p w14:paraId="60C2F602"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128,136</w:t>
            </w:r>
          </w:p>
        </w:tc>
      </w:tr>
      <w:tr w:rsidR="00092C3F" w:rsidRPr="00281CD2" w14:paraId="264ADC17"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5751DE4"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151</w:t>
            </w:r>
          </w:p>
        </w:tc>
        <w:tc>
          <w:tcPr>
            <w:tcW w:w="6945" w:type="dxa"/>
            <w:hideMark/>
          </w:tcPr>
          <w:p w14:paraId="09088BA6"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Gavran1 dhe Gavran</w:t>
            </w:r>
          </w:p>
        </w:tc>
        <w:tc>
          <w:tcPr>
            <w:tcW w:w="2400" w:type="dxa"/>
            <w:noWrap/>
            <w:hideMark/>
          </w:tcPr>
          <w:p w14:paraId="27E20E49"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164,333</w:t>
            </w:r>
          </w:p>
        </w:tc>
      </w:tr>
      <w:tr w:rsidR="00092C3F" w:rsidRPr="00281CD2" w14:paraId="636A89C6"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0EA227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152</w:t>
            </w:r>
          </w:p>
        </w:tc>
        <w:tc>
          <w:tcPr>
            <w:tcW w:w="6945" w:type="dxa"/>
            <w:hideMark/>
          </w:tcPr>
          <w:p w14:paraId="51390D57"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Bershi-Klos</w:t>
            </w:r>
          </w:p>
        </w:tc>
        <w:tc>
          <w:tcPr>
            <w:tcW w:w="2400" w:type="dxa"/>
            <w:noWrap/>
            <w:hideMark/>
          </w:tcPr>
          <w:p w14:paraId="14C1A1D8"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250,549</w:t>
            </w:r>
          </w:p>
        </w:tc>
      </w:tr>
      <w:tr w:rsidR="00092C3F" w:rsidRPr="00281CD2" w14:paraId="67BC53CE"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934548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153</w:t>
            </w:r>
          </w:p>
        </w:tc>
        <w:tc>
          <w:tcPr>
            <w:tcW w:w="6945" w:type="dxa"/>
            <w:hideMark/>
          </w:tcPr>
          <w:p w14:paraId="379AE86D"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Shengjun</w:t>
            </w:r>
          </w:p>
        </w:tc>
        <w:tc>
          <w:tcPr>
            <w:tcW w:w="2400" w:type="dxa"/>
            <w:noWrap/>
            <w:hideMark/>
          </w:tcPr>
          <w:p w14:paraId="4CD37856"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349,865</w:t>
            </w:r>
          </w:p>
        </w:tc>
      </w:tr>
      <w:tr w:rsidR="00092C3F" w:rsidRPr="00281CD2" w14:paraId="4BC2EA92"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EE7FA80"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154</w:t>
            </w:r>
          </w:p>
        </w:tc>
        <w:tc>
          <w:tcPr>
            <w:tcW w:w="6945" w:type="dxa"/>
            <w:hideMark/>
          </w:tcPr>
          <w:p w14:paraId="6481D338"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Bigas dhe Veleshnje</w:t>
            </w:r>
          </w:p>
        </w:tc>
        <w:tc>
          <w:tcPr>
            <w:tcW w:w="2400" w:type="dxa"/>
            <w:noWrap/>
            <w:hideMark/>
          </w:tcPr>
          <w:p w14:paraId="6390F990"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42,420</w:t>
            </w:r>
          </w:p>
        </w:tc>
      </w:tr>
      <w:tr w:rsidR="00092C3F" w:rsidRPr="00281CD2" w14:paraId="1467BC12"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ADB40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155</w:t>
            </w:r>
          </w:p>
        </w:tc>
        <w:tc>
          <w:tcPr>
            <w:tcW w:w="6945" w:type="dxa"/>
            <w:hideMark/>
          </w:tcPr>
          <w:p w14:paraId="15E0A4AC"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Nishan</w:t>
            </w:r>
          </w:p>
        </w:tc>
        <w:tc>
          <w:tcPr>
            <w:tcW w:w="2400" w:type="dxa"/>
            <w:noWrap/>
            <w:hideMark/>
          </w:tcPr>
          <w:p w14:paraId="661A276F"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212,520</w:t>
            </w:r>
          </w:p>
        </w:tc>
      </w:tr>
      <w:tr w:rsidR="00092C3F" w:rsidRPr="00281CD2" w14:paraId="20C065F0"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AA6C3D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156</w:t>
            </w:r>
          </w:p>
        </w:tc>
        <w:tc>
          <w:tcPr>
            <w:tcW w:w="6945" w:type="dxa"/>
            <w:hideMark/>
          </w:tcPr>
          <w:p w14:paraId="1AB43659"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Quku 1 dhe Quku 2</w:t>
            </w:r>
          </w:p>
        </w:tc>
        <w:tc>
          <w:tcPr>
            <w:tcW w:w="2400" w:type="dxa"/>
            <w:noWrap/>
            <w:hideMark/>
          </w:tcPr>
          <w:p w14:paraId="0E95B7FF"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150,895</w:t>
            </w:r>
          </w:p>
        </w:tc>
      </w:tr>
      <w:tr w:rsidR="00092C3F" w:rsidRPr="00281CD2" w14:paraId="791EC76E"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01379C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157</w:t>
            </w:r>
          </w:p>
        </w:tc>
        <w:tc>
          <w:tcPr>
            <w:tcW w:w="6945" w:type="dxa"/>
            <w:hideMark/>
          </w:tcPr>
          <w:p w14:paraId="5633E671"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Shutri</w:t>
            </w:r>
          </w:p>
        </w:tc>
        <w:tc>
          <w:tcPr>
            <w:tcW w:w="2400" w:type="dxa"/>
            <w:noWrap/>
            <w:hideMark/>
          </w:tcPr>
          <w:p w14:paraId="201C4F66"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139,667</w:t>
            </w:r>
          </w:p>
        </w:tc>
      </w:tr>
      <w:tr w:rsidR="00092C3F" w:rsidRPr="00281CD2" w14:paraId="00B41D55"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CD5BCD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158</w:t>
            </w:r>
          </w:p>
        </w:tc>
        <w:tc>
          <w:tcPr>
            <w:tcW w:w="6945" w:type="dxa"/>
            <w:hideMark/>
          </w:tcPr>
          <w:p w14:paraId="1EB9B9DB"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Vernik 1, Vernik 2, Vernik 3 dhe Vernik 4</w:t>
            </w:r>
          </w:p>
        </w:tc>
        <w:tc>
          <w:tcPr>
            <w:tcW w:w="2400" w:type="dxa"/>
            <w:noWrap/>
            <w:hideMark/>
          </w:tcPr>
          <w:p w14:paraId="561BB9CF"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971,365</w:t>
            </w:r>
          </w:p>
        </w:tc>
      </w:tr>
      <w:tr w:rsidR="00092C3F" w:rsidRPr="00281CD2" w14:paraId="554A3EBA"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8D60545"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159</w:t>
            </w:r>
          </w:p>
        </w:tc>
        <w:tc>
          <w:tcPr>
            <w:tcW w:w="6945" w:type="dxa"/>
            <w:hideMark/>
          </w:tcPr>
          <w:p w14:paraId="6594F52B"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Lajthia, Kolesjan, Domaj</w:t>
            </w:r>
          </w:p>
        </w:tc>
        <w:tc>
          <w:tcPr>
            <w:tcW w:w="2400" w:type="dxa"/>
            <w:noWrap/>
            <w:hideMark/>
          </w:tcPr>
          <w:p w14:paraId="1E8E5471"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123,761</w:t>
            </w:r>
          </w:p>
        </w:tc>
      </w:tr>
      <w:tr w:rsidR="00092C3F" w:rsidRPr="00281CD2" w14:paraId="30ADD019"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C5550F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160</w:t>
            </w:r>
          </w:p>
        </w:tc>
        <w:tc>
          <w:tcPr>
            <w:tcW w:w="6945" w:type="dxa"/>
            <w:hideMark/>
          </w:tcPr>
          <w:p w14:paraId="100F128F"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Kryezi 3, Kryezi 4 dhe Kryezi 5</w:t>
            </w:r>
          </w:p>
        </w:tc>
        <w:tc>
          <w:tcPr>
            <w:tcW w:w="2400" w:type="dxa"/>
            <w:noWrap/>
            <w:hideMark/>
          </w:tcPr>
          <w:p w14:paraId="2D47A5BB"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131,064</w:t>
            </w:r>
          </w:p>
        </w:tc>
      </w:tr>
      <w:tr w:rsidR="00092C3F" w:rsidRPr="00281CD2" w14:paraId="1D53D807"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152EC5"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161</w:t>
            </w:r>
          </w:p>
        </w:tc>
        <w:tc>
          <w:tcPr>
            <w:tcW w:w="6945" w:type="dxa"/>
            <w:hideMark/>
          </w:tcPr>
          <w:p w14:paraId="22AFED52"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Shpella Poshtë II dhe Shpella Poshtë III</w:t>
            </w:r>
          </w:p>
        </w:tc>
        <w:tc>
          <w:tcPr>
            <w:tcW w:w="2400" w:type="dxa"/>
            <w:noWrap/>
            <w:hideMark/>
          </w:tcPr>
          <w:p w14:paraId="52302DA4"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144,560</w:t>
            </w:r>
          </w:p>
        </w:tc>
      </w:tr>
      <w:tr w:rsidR="00092C3F" w:rsidRPr="00281CD2" w14:paraId="67140CC4"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4934A2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162</w:t>
            </w:r>
          </w:p>
        </w:tc>
        <w:tc>
          <w:tcPr>
            <w:tcW w:w="6945" w:type="dxa"/>
            <w:hideMark/>
          </w:tcPr>
          <w:p w14:paraId="11908A32"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i  Hidrocentraleve, Prishta1, Prishta 2,</w:t>
            </w:r>
          </w:p>
        </w:tc>
        <w:tc>
          <w:tcPr>
            <w:tcW w:w="2400" w:type="dxa"/>
            <w:noWrap/>
            <w:hideMark/>
          </w:tcPr>
          <w:p w14:paraId="71125356"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329,257</w:t>
            </w:r>
          </w:p>
        </w:tc>
      </w:tr>
      <w:tr w:rsidR="00092C3F" w:rsidRPr="00281CD2" w14:paraId="633768B0"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73AA53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lastRenderedPageBreak/>
              <w:t>163</w:t>
            </w:r>
          </w:p>
        </w:tc>
        <w:tc>
          <w:tcPr>
            <w:tcW w:w="6945" w:type="dxa"/>
            <w:hideMark/>
          </w:tcPr>
          <w:p w14:paraId="6FE17CBB"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tranfesrimin e Hidrocentraleve Gjuraj, Kashec, Ragam dhe Lepurushe</w:t>
            </w:r>
          </w:p>
        </w:tc>
        <w:tc>
          <w:tcPr>
            <w:tcW w:w="2400" w:type="dxa"/>
            <w:noWrap/>
            <w:hideMark/>
          </w:tcPr>
          <w:p w14:paraId="387B09E5"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780,000</w:t>
            </w:r>
          </w:p>
        </w:tc>
      </w:tr>
      <w:tr w:rsidR="00092C3F" w:rsidRPr="00281CD2" w14:paraId="2A178B12"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FB80140"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164</w:t>
            </w:r>
          </w:p>
        </w:tc>
        <w:tc>
          <w:tcPr>
            <w:tcW w:w="6945" w:type="dxa"/>
            <w:hideMark/>
          </w:tcPr>
          <w:p w14:paraId="3114E1DF"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Ndërtimin, operimin dhe transferimin e hidrocentraleve VRANISHT, STROPAN, GRAPSH-ZICISHT dhe HOCISHT</w:t>
            </w:r>
          </w:p>
        </w:tc>
        <w:tc>
          <w:tcPr>
            <w:tcW w:w="2400" w:type="dxa"/>
            <w:noWrap/>
            <w:hideMark/>
          </w:tcPr>
          <w:p w14:paraId="0929F7E4"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92,549</w:t>
            </w:r>
          </w:p>
        </w:tc>
      </w:tr>
      <w:tr w:rsidR="00092C3F" w:rsidRPr="00281CD2" w14:paraId="31A70145"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43EEF94"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165</w:t>
            </w:r>
          </w:p>
        </w:tc>
        <w:tc>
          <w:tcPr>
            <w:tcW w:w="6945" w:type="dxa"/>
            <w:hideMark/>
          </w:tcPr>
          <w:p w14:paraId="5D79E9E3"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hidrocentraleve mbi Përroin Ujëmbledhës të Përroit të Zhejës</w:t>
            </w:r>
          </w:p>
        </w:tc>
        <w:tc>
          <w:tcPr>
            <w:tcW w:w="2400" w:type="dxa"/>
            <w:noWrap/>
            <w:hideMark/>
          </w:tcPr>
          <w:p w14:paraId="290EA39A"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61,916</w:t>
            </w:r>
          </w:p>
        </w:tc>
      </w:tr>
      <w:tr w:rsidR="00092C3F" w:rsidRPr="00281CD2" w14:paraId="796A50C2"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E881F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166</w:t>
            </w:r>
          </w:p>
        </w:tc>
        <w:tc>
          <w:tcPr>
            <w:tcW w:w="6945" w:type="dxa"/>
            <w:hideMark/>
          </w:tcPr>
          <w:p w14:paraId="68CFC384"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hidrocentraleve mbi Lumin SETA</w:t>
            </w:r>
          </w:p>
        </w:tc>
        <w:tc>
          <w:tcPr>
            <w:tcW w:w="2400" w:type="dxa"/>
            <w:noWrap/>
            <w:hideMark/>
          </w:tcPr>
          <w:p w14:paraId="058C7B7E"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1,400,806</w:t>
            </w:r>
          </w:p>
        </w:tc>
      </w:tr>
      <w:tr w:rsidR="00092C3F" w:rsidRPr="00281CD2" w14:paraId="6AC18F54"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EA9275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167</w:t>
            </w:r>
          </w:p>
        </w:tc>
        <w:tc>
          <w:tcPr>
            <w:tcW w:w="6945" w:type="dxa"/>
            <w:hideMark/>
          </w:tcPr>
          <w:p w14:paraId="3A5676F1"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dhe transferim hidrocentralit RUNJA</w:t>
            </w:r>
          </w:p>
        </w:tc>
        <w:tc>
          <w:tcPr>
            <w:tcW w:w="2400" w:type="dxa"/>
            <w:noWrap/>
            <w:hideMark/>
          </w:tcPr>
          <w:p w14:paraId="221DC2A9"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351,245</w:t>
            </w:r>
          </w:p>
        </w:tc>
      </w:tr>
      <w:tr w:rsidR="00092C3F" w:rsidRPr="00281CD2" w14:paraId="15CA9BFA"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A483B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168</w:t>
            </w:r>
          </w:p>
        </w:tc>
        <w:tc>
          <w:tcPr>
            <w:tcW w:w="6945" w:type="dxa"/>
            <w:hideMark/>
          </w:tcPr>
          <w:p w14:paraId="285E33DD"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Perrollaj</w:t>
            </w:r>
          </w:p>
        </w:tc>
        <w:tc>
          <w:tcPr>
            <w:tcW w:w="2400" w:type="dxa"/>
            <w:noWrap/>
            <w:hideMark/>
          </w:tcPr>
          <w:p w14:paraId="40F86F17"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51,435</w:t>
            </w:r>
          </w:p>
        </w:tc>
      </w:tr>
      <w:tr w:rsidR="00092C3F" w:rsidRPr="00281CD2" w14:paraId="030937A8"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8CE786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169</w:t>
            </w:r>
          </w:p>
        </w:tc>
        <w:tc>
          <w:tcPr>
            <w:tcW w:w="6945" w:type="dxa"/>
            <w:hideMark/>
          </w:tcPr>
          <w:p w14:paraId="43EDABD5"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Driza</w:t>
            </w:r>
          </w:p>
        </w:tc>
        <w:tc>
          <w:tcPr>
            <w:tcW w:w="2400" w:type="dxa"/>
            <w:noWrap/>
            <w:hideMark/>
          </w:tcPr>
          <w:p w14:paraId="0FE5EEDC"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151,000</w:t>
            </w:r>
          </w:p>
        </w:tc>
      </w:tr>
      <w:tr w:rsidR="00092C3F" w:rsidRPr="00281CD2" w14:paraId="6B04F1DC"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A8D15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170</w:t>
            </w:r>
          </w:p>
        </w:tc>
        <w:tc>
          <w:tcPr>
            <w:tcW w:w="6945" w:type="dxa"/>
            <w:hideMark/>
          </w:tcPr>
          <w:p w14:paraId="4E72ED7D"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hidrocentralit Qarr Kaltanj</w:t>
            </w:r>
          </w:p>
        </w:tc>
        <w:tc>
          <w:tcPr>
            <w:tcW w:w="2400" w:type="dxa"/>
            <w:noWrap/>
            <w:hideMark/>
          </w:tcPr>
          <w:p w14:paraId="2A0DB5D2"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273,893</w:t>
            </w:r>
          </w:p>
        </w:tc>
      </w:tr>
      <w:tr w:rsidR="00092C3F" w:rsidRPr="00281CD2" w14:paraId="74627F95"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BF6415"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171</w:t>
            </w:r>
          </w:p>
        </w:tc>
        <w:tc>
          <w:tcPr>
            <w:tcW w:w="6945" w:type="dxa"/>
            <w:hideMark/>
          </w:tcPr>
          <w:p w14:paraId="446F477B"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mirëmbajtja e hidrocentraleve Zerec 1,2</w:t>
            </w:r>
          </w:p>
        </w:tc>
        <w:tc>
          <w:tcPr>
            <w:tcW w:w="2400" w:type="dxa"/>
            <w:noWrap/>
            <w:hideMark/>
          </w:tcPr>
          <w:p w14:paraId="7C1608F4"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199,921</w:t>
            </w:r>
          </w:p>
        </w:tc>
      </w:tr>
      <w:tr w:rsidR="00092C3F" w:rsidRPr="00281CD2" w14:paraId="50766759"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C57C95"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172</w:t>
            </w:r>
          </w:p>
        </w:tc>
        <w:tc>
          <w:tcPr>
            <w:tcW w:w="6945" w:type="dxa"/>
            <w:hideMark/>
          </w:tcPr>
          <w:p w14:paraId="10490093"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Menaxhimi, Operimi, Mirembajtja, Përmiresimi teknik dhe Adaptimi i terminalit të trageteve dhe krocerave Durrës.</w:t>
            </w:r>
          </w:p>
        </w:tc>
        <w:tc>
          <w:tcPr>
            <w:tcW w:w="2400" w:type="dxa"/>
            <w:noWrap/>
            <w:hideMark/>
          </w:tcPr>
          <w:p w14:paraId="5BA7D3D5"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581,387</w:t>
            </w:r>
          </w:p>
        </w:tc>
      </w:tr>
      <w:tr w:rsidR="00092C3F" w:rsidRPr="00281CD2" w14:paraId="2AB6816F"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679A6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173</w:t>
            </w:r>
          </w:p>
        </w:tc>
        <w:tc>
          <w:tcPr>
            <w:tcW w:w="6945" w:type="dxa"/>
            <w:hideMark/>
          </w:tcPr>
          <w:p w14:paraId="469BF9F3"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Operimi, Ndertimi, Mirëmbajtja, Përmiresimi Teknik dhe Adaptimi i Terminalit Lindor Durrës.</w:t>
            </w:r>
          </w:p>
        </w:tc>
        <w:tc>
          <w:tcPr>
            <w:tcW w:w="2400" w:type="dxa"/>
            <w:noWrap/>
            <w:hideMark/>
          </w:tcPr>
          <w:p w14:paraId="68D0BB83"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2,069,372</w:t>
            </w:r>
          </w:p>
        </w:tc>
      </w:tr>
      <w:tr w:rsidR="00092C3F" w:rsidRPr="00281CD2" w14:paraId="2BB5BAC9"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9047E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174</w:t>
            </w:r>
          </w:p>
        </w:tc>
        <w:tc>
          <w:tcPr>
            <w:tcW w:w="6945" w:type="dxa"/>
            <w:hideMark/>
          </w:tcPr>
          <w:p w14:paraId="58244FAC"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Shërbimi i markimit dhe monitorimit të karburanteve</w:t>
            </w:r>
          </w:p>
        </w:tc>
        <w:tc>
          <w:tcPr>
            <w:tcW w:w="2400" w:type="dxa"/>
            <w:noWrap/>
            <w:hideMark/>
          </w:tcPr>
          <w:p w14:paraId="04116E00"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444,939</w:t>
            </w:r>
          </w:p>
        </w:tc>
      </w:tr>
      <w:tr w:rsidR="00092C3F" w:rsidRPr="00281CD2" w14:paraId="3E36178A"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CB811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175</w:t>
            </w:r>
          </w:p>
        </w:tc>
        <w:tc>
          <w:tcPr>
            <w:tcW w:w="6945" w:type="dxa"/>
            <w:hideMark/>
          </w:tcPr>
          <w:p w14:paraId="1B253C69"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Financimi, ngritja dhe operimi i shërbimit të skanimit të konteinerve e automjeteve të tjera në Republikën e Shqipërisë.</w:t>
            </w:r>
          </w:p>
        </w:tc>
        <w:tc>
          <w:tcPr>
            <w:tcW w:w="2400" w:type="dxa"/>
            <w:noWrap/>
            <w:hideMark/>
          </w:tcPr>
          <w:p w14:paraId="7E8B39D2"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2,836,560</w:t>
            </w:r>
          </w:p>
        </w:tc>
      </w:tr>
      <w:tr w:rsidR="00092C3F" w:rsidRPr="00281CD2" w14:paraId="661F45DA"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C31D27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176</w:t>
            </w:r>
          </w:p>
        </w:tc>
        <w:tc>
          <w:tcPr>
            <w:tcW w:w="6945" w:type="dxa"/>
            <w:hideMark/>
          </w:tcPr>
          <w:p w14:paraId="5E64D894"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i portit të jahteve në Kalanë  e Turrës, Komuna Synej, Kavajë.</w:t>
            </w:r>
          </w:p>
        </w:tc>
        <w:tc>
          <w:tcPr>
            <w:tcW w:w="2400" w:type="dxa"/>
            <w:noWrap/>
            <w:hideMark/>
          </w:tcPr>
          <w:p w14:paraId="5DD5976E"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4,450,000</w:t>
            </w:r>
          </w:p>
        </w:tc>
      </w:tr>
      <w:tr w:rsidR="00092C3F" w:rsidRPr="00281CD2" w14:paraId="0B1A07C1"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8C7B5C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177</w:t>
            </w:r>
          </w:p>
        </w:tc>
        <w:tc>
          <w:tcPr>
            <w:tcW w:w="6945" w:type="dxa"/>
            <w:hideMark/>
          </w:tcPr>
          <w:p w14:paraId="0096721D"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dhe transferimi Hidrocentraleve mbi Lumin Devoll, Infrastruktura zëvendësuese</w:t>
            </w:r>
          </w:p>
        </w:tc>
        <w:tc>
          <w:tcPr>
            <w:tcW w:w="2400" w:type="dxa"/>
            <w:noWrap/>
            <w:hideMark/>
          </w:tcPr>
          <w:p w14:paraId="26A46095"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7,000,000</w:t>
            </w:r>
          </w:p>
        </w:tc>
      </w:tr>
      <w:tr w:rsidR="00092C3F" w:rsidRPr="00281CD2" w14:paraId="3B54CD2B"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0A82B01"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178</w:t>
            </w:r>
          </w:p>
        </w:tc>
        <w:tc>
          <w:tcPr>
            <w:tcW w:w="6945" w:type="dxa"/>
            <w:hideMark/>
          </w:tcPr>
          <w:p w14:paraId="4E8683D1"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Hidrocentralit Begaj</w:t>
            </w:r>
          </w:p>
        </w:tc>
        <w:tc>
          <w:tcPr>
            <w:tcW w:w="2400" w:type="dxa"/>
            <w:noWrap/>
            <w:hideMark/>
          </w:tcPr>
          <w:p w14:paraId="197BBED6"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2,794,366</w:t>
            </w:r>
          </w:p>
        </w:tc>
      </w:tr>
      <w:tr w:rsidR="00092C3F" w:rsidRPr="00281CD2" w14:paraId="1DA79F2A"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F4FB1A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179</w:t>
            </w:r>
          </w:p>
        </w:tc>
        <w:tc>
          <w:tcPr>
            <w:tcW w:w="6945" w:type="dxa"/>
            <w:hideMark/>
          </w:tcPr>
          <w:p w14:paraId="6F5F34FF"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Menaxhimi dhe zhvillimi teknologjik i prodhimit të fidanëve pyjor/arror në Fidanishten Shtetërore të Cërrikut, Elbasan</w:t>
            </w:r>
          </w:p>
        </w:tc>
        <w:tc>
          <w:tcPr>
            <w:tcW w:w="2400" w:type="dxa"/>
            <w:noWrap/>
            <w:hideMark/>
          </w:tcPr>
          <w:p w14:paraId="328118F8"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49,660</w:t>
            </w:r>
          </w:p>
        </w:tc>
      </w:tr>
      <w:tr w:rsidR="00092C3F" w:rsidRPr="00281CD2" w14:paraId="3EFED820"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291C32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180</w:t>
            </w:r>
          </w:p>
        </w:tc>
        <w:tc>
          <w:tcPr>
            <w:tcW w:w="6945" w:type="dxa"/>
            <w:hideMark/>
          </w:tcPr>
          <w:p w14:paraId="6CF8B882"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dhe administrimi i impiantit të përpunimit të mbetjeve urbane të qarkut Elbasan</w:t>
            </w:r>
          </w:p>
        </w:tc>
        <w:tc>
          <w:tcPr>
            <w:tcW w:w="2400" w:type="dxa"/>
            <w:noWrap/>
            <w:hideMark/>
          </w:tcPr>
          <w:p w14:paraId="1CCB5169"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3,028,104</w:t>
            </w:r>
          </w:p>
        </w:tc>
      </w:tr>
      <w:tr w:rsidR="00092C3F" w:rsidRPr="00281CD2" w14:paraId="56D7EB5E"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1B61931"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181</w:t>
            </w:r>
          </w:p>
        </w:tc>
        <w:tc>
          <w:tcPr>
            <w:tcW w:w="6945" w:type="dxa"/>
            <w:hideMark/>
          </w:tcPr>
          <w:p w14:paraId="51F15746"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Shfrytezimi i Burimit ujor "Sasaj, Bunec", Sarandë</w:t>
            </w:r>
          </w:p>
        </w:tc>
        <w:tc>
          <w:tcPr>
            <w:tcW w:w="2400" w:type="dxa"/>
            <w:noWrap/>
            <w:hideMark/>
          </w:tcPr>
          <w:p w14:paraId="32ADF68A"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503,713</w:t>
            </w:r>
          </w:p>
        </w:tc>
      </w:tr>
      <w:tr w:rsidR="00092C3F" w:rsidRPr="00281CD2" w14:paraId="54FAD08D"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46D49D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182</w:t>
            </w:r>
          </w:p>
        </w:tc>
        <w:tc>
          <w:tcPr>
            <w:tcW w:w="6945" w:type="dxa"/>
            <w:hideMark/>
          </w:tcPr>
          <w:p w14:paraId="5FB5BA81"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paketën e shërbimeve të kontrollit mjekësor bazë për grupmoshat 40-65 vjeç</w:t>
            </w:r>
          </w:p>
        </w:tc>
        <w:tc>
          <w:tcPr>
            <w:tcW w:w="2400" w:type="dxa"/>
            <w:noWrap/>
            <w:hideMark/>
          </w:tcPr>
          <w:p w14:paraId="59C0D010"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172,020</w:t>
            </w:r>
          </w:p>
        </w:tc>
      </w:tr>
      <w:tr w:rsidR="00092C3F" w:rsidRPr="00281CD2" w14:paraId="2A8E1F78"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1F89C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183</w:t>
            </w:r>
          </w:p>
        </w:tc>
        <w:tc>
          <w:tcPr>
            <w:tcW w:w="6945" w:type="dxa"/>
            <w:hideMark/>
          </w:tcPr>
          <w:p w14:paraId="15F5D8B0"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Blaç</w:t>
            </w:r>
          </w:p>
        </w:tc>
        <w:tc>
          <w:tcPr>
            <w:tcW w:w="2400" w:type="dxa"/>
            <w:noWrap/>
            <w:hideMark/>
          </w:tcPr>
          <w:p w14:paraId="1386844C"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44,000</w:t>
            </w:r>
          </w:p>
        </w:tc>
      </w:tr>
      <w:tr w:rsidR="00092C3F" w:rsidRPr="00281CD2" w14:paraId="0D660A07"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959F97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184</w:t>
            </w:r>
          </w:p>
        </w:tc>
        <w:tc>
          <w:tcPr>
            <w:tcW w:w="6945" w:type="dxa"/>
            <w:hideMark/>
          </w:tcPr>
          <w:p w14:paraId="7BC50168"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Malind</w:t>
            </w:r>
          </w:p>
        </w:tc>
        <w:tc>
          <w:tcPr>
            <w:tcW w:w="2400" w:type="dxa"/>
            <w:noWrap/>
            <w:hideMark/>
          </w:tcPr>
          <w:p w14:paraId="4FD3DA2F"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294,085</w:t>
            </w:r>
          </w:p>
        </w:tc>
      </w:tr>
      <w:tr w:rsidR="00092C3F" w:rsidRPr="00281CD2" w14:paraId="72147644"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9B76E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185</w:t>
            </w:r>
          </w:p>
        </w:tc>
        <w:tc>
          <w:tcPr>
            <w:tcW w:w="6945" w:type="dxa"/>
            <w:hideMark/>
          </w:tcPr>
          <w:p w14:paraId="4D2E2768"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Selca 2, Mesmal</w:t>
            </w:r>
          </w:p>
        </w:tc>
        <w:tc>
          <w:tcPr>
            <w:tcW w:w="2400" w:type="dxa"/>
            <w:noWrap/>
            <w:hideMark/>
          </w:tcPr>
          <w:p w14:paraId="7EAA9B4B"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269,981</w:t>
            </w:r>
          </w:p>
        </w:tc>
      </w:tr>
      <w:tr w:rsidR="00092C3F" w:rsidRPr="00281CD2" w14:paraId="5F16F274"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60A0FC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186</w:t>
            </w:r>
          </w:p>
        </w:tc>
        <w:tc>
          <w:tcPr>
            <w:tcW w:w="6945" w:type="dxa"/>
            <w:hideMark/>
          </w:tcPr>
          <w:p w14:paraId="1B0D2A7B"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Batra 1, Batra 2, Batra 3</w:t>
            </w:r>
          </w:p>
        </w:tc>
        <w:tc>
          <w:tcPr>
            <w:tcW w:w="2400" w:type="dxa"/>
            <w:noWrap/>
            <w:hideMark/>
          </w:tcPr>
          <w:p w14:paraId="63235F96"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369,786</w:t>
            </w:r>
          </w:p>
        </w:tc>
      </w:tr>
      <w:tr w:rsidR="00092C3F" w:rsidRPr="00281CD2" w14:paraId="5F2DD9AB"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E603AB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187</w:t>
            </w:r>
          </w:p>
        </w:tc>
        <w:tc>
          <w:tcPr>
            <w:tcW w:w="6945" w:type="dxa"/>
            <w:hideMark/>
          </w:tcPr>
          <w:p w14:paraId="1CBA1C09"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Kaçinar</w:t>
            </w:r>
          </w:p>
        </w:tc>
        <w:tc>
          <w:tcPr>
            <w:tcW w:w="2400" w:type="dxa"/>
            <w:noWrap/>
            <w:hideMark/>
          </w:tcPr>
          <w:p w14:paraId="2AD241AA"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315,219</w:t>
            </w:r>
          </w:p>
        </w:tc>
      </w:tr>
      <w:tr w:rsidR="00092C3F" w:rsidRPr="00281CD2" w14:paraId="1C04BB92"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0456D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188</w:t>
            </w:r>
          </w:p>
        </w:tc>
        <w:tc>
          <w:tcPr>
            <w:tcW w:w="6945" w:type="dxa"/>
            <w:hideMark/>
          </w:tcPr>
          <w:p w14:paraId="2A83D776"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Kaskada e Hec-eve të Hotolishtit</w:t>
            </w:r>
          </w:p>
        </w:tc>
        <w:tc>
          <w:tcPr>
            <w:tcW w:w="2400" w:type="dxa"/>
            <w:noWrap/>
            <w:hideMark/>
          </w:tcPr>
          <w:p w14:paraId="1EED989F"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567,860</w:t>
            </w:r>
          </w:p>
        </w:tc>
      </w:tr>
      <w:tr w:rsidR="00092C3F" w:rsidRPr="00281CD2" w14:paraId="627CC16B"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C9C7F2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189</w:t>
            </w:r>
          </w:p>
        </w:tc>
        <w:tc>
          <w:tcPr>
            <w:tcW w:w="6945" w:type="dxa"/>
            <w:hideMark/>
          </w:tcPr>
          <w:p w14:paraId="1AC77821"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"Dhënie me Koncesion/Partneritet Publik Privat të Shërbimit të Sistemimit dhe Menaxhimit të Parkimit në Qytetin e Vlorës</w:t>
            </w:r>
          </w:p>
        </w:tc>
        <w:tc>
          <w:tcPr>
            <w:tcW w:w="2400" w:type="dxa"/>
            <w:noWrap/>
            <w:hideMark/>
          </w:tcPr>
          <w:p w14:paraId="715845DA"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0</w:t>
            </w:r>
          </w:p>
        </w:tc>
      </w:tr>
      <w:tr w:rsidR="00092C3F" w:rsidRPr="00281CD2" w14:paraId="4A682619"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714FE3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190</w:t>
            </w:r>
          </w:p>
        </w:tc>
        <w:tc>
          <w:tcPr>
            <w:tcW w:w="6945" w:type="dxa"/>
            <w:hideMark/>
          </w:tcPr>
          <w:p w14:paraId="2B693D61"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Ndrtimi, Shfrytëzimi dhe Transferimi të portit të tipit MBM, Porto Romano, Durrës</w:t>
            </w:r>
          </w:p>
        </w:tc>
        <w:tc>
          <w:tcPr>
            <w:tcW w:w="2400" w:type="dxa"/>
            <w:noWrap/>
            <w:hideMark/>
          </w:tcPr>
          <w:p w14:paraId="7F646AF5"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1,280,814</w:t>
            </w:r>
          </w:p>
        </w:tc>
      </w:tr>
      <w:tr w:rsidR="00092C3F" w:rsidRPr="00281CD2" w14:paraId="6D58CEDF"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88A78E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191</w:t>
            </w:r>
          </w:p>
        </w:tc>
        <w:tc>
          <w:tcPr>
            <w:tcW w:w="6945" w:type="dxa"/>
            <w:hideMark/>
          </w:tcPr>
          <w:p w14:paraId="134D1E5F"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shfrytëzimi i portit të jahteve në qytetit e Durrësit. (BOT)</w:t>
            </w:r>
          </w:p>
        </w:tc>
        <w:tc>
          <w:tcPr>
            <w:tcW w:w="2400" w:type="dxa"/>
            <w:noWrap/>
            <w:hideMark/>
          </w:tcPr>
          <w:p w14:paraId="1092DDEF"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1,356,145</w:t>
            </w:r>
          </w:p>
        </w:tc>
      </w:tr>
      <w:tr w:rsidR="00092C3F" w:rsidRPr="00281CD2" w14:paraId="22061148"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0531E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192</w:t>
            </w:r>
          </w:p>
        </w:tc>
        <w:tc>
          <w:tcPr>
            <w:tcW w:w="6945" w:type="dxa"/>
            <w:hideMark/>
          </w:tcPr>
          <w:p w14:paraId="7959471B"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Ofrimi i setit të personalizuar të instrumenteve kirurgjikale, material mjekësor steril njëpërdorimësh në sallat kirurgjikale, trajtimi i mbetjeve biologjike dhe dezinfektimi i sallave kirurgjikale.</w:t>
            </w:r>
          </w:p>
        </w:tc>
        <w:tc>
          <w:tcPr>
            <w:tcW w:w="2400" w:type="dxa"/>
            <w:noWrap/>
            <w:hideMark/>
          </w:tcPr>
          <w:p w14:paraId="7109DA3C"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1,503,283</w:t>
            </w:r>
          </w:p>
        </w:tc>
      </w:tr>
      <w:tr w:rsidR="00092C3F" w:rsidRPr="00281CD2" w14:paraId="4A64E19D"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DD1B6C5"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193</w:t>
            </w:r>
          </w:p>
        </w:tc>
        <w:tc>
          <w:tcPr>
            <w:tcW w:w="6945" w:type="dxa"/>
            <w:hideMark/>
          </w:tcPr>
          <w:p w14:paraId="515D8592"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ndërtimin e administrimin e Impjantit të trajtimit të mbetjeve urbane të Qarkut Fier dhe prodhimin e energjisë</w:t>
            </w:r>
          </w:p>
        </w:tc>
        <w:tc>
          <w:tcPr>
            <w:tcW w:w="2400" w:type="dxa"/>
            <w:noWrap/>
            <w:hideMark/>
          </w:tcPr>
          <w:p w14:paraId="0BDA225C"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3,727,189</w:t>
            </w:r>
          </w:p>
        </w:tc>
      </w:tr>
      <w:tr w:rsidR="00092C3F" w:rsidRPr="00281CD2" w14:paraId="02B6983E"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3014B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194</w:t>
            </w:r>
          </w:p>
        </w:tc>
        <w:tc>
          <w:tcPr>
            <w:tcW w:w="6945" w:type="dxa"/>
            <w:hideMark/>
          </w:tcPr>
          <w:p w14:paraId="1E983BD4"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përmirësimi, shfrytëzimi dhe mirëmbajtja e Autostradës Milot-Morinë</w:t>
            </w:r>
          </w:p>
        </w:tc>
        <w:tc>
          <w:tcPr>
            <w:tcW w:w="2400" w:type="dxa"/>
            <w:noWrap/>
            <w:hideMark/>
          </w:tcPr>
          <w:p w14:paraId="513BEB16"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5,348,534</w:t>
            </w:r>
          </w:p>
        </w:tc>
      </w:tr>
      <w:tr w:rsidR="00092C3F" w:rsidRPr="00281CD2" w14:paraId="7C14D075"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1FB2F8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195</w:t>
            </w:r>
          </w:p>
        </w:tc>
        <w:tc>
          <w:tcPr>
            <w:tcW w:w="6945" w:type="dxa"/>
            <w:hideMark/>
          </w:tcPr>
          <w:p w14:paraId="0C5C3ACD"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hidrocentralit VILIQ</w:t>
            </w:r>
          </w:p>
        </w:tc>
        <w:tc>
          <w:tcPr>
            <w:tcW w:w="2400" w:type="dxa"/>
            <w:noWrap/>
            <w:hideMark/>
          </w:tcPr>
          <w:p w14:paraId="49487748"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199,260</w:t>
            </w:r>
          </w:p>
        </w:tc>
      </w:tr>
      <w:tr w:rsidR="00092C3F" w:rsidRPr="00281CD2" w14:paraId="1493C073"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58E076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lastRenderedPageBreak/>
              <w:t>196</w:t>
            </w:r>
          </w:p>
        </w:tc>
        <w:tc>
          <w:tcPr>
            <w:tcW w:w="6945" w:type="dxa"/>
            <w:hideMark/>
          </w:tcPr>
          <w:p w14:paraId="74BEA74C"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hidrocentralit KALIVAR</w:t>
            </w:r>
          </w:p>
        </w:tc>
        <w:tc>
          <w:tcPr>
            <w:tcW w:w="2400" w:type="dxa"/>
            <w:noWrap/>
            <w:hideMark/>
          </w:tcPr>
          <w:p w14:paraId="5125073E"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465,326</w:t>
            </w:r>
          </w:p>
        </w:tc>
      </w:tr>
      <w:tr w:rsidR="00092C3F" w:rsidRPr="00281CD2" w14:paraId="11D4CBC3"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4AB6F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197</w:t>
            </w:r>
          </w:p>
        </w:tc>
        <w:tc>
          <w:tcPr>
            <w:tcW w:w="6945" w:type="dxa"/>
            <w:hideMark/>
          </w:tcPr>
          <w:p w14:paraId="645A34F6"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Ndertimin, operimin dhe transferimin e hidrocentralit ARSTI</w:t>
            </w:r>
          </w:p>
        </w:tc>
        <w:tc>
          <w:tcPr>
            <w:tcW w:w="2400" w:type="dxa"/>
            <w:noWrap/>
            <w:hideMark/>
          </w:tcPr>
          <w:p w14:paraId="73AEBEA6"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225,125</w:t>
            </w:r>
          </w:p>
        </w:tc>
      </w:tr>
      <w:tr w:rsidR="00092C3F" w:rsidRPr="00281CD2" w14:paraId="616F1681"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99A93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198</w:t>
            </w:r>
          </w:p>
        </w:tc>
        <w:tc>
          <w:tcPr>
            <w:tcW w:w="6945" w:type="dxa"/>
            <w:hideMark/>
          </w:tcPr>
          <w:p w14:paraId="40FD97B8"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 Operimi, Transferim i parkimit nëntokësor në parkun "Rinia", Tiranë</w:t>
            </w:r>
          </w:p>
        </w:tc>
        <w:tc>
          <w:tcPr>
            <w:tcW w:w="2400" w:type="dxa"/>
            <w:noWrap/>
            <w:hideMark/>
          </w:tcPr>
          <w:p w14:paraId="5BB24788"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1,937,933</w:t>
            </w:r>
          </w:p>
        </w:tc>
      </w:tr>
      <w:tr w:rsidR="00092C3F" w:rsidRPr="00281CD2" w14:paraId="45380FF2"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BF347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199</w:t>
            </w:r>
          </w:p>
        </w:tc>
        <w:tc>
          <w:tcPr>
            <w:tcW w:w="6945" w:type="dxa"/>
            <w:hideMark/>
          </w:tcPr>
          <w:p w14:paraId="2B4DB99D"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i hidrocentralit Poçem</w:t>
            </w:r>
          </w:p>
        </w:tc>
        <w:tc>
          <w:tcPr>
            <w:tcW w:w="2400" w:type="dxa"/>
            <w:noWrap/>
            <w:hideMark/>
          </w:tcPr>
          <w:p w14:paraId="5FD68EFB"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14,134,724</w:t>
            </w:r>
          </w:p>
        </w:tc>
      </w:tr>
      <w:tr w:rsidR="00092C3F" w:rsidRPr="00281CD2" w14:paraId="669529FC"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2C88BD0"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200</w:t>
            </w:r>
          </w:p>
        </w:tc>
        <w:tc>
          <w:tcPr>
            <w:tcW w:w="6945" w:type="dxa"/>
            <w:hideMark/>
          </w:tcPr>
          <w:p w14:paraId="32A85652"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Shfrytëzim dhe Transferim në pronësi të shtetit, të Portit të Jahteve Shëngjin</w:t>
            </w:r>
          </w:p>
        </w:tc>
        <w:tc>
          <w:tcPr>
            <w:tcW w:w="2400" w:type="dxa"/>
            <w:noWrap/>
            <w:hideMark/>
          </w:tcPr>
          <w:p w14:paraId="7F04649F"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730,338</w:t>
            </w:r>
          </w:p>
        </w:tc>
      </w:tr>
      <w:tr w:rsidR="00092C3F" w:rsidRPr="00281CD2" w14:paraId="3F1DA7B8"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789D10"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201</w:t>
            </w:r>
          </w:p>
        </w:tc>
        <w:tc>
          <w:tcPr>
            <w:tcW w:w="6945" w:type="dxa"/>
            <w:hideMark/>
          </w:tcPr>
          <w:p w14:paraId="452E3399"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Infrastruktura Hekurudhore Fier-Ballsh, Fier-Vlorë</w:t>
            </w:r>
          </w:p>
        </w:tc>
        <w:tc>
          <w:tcPr>
            <w:tcW w:w="2400" w:type="dxa"/>
            <w:noWrap/>
            <w:hideMark/>
          </w:tcPr>
          <w:p w14:paraId="187E44AF"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2,431,918</w:t>
            </w:r>
          </w:p>
        </w:tc>
      </w:tr>
      <w:tr w:rsidR="00092C3F" w:rsidRPr="00281CD2" w14:paraId="4161A4E5"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FB815E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202</w:t>
            </w:r>
          </w:p>
        </w:tc>
        <w:tc>
          <w:tcPr>
            <w:tcW w:w="6945" w:type="dxa"/>
            <w:hideMark/>
          </w:tcPr>
          <w:p w14:paraId="042C695B"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Shërbimi i Hemodializës</w:t>
            </w:r>
          </w:p>
        </w:tc>
        <w:tc>
          <w:tcPr>
            <w:tcW w:w="2400" w:type="dxa"/>
            <w:noWrap/>
            <w:hideMark/>
          </w:tcPr>
          <w:p w14:paraId="36D26B0D"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1,177,420</w:t>
            </w:r>
          </w:p>
        </w:tc>
      </w:tr>
      <w:tr w:rsidR="00092C3F" w:rsidRPr="00281CD2" w14:paraId="392D6F6C"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FFB07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203</w:t>
            </w:r>
          </w:p>
        </w:tc>
        <w:tc>
          <w:tcPr>
            <w:tcW w:w="6945" w:type="dxa"/>
            <w:hideMark/>
          </w:tcPr>
          <w:p w14:paraId="4122C0AB"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ndertimin, operimin dhe transferimin e Hec Kukur</w:t>
            </w:r>
          </w:p>
        </w:tc>
        <w:tc>
          <w:tcPr>
            <w:tcW w:w="2400" w:type="dxa"/>
            <w:noWrap/>
            <w:hideMark/>
          </w:tcPr>
          <w:p w14:paraId="6D46335D"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304,604</w:t>
            </w:r>
          </w:p>
        </w:tc>
      </w:tr>
      <w:tr w:rsidR="00092C3F" w:rsidRPr="00281CD2" w14:paraId="1895E664"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1846C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204</w:t>
            </w:r>
          </w:p>
        </w:tc>
        <w:tc>
          <w:tcPr>
            <w:tcW w:w="6945" w:type="dxa"/>
            <w:hideMark/>
          </w:tcPr>
          <w:p w14:paraId="0160BB4F"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ndertimin, operimin dhe transferimin e Hidrocentralit Bushtrica 3</w:t>
            </w:r>
          </w:p>
        </w:tc>
        <w:tc>
          <w:tcPr>
            <w:tcW w:w="2400" w:type="dxa"/>
            <w:noWrap/>
            <w:hideMark/>
          </w:tcPr>
          <w:p w14:paraId="76FE65D7"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559,309</w:t>
            </w:r>
          </w:p>
        </w:tc>
      </w:tr>
      <w:tr w:rsidR="00092C3F" w:rsidRPr="00281CD2" w14:paraId="365E0108"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9B43DF4"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205</w:t>
            </w:r>
          </w:p>
        </w:tc>
        <w:tc>
          <w:tcPr>
            <w:tcW w:w="6945" w:type="dxa"/>
            <w:hideMark/>
          </w:tcPr>
          <w:p w14:paraId="22B99940"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dhënien me koncesion të disa shërbimeve detare</w:t>
            </w:r>
          </w:p>
        </w:tc>
        <w:tc>
          <w:tcPr>
            <w:tcW w:w="2400" w:type="dxa"/>
            <w:noWrap/>
            <w:hideMark/>
          </w:tcPr>
          <w:p w14:paraId="4538FD66"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238,374</w:t>
            </w:r>
          </w:p>
        </w:tc>
      </w:tr>
      <w:tr w:rsidR="00092C3F" w:rsidRPr="00281CD2" w14:paraId="7FEB2B26"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F5A549D"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206</w:t>
            </w:r>
          </w:p>
        </w:tc>
        <w:tc>
          <w:tcPr>
            <w:tcW w:w="6945" w:type="dxa"/>
            <w:hideMark/>
          </w:tcPr>
          <w:p w14:paraId="576CFA87"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Per ndertim landfillit inceneratorit dhe rehabilitimin e venddepozimeve ekzistuese Tirane dhe prodhimin e energjise elektrike.</w:t>
            </w:r>
          </w:p>
        </w:tc>
        <w:tc>
          <w:tcPr>
            <w:tcW w:w="2400" w:type="dxa"/>
            <w:noWrap/>
            <w:hideMark/>
          </w:tcPr>
          <w:p w14:paraId="0AD3F1AD"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17,121,152</w:t>
            </w:r>
          </w:p>
        </w:tc>
      </w:tr>
      <w:tr w:rsidR="00092C3F" w:rsidRPr="00281CD2" w14:paraId="78819884"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BE33E9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207</w:t>
            </w:r>
          </w:p>
        </w:tc>
        <w:tc>
          <w:tcPr>
            <w:tcW w:w="6945" w:type="dxa"/>
            <w:hideMark/>
          </w:tcPr>
          <w:p w14:paraId="57E46B49"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Ndërtimin, operimin, transferimin e Hidrocentralit Guri i Bardhë</w:t>
            </w:r>
          </w:p>
        </w:tc>
        <w:tc>
          <w:tcPr>
            <w:tcW w:w="2400" w:type="dxa"/>
            <w:noWrap/>
            <w:hideMark/>
          </w:tcPr>
          <w:p w14:paraId="70F4C049"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800,908</w:t>
            </w:r>
          </w:p>
        </w:tc>
      </w:tr>
      <w:tr w:rsidR="00092C3F" w:rsidRPr="00281CD2" w14:paraId="0D46B271"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C504A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208</w:t>
            </w:r>
          </w:p>
        </w:tc>
        <w:tc>
          <w:tcPr>
            <w:tcW w:w="6945" w:type="dxa"/>
            <w:hideMark/>
          </w:tcPr>
          <w:p w14:paraId="07504886"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Lunik</w:t>
            </w:r>
          </w:p>
        </w:tc>
        <w:tc>
          <w:tcPr>
            <w:tcW w:w="2400" w:type="dxa"/>
            <w:noWrap/>
            <w:hideMark/>
          </w:tcPr>
          <w:p w14:paraId="2DFAE598"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786,900</w:t>
            </w:r>
          </w:p>
        </w:tc>
      </w:tr>
      <w:tr w:rsidR="00092C3F" w:rsidRPr="00281CD2" w14:paraId="39E9B019"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3851B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209</w:t>
            </w:r>
          </w:p>
        </w:tc>
        <w:tc>
          <w:tcPr>
            <w:tcW w:w="6945" w:type="dxa"/>
            <w:hideMark/>
          </w:tcPr>
          <w:p w14:paraId="47A2FFCB"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Bushtrica 1</w:t>
            </w:r>
          </w:p>
        </w:tc>
        <w:tc>
          <w:tcPr>
            <w:tcW w:w="2400" w:type="dxa"/>
            <w:noWrap/>
            <w:hideMark/>
          </w:tcPr>
          <w:p w14:paraId="533BD866"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506,147</w:t>
            </w:r>
          </w:p>
        </w:tc>
      </w:tr>
      <w:tr w:rsidR="00092C3F" w:rsidRPr="00281CD2" w14:paraId="004BFC16"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5159043"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210</w:t>
            </w:r>
          </w:p>
        </w:tc>
        <w:tc>
          <w:tcPr>
            <w:tcW w:w="6945" w:type="dxa"/>
            <w:hideMark/>
          </w:tcPr>
          <w:p w14:paraId="374C4ABC"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mbi lumin Shushicë</w:t>
            </w:r>
          </w:p>
        </w:tc>
        <w:tc>
          <w:tcPr>
            <w:tcW w:w="2400" w:type="dxa"/>
            <w:noWrap/>
            <w:hideMark/>
          </w:tcPr>
          <w:p w14:paraId="04DBD376"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2,433,789</w:t>
            </w:r>
          </w:p>
        </w:tc>
      </w:tr>
      <w:tr w:rsidR="00092C3F" w:rsidRPr="00281CD2" w14:paraId="7A1D5665"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E127D8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211</w:t>
            </w:r>
          </w:p>
        </w:tc>
        <w:tc>
          <w:tcPr>
            <w:tcW w:w="6945" w:type="dxa"/>
            <w:hideMark/>
          </w:tcPr>
          <w:p w14:paraId="2666A453"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Hidrocentralit Grabovë 2</w:t>
            </w:r>
          </w:p>
        </w:tc>
        <w:tc>
          <w:tcPr>
            <w:tcW w:w="2400" w:type="dxa"/>
            <w:noWrap/>
            <w:hideMark/>
          </w:tcPr>
          <w:p w14:paraId="4ABAC4D1"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1,486,571</w:t>
            </w:r>
          </w:p>
        </w:tc>
      </w:tr>
      <w:tr w:rsidR="00092C3F" w:rsidRPr="00281CD2" w14:paraId="10149A7C"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88640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212</w:t>
            </w:r>
          </w:p>
        </w:tc>
        <w:tc>
          <w:tcPr>
            <w:tcW w:w="6945" w:type="dxa"/>
            <w:hideMark/>
          </w:tcPr>
          <w:p w14:paraId="5572BD81"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Shutri 1, Shutri 2</w:t>
            </w:r>
          </w:p>
        </w:tc>
        <w:tc>
          <w:tcPr>
            <w:tcW w:w="2400" w:type="dxa"/>
            <w:noWrap/>
            <w:hideMark/>
          </w:tcPr>
          <w:p w14:paraId="2DDCF0F4"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136,784</w:t>
            </w:r>
          </w:p>
        </w:tc>
      </w:tr>
      <w:tr w:rsidR="00092C3F" w:rsidRPr="00281CD2" w14:paraId="202DF595"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77325C"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213</w:t>
            </w:r>
          </w:p>
        </w:tc>
        <w:tc>
          <w:tcPr>
            <w:tcW w:w="6945" w:type="dxa"/>
            <w:hideMark/>
          </w:tcPr>
          <w:p w14:paraId="54D3A672"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Ndërtim, operim, transferim e Hidrocentraleve të Lusës</w:t>
            </w:r>
          </w:p>
        </w:tc>
        <w:tc>
          <w:tcPr>
            <w:tcW w:w="2400" w:type="dxa"/>
            <w:noWrap/>
            <w:hideMark/>
          </w:tcPr>
          <w:p w14:paraId="56A55801"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621,368</w:t>
            </w:r>
          </w:p>
        </w:tc>
      </w:tr>
      <w:tr w:rsidR="00092C3F" w:rsidRPr="00281CD2" w14:paraId="7D3B6B3C"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331917"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214</w:t>
            </w:r>
          </w:p>
        </w:tc>
        <w:tc>
          <w:tcPr>
            <w:tcW w:w="6945" w:type="dxa"/>
            <w:hideMark/>
          </w:tcPr>
          <w:p w14:paraId="29565788"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përmirësimin e infrastrukturës Arsimore në Bashkinë Tiranë</w:t>
            </w:r>
          </w:p>
        </w:tc>
        <w:tc>
          <w:tcPr>
            <w:tcW w:w="2400" w:type="dxa"/>
            <w:noWrap/>
            <w:hideMark/>
          </w:tcPr>
          <w:p w14:paraId="7068BD84"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1,600,862</w:t>
            </w:r>
          </w:p>
        </w:tc>
      </w:tr>
      <w:tr w:rsidR="00092C3F" w:rsidRPr="00281CD2" w14:paraId="24099BF7"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B8DC76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215</w:t>
            </w:r>
          </w:p>
        </w:tc>
        <w:tc>
          <w:tcPr>
            <w:tcW w:w="6945" w:type="dxa"/>
            <w:hideMark/>
          </w:tcPr>
          <w:p w14:paraId="39283FFE"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dhënien me koncesion të shërbimit të pastrimit, grumbullimit, transportimit dhe seleksionimit të mbetjeve urbane për Qytetin Kamëz.</w:t>
            </w:r>
          </w:p>
        </w:tc>
        <w:tc>
          <w:tcPr>
            <w:tcW w:w="2400" w:type="dxa"/>
            <w:noWrap/>
            <w:hideMark/>
          </w:tcPr>
          <w:p w14:paraId="582BD14F"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1,350,000</w:t>
            </w:r>
          </w:p>
        </w:tc>
      </w:tr>
      <w:tr w:rsidR="00092C3F" w:rsidRPr="00281CD2" w14:paraId="459EC7B0"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B12B86"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216</w:t>
            </w:r>
          </w:p>
        </w:tc>
        <w:tc>
          <w:tcPr>
            <w:tcW w:w="6945" w:type="dxa"/>
            <w:hideMark/>
          </w:tcPr>
          <w:p w14:paraId="6ADF7085"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përmirësimin, ndertimin, operimin dhe mirëmbajtjen e Rrugës së Arbrit</w:t>
            </w:r>
          </w:p>
        </w:tc>
        <w:tc>
          <w:tcPr>
            <w:tcW w:w="2400" w:type="dxa"/>
            <w:noWrap/>
            <w:hideMark/>
          </w:tcPr>
          <w:p w14:paraId="18EC8B0A"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26,504,000</w:t>
            </w:r>
          </w:p>
        </w:tc>
      </w:tr>
      <w:tr w:rsidR="00092C3F" w:rsidRPr="00281CD2" w14:paraId="370225B3"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5F8898"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217</w:t>
            </w:r>
          </w:p>
        </w:tc>
        <w:tc>
          <w:tcPr>
            <w:tcW w:w="6945" w:type="dxa"/>
            <w:hideMark/>
          </w:tcPr>
          <w:p w14:paraId="2708315F"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ndërtimin e Hidrocentraleve mbi Lumin Shalë</w:t>
            </w:r>
          </w:p>
        </w:tc>
        <w:tc>
          <w:tcPr>
            <w:tcW w:w="2400" w:type="dxa"/>
            <w:noWrap/>
            <w:hideMark/>
          </w:tcPr>
          <w:p w14:paraId="005AD09F"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11,239,204</w:t>
            </w:r>
          </w:p>
        </w:tc>
      </w:tr>
      <w:tr w:rsidR="00092C3F" w:rsidRPr="00281CD2" w14:paraId="52949BB9"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86D17DF"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218</w:t>
            </w:r>
          </w:p>
        </w:tc>
        <w:tc>
          <w:tcPr>
            <w:tcW w:w="6945" w:type="dxa"/>
            <w:hideMark/>
          </w:tcPr>
          <w:p w14:paraId="3C39B80E"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ndertimin e Hidrocentralit Veleshicë</w:t>
            </w:r>
          </w:p>
        </w:tc>
        <w:tc>
          <w:tcPr>
            <w:tcW w:w="2400" w:type="dxa"/>
            <w:noWrap/>
            <w:hideMark/>
          </w:tcPr>
          <w:p w14:paraId="0D56B619"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927,928</w:t>
            </w:r>
          </w:p>
        </w:tc>
      </w:tr>
      <w:tr w:rsidR="00092C3F" w:rsidRPr="00281CD2" w14:paraId="6EC5366C"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26DC5A"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219</w:t>
            </w:r>
          </w:p>
        </w:tc>
        <w:tc>
          <w:tcPr>
            <w:tcW w:w="6945" w:type="dxa"/>
            <w:hideMark/>
          </w:tcPr>
          <w:p w14:paraId="2FE041DC"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ndërtimin e Hidrocentralit Kalivaç</w:t>
            </w:r>
          </w:p>
        </w:tc>
        <w:tc>
          <w:tcPr>
            <w:tcW w:w="2400" w:type="dxa"/>
            <w:noWrap/>
            <w:hideMark/>
          </w:tcPr>
          <w:p w14:paraId="494B749B"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16,913,853</w:t>
            </w:r>
          </w:p>
        </w:tc>
      </w:tr>
      <w:tr w:rsidR="00092C3F" w:rsidRPr="00281CD2" w14:paraId="6681801F"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C5BE74"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220</w:t>
            </w:r>
          </w:p>
        </w:tc>
        <w:tc>
          <w:tcPr>
            <w:tcW w:w="6945" w:type="dxa"/>
            <w:hideMark/>
          </w:tcPr>
          <w:p w14:paraId="23282D4D"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Per projektimin, ndertimin dhe mirembajtjen e segmentit rrugor Milot-Balldren</w:t>
            </w:r>
          </w:p>
        </w:tc>
        <w:tc>
          <w:tcPr>
            <w:tcW w:w="2400" w:type="dxa"/>
            <w:noWrap/>
            <w:hideMark/>
          </w:tcPr>
          <w:p w14:paraId="575EAF8C"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17,737,025</w:t>
            </w:r>
          </w:p>
        </w:tc>
      </w:tr>
      <w:tr w:rsidR="00092C3F" w:rsidRPr="00281CD2" w14:paraId="69653F20"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111D258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221</w:t>
            </w:r>
          </w:p>
        </w:tc>
        <w:tc>
          <w:tcPr>
            <w:tcW w:w="6945" w:type="dxa"/>
            <w:hideMark/>
          </w:tcPr>
          <w:p w14:paraId="2635F7C6"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Per projektimin, ndertimin dhe mirembajtjen e rruges Porti i Jahteve-Bypass Orikum-Dukat (Ura e Shën Lizës)</w:t>
            </w:r>
          </w:p>
        </w:tc>
        <w:tc>
          <w:tcPr>
            <w:tcW w:w="2400" w:type="dxa"/>
            <w:noWrap/>
            <w:hideMark/>
          </w:tcPr>
          <w:p w14:paraId="7F6F3C32"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5,817,299</w:t>
            </w:r>
          </w:p>
        </w:tc>
      </w:tr>
      <w:tr w:rsidR="00092C3F" w:rsidRPr="00281CD2" w14:paraId="58BFF64B"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339D4B"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222</w:t>
            </w:r>
          </w:p>
        </w:tc>
        <w:tc>
          <w:tcPr>
            <w:tcW w:w="6945" w:type="dxa"/>
            <w:hideMark/>
          </w:tcPr>
          <w:p w14:paraId="13262AF4"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Shërbimi i kontrollit ligjor të instrumentave mates, nepermjet instrumentave shperndares te karburantit dhe gazit te lengshem</w:t>
            </w:r>
          </w:p>
        </w:tc>
        <w:tc>
          <w:tcPr>
            <w:tcW w:w="2400" w:type="dxa"/>
            <w:noWrap/>
            <w:hideMark/>
          </w:tcPr>
          <w:p w14:paraId="3A4A8AEA"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70,000</w:t>
            </w:r>
          </w:p>
        </w:tc>
      </w:tr>
      <w:tr w:rsidR="00092C3F" w:rsidRPr="00281CD2" w14:paraId="6ECCE0DD" w14:textId="77777777" w:rsidTr="00EC111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58796E"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223</w:t>
            </w:r>
          </w:p>
        </w:tc>
        <w:tc>
          <w:tcPr>
            <w:tcW w:w="6945" w:type="dxa"/>
            <w:hideMark/>
          </w:tcPr>
          <w:p w14:paraId="78375729" w14:textId="77777777" w:rsidR="00092C3F" w:rsidRPr="00281CD2" w:rsidRDefault="00092C3F" w:rsidP="00092C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rehabilitimin, operimin transferimin e Aeroportit të Kukësit</w:t>
            </w:r>
          </w:p>
        </w:tc>
        <w:tc>
          <w:tcPr>
            <w:tcW w:w="2400" w:type="dxa"/>
            <w:noWrap/>
            <w:hideMark/>
          </w:tcPr>
          <w:p w14:paraId="7E17B6CD" w14:textId="77777777" w:rsidR="00092C3F" w:rsidRPr="00281CD2" w:rsidRDefault="00092C3F" w:rsidP="00092C3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987,925</w:t>
            </w:r>
          </w:p>
        </w:tc>
      </w:tr>
      <w:tr w:rsidR="00092C3F" w:rsidRPr="00281CD2" w14:paraId="5B145136" w14:textId="77777777" w:rsidTr="00EC1116">
        <w:trPr>
          <w:trHeight w:val="342"/>
        </w:trPr>
        <w:tc>
          <w:tcPr>
            <w:cnfStyle w:val="001000000000" w:firstRow="0" w:lastRow="0" w:firstColumn="1" w:lastColumn="0" w:oddVBand="0" w:evenVBand="0" w:oddHBand="0" w:evenHBand="0" w:firstRowFirstColumn="0" w:firstRowLastColumn="0" w:lastRowFirstColumn="0" w:lastRowLastColumn="0"/>
            <w:tcW w:w="960" w:type="dxa"/>
            <w:noWrap/>
            <w:hideMark/>
          </w:tcPr>
          <w:p w14:paraId="44DB6B02" w14:textId="77777777" w:rsidR="00092C3F" w:rsidRPr="00281CD2" w:rsidRDefault="00092C3F" w:rsidP="00092C3F">
            <w:pPr>
              <w:jc w:val="center"/>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224</w:t>
            </w:r>
          </w:p>
        </w:tc>
        <w:tc>
          <w:tcPr>
            <w:tcW w:w="6945" w:type="dxa"/>
            <w:hideMark/>
          </w:tcPr>
          <w:p w14:paraId="30A4F4C8" w14:textId="77777777" w:rsidR="00092C3F" w:rsidRPr="00281CD2" w:rsidRDefault="00092C3F" w:rsidP="00092C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eastAsia="Times New Roman" w:hAnsi="Times New Roman" w:cs="Times New Roman"/>
                <w:color w:val="000000"/>
                <w:sz w:val="20"/>
                <w:szCs w:val="20"/>
                <w:lang w:val="en-US"/>
              </w:rPr>
              <w:t>Për ofrimin e shërbimit laboratorik të spitaleve universitare, rajonale dhe atyre bashkiake të Sarandës dhe Lushnjës.</w:t>
            </w:r>
          </w:p>
        </w:tc>
        <w:tc>
          <w:tcPr>
            <w:tcW w:w="2400" w:type="dxa"/>
            <w:noWrap/>
            <w:hideMark/>
          </w:tcPr>
          <w:p w14:paraId="434F7A51" w14:textId="77777777" w:rsidR="00092C3F" w:rsidRPr="00281CD2" w:rsidRDefault="00092C3F" w:rsidP="00092C3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81CD2">
              <w:rPr>
                <w:rFonts w:ascii="Times New Roman" w:hAnsi="Times New Roman" w:cs="Times New Roman"/>
                <w:color w:val="000000"/>
                <w:sz w:val="20"/>
                <w:szCs w:val="20"/>
              </w:rPr>
              <w:t>1,315,310</w:t>
            </w:r>
          </w:p>
        </w:tc>
      </w:tr>
    </w:tbl>
    <w:p w14:paraId="357C7203" w14:textId="77777777" w:rsidR="00C64212" w:rsidRDefault="00C64212" w:rsidP="002C66FB">
      <w:pPr>
        <w:spacing w:after="0"/>
        <w:rPr>
          <w:rFonts w:ascii="Times New Roman" w:hAnsi="Times New Roman" w:cs="Times New Roman"/>
        </w:rPr>
      </w:pPr>
    </w:p>
    <w:sectPr w:rsidR="00C64212" w:rsidSect="001637FF">
      <w:headerReference w:type="default" r:id="rId24"/>
      <w:footerReference w:type="default" r:id="rId25"/>
      <w:pgSz w:w="12240" w:h="15840"/>
      <w:pgMar w:top="885" w:right="1080" w:bottom="1440" w:left="1080" w:header="0" w:footer="288"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E6C0B" w16cid:durableId="2239D297"/>
  <w16cid:commentId w16cid:paraId="2B7F4B85" w16cid:durableId="2239D298"/>
  <w16cid:commentId w16cid:paraId="4D80F47F" w16cid:durableId="2239D299"/>
  <w16cid:commentId w16cid:paraId="4EC6B481" w16cid:durableId="2239D29A"/>
  <w16cid:commentId w16cid:paraId="38079CE5" w16cid:durableId="2239D29B"/>
  <w16cid:commentId w16cid:paraId="171AC37A" w16cid:durableId="2239D29C"/>
  <w16cid:commentId w16cid:paraId="78C9E154" w16cid:durableId="2239D29D"/>
  <w16cid:commentId w16cid:paraId="73D654B0" w16cid:durableId="2239D29E"/>
  <w16cid:commentId w16cid:paraId="59208C66" w16cid:durableId="2239D29F"/>
  <w16cid:commentId w16cid:paraId="007BE9D7" w16cid:durableId="2239D2A0"/>
  <w16cid:commentId w16cid:paraId="564F90B3" w16cid:durableId="2239D2A1"/>
  <w16cid:commentId w16cid:paraId="456F151B" w16cid:durableId="2239D2A2"/>
  <w16cid:commentId w16cid:paraId="51898885" w16cid:durableId="2239D2A3"/>
  <w16cid:commentId w16cid:paraId="24473CBF" w16cid:durableId="2239D2A4"/>
  <w16cid:commentId w16cid:paraId="5BF22A7A" w16cid:durableId="2239D2A5"/>
  <w16cid:commentId w16cid:paraId="64DD9BBB" w16cid:durableId="2239D2A6"/>
  <w16cid:commentId w16cid:paraId="643D0E72" w16cid:durableId="2239D2A7"/>
  <w16cid:commentId w16cid:paraId="15600D59" w16cid:durableId="2239D2A8"/>
  <w16cid:commentId w16cid:paraId="384D561A" w16cid:durableId="2239D2A9"/>
  <w16cid:commentId w16cid:paraId="09ECF3C6" w16cid:durableId="2239D2AA"/>
  <w16cid:commentId w16cid:paraId="62509B9D" w16cid:durableId="2239D2AB"/>
  <w16cid:commentId w16cid:paraId="496EC813" w16cid:durableId="2239D2AC"/>
  <w16cid:commentId w16cid:paraId="39FE6C46" w16cid:durableId="2239D2AD"/>
  <w16cid:commentId w16cid:paraId="708C9E6E" w16cid:durableId="2239D2AE"/>
  <w16cid:commentId w16cid:paraId="5DA6DC78" w16cid:durableId="2239D2AF"/>
  <w16cid:commentId w16cid:paraId="6564C0D5" w16cid:durableId="2239D2B0"/>
  <w16cid:commentId w16cid:paraId="6E9A95CF" w16cid:durableId="2239D2B1"/>
  <w16cid:commentId w16cid:paraId="65469207" w16cid:durableId="2239D2B2"/>
  <w16cid:commentId w16cid:paraId="25EB3159" w16cid:durableId="2239D2B3"/>
  <w16cid:commentId w16cid:paraId="2F9324A2" w16cid:durableId="2239D2B4"/>
  <w16cid:commentId w16cid:paraId="105E3926" w16cid:durableId="2239D2B5"/>
  <w16cid:commentId w16cid:paraId="1EF07584" w16cid:durableId="2239D2B6"/>
  <w16cid:commentId w16cid:paraId="09D91ADA" w16cid:durableId="2239D2B7"/>
  <w16cid:commentId w16cid:paraId="7E514C11" w16cid:durableId="2239D2B8"/>
  <w16cid:commentId w16cid:paraId="4AE6CE20" w16cid:durableId="2239D8A1"/>
  <w16cid:commentId w16cid:paraId="1536EB77" w16cid:durableId="2239E32D"/>
  <w16cid:commentId w16cid:paraId="0FE03651" w16cid:durableId="2239D2B9"/>
  <w16cid:commentId w16cid:paraId="27908AEF" w16cid:durableId="2239D2BA"/>
  <w16cid:commentId w16cid:paraId="503FBFD7" w16cid:durableId="2239E434"/>
  <w16cid:commentId w16cid:paraId="6F2EAD91" w16cid:durableId="2239D2BB"/>
  <w16cid:commentId w16cid:paraId="2D7D2343" w16cid:durableId="2239E781"/>
  <w16cid:commentId w16cid:paraId="6CC57D19" w16cid:durableId="2239D2BC"/>
  <w16cid:commentId w16cid:paraId="6F5D17CC" w16cid:durableId="2239D2BD"/>
  <w16cid:commentId w16cid:paraId="6166E6B7" w16cid:durableId="2239D2BE"/>
  <w16cid:commentId w16cid:paraId="43ADF331" w16cid:durableId="2239D2BF"/>
  <w16cid:commentId w16cid:paraId="71E4628D" w16cid:durableId="2239E835"/>
  <w16cid:commentId w16cid:paraId="03576A2F" w16cid:durableId="2239D2C0"/>
  <w16cid:commentId w16cid:paraId="4B913636" w16cid:durableId="2239D2C1"/>
  <w16cid:commentId w16cid:paraId="1CD984BE" w16cid:durableId="2239D2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98888" w14:textId="77777777" w:rsidR="00F54693" w:rsidRDefault="00F54693" w:rsidP="002064BE">
      <w:pPr>
        <w:spacing w:after="0" w:line="240" w:lineRule="auto"/>
      </w:pPr>
      <w:r>
        <w:separator/>
      </w:r>
    </w:p>
  </w:endnote>
  <w:endnote w:type="continuationSeparator" w:id="0">
    <w:p w14:paraId="63BFC956" w14:textId="77777777" w:rsidR="00F54693" w:rsidRDefault="00F54693" w:rsidP="0020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786857"/>
      <w:docPartObj>
        <w:docPartGallery w:val="Page Numbers (Bottom of Page)"/>
        <w:docPartUnique/>
      </w:docPartObj>
    </w:sdtPr>
    <w:sdtEndPr>
      <w:rPr>
        <w:noProof/>
      </w:rPr>
    </w:sdtEndPr>
    <w:sdtContent>
      <w:p w14:paraId="3E956EF0" w14:textId="77777777" w:rsidR="0025668C" w:rsidRDefault="0025668C">
        <w:pPr>
          <w:pStyle w:val="Footer"/>
          <w:jc w:val="right"/>
        </w:pPr>
        <w:r>
          <w:fldChar w:fldCharType="begin"/>
        </w:r>
        <w:r>
          <w:instrText xml:space="preserve"> PAGE   \* MERGEFORMAT </w:instrText>
        </w:r>
        <w:r>
          <w:fldChar w:fldCharType="separate"/>
        </w:r>
        <w:r w:rsidR="003C3262">
          <w:rPr>
            <w:noProof/>
          </w:rPr>
          <w:t>20</w:t>
        </w:r>
        <w:r>
          <w:rPr>
            <w:noProof/>
          </w:rPr>
          <w:fldChar w:fldCharType="end"/>
        </w:r>
      </w:p>
    </w:sdtContent>
  </w:sdt>
  <w:p w14:paraId="05CDCC20" w14:textId="77777777" w:rsidR="0025668C" w:rsidRPr="004F2C73" w:rsidRDefault="0025668C" w:rsidP="00BE725B">
    <w:pPr>
      <w:pStyle w:val="Footer"/>
      <w:jc w:val="right"/>
      <w:rPr>
        <w:rFonts w:ascii="Times New Roman" w:hAnsi="Times New Roman" w:cs="Times New Roman"/>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B5F42" w14:textId="77777777" w:rsidR="00F54693" w:rsidRDefault="00F54693" w:rsidP="002064BE">
      <w:pPr>
        <w:spacing w:after="0" w:line="240" w:lineRule="auto"/>
      </w:pPr>
      <w:r>
        <w:separator/>
      </w:r>
    </w:p>
  </w:footnote>
  <w:footnote w:type="continuationSeparator" w:id="0">
    <w:p w14:paraId="3D3F0EA6" w14:textId="77777777" w:rsidR="00F54693" w:rsidRDefault="00F54693" w:rsidP="002064BE">
      <w:pPr>
        <w:spacing w:after="0" w:line="240" w:lineRule="auto"/>
      </w:pPr>
      <w:r>
        <w:continuationSeparator/>
      </w:r>
    </w:p>
  </w:footnote>
  <w:footnote w:id="1">
    <w:p w14:paraId="75B9E486" w14:textId="77777777" w:rsidR="0025668C" w:rsidRPr="00913BF6" w:rsidRDefault="0025668C" w:rsidP="001637FF">
      <w:pPr>
        <w:pStyle w:val="FootnoteText"/>
        <w:jc w:val="both"/>
        <w:rPr>
          <w:lang w:val="en-US"/>
        </w:rPr>
      </w:pPr>
      <w:r>
        <w:rPr>
          <w:rStyle w:val="FootnoteReference"/>
        </w:rPr>
        <w:footnoteRef/>
      </w:r>
      <w:r>
        <w:t xml:space="preserve"> </w:t>
      </w:r>
      <w:r w:rsidRPr="00FA0CE0">
        <w:rPr>
          <w:rFonts w:ascii="Times New Roman" w:hAnsi="Times New Roman" w:cs="Times New Roman"/>
          <w:lang w:val="en-US"/>
        </w:rPr>
        <w:t>Ministria e Financave dhe Ekonomisë është asistuar nga Ekspertët e Bankës Botërore financuar nga Delegacioni i Bashkimit Europian dhe Federata e Zvicrës.</w:t>
      </w:r>
      <w:r>
        <w:rPr>
          <w:lang w:val="en-US"/>
        </w:rPr>
        <w:t xml:space="preserve"> </w:t>
      </w:r>
    </w:p>
  </w:footnote>
  <w:footnote w:id="2">
    <w:p w14:paraId="7780D180" w14:textId="77777777" w:rsidR="0025668C" w:rsidRPr="00760DCA" w:rsidRDefault="0025668C" w:rsidP="001637FF">
      <w:pPr>
        <w:pStyle w:val="FootnoteText"/>
        <w:jc w:val="both"/>
        <w:rPr>
          <w:rFonts w:ascii="Times New Roman" w:hAnsi="Times New Roman" w:cs="Times New Roman"/>
          <w:lang w:val="en-US"/>
        </w:rPr>
      </w:pPr>
      <w:r w:rsidRPr="00760DCA">
        <w:rPr>
          <w:rStyle w:val="FootnoteReference"/>
          <w:rFonts w:ascii="Times New Roman" w:hAnsi="Times New Roman" w:cs="Times New Roman"/>
        </w:rPr>
        <w:footnoteRef/>
      </w:r>
      <w:r w:rsidRPr="00760DCA">
        <w:rPr>
          <w:rFonts w:ascii="Times New Roman" w:hAnsi="Times New Roman" w:cs="Times New Roman"/>
        </w:rPr>
        <w:t xml:space="preserve">  Public Private Partnerships Reference Guide, version 3. </w:t>
      </w:r>
      <w:hyperlink r:id="rId1" w:history="1">
        <w:r w:rsidRPr="007D0D43">
          <w:rPr>
            <w:rStyle w:val="Hyperlink"/>
            <w:rFonts w:ascii="Times New Roman" w:hAnsi="Times New Roman" w:cs="Times New Roman"/>
          </w:rPr>
          <w:t>https://pppknowledgelab.org/guide/sections/1</w:t>
        </w:r>
      </w:hyperlink>
      <w:r>
        <w:rPr>
          <w:rFonts w:ascii="Times New Roman" w:hAnsi="Times New Roman" w:cs="Times New Roman"/>
        </w:rPr>
        <w:t>, data e aksesit 20.08.2019</w:t>
      </w:r>
    </w:p>
  </w:footnote>
  <w:footnote w:id="3">
    <w:p w14:paraId="23F22033" w14:textId="77777777" w:rsidR="0025668C" w:rsidRPr="00760DCA" w:rsidRDefault="0025668C" w:rsidP="001637FF">
      <w:pPr>
        <w:pStyle w:val="FootnoteText"/>
        <w:jc w:val="both"/>
        <w:rPr>
          <w:rFonts w:ascii="Times New Roman" w:hAnsi="Times New Roman" w:cs="Times New Roman"/>
          <w:lang w:val="en-US"/>
        </w:rPr>
      </w:pPr>
      <w:r w:rsidRPr="00760DCA">
        <w:rPr>
          <w:rStyle w:val="FootnoteReference"/>
          <w:rFonts w:ascii="Times New Roman" w:hAnsi="Times New Roman" w:cs="Times New Roman"/>
        </w:rPr>
        <w:footnoteRef/>
      </w:r>
      <w:r w:rsidRPr="00760DCA">
        <w:rPr>
          <w:rFonts w:ascii="Times New Roman" w:hAnsi="Times New Roman" w:cs="Times New Roman"/>
        </w:rPr>
        <w:t xml:space="preserve"> IMF(2006), “Public- private partnership government guarantees and fiscal risk”, </w:t>
      </w:r>
      <w:r>
        <w:rPr>
          <w:rFonts w:ascii="Times New Roman" w:hAnsi="Times New Roman" w:cs="Times New Roman"/>
        </w:rPr>
        <w:t>W</w:t>
      </w:r>
      <w:r w:rsidRPr="00760DCA">
        <w:rPr>
          <w:rFonts w:ascii="Times New Roman" w:hAnsi="Times New Roman" w:cs="Times New Roman"/>
        </w:rPr>
        <w:t xml:space="preserve">ashington DC. URL:                              </w:t>
      </w:r>
      <w:hyperlink r:id="rId2" w:history="1">
        <w:r w:rsidRPr="007D0D43">
          <w:rPr>
            <w:rStyle w:val="Hyperlink"/>
            <w:rFonts w:ascii="Times New Roman" w:hAnsi="Times New Roman" w:cs="Times New Roman"/>
          </w:rPr>
          <w:t>https://www.imf.org/en/Publications/IMF-Special-Issues/Issues/2016/12/31/Public-Private-Partnerships-Government-Guarantees-and-Fiscal-Risk-18587</w:t>
        </w:r>
      </w:hyperlink>
      <w:r>
        <w:rPr>
          <w:rStyle w:val="Hyperlink"/>
          <w:rFonts w:ascii="Times New Roman" w:hAnsi="Times New Roman" w:cs="Times New Roman"/>
        </w:rPr>
        <w:t>,</w:t>
      </w:r>
      <w:r w:rsidRPr="00760DCA">
        <w:rPr>
          <w:rFonts w:ascii="Times New Roman" w:hAnsi="Times New Roman" w:cs="Times New Roman"/>
        </w:rPr>
        <w:t xml:space="preserve"> </w:t>
      </w:r>
      <w:r>
        <w:rPr>
          <w:rFonts w:ascii="Times New Roman" w:hAnsi="Times New Roman" w:cs="Times New Roman"/>
        </w:rPr>
        <w:t>data e aksesit 22.08.2019</w:t>
      </w:r>
    </w:p>
  </w:footnote>
  <w:footnote w:id="4">
    <w:p w14:paraId="1ACA1261" w14:textId="77777777" w:rsidR="0025668C" w:rsidRPr="00760DCA" w:rsidRDefault="0025668C" w:rsidP="001637FF">
      <w:pPr>
        <w:pStyle w:val="FootnoteText"/>
        <w:jc w:val="both"/>
        <w:rPr>
          <w:rFonts w:ascii="Times New Roman" w:hAnsi="Times New Roman" w:cs="Times New Roman"/>
        </w:rPr>
      </w:pPr>
      <w:r w:rsidRPr="00760DCA">
        <w:rPr>
          <w:rStyle w:val="FootnoteReference"/>
          <w:rFonts w:ascii="Times New Roman" w:hAnsi="Times New Roman" w:cs="Times New Roman"/>
        </w:rPr>
        <w:footnoteRef/>
      </w:r>
      <w:r w:rsidRPr="00760DCA">
        <w:rPr>
          <w:rFonts w:ascii="Times New Roman" w:hAnsi="Times New Roman" w:cs="Times New Roman"/>
        </w:rPr>
        <w:t xml:space="preserve"> OECD (2008), “</w:t>
      </w:r>
      <w:r w:rsidRPr="00760DCA">
        <w:rPr>
          <w:rFonts w:ascii="Times New Roman" w:hAnsi="Times New Roman" w:cs="Times New Roman"/>
          <w:i/>
        </w:rPr>
        <w:t>Public-Private Partnerships: In Pursuit of Risk Sharing and Value for Money,</w:t>
      </w:r>
      <w:r w:rsidRPr="00760DCA">
        <w:rPr>
          <w:rFonts w:ascii="Times New Roman" w:hAnsi="Times New Roman" w:cs="Times New Roman"/>
        </w:rPr>
        <w:t xml:space="preserve"> </w:t>
      </w:r>
      <w:r>
        <w:rPr>
          <w:rFonts w:ascii="Times New Roman" w:hAnsi="Times New Roman" w:cs="Times New Roman"/>
        </w:rPr>
        <w:t>W</w:t>
      </w:r>
      <w:r w:rsidRPr="00760DCA">
        <w:rPr>
          <w:rFonts w:ascii="Times New Roman" w:hAnsi="Times New Roman" w:cs="Times New Roman"/>
        </w:rPr>
        <w:t xml:space="preserve">orking Party on Regulatory Management and Reform” </w:t>
      </w:r>
    </w:p>
    <w:p w14:paraId="552FE283" w14:textId="77777777" w:rsidR="0025668C" w:rsidRPr="00760DCA" w:rsidRDefault="0025668C" w:rsidP="001637FF">
      <w:pPr>
        <w:pStyle w:val="FootnoteText"/>
        <w:jc w:val="both"/>
        <w:rPr>
          <w:rFonts w:ascii="Times New Roman" w:hAnsi="Times New Roman" w:cs="Times New Roman"/>
        </w:rPr>
      </w:pPr>
      <w:r w:rsidRPr="00760DCA">
        <w:rPr>
          <w:rFonts w:ascii="Times New Roman" w:hAnsi="Times New Roman" w:cs="Times New Roman"/>
        </w:rPr>
        <w:t xml:space="preserve">URL: </w:t>
      </w:r>
      <w:hyperlink r:id="rId3" w:anchor="page19" w:history="1">
        <w:r w:rsidRPr="00760DCA">
          <w:rPr>
            <w:rStyle w:val="Hyperlink"/>
            <w:rFonts w:ascii="Times New Roman" w:hAnsi="Times New Roman" w:cs="Times New Roman"/>
          </w:rPr>
          <w:t>https://read.oecd-ilibrary.org/governance/public-private-partnerships_9789264046733-en#page19</w:t>
        </w:r>
      </w:hyperlink>
      <w:r>
        <w:rPr>
          <w:rFonts w:ascii="Times New Roman" w:hAnsi="Times New Roman" w:cs="Times New Roman"/>
        </w:rPr>
        <w:t>, data e aksesit 22.08.2019</w:t>
      </w:r>
    </w:p>
    <w:p w14:paraId="29119C2D" w14:textId="77777777" w:rsidR="0025668C" w:rsidRPr="00760DCA" w:rsidRDefault="0025668C" w:rsidP="001637FF">
      <w:pPr>
        <w:pStyle w:val="FootnoteText"/>
        <w:jc w:val="both"/>
        <w:rPr>
          <w:rFonts w:ascii="Times New Roman" w:hAnsi="Times New Roman" w:cs="Times New Roman"/>
        </w:rPr>
      </w:pPr>
    </w:p>
  </w:footnote>
  <w:footnote w:id="5">
    <w:p w14:paraId="23A122FF" w14:textId="77777777" w:rsidR="0025668C" w:rsidRDefault="0025668C" w:rsidP="001637FF">
      <w:pPr>
        <w:pStyle w:val="FootnoteText"/>
        <w:rPr>
          <w:rFonts w:ascii="Times New Roman" w:hAnsi="Times New Roman" w:cs="Times New Roman"/>
        </w:rPr>
      </w:pPr>
      <w:r>
        <w:rPr>
          <w:rStyle w:val="FootnoteReference"/>
        </w:rPr>
        <w:footnoteRef/>
      </w:r>
      <w:r>
        <w:t xml:space="preserve"> </w:t>
      </w:r>
      <w:r w:rsidRPr="00024726">
        <w:rPr>
          <w:rFonts w:ascii="Times New Roman" w:hAnsi="Times New Roman" w:cs="Times New Roman"/>
        </w:rPr>
        <w:t>OECD (2008), “</w:t>
      </w:r>
      <w:r w:rsidRPr="00024726">
        <w:rPr>
          <w:rFonts w:ascii="Times New Roman" w:hAnsi="Times New Roman" w:cs="Times New Roman"/>
          <w:i/>
        </w:rPr>
        <w:t>Public-Private Partnerships: In Pursuit of Risk Sharing and Value for Money,</w:t>
      </w:r>
      <w:r w:rsidRPr="00024726">
        <w:rPr>
          <w:rFonts w:ascii="Times New Roman" w:hAnsi="Times New Roman" w:cs="Times New Roman"/>
        </w:rPr>
        <w:t xml:space="preserve"> </w:t>
      </w:r>
      <w:r>
        <w:rPr>
          <w:rFonts w:ascii="Times New Roman" w:hAnsi="Times New Roman" w:cs="Times New Roman"/>
        </w:rPr>
        <w:t>W</w:t>
      </w:r>
      <w:r w:rsidRPr="00024726">
        <w:rPr>
          <w:rFonts w:ascii="Times New Roman" w:hAnsi="Times New Roman" w:cs="Times New Roman"/>
        </w:rPr>
        <w:t>orking Party on Regulatory Management and Reform”</w:t>
      </w:r>
    </w:p>
    <w:p w14:paraId="77C85066" w14:textId="77777777" w:rsidR="0025668C" w:rsidRPr="002A5B5F" w:rsidRDefault="0025668C" w:rsidP="001637FF">
      <w:pPr>
        <w:pStyle w:val="FootnoteText"/>
        <w:rPr>
          <w:lang w:val="en-US"/>
        </w:rPr>
      </w:pPr>
    </w:p>
  </w:footnote>
  <w:footnote w:id="6">
    <w:p w14:paraId="5AC148FF" w14:textId="77777777" w:rsidR="0025668C" w:rsidRPr="002433BF" w:rsidRDefault="0025668C" w:rsidP="002064BE">
      <w:pPr>
        <w:pStyle w:val="FootnoteText"/>
        <w:jc w:val="both"/>
        <w:rPr>
          <w:rFonts w:ascii="Times New Roman" w:hAnsi="Times New Roman" w:cs="Times New Roman"/>
          <w:lang w:val="en-US"/>
        </w:rPr>
      </w:pPr>
      <w:r w:rsidRPr="002433BF">
        <w:rPr>
          <w:rStyle w:val="FootnoteReference"/>
          <w:rFonts w:ascii="Times New Roman" w:hAnsi="Times New Roman" w:cs="Times New Roman"/>
        </w:rPr>
        <w:footnoteRef/>
      </w:r>
      <w:r w:rsidRPr="002433BF">
        <w:rPr>
          <w:rFonts w:ascii="Times New Roman" w:hAnsi="Times New Roman" w:cs="Times New Roman"/>
        </w:rPr>
        <w:t xml:space="preserve"> </w:t>
      </w:r>
      <w:r w:rsidRPr="002433BF">
        <w:rPr>
          <w:rFonts w:ascii="Times New Roman" w:hAnsi="Times New Roman" w:cs="Times New Roman"/>
          <w:lang w:val="en-US"/>
        </w:rPr>
        <w:t>ATRAKO (2019), “</w:t>
      </w:r>
      <w:r w:rsidRPr="008A7F58">
        <w:rPr>
          <w:rFonts w:ascii="Times New Roman" w:hAnsi="Times New Roman" w:cs="Times New Roman"/>
          <w:i/>
          <w:lang w:val="en-US"/>
        </w:rPr>
        <w:t>Manuali  për Përdoruesit</w:t>
      </w:r>
      <w:r w:rsidRPr="002433BF">
        <w:rPr>
          <w:rFonts w:ascii="Times New Roman" w:hAnsi="Times New Roman" w:cs="Times New Roman"/>
          <w:lang w:val="en-US"/>
        </w:rPr>
        <w:t xml:space="preserve">”  URL: </w:t>
      </w:r>
      <w:hyperlink r:id="rId4" w:history="1">
        <w:r w:rsidR="008558F1" w:rsidRPr="007D0D43">
          <w:rPr>
            <w:rStyle w:val="Hyperlink"/>
            <w:rFonts w:ascii="Times New Roman" w:hAnsi="Times New Roman" w:cs="Times New Roman"/>
            <w:lang w:val="en-US"/>
          </w:rPr>
          <w:t>http://www.atrako.gov.al/?page_id=973</w:t>
        </w:r>
      </w:hyperlink>
      <w:r w:rsidRPr="002433BF">
        <w:rPr>
          <w:rFonts w:ascii="Times New Roman" w:hAnsi="Times New Roman" w:cs="Times New Roman"/>
          <w:lang w:val="en-US"/>
        </w:rPr>
        <w:t xml:space="preserve"> </w:t>
      </w:r>
    </w:p>
  </w:footnote>
  <w:footnote w:id="7">
    <w:p w14:paraId="441A46DD" w14:textId="77777777" w:rsidR="0025668C" w:rsidRPr="008A7F58" w:rsidRDefault="0025668C" w:rsidP="002064BE">
      <w:pPr>
        <w:pStyle w:val="FootnoteText"/>
        <w:rPr>
          <w:rFonts w:ascii="Times New Roman" w:hAnsi="Times New Roman" w:cs="Times New Roman"/>
          <w:lang w:val="en-US"/>
        </w:rPr>
      </w:pPr>
      <w:r>
        <w:rPr>
          <w:rStyle w:val="FootnoteReference"/>
        </w:rPr>
        <w:footnoteRef/>
      </w:r>
      <w:r>
        <w:t xml:space="preserve"> </w:t>
      </w:r>
      <w:r w:rsidRPr="008A7F58">
        <w:rPr>
          <w:rFonts w:ascii="Times New Roman" w:hAnsi="Times New Roman" w:cs="Times New Roman"/>
        </w:rPr>
        <w:t xml:space="preserve">Ligji nr.8527, datë 23.9.1999 “ </w:t>
      </w:r>
      <w:r w:rsidRPr="008A7F58">
        <w:rPr>
          <w:rFonts w:ascii="Times New Roman" w:hAnsi="Times New Roman" w:cs="Times New Roman"/>
          <w:i/>
        </w:rPr>
        <w:t>Për privatizimin e hidrocentraleve vendore</w:t>
      </w:r>
      <w:r w:rsidRPr="008A7F58">
        <w:rPr>
          <w:rFonts w:ascii="Times New Roman" w:hAnsi="Times New Roman" w:cs="Times New Roman"/>
        </w:rPr>
        <w:t xml:space="preserve">”. </w:t>
      </w:r>
    </w:p>
  </w:footnote>
  <w:footnote w:id="8">
    <w:p w14:paraId="3F1D5929" w14:textId="77777777" w:rsidR="0025668C" w:rsidRPr="00EF5887" w:rsidRDefault="0025668C">
      <w:pPr>
        <w:pStyle w:val="FootnoteText"/>
        <w:rPr>
          <w:rFonts w:ascii="Times New Roman" w:hAnsi="Times New Roman" w:cs="Times New Roman"/>
          <w:sz w:val="18"/>
          <w:lang w:val="en-US"/>
        </w:rPr>
      </w:pPr>
      <w:r w:rsidRPr="00EF5887">
        <w:rPr>
          <w:rStyle w:val="FootnoteReference"/>
          <w:rFonts w:ascii="Times New Roman" w:hAnsi="Times New Roman" w:cs="Times New Roman"/>
          <w:sz w:val="18"/>
        </w:rPr>
        <w:footnoteRef/>
      </w:r>
      <w:r w:rsidRPr="00EF5887">
        <w:rPr>
          <w:rFonts w:ascii="Times New Roman" w:hAnsi="Times New Roman" w:cs="Times New Roman"/>
          <w:sz w:val="18"/>
        </w:rPr>
        <w:t xml:space="preserve"> </w:t>
      </w:r>
      <w:r>
        <w:rPr>
          <w:rFonts w:ascii="Times New Roman" w:hAnsi="Times New Roman" w:cs="Times New Roman"/>
          <w:sz w:val="18"/>
          <w:lang w:val="en-US"/>
        </w:rPr>
        <w:t xml:space="preserve">Për vitin 2018 </w:t>
      </w:r>
      <w:r w:rsidRPr="00EF5887">
        <w:rPr>
          <w:rFonts w:ascii="Times New Roman" w:hAnsi="Times New Roman" w:cs="Times New Roman"/>
          <w:sz w:val="18"/>
          <w:lang w:val="en-US"/>
        </w:rPr>
        <w:t>dhe  2019 pagesat buxhetore</w:t>
      </w:r>
      <w:r>
        <w:rPr>
          <w:rFonts w:ascii="Times New Roman" w:hAnsi="Times New Roman" w:cs="Times New Roman"/>
          <w:sz w:val="18"/>
          <w:lang w:val="en-US"/>
        </w:rPr>
        <w:t xml:space="preserve"> janë</w:t>
      </w:r>
      <w:r w:rsidRPr="00EF5887">
        <w:rPr>
          <w:rFonts w:ascii="Times New Roman" w:hAnsi="Times New Roman" w:cs="Times New Roman"/>
          <w:sz w:val="18"/>
          <w:lang w:val="en-US"/>
        </w:rPr>
        <w:t xml:space="preserve"> </w:t>
      </w:r>
      <w:r>
        <w:rPr>
          <w:rFonts w:ascii="Times New Roman" w:hAnsi="Times New Roman" w:cs="Times New Roman"/>
          <w:sz w:val="18"/>
          <w:lang w:val="en-US"/>
        </w:rPr>
        <w:t>faktike</w:t>
      </w:r>
      <w:r w:rsidRPr="00EF5887">
        <w:rPr>
          <w:rFonts w:ascii="Times New Roman" w:hAnsi="Times New Roman" w:cs="Times New Roman"/>
          <w:sz w:val="18"/>
          <w:lang w:val="en-US"/>
        </w:rPr>
        <w:t>, ndërsa për vitet e tjera janë të parashikuara.</w:t>
      </w:r>
    </w:p>
  </w:footnote>
  <w:footnote w:id="9">
    <w:p w14:paraId="63F261AB" w14:textId="77777777" w:rsidR="0025668C" w:rsidRPr="00BF05F1" w:rsidRDefault="0025668C">
      <w:pPr>
        <w:pStyle w:val="FootnoteText"/>
        <w:rPr>
          <w:rFonts w:ascii="Times New Roman" w:hAnsi="Times New Roman" w:cs="Times New Roman"/>
          <w:lang w:val="en-US"/>
        </w:rPr>
      </w:pPr>
      <w:r w:rsidRPr="00BF05F1">
        <w:rPr>
          <w:rStyle w:val="FootnoteReference"/>
          <w:rFonts w:ascii="Times New Roman" w:hAnsi="Times New Roman" w:cs="Times New Roman"/>
        </w:rPr>
        <w:footnoteRef/>
      </w:r>
      <w:r w:rsidRPr="00BF05F1">
        <w:rPr>
          <w:rFonts w:ascii="Times New Roman" w:hAnsi="Times New Roman" w:cs="Times New Roman"/>
        </w:rPr>
        <w:t xml:space="preserve"> VKM nr.175, datë 19.01.2011 “</w:t>
      </w:r>
      <w:r w:rsidRPr="00BF05F1">
        <w:rPr>
          <w:rFonts w:ascii="Times New Roman" w:hAnsi="Times New Roman" w:cs="Times New Roman"/>
          <w:i/>
        </w:rPr>
        <w:t>Për miratimin e strategjisë kombëtare të menaxhimit të mbetjeve dhe Planit kombëtar të menaxhimit të mbetjeve”</w:t>
      </w:r>
    </w:p>
  </w:footnote>
  <w:footnote w:id="10">
    <w:p w14:paraId="6499CCEA" w14:textId="77777777" w:rsidR="0025668C" w:rsidRPr="00C45E74" w:rsidRDefault="0025668C">
      <w:pPr>
        <w:pStyle w:val="FootnoteText"/>
        <w:rPr>
          <w:lang w:val="en-US"/>
        </w:rPr>
      </w:pPr>
      <w:r>
        <w:rPr>
          <w:rStyle w:val="FootnoteReference"/>
        </w:rPr>
        <w:footnoteRef/>
      </w:r>
      <w:r>
        <w:t xml:space="preserve"> </w:t>
      </w:r>
      <w:hyperlink r:id="rId5" w:history="1">
        <w:r w:rsidRPr="00932DCF">
          <w:rPr>
            <w:rStyle w:val="Hyperlink"/>
          </w:rPr>
          <w:t>http://www.dogana.gov.al/c/169/185/266/skanimi-ne-dogane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2D0B" w14:textId="77777777" w:rsidR="0025668C" w:rsidRDefault="0025668C" w:rsidP="00BE725B">
    <w:pPr>
      <w:pStyle w:val="Footer"/>
      <w:tabs>
        <w:tab w:val="left" w:pos="4002"/>
        <w:tab w:val="right" w:pos="10080"/>
      </w:tabs>
      <w:rPr>
        <w:rFonts w:ascii="Times New Roman" w:hAnsi="Times New Roman" w:cs="Times New Roman"/>
        <w:b/>
        <w:color w:val="4A442A" w:themeColor="background2" w:themeShade="40"/>
        <w:sz w:val="18"/>
      </w:rPr>
    </w:pPr>
    <w:r>
      <w:rPr>
        <w:rFonts w:ascii="Times New Roman" w:hAnsi="Times New Roman" w:cs="Times New Roman"/>
        <w:b/>
        <w:color w:val="4A442A" w:themeColor="background2" w:themeShade="40"/>
        <w:sz w:val="18"/>
      </w:rPr>
      <w:tab/>
    </w:r>
    <w:r>
      <w:rPr>
        <w:rFonts w:ascii="Times New Roman" w:hAnsi="Times New Roman" w:cs="Times New Roman"/>
        <w:b/>
        <w:color w:val="4A442A" w:themeColor="background2" w:themeShade="40"/>
        <w:sz w:val="18"/>
      </w:rPr>
      <w:tab/>
    </w:r>
    <w:r>
      <w:rPr>
        <w:rFonts w:ascii="Times New Roman" w:hAnsi="Times New Roman" w:cs="Times New Roman"/>
        <w:b/>
        <w:color w:val="4A442A" w:themeColor="background2" w:themeShade="40"/>
        <w:sz w:val="18"/>
      </w:rPr>
      <w:tab/>
    </w:r>
    <w:r>
      <w:rPr>
        <w:rFonts w:ascii="Times New Roman" w:hAnsi="Times New Roman" w:cs="Times New Roman"/>
        <w:b/>
        <w:color w:val="4A442A" w:themeColor="background2" w:themeShade="40"/>
        <w:sz w:val="18"/>
      </w:rPr>
      <w:tab/>
      <w:t xml:space="preserve">                  </w:t>
    </w:r>
  </w:p>
  <w:p w14:paraId="7107D097" w14:textId="77777777" w:rsidR="0025668C" w:rsidRPr="004F2C73" w:rsidRDefault="0025668C" w:rsidP="00BE725B">
    <w:pPr>
      <w:pStyle w:val="Footer"/>
      <w:jc w:val="right"/>
      <w:rPr>
        <w:rFonts w:ascii="Times New Roman" w:hAnsi="Times New Roman" w:cs="Times New Roman"/>
        <w:b/>
        <w:color w:val="4A442A" w:themeColor="background2" w:themeShade="40"/>
        <w:sz w:val="18"/>
      </w:rPr>
    </w:pPr>
    <w:r>
      <w:rPr>
        <w:rFonts w:ascii="Times New Roman" w:hAnsi="Times New Roman" w:cs="Times New Roman"/>
        <w:b/>
        <w:color w:val="4A442A" w:themeColor="background2" w:themeShade="40"/>
        <w:sz w:val="18"/>
      </w:rPr>
      <w:t xml:space="preserve"> Raport Vjetor </w:t>
    </w:r>
    <w:r w:rsidRPr="004F2C73">
      <w:rPr>
        <w:rFonts w:ascii="Times New Roman" w:hAnsi="Times New Roman" w:cs="Times New Roman"/>
        <w:b/>
        <w:color w:val="4A442A" w:themeColor="background2" w:themeShade="40"/>
        <w:sz w:val="18"/>
      </w:rPr>
      <w:t>i P</w:t>
    </w:r>
    <w:r>
      <w:rPr>
        <w:rFonts w:ascii="Times New Roman" w:hAnsi="Times New Roman" w:cs="Times New Roman"/>
        <w:b/>
        <w:color w:val="4A442A" w:themeColor="background2" w:themeShade="40"/>
        <w:sz w:val="18"/>
      </w:rPr>
      <w:t>ë</w:t>
    </w:r>
    <w:r w:rsidRPr="004F2C73">
      <w:rPr>
        <w:rFonts w:ascii="Times New Roman" w:hAnsi="Times New Roman" w:cs="Times New Roman"/>
        <w:b/>
        <w:color w:val="4A442A" w:themeColor="background2" w:themeShade="40"/>
        <w:sz w:val="18"/>
      </w:rPr>
      <w:t>rmbledhur</w:t>
    </w:r>
  </w:p>
  <w:p w14:paraId="53DA29A4" w14:textId="77777777" w:rsidR="0025668C" w:rsidRPr="004F2C73" w:rsidRDefault="0025668C" w:rsidP="00BE725B">
    <w:pPr>
      <w:pStyle w:val="Footer"/>
      <w:jc w:val="right"/>
      <w:rPr>
        <w:rFonts w:ascii="Times New Roman" w:hAnsi="Times New Roman" w:cs="Times New Roman"/>
        <w:i/>
        <w:sz w:val="18"/>
      </w:rPr>
    </w:pPr>
    <w:r w:rsidRPr="004F2C73">
      <w:rPr>
        <w:rFonts w:ascii="Times New Roman" w:hAnsi="Times New Roman" w:cs="Times New Roman"/>
        <w:i/>
        <w:sz w:val="18"/>
      </w:rPr>
      <w:t xml:space="preserve">Performanca e </w:t>
    </w:r>
    <w:r>
      <w:rPr>
        <w:rFonts w:ascii="Times New Roman" w:hAnsi="Times New Roman" w:cs="Times New Roman"/>
        <w:i/>
        <w:sz w:val="18"/>
      </w:rPr>
      <w:t>kontratave</w:t>
    </w:r>
    <w:r w:rsidRPr="004F2C73">
      <w:rPr>
        <w:rFonts w:ascii="Times New Roman" w:hAnsi="Times New Roman" w:cs="Times New Roman"/>
        <w:i/>
        <w:sz w:val="18"/>
      </w:rPr>
      <w:t xml:space="preserve"> </w:t>
    </w:r>
    <w:r>
      <w:rPr>
        <w:rFonts w:ascii="Times New Roman" w:hAnsi="Times New Roman" w:cs="Times New Roman"/>
        <w:i/>
        <w:sz w:val="18"/>
      </w:rPr>
      <w:t xml:space="preserve">të </w:t>
    </w:r>
    <w:r w:rsidRPr="004F2C73">
      <w:rPr>
        <w:rFonts w:ascii="Times New Roman" w:hAnsi="Times New Roman" w:cs="Times New Roman"/>
        <w:i/>
        <w:sz w:val="18"/>
      </w:rPr>
      <w:t xml:space="preserve"> Koncesion</w:t>
    </w:r>
    <w:r>
      <w:rPr>
        <w:rFonts w:ascii="Times New Roman" w:hAnsi="Times New Roman" w:cs="Times New Roman"/>
        <w:i/>
        <w:sz w:val="18"/>
      </w:rPr>
      <w:t>eve</w:t>
    </w:r>
    <w:r w:rsidRPr="004F2C73">
      <w:rPr>
        <w:rFonts w:ascii="Times New Roman" w:hAnsi="Times New Roman" w:cs="Times New Roman"/>
        <w:i/>
        <w:sz w:val="18"/>
      </w:rPr>
      <w:t>/PPP</w:t>
    </w:r>
  </w:p>
  <w:p w14:paraId="737C4AEC" w14:textId="77777777" w:rsidR="0025668C" w:rsidRDefault="0025668C" w:rsidP="00BE725B">
    <w:pPr>
      <w:pStyle w:val="Footer"/>
      <w:jc w:val="right"/>
      <w:rPr>
        <w:rFonts w:ascii="Times New Roman" w:hAnsi="Times New Roman" w:cs="Times New Roman"/>
        <w:i/>
        <w:sz w:val="18"/>
      </w:rPr>
    </w:pPr>
    <w:r w:rsidRPr="004F2C73">
      <w:rPr>
        <w:rFonts w:ascii="Times New Roman" w:hAnsi="Times New Roman" w:cs="Times New Roman"/>
        <w:i/>
        <w:sz w:val="18"/>
      </w:rPr>
      <w:t>2019</w:t>
    </w:r>
  </w:p>
  <w:p w14:paraId="0253317B" w14:textId="77777777" w:rsidR="0025668C" w:rsidRPr="004F2C73" w:rsidRDefault="0025668C" w:rsidP="00BE725B">
    <w:pPr>
      <w:pStyle w:val="Footer"/>
      <w:tabs>
        <w:tab w:val="left" w:pos="10350"/>
      </w:tabs>
      <w:ind w:right="-90"/>
      <w:jc w:val="center"/>
      <w:rPr>
        <w:rFonts w:ascii="Times New Roman" w:hAnsi="Times New Roman" w:cs="Times New Roman"/>
        <w:i/>
        <w:sz w:val="18"/>
      </w:rPr>
    </w:pPr>
    <w:r>
      <w:rPr>
        <w:rFonts w:ascii="Times New Roman" w:hAnsi="Times New Roman" w:cs="Times New Roman"/>
        <w:i/>
        <w:sz w:val="18"/>
      </w:rPr>
      <w:t>_________________________________________________________________________________________________________________</w:t>
    </w:r>
  </w:p>
  <w:p w14:paraId="4C9DE4F8" w14:textId="77777777" w:rsidR="0025668C" w:rsidRDefault="0025668C" w:rsidP="00BE725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1DD9"/>
    <w:multiLevelType w:val="hybridMultilevel"/>
    <w:tmpl w:val="A6DCF2C2"/>
    <w:lvl w:ilvl="0" w:tplc="09CAC4A8">
      <w:start w:val="27"/>
      <w:numFmt w:val="bullet"/>
      <w:lvlText w:val="-"/>
      <w:lvlJc w:val="left"/>
      <w:pPr>
        <w:ind w:left="720" w:hanging="360"/>
      </w:pPr>
      <w:rPr>
        <w:rFonts w:ascii="Times New Roman" w:eastAsia="Times New Roman" w:hAnsi="Times New Roman" w:cs="Times New Roman" w:hint="default"/>
        <w:b w:val="0"/>
        <w:color w:val="2121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D7F90"/>
    <w:multiLevelType w:val="multilevel"/>
    <w:tmpl w:val="AD2AD1F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59014F"/>
    <w:multiLevelType w:val="hybridMultilevel"/>
    <w:tmpl w:val="5CB8981A"/>
    <w:lvl w:ilvl="0" w:tplc="3DF69244">
      <w:start w:val="1"/>
      <w:numFmt w:val="decimal"/>
      <w:lvlText w:val="%1."/>
      <w:lvlJc w:val="left"/>
      <w:pPr>
        <w:ind w:left="720" w:hanging="360"/>
      </w:pPr>
      <w:rPr>
        <w:rFonts w:ascii="Times New Roman" w:eastAsiaTheme="maj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B1D2D"/>
    <w:multiLevelType w:val="multilevel"/>
    <w:tmpl w:val="73C855B8"/>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81F388E"/>
    <w:multiLevelType w:val="multilevel"/>
    <w:tmpl w:val="9154C1C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BF45143"/>
    <w:multiLevelType w:val="hybridMultilevel"/>
    <w:tmpl w:val="95485934"/>
    <w:lvl w:ilvl="0" w:tplc="09CAC4A8">
      <w:start w:val="27"/>
      <w:numFmt w:val="bullet"/>
      <w:lvlText w:val="-"/>
      <w:lvlJc w:val="left"/>
      <w:pPr>
        <w:ind w:left="720" w:hanging="360"/>
      </w:pPr>
      <w:rPr>
        <w:rFonts w:ascii="Times New Roman" w:eastAsia="Times New Roman" w:hAnsi="Times New Roman" w:cs="Times New Roman" w:hint="default"/>
        <w:b w:val="0"/>
        <w:color w:val="2121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C285D"/>
    <w:multiLevelType w:val="hybridMultilevel"/>
    <w:tmpl w:val="C680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44220"/>
    <w:multiLevelType w:val="multilevel"/>
    <w:tmpl w:val="F5E87E5E"/>
    <w:lvl w:ilvl="0">
      <w:start w:val="2"/>
      <w:numFmt w:val="decimal"/>
      <w:lvlText w:val="%1."/>
      <w:lvlJc w:val="left"/>
      <w:pPr>
        <w:ind w:left="540" w:hanging="540"/>
      </w:pPr>
      <w:rPr>
        <w:rFonts w:hint="default"/>
        <w:b/>
      </w:rPr>
    </w:lvl>
    <w:lvl w:ilvl="1">
      <w:start w:val="3"/>
      <w:numFmt w:val="decimal"/>
      <w:lvlText w:val="%1.%2."/>
      <w:lvlJc w:val="left"/>
      <w:pPr>
        <w:ind w:left="810" w:hanging="540"/>
      </w:pPr>
      <w:rPr>
        <w:rFonts w:hint="default"/>
        <w:b/>
        <w:color w:val="1F497D" w:themeColor="text2"/>
      </w:rPr>
    </w:lvl>
    <w:lvl w:ilvl="2">
      <w:start w:val="1"/>
      <w:numFmt w:val="decimal"/>
      <w:lvlText w:val="%1.%2.%3."/>
      <w:lvlJc w:val="left"/>
      <w:pPr>
        <w:ind w:left="720" w:hanging="720"/>
      </w:pPr>
      <w:rPr>
        <w:rFonts w:hint="default"/>
        <w:b/>
        <w:i/>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E67FED"/>
    <w:multiLevelType w:val="hybridMultilevel"/>
    <w:tmpl w:val="07165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913349"/>
    <w:multiLevelType w:val="hybridMultilevel"/>
    <w:tmpl w:val="5CB8981A"/>
    <w:lvl w:ilvl="0" w:tplc="3DF69244">
      <w:start w:val="1"/>
      <w:numFmt w:val="decimal"/>
      <w:lvlText w:val="%1."/>
      <w:lvlJc w:val="left"/>
      <w:pPr>
        <w:ind w:left="720" w:hanging="360"/>
      </w:pPr>
      <w:rPr>
        <w:rFonts w:ascii="Times New Roman" w:eastAsiaTheme="maj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6428A"/>
    <w:multiLevelType w:val="multilevel"/>
    <w:tmpl w:val="3F38BFB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675C55"/>
    <w:multiLevelType w:val="hybridMultilevel"/>
    <w:tmpl w:val="FCC4B5FE"/>
    <w:lvl w:ilvl="0" w:tplc="43C684B0">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246C0AE3"/>
    <w:multiLevelType w:val="hybridMultilevel"/>
    <w:tmpl w:val="B1FA5B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B2B5B54"/>
    <w:multiLevelType w:val="multilevel"/>
    <w:tmpl w:val="F5E87E5E"/>
    <w:lvl w:ilvl="0">
      <w:start w:val="2"/>
      <w:numFmt w:val="decimal"/>
      <w:lvlText w:val="%1."/>
      <w:lvlJc w:val="left"/>
      <w:pPr>
        <w:ind w:left="540" w:hanging="540"/>
      </w:pPr>
      <w:rPr>
        <w:rFonts w:hint="default"/>
        <w:b/>
      </w:rPr>
    </w:lvl>
    <w:lvl w:ilvl="1">
      <w:start w:val="3"/>
      <w:numFmt w:val="decimal"/>
      <w:lvlText w:val="%1.%2."/>
      <w:lvlJc w:val="left"/>
      <w:pPr>
        <w:ind w:left="810" w:hanging="540"/>
      </w:pPr>
      <w:rPr>
        <w:rFonts w:hint="default"/>
        <w:b/>
        <w:color w:val="1F497D" w:themeColor="text2"/>
      </w:rPr>
    </w:lvl>
    <w:lvl w:ilvl="2">
      <w:start w:val="1"/>
      <w:numFmt w:val="decimal"/>
      <w:lvlText w:val="%1.%2.%3."/>
      <w:lvlJc w:val="left"/>
      <w:pPr>
        <w:ind w:left="720" w:hanging="720"/>
      </w:pPr>
      <w:rPr>
        <w:rFonts w:hint="default"/>
        <w:b/>
        <w:i/>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D62B6F"/>
    <w:multiLevelType w:val="hybridMultilevel"/>
    <w:tmpl w:val="43B49BD2"/>
    <w:lvl w:ilvl="0" w:tplc="E3D060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74192"/>
    <w:multiLevelType w:val="hybridMultilevel"/>
    <w:tmpl w:val="76D40F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726EB2"/>
    <w:multiLevelType w:val="multilevel"/>
    <w:tmpl w:val="F5E87E5E"/>
    <w:lvl w:ilvl="0">
      <w:start w:val="2"/>
      <w:numFmt w:val="decimal"/>
      <w:lvlText w:val="%1."/>
      <w:lvlJc w:val="left"/>
      <w:pPr>
        <w:ind w:left="540" w:hanging="540"/>
      </w:pPr>
      <w:rPr>
        <w:rFonts w:hint="default"/>
        <w:b/>
      </w:rPr>
    </w:lvl>
    <w:lvl w:ilvl="1">
      <w:start w:val="3"/>
      <w:numFmt w:val="decimal"/>
      <w:lvlText w:val="%1.%2."/>
      <w:lvlJc w:val="left"/>
      <w:pPr>
        <w:ind w:left="810" w:hanging="540"/>
      </w:pPr>
      <w:rPr>
        <w:rFonts w:hint="default"/>
        <w:b/>
        <w:color w:val="1F497D" w:themeColor="text2"/>
      </w:rPr>
    </w:lvl>
    <w:lvl w:ilvl="2">
      <w:start w:val="1"/>
      <w:numFmt w:val="decimal"/>
      <w:lvlText w:val="%1.%2.%3."/>
      <w:lvlJc w:val="left"/>
      <w:pPr>
        <w:ind w:left="720" w:hanging="720"/>
      </w:pPr>
      <w:rPr>
        <w:rFonts w:hint="default"/>
        <w:b/>
        <w:i/>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4B00C50"/>
    <w:multiLevelType w:val="multilevel"/>
    <w:tmpl w:val="F228B396"/>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b/>
        <w:i/>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383A53ED"/>
    <w:multiLevelType w:val="multilevel"/>
    <w:tmpl w:val="EF2051D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B9A3CB5"/>
    <w:multiLevelType w:val="hybridMultilevel"/>
    <w:tmpl w:val="195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7D0B73"/>
    <w:multiLevelType w:val="multilevel"/>
    <w:tmpl w:val="C922ABD0"/>
    <w:lvl w:ilvl="0">
      <w:start w:val="4"/>
      <w:numFmt w:val="decimal"/>
      <w:lvlText w:val="%1."/>
      <w:lvlJc w:val="left"/>
      <w:pPr>
        <w:ind w:left="540" w:hanging="540"/>
      </w:pPr>
      <w:rPr>
        <w:rFonts w:eastAsiaTheme="majorEastAsia" w:hint="default"/>
        <w:i w:val="0"/>
      </w:rPr>
    </w:lvl>
    <w:lvl w:ilvl="1">
      <w:start w:val="1"/>
      <w:numFmt w:val="decimal"/>
      <w:lvlText w:val="%1.%2."/>
      <w:lvlJc w:val="left"/>
      <w:pPr>
        <w:ind w:left="540" w:hanging="540"/>
      </w:pPr>
      <w:rPr>
        <w:rFonts w:eastAsiaTheme="majorEastAsia" w:hint="default"/>
        <w:i w:val="0"/>
      </w:rPr>
    </w:lvl>
    <w:lvl w:ilvl="2">
      <w:start w:val="2"/>
      <w:numFmt w:val="decimal"/>
      <w:lvlText w:val="%1.%2.%3."/>
      <w:lvlJc w:val="left"/>
      <w:pPr>
        <w:ind w:left="720" w:hanging="720"/>
      </w:pPr>
      <w:rPr>
        <w:rFonts w:eastAsiaTheme="majorEastAsia" w:hint="default"/>
        <w:i/>
      </w:rPr>
    </w:lvl>
    <w:lvl w:ilvl="3">
      <w:start w:val="1"/>
      <w:numFmt w:val="decimal"/>
      <w:lvlText w:val="%1.%2.%3.%4."/>
      <w:lvlJc w:val="left"/>
      <w:pPr>
        <w:ind w:left="720" w:hanging="720"/>
      </w:pPr>
      <w:rPr>
        <w:rFonts w:eastAsiaTheme="majorEastAsia" w:hint="default"/>
        <w:i w:val="0"/>
      </w:rPr>
    </w:lvl>
    <w:lvl w:ilvl="4">
      <w:start w:val="1"/>
      <w:numFmt w:val="decimal"/>
      <w:lvlText w:val="%1.%2.%3.%4.%5."/>
      <w:lvlJc w:val="left"/>
      <w:pPr>
        <w:ind w:left="1080" w:hanging="1080"/>
      </w:pPr>
      <w:rPr>
        <w:rFonts w:eastAsiaTheme="majorEastAsia" w:hint="default"/>
        <w:i w:val="0"/>
      </w:rPr>
    </w:lvl>
    <w:lvl w:ilvl="5">
      <w:start w:val="1"/>
      <w:numFmt w:val="decimal"/>
      <w:lvlText w:val="%1.%2.%3.%4.%5.%6."/>
      <w:lvlJc w:val="left"/>
      <w:pPr>
        <w:ind w:left="1080" w:hanging="1080"/>
      </w:pPr>
      <w:rPr>
        <w:rFonts w:eastAsiaTheme="majorEastAsia" w:hint="default"/>
        <w:i w:val="0"/>
      </w:rPr>
    </w:lvl>
    <w:lvl w:ilvl="6">
      <w:start w:val="1"/>
      <w:numFmt w:val="decimal"/>
      <w:lvlText w:val="%1.%2.%3.%4.%5.%6.%7."/>
      <w:lvlJc w:val="left"/>
      <w:pPr>
        <w:ind w:left="1440" w:hanging="1440"/>
      </w:pPr>
      <w:rPr>
        <w:rFonts w:eastAsiaTheme="majorEastAsia" w:hint="default"/>
        <w:i w:val="0"/>
      </w:rPr>
    </w:lvl>
    <w:lvl w:ilvl="7">
      <w:start w:val="1"/>
      <w:numFmt w:val="decimal"/>
      <w:lvlText w:val="%1.%2.%3.%4.%5.%6.%7.%8."/>
      <w:lvlJc w:val="left"/>
      <w:pPr>
        <w:ind w:left="1440" w:hanging="1440"/>
      </w:pPr>
      <w:rPr>
        <w:rFonts w:eastAsiaTheme="majorEastAsia" w:hint="default"/>
        <w:i w:val="0"/>
      </w:rPr>
    </w:lvl>
    <w:lvl w:ilvl="8">
      <w:start w:val="1"/>
      <w:numFmt w:val="decimal"/>
      <w:lvlText w:val="%1.%2.%3.%4.%5.%6.%7.%8.%9."/>
      <w:lvlJc w:val="left"/>
      <w:pPr>
        <w:ind w:left="1800" w:hanging="1800"/>
      </w:pPr>
      <w:rPr>
        <w:rFonts w:eastAsiaTheme="majorEastAsia" w:hint="default"/>
        <w:i w:val="0"/>
      </w:rPr>
    </w:lvl>
  </w:abstractNum>
  <w:abstractNum w:abstractNumId="21">
    <w:nsid w:val="4E2C3EBE"/>
    <w:multiLevelType w:val="hybridMultilevel"/>
    <w:tmpl w:val="291EE8A8"/>
    <w:lvl w:ilvl="0" w:tplc="F2E24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EF4F9D"/>
    <w:multiLevelType w:val="hybridMultilevel"/>
    <w:tmpl w:val="B5C4A43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0873B3"/>
    <w:multiLevelType w:val="multilevel"/>
    <w:tmpl w:val="70001F4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9A8414C"/>
    <w:multiLevelType w:val="hybridMultilevel"/>
    <w:tmpl w:val="71AC70F6"/>
    <w:lvl w:ilvl="0" w:tplc="09CAC4A8">
      <w:start w:val="27"/>
      <w:numFmt w:val="bullet"/>
      <w:lvlText w:val="-"/>
      <w:lvlJc w:val="left"/>
      <w:pPr>
        <w:ind w:left="720" w:hanging="360"/>
      </w:pPr>
      <w:rPr>
        <w:rFonts w:ascii="Times New Roman" w:eastAsia="Times New Roman" w:hAnsi="Times New Roman" w:cs="Times New Roman" w:hint="default"/>
        <w:b w:val="0"/>
        <w:color w:val="2121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E57C52"/>
    <w:multiLevelType w:val="hybridMultilevel"/>
    <w:tmpl w:val="ADAC4584"/>
    <w:lvl w:ilvl="0" w:tplc="AD88E130">
      <w:numFmt w:val="bullet"/>
      <w:lvlText w:val="-"/>
      <w:lvlJc w:val="left"/>
      <w:pPr>
        <w:ind w:left="720" w:hanging="360"/>
      </w:pPr>
      <w:rPr>
        <w:rFonts w:ascii="Times New Roman" w:eastAsiaTheme="minorEastAsia" w:hAnsi="Times New Roman" w:cs="Times New Roman" w:hint="default"/>
        <w:b/>
        <w:color w:val="auto"/>
        <w:sz w:val="22"/>
        <w:szCs w:val="24"/>
      </w:rPr>
    </w:lvl>
    <w:lvl w:ilvl="1" w:tplc="041C000B">
      <w:start w:val="1"/>
      <w:numFmt w:val="bullet"/>
      <w:lvlText w:val=""/>
      <w:lvlJc w:val="left"/>
      <w:pPr>
        <w:ind w:left="360" w:hanging="360"/>
      </w:pPr>
      <w:rPr>
        <w:rFonts w:ascii="Wingdings" w:hAnsi="Wingdings" w:hint="default"/>
        <w:b/>
      </w:rPr>
    </w:lvl>
    <w:lvl w:ilvl="2" w:tplc="50820A5A">
      <w:start w:val="1"/>
      <w:numFmt w:val="bullet"/>
      <w:lvlText w:val=""/>
      <w:lvlJc w:val="left"/>
      <w:pPr>
        <w:ind w:left="720" w:hanging="180"/>
      </w:pPr>
      <w:rPr>
        <w:rFonts w:ascii="Wingdings" w:hAnsi="Wingdings" w:hint="default"/>
        <w:color w:val="auto"/>
      </w:rPr>
    </w:lvl>
    <w:lvl w:ilvl="3" w:tplc="041C000F">
      <w:start w:val="1"/>
      <w:numFmt w:val="decimal"/>
      <w:lvlText w:val="%4."/>
      <w:lvlJc w:val="left"/>
      <w:pPr>
        <w:ind w:left="2880" w:hanging="360"/>
      </w:pPr>
    </w:lvl>
    <w:lvl w:ilvl="4" w:tplc="40FC6E9E">
      <w:numFmt w:val="bullet"/>
      <w:lvlText w:val="-"/>
      <w:lvlJc w:val="left"/>
      <w:pPr>
        <w:ind w:left="3600" w:hanging="360"/>
      </w:pPr>
      <w:rPr>
        <w:rFonts w:ascii="Times New Roman" w:eastAsiaTheme="minorEastAsia" w:hAnsi="Times New Roman" w:cs="Times New Roman" w:hint="default"/>
      </w:rPr>
    </w:lvl>
    <w:lvl w:ilvl="5" w:tplc="3C7E2E58">
      <w:start w:val="1"/>
      <w:numFmt w:val="lowerLetter"/>
      <w:lvlText w:val="%6)"/>
      <w:lvlJc w:val="left"/>
      <w:pPr>
        <w:ind w:left="4500" w:hanging="360"/>
      </w:pPr>
      <w:rPr>
        <w:rFonts w:hint="default"/>
      </w:rPr>
    </w:lvl>
    <w:lvl w:ilvl="6" w:tplc="46F48306">
      <w:numFmt w:val="bullet"/>
      <w:lvlText w:val=""/>
      <w:lvlJc w:val="left"/>
      <w:pPr>
        <w:ind w:left="5040" w:hanging="360"/>
      </w:pPr>
      <w:rPr>
        <w:rFonts w:ascii="Symbol" w:eastAsia="Times New Roman" w:hAnsi="Symbol" w:cs="Times New Roman" w:hint="default"/>
      </w:r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nsid w:val="5E541069"/>
    <w:multiLevelType w:val="multilevel"/>
    <w:tmpl w:val="A5869D50"/>
    <w:lvl w:ilvl="0">
      <w:start w:val="2"/>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1DC7C8B"/>
    <w:multiLevelType w:val="hybridMultilevel"/>
    <w:tmpl w:val="0D44540A"/>
    <w:lvl w:ilvl="0" w:tplc="16B819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232129"/>
    <w:multiLevelType w:val="multilevel"/>
    <w:tmpl w:val="A2A405D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C863202"/>
    <w:multiLevelType w:val="hybridMultilevel"/>
    <w:tmpl w:val="A3C2BBC6"/>
    <w:lvl w:ilvl="0" w:tplc="3DF69244">
      <w:start w:val="1"/>
      <w:numFmt w:val="decimal"/>
      <w:lvlText w:val="%1."/>
      <w:lvlJc w:val="left"/>
      <w:pPr>
        <w:ind w:left="720" w:hanging="360"/>
      </w:pPr>
      <w:rPr>
        <w:rFonts w:ascii="Times New Roman" w:eastAsiaTheme="maj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246490"/>
    <w:multiLevelType w:val="hybridMultilevel"/>
    <w:tmpl w:val="0B4006D6"/>
    <w:lvl w:ilvl="0" w:tplc="E3D0600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5"/>
  </w:num>
  <w:num w:numId="4">
    <w:abstractNumId w:val="6"/>
  </w:num>
  <w:num w:numId="5">
    <w:abstractNumId w:val="8"/>
  </w:num>
  <w:num w:numId="6">
    <w:abstractNumId w:val="26"/>
  </w:num>
  <w:num w:numId="7">
    <w:abstractNumId w:val="25"/>
  </w:num>
  <w:num w:numId="8">
    <w:abstractNumId w:val="30"/>
  </w:num>
  <w:num w:numId="9">
    <w:abstractNumId w:val="28"/>
  </w:num>
  <w:num w:numId="10">
    <w:abstractNumId w:val="16"/>
  </w:num>
  <w:num w:numId="11">
    <w:abstractNumId w:val="18"/>
  </w:num>
  <w:num w:numId="12">
    <w:abstractNumId w:val="14"/>
  </w:num>
  <w:num w:numId="13">
    <w:abstractNumId w:val="20"/>
  </w:num>
  <w:num w:numId="14">
    <w:abstractNumId w:val="1"/>
  </w:num>
  <w:num w:numId="15">
    <w:abstractNumId w:val="23"/>
  </w:num>
  <w:num w:numId="16">
    <w:abstractNumId w:val="17"/>
  </w:num>
  <w:num w:numId="17">
    <w:abstractNumId w:val="4"/>
  </w:num>
  <w:num w:numId="18">
    <w:abstractNumId w:val="10"/>
  </w:num>
  <w:num w:numId="19">
    <w:abstractNumId w:val="27"/>
  </w:num>
  <w:num w:numId="20">
    <w:abstractNumId w:val="12"/>
  </w:num>
  <w:num w:numId="21">
    <w:abstractNumId w:val="19"/>
  </w:num>
  <w:num w:numId="22">
    <w:abstractNumId w:val="29"/>
  </w:num>
  <w:num w:numId="23">
    <w:abstractNumId w:val="9"/>
  </w:num>
  <w:num w:numId="24">
    <w:abstractNumId w:val="5"/>
  </w:num>
  <w:num w:numId="25">
    <w:abstractNumId w:val="0"/>
  </w:num>
  <w:num w:numId="26">
    <w:abstractNumId w:val="24"/>
  </w:num>
  <w:num w:numId="27">
    <w:abstractNumId w:val="2"/>
  </w:num>
  <w:num w:numId="28">
    <w:abstractNumId w:val="13"/>
  </w:num>
  <w:num w:numId="29">
    <w:abstractNumId w:val="7"/>
  </w:num>
  <w:num w:numId="30">
    <w:abstractNumId w:val="22"/>
  </w:num>
  <w:num w:numId="3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C9"/>
    <w:rsid w:val="000005B1"/>
    <w:rsid w:val="0000180B"/>
    <w:rsid w:val="00001CDA"/>
    <w:rsid w:val="00004BEA"/>
    <w:rsid w:val="00005D97"/>
    <w:rsid w:val="000071DF"/>
    <w:rsid w:val="0000732D"/>
    <w:rsid w:val="0001099A"/>
    <w:rsid w:val="00014E22"/>
    <w:rsid w:val="00020CAE"/>
    <w:rsid w:val="00023EF1"/>
    <w:rsid w:val="00024438"/>
    <w:rsid w:val="00024546"/>
    <w:rsid w:val="00024726"/>
    <w:rsid w:val="0002580D"/>
    <w:rsid w:val="00026286"/>
    <w:rsid w:val="0002728A"/>
    <w:rsid w:val="0003157F"/>
    <w:rsid w:val="00034311"/>
    <w:rsid w:val="000346B5"/>
    <w:rsid w:val="000356A3"/>
    <w:rsid w:val="00035C1B"/>
    <w:rsid w:val="00042135"/>
    <w:rsid w:val="00043B63"/>
    <w:rsid w:val="00045287"/>
    <w:rsid w:val="000522AE"/>
    <w:rsid w:val="00052612"/>
    <w:rsid w:val="000557A2"/>
    <w:rsid w:val="00056B2E"/>
    <w:rsid w:val="00061409"/>
    <w:rsid w:val="00062FD3"/>
    <w:rsid w:val="00064282"/>
    <w:rsid w:val="00064535"/>
    <w:rsid w:val="00065312"/>
    <w:rsid w:val="00067C25"/>
    <w:rsid w:val="000732D8"/>
    <w:rsid w:val="00075F89"/>
    <w:rsid w:val="00076A8F"/>
    <w:rsid w:val="000775C5"/>
    <w:rsid w:val="00077766"/>
    <w:rsid w:val="000778AE"/>
    <w:rsid w:val="00077CA0"/>
    <w:rsid w:val="000826DD"/>
    <w:rsid w:val="0008313F"/>
    <w:rsid w:val="00085604"/>
    <w:rsid w:val="00092C3F"/>
    <w:rsid w:val="00094918"/>
    <w:rsid w:val="00096661"/>
    <w:rsid w:val="000967C3"/>
    <w:rsid w:val="00097410"/>
    <w:rsid w:val="000A0028"/>
    <w:rsid w:val="000A0FDA"/>
    <w:rsid w:val="000A1E3E"/>
    <w:rsid w:val="000A47F7"/>
    <w:rsid w:val="000A5857"/>
    <w:rsid w:val="000A6F26"/>
    <w:rsid w:val="000A7AA7"/>
    <w:rsid w:val="000B2095"/>
    <w:rsid w:val="000B2507"/>
    <w:rsid w:val="000B258D"/>
    <w:rsid w:val="000B7D58"/>
    <w:rsid w:val="000C0496"/>
    <w:rsid w:val="000C0520"/>
    <w:rsid w:val="000C29C1"/>
    <w:rsid w:val="000C3B95"/>
    <w:rsid w:val="000D0DF6"/>
    <w:rsid w:val="000D6648"/>
    <w:rsid w:val="000E01AE"/>
    <w:rsid w:val="000E17F6"/>
    <w:rsid w:val="000E557D"/>
    <w:rsid w:val="000E5924"/>
    <w:rsid w:val="000E6CFB"/>
    <w:rsid w:val="000F159A"/>
    <w:rsid w:val="000F1A6E"/>
    <w:rsid w:val="000F1AFF"/>
    <w:rsid w:val="000F1BF6"/>
    <w:rsid w:val="000F23BB"/>
    <w:rsid w:val="000F3207"/>
    <w:rsid w:val="000F7B0C"/>
    <w:rsid w:val="00100156"/>
    <w:rsid w:val="0010307C"/>
    <w:rsid w:val="00113771"/>
    <w:rsid w:val="00114169"/>
    <w:rsid w:val="001152B7"/>
    <w:rsid w:val="00116C80"/>
    <w:rsid w:val="001173AF"/>
    <w:rsid w:val="00121347"/>
    <w:rsid w:val="001251B6"/>
    <w:rsid w:val="00130EDE"/>
    <w:rsid w:val="00132036"/>
    <w:rsid w:val="0013325B"/>
    <w:rsid w:val="0013520B"/>
    <w:rsid w:val="00136DE4"/>
    <w:rsid w:val="00141672"/>
    <w:rsid w:val="00141937"/>
    <w:rsid w:val="001479C8"/>
    <w:rsid w:val="0015187E"/>
    <w:rsid w:val="00151BCA"/>
    <w:rsid w:val="00152394"/>
    <w:rsid w:val="00154EEE"/>
    <w:rsid w:val="00155FBD"/>
    <w:rsid w:val="00156BAC"/>
    <w:rsid w:val="00157795"/>
    <w:rsid w:val="00157FE0"/>
    <w:rsid w:val="00161B15"/>
    <w:rsid w:val="0016286D"/>
    <w:rsid w:val="00162A8D"/>
    <w:rsid w:val="001637FF"/>
    <w:rsid w:val="00172241"/>
    <w:rsid w:val="001735AC"/>
    <w:rsid w:val="00174490"/>
    <w:rsid w:val="001817A0"/>
    <w:rsid w:val="001827B7"/>
    <w:rsid w:val="0018411B"/>
    <w:rsid w:val="00184E09"/>
    <w:rsid w:val="001855CE"/>
    <w:rsid w:val="00187265"/>
    <w:rsid w:val="00190FBB"/>
    <w:rsid w:val="00191DEE"/>
    <w:rsid w:val="00196144"/>
    <w:rsid w:val="001A112F"/>
    <w:rsid w:val="001A369D"/>
    <w:rsid w:val="001A3EEE"/>
    <w:rsid w:val="001A49A2"/>
    <w:rsid w:val="001A634B"/>
    <w:rsid w:val="001A6A86"/>
    <w:rsid w:val="001B05EA"/>
    <w:rsid w:val="001B42BD"/>
    <w:rsid w:val="001B5073"/>
    <w:rsid w:val="001B50B0"/>
    <w:rsid w:val="001B556A"/>
    <w:rsid w:val="001C269F"/>
    <w:rsid w:val="001C2FFF"/>
    <w:rsid w:val="001C5C04"/>
    <w:rsid w:val="001C5D31"/>
    <w:rsid w:val="001D07C7"/>
    <w:rsid w:val="001D0AE3"/>
    <w:rsid w:val="001D1494"/>
    <w:rsid w:val="001D17F2"/>
    <w:rsid w:val="001D2142"/>
    <w:rsid w:val="001D33FD"/>
    <w:rsid w:val="001D3562"/>
    <w:rsid w:val="001D45FB"/>
    <w:rsid w:val="001D5563"/>
    <w:rsid w:val="001D5DFB"/>
    <w:rsid w:val="001D790D"/>
    <w:rsid w:val="001D796A"/>
    <w:rsid w:val="001E09C7"/>
    <w:rsid w:val="001E3A70"/>
    <w:rsid w:val="001E52D9"/>
    <w:rsid w:val="001E7DE4"/>
    <w:rsid w:val="001F15AF"/>
    <w:rsid w:val="001F3324"/>
    <w:rsid w:val="001F5BD9"/>
    <w:rsid w:val="001F7275"/>
    <w:rsid w:val="002043F5"/>
    <w:rsid w:val="0020496D"/>
    <w:rsid w:val="00204DA3"/>
    <w:rsid w:val="002064BE"/>
    <w:rsid w:val="00206A25"/>
    <w:rsid w:val="00207DD6"/>
    <w:rsid w:val="00210071"/>
    <w:rsid w:val="00210CF1"/>
    <w:rsid w:val="0021185F"/>
    <w:rsid w:val="002134C7"/>
    <w:rsid w:val="002134D0"/>
    <w:rsid w:val="00215447"/>
    <w:rsid w:val="00216947"/>
    <w:rsid w:val="00220197"/>
    <w:rsid w:val="00220623"/>
    <w:rsid w:val="0022192C"/>
    <w:rsid w:val="0022297B"/>
    <w:rsid w:val="0022624E"/>
    <w:rsid w:val="002268F4"/>
    <w:rsid w:val="00226FE1"/>
    <w:rsid w:val="00227969"/>
    <w:rsid w:val="0023034F"/>
    <w:rsid w:val="00231702"/>
    <w:rsid w:val="00232701"/>
    <w:rsid w:val="00233277"/>
    <w:rsid w:val="00233B48"/>
    <w:rsid w:val="002344F2"/>
    <w:rsid w:val="00237EE4"/>
    <w:rsid w:val="00241BC5"/>
    <w:rsid w:val="0024371E"/>
    <w:rsid w:val="00243868"/>
    <w:rsid w:val="00245649"/>
    <w:rsid w:val="0025102E"/>
    <w:rsid w:val="00253B35"/>
    <w:rsid w:val="00255179"/>
    <w:rsid w:val="0025668C"/>
    <w:rsid w:val="00257B4A"/>
    <w:rsid w:val="002600D3"/>
    <w:rsid w:val="002607C2"/>
    <w:rsid w:val="00260839"/>
    <w:rsid w:val="00260AA4"/>
    <w:rsid w:val="00263065"/>
    <w:rsid w:val="00264DBA"/>
    <w:rsid w:val="00265CC2"/>
    <w:rsid w:val="0027079D"/>
    <w:rsid w:val="002712F9"/>
    <w:rsid w:val="0027320B"/>
    <w:rsid w:val="00273EA0"/>
    <w:rsid w:val="00276F85"/>
    <w:rsid w:val="00277E7C"/>
    <w:rsid w:val="00281CD2"/>
    <w:rsid w:val="00286293"/>
    <w:rsid w:val="0028724B"/>
    <w:rsid w:val="00290251"/>
    <w:rsid w:val="00291442"/>
    <w:rsid w:val="00294036"/>
    <w:rsid w:val="00295003"/>
    <w:rsid w:val="002950CD"/>
    <w:rsid w:val="00295D58"/>
    <w:rsid w:val="00297097"/>
    <w:rsid w:val="002979DE"/>
    <w:rsid w:val="00297F2E"/>
    <w:rsid w:val="002A02AE"/>
    <w:rsid w:val="002A0A72"/>
    <w:rsid w:val="002A4EDE"/>
    <w:rsid w:val="002A5512"/>
    <w:rsid w:val="002A5B5F"/>
    <w:rsid w:val="002A5C9E"/>
    <w:rsid w:val="002A73DF"/>
    <w:rsid w:val="002B1B45"/>
    <w:rsid w:val="002B6E52"/>
    <w:rsid w:val="002B766E"/>
    <w:rsid w:val="002C1D66"/>
    <w:rsid w:val="002C23D0"/>
    <w:rsid w:val="002C347B"/>
    <w:rsid w:val="002C5069"/>
    <w:rsid w:val="002C507D"/>
    <w:rsid w:val="002C5CAF"/>
    <w:rsid w:val="002C5DB9"/>
    <w:rsid w:val="002C61D2"/>
    <w:rsid w:val="002C66FB"/>
    <w:rsid w:val="002D20CA"/>
    <w:rsid w:val="002D384A"/>
    <w:rsid w:val="002D40F2"/>
    <w:rsid w:val="002D5245"/>
    <w:rsid w:val="002D7B32"/>
    <w:rsid w:val="002E50A3"/>
    <w:rsid w:val="002E5D82"/>
    <w:rsid w:val="002E747C"/>
    <w:rsid w:val="002F09DD"/>
    <w:rsid w:val="002F0FF4"/>
    <w:rsid w:val="002F17A3"/>
    <w:rsid w:val="002F2F8E"/>
    <w:rsid w:val="002F35F7"/>
    <w:rsid w:val="002F3662"/>
    <w:rsid w:val="002F3DB9"/>
    <w:rsid w:val="002F5DC5"/>
    <w:rsid w:val="00303019"/>
    <w:rsid w:val="003049E7"/>
    <w:rsid w:val="00304CF4"/>
    <w:rsid w:val="00305738"/>
    <w:rsid w:val="0031399C"/>
    <w:rsid w:val="003139AC"/>
    <w:rsid w:val="00314A7D"/>
    <w:rsid w:val="00315F04"/>
    <w:rsid w:val="003206A5"/>
    <w:rsid w:val="00321259"/>
    <w:rsid w:val="00322A58"/>
    <w:rsid w:val="00324433"/>
    <w:rsid w:val="00324BC5"/>
    <w:rsid w:val="00326626"/>
    <w:rsid w:val="003276E7"/>
    <w:rsid w:val="00327E75"/>
    <w:rsid w:val="00330162"/>
    <w:rsid w:val="003302FA"/>
    <w:rsid w:val="0033097B"/>
    <w:rsid w:val="00330F51"/>
    <w:rsid w:val="00331E17"/>
    <w:rsid w:val="00332569"/>
    <w:rsid w:val="00332C37"/>
    <w:rsid w:val="00332E09"/>
    <w:rsid w:val="00333713"/>
    <w:rsid w:val="00337BF0"/>
    <w:rsid w:val="00341CED"/>
    <w:rsid w:val="003446E1"/>
    <w:rsid w:val="00345B7F"/>
    <w:rsid w:val="003460A8"/>
    <w:rsid w:val="00350F7A"/>
    <w:rsid w:val="00351E1B"/>
    <w:rsid w:val="003529B4"/>
    <w:rsid w:val="0035419C"/>
    <w:rsid w:val="0035492E"/>
    <w:rsid w:val="0035697A"/>
    <w:rsid w:val="00360365"/>
    <w:rsid w:val="00361377"/>
    <w:rsid w:val="00361982"/>
    <w:rsid w:val="003627BD"/>
    <w:rsid w:val="0036376B"/>
    <w:rsid w:val="00365550"/>
    <w:rsid w:val="0037177F"/>
    <w:rsid w:val="003727AE"/>
    <w:rsid w:val="003730A2"/>
    <w:rsid w:val="00373955"/>
    <w:rsid w:val="003747F7"/>
    <w:rsid w:val="00374C96"/>
    <w:rsid w:val="00375AD4"/>
    <w:rsid w:val="003766CE"/>
    <w:rsid w:val="003811B7"/>
    <w:rsid w:val="003838B0"/>
    <w:rsid w:val="0038637C"/>
    <w:rsid w:val="00387D77"/>
    <w:rsid w:val="00387E16"/>
    <w:rsid w:val="00391468"/>
    <w:rsid w:val="003914DB"/>
    <w:rsid w:val="003924AD"/>
    <w:rsid w:val="00396960"/>
    <w:rsid w:val="00397048"/>
    <w:rsid w:val="003A32A4"/>
    <w:rsid w:val="003A341A"/>
    <w:rsid w:val="003A3805"/>
    <w:rsid w:val="003A3F6D"/>
    <w:rsid w:val="003A4288"/>
    <w:rsid w:val="003A60D5"/>
    <w:rsid w:val="003A61FE"/>
    <w:rsid w:val="003B109C"/>
    <w:rsid w:val="003B1F01"/>
    <w:rsid w:val="003B2DDA"/>
    <w:rsid w:val="003B35CF"/>
    <w:rsid w:val="003B4EB9"/>
    <w:rsid w:val="003B6BE8"/>
    <w:rsid w:val="003C28E2"/>
    <w:rsid w:val="003C2F4F"/>
    <w:rsid w:val="003C3262"/>
    <w:rsid w:val="003C4A9B"/>
    <w:rsid w:val="003D35C7"/>
    <w:rsid w:val="003D7AC3"/>
    <w:rsid w:val="003E104E"/>
    <w:rsid w:val="003E2900"/>
    <w:rsid w:val="003E4326"/>
    <w:rsid w:val="003E4B67"/>
    <w:rsid w:val="003E4CD3"/>
    <w:rsid w:val="003E4F3E"/>
    <w:rsid w:val="003E58C7"/>
    <w:rsid w:val="003E7279"/>
    <w:rsid w:val="003F07C3"/>
    <w:rsid w:val="003F3E08"/>
    <w:rsid w:val="00405C01"/>
    <w:rsid w:val="00406ECE"/>
    <w:rsid w:val="004073D6"/>
    <w:rsid w:val="00413BC9"/>
    <w:rsid w:val="0041440E"/>
    <w:rsid w:val="00415117"/>
    <w:rsid w:val="004262D1"/>
    <w:rsid w:val="00426D01"/>
    <w:rsid w:val="00430CA5"/>
    <w:rsid w:val="004322C3"/>
    <w:rsid w:val="00432646"/>
    <w:rsid w:val="004336B8"/>
    <w:rsid w:val="00433F9B"/>
    <w:rsid w:val="00435F14"/>
    <w:rsid w:val="00436328"/>
    <w:rsid w:val="004373BF"/>
    <w:rsid w:val="0044066F"/>
    <w:rsid w:val="00440F1D"/>
    <w:rsid w:val="00444A5D"/>
    <w:rsid w:val="00447463"/>
    <w:rsid w:val="00447D2F"/>
    <w:rsid w:val="00447F99"/>
    <w:rsid w:val="00451EF6"/>
    <w:rsid w:val="00453985"/>
    <w:rsid w:val="00453A92"/>
    <w:rsid w:val="0045447A"/>
    <w:rsid w:val="00454604"/>
    <w:rsid w:val="00454EFA"/>
    <w:rsid w:val="00456AB3"/>
    <w:rsid w:val="00460825"/>
    <w:rsid w:val="00461FB7"/>
    <w:rsid w:val="00465343"/>
    <w:rsid w:val="00465753"/>
    <w:rsid w:val="0046592B"/>
    <w:rsid w:val="00467983"/>
    <w:rsid w:val="00467A6C"/>
    <w:rsid w:val="0047077B"/>
    <w:rsid w:val="004711AA"/>
    <w:rsid w:val="00473237"/>
    <w:rsid w:val="00477795"/>
    <w:rsid w:val="00481F69"/>
    <w:rsid w:val="0048348D"/>
    <w:rsid w:val="00486247"/>
    <w:rsid w:val="00486254"/>
    <w:rsid w:val="00487D25"/>
    <w:rsid w:val="00490643"/>
    <w:rsid w:val="00493836"/>
    <w:rsid w:val="00493D85"/>
    <w:rsid w:val="00494B84"/>
    <w:rsid w:val="00494CA9"/>
    <w:rsid w:val="00494DE2"/>
    <w:rsid w:val="004967BC"/>
    <w:rsid w:val="00496E23"/>
    <w:rsid w:val="004A2D7F"/>
    <w:rsid w:val="004A3D2A"/>
    <w:rsid w:val="004A4C32"/>
    <w:rsid w:val="004A4F3D"/>
    <w:rsid w:val="004A7557"/>
    <w:rsid w:val="004A7A3E"/>
    <w:rsid w:val="004B37A3"/>
    <w:rsid w:val="004B558B"/>
    <w:rsid w:val="004B76E6"/>
    <w:rsid w:val="004C0112"/>
    <w:rsid w:val="004C15CC"/>
    <w:rsid w:val="004C1F25"/>
    <w:rsid w:val="004C320E"/>
    <w:rsid w:val="004C3A68"/>
    <w:rsid w:val="004C4DE1"/>
    <w:rsid w:val="004C63E8"/>
    <w:rsid w:val="004C749A"/>
    <w:rsid w:val="004C7936"/>
    <w:rsid w:val="004D0569"/>
    <w:rsid w:val="004D2544"/>
    <w:rsid w:val="004D3885"/>
    <w:rsid w:val="004D4735"/>
    <w:rsid w:val="004D4D01"/>
    <w:rsid w:val="004D5829"/>
    <w:rsid w:val="004D5BED"/>
    <w:rsid w:val="004D5D06"/>
    <w:rsid w:val="004D6A77"/>
    <w:rsid w:val="004E13E3"/>
    <w:rsid w:val="004E1508"/>
    <w:rsid w:val="004E1B86"/>
    <w:rsid w:val="004E3C95"/>
    <w:rsid w:val="004E41FD"/>
    <w:rsid w:val="004E4382"/>
    <w:rsid w:val="004E47D8"/>
    <w:rsid w:val="004E6357"/>
    <w:rsid w:val="004E7A41"/>
    <w:rsid w:val="004F1EC0"/>
    <w:rsid w:val="004F7100"/>
    <w:rsid w:val="0050333A"/>
    <w:rsid w:val="00510421"/>
    <w:rsid w:val="00510CC8"/>
    <w:rsid w:val="00512347"/>
    <w:rsid w:val="00513069"/>
    <w:rsid w:val="00513375"/>
    <w:rsid w:val="005143ED"/>
    <w:rsid w:val="00516184"/>
    <w:rsid w:val="0051755B"/>
    <w:rsid w:val="005179BC"/>
    <w:rsid w:val="00521C7E"/>
    <w:rsid w:val="00521DB6"/>
    <w:rsid w:val="00521FFB"/>
    <w:rsid w:val="00524408"/>
    <w:rsid w:val="00524BEA"/>
    <w:rsid w:val="0052510B"/>
    <w:rsid w:val="005251A1"/>
    <w:rsid w:val="005263F2"/>
    <w:rsid w:val="00526957"/>
    <w:rsid w:val="00526E1C"/>
    <w:rsid w:val="0052775C"/>
    <w:rsid w:val="00530F66"/>
    <w:rsid w:val="0053373C"/>
    <w:rsid w:val="005344EA"/>
    <w:rsid w:val="00534FA2"/>
    <w:rsid w:val="00535D6E"/>
    <w:rsid w:val="00537367"/>
    <w:rsid w:val="005376FF"/>
    <w:rsid w:val="00540699"/>
    <w:rsid w:val="0054127B"/>
    <w:rsid w:val="00541D4C"/>
    <w:rsid w:val="005426AB"/>
    <w:rsid w:val="00543F1B"/>
    <w:rsid w:val="00544C93"/>
    <w:rsid w:val="00545F77"/>
    <w:rsid w:val="00546C24"/>
    <w:rsid w:val="00550693"/>
    <w:rsid w:val="005513BB"/>
    <w:rsid w:val="005515D1"/>
    <w:rsid w:val="005561CC"/>
    <w:rsid w:val="0055643F"/>
    <w:rsid w:val="00556FD8"/>
    <w:rsid w:val="00557E74"/>
    <w:rsid w:val="005604A0"/>
    <w:rsid w:val="005617D6"/>
    <w:rsid w:val="005618E9"/>
    <w:rsid w:val="005665A0"/>
    <w:rsid w:val="0056727C"/>
    <w:rsid w:val="00567B09"/>
    <w:rsid w:val="00571136"/>
    <w:rsid w:val="00571237"/>
    <w:rsid w:val="00571D01"/>
    <w:rsid w:val="00572574"/>
    <w:rsid w:val="00575B2E"/>
    <w:rsid w:val="00577A32"/>
    <w:rsid w:val="00585075"/>
    <w:rsid w:val="00592BE0"/>
    <w:rsid w:val="005952D5"/>
    <w:rsid w:val="00596083"/>
    <w:rsid w:val="005A09B8"/>
    <w:rsid w:val="005A106F"/>
    <w:rsid w:val="005B33B9"/>
    <w:rsid w:val="005B38EA"/>
    <w:rsid w:val="005B42F9"/>
    <w:rsid w:val="005B563C"/>
    <w:rsid w:val="005B60A3"/>
    <w:rsid w:val="005B6CD1"/>
    <w:rsid w:val="005C0E0B"/>
    <w:rsid w:val="005C0FAC"/>
    <w:rsid w:val="005C14A8"/>
    <w:rsid w:val="005C27D3"/>
    <w:rsid w:val="005C2EF1"/>
    <w:rsid w:val="005C7819"/>
    <w:rsid w:val="005C78B2"/>
    <w:rsid w:val="005D3C07"/>
    <w:rsid w:val="005D3EF5"/>
    <w:rsid w:val="005D60E3"/>
    <w:rsid w:val="005D7B0C"/>
    <w:rsid w:val="005E1B46"/>
    <w:rsid w:val="005E2D2E"/>
    <w:rsid w:val="005E3B85"/>
    <w:rsid w:val="005E4D30"/>
    <w:rsid w:val="005E4E08"/>
    <w:rsid w:val="005E605E"/>
    <w:rsid w:val="005E6334"/>
    <w:rsid w:val="005E69C9"/>
    <w:rsid w:val="005E6F5C"/>
    <w:rsid w:val="005E7128"/>
    <w:rsid w:val="005E7195"/>
    <w:rsid w:val="005F0051"/>
    <w:rsid w:val="005F42A0"/>
    <w:rsid w:val="00601D94"/>
    <w:rsid w:val="00603D3C"/>
    <w:rsid w:val="00605891"/>
    <w:rsid w:val="0061023B"/>
    <w:rsid w:val="00612FB6"/>
    <w:rsid w:val="00613565"/>
    <w:rsid w:val="00614F5D"/>
    <w:rsid w:val="00615395"/>
    <w:rsid w:val="00621695"/>
    <w:rsid w:val="00622082"/>
    <w:rsid w:val="00623C08"/>
    <w:rsid w:val="00624B2A"/>
    <w:rsid w:val="00625A1B"/>
    <w:rsid w:val="00625B48"/>
    <w:rsid w:val="006268C3"/>
    <w:rsid w:val="00631D36"/>
    <w:rsid w:val="00631E0E"/>
    <w:rsid w:val="006324BE"/>
    <w:rsid w:val="0063661F"/>
    <w:rsid w:val="00636940"/>
    <w:rsid w:val="00636BF9"/>
    <w:rsid w:val="00637326"/>
    <w:rsid w:val="00637C02"/>
    <w:rsid w:val="006414A4"/>
    <w:rsid w:val="0064180B"/>
    <w:rsid w:val="00641F0A"/>
    <w:rsid w:val="006420CC"/>
    <w:rsid w:val="0064450E"/>
    <w:rsid w:val="00644F03"/>
    <w:rsid w:val="00645B95"/>
    <w:rsid w:val="0064797B"/>
    <w:rsid w:val="00650435"/>
    <w:rsid w:val="00650495"/>
    <w:rsid w:val="006505D0"/>
    <w:rsid w:val="006513E7"/>
    <w:rsid w:val="00651A4A"/>
    <w:rsid w:val="00651F60"/>
    <w:rsid w:val="006525C4"/>
    <w:rsid w:val="0065397F"/>
    <w:rsid w:val="00656786"/>
    <w:rsid w:val="00656CC0"/>
    <w:rsid w:val="006570C5"/>
    <w:rsid w:val="0066035E"/>
    <w:rsid w:val="00660480"/>
    <w:rsid w:val="00660E65"/>
    <w:rsid w:val="006613A3"/>
    <w:rsid w:val="006635A5"/>
    <w:rsid w:val="006637CD"/>
    <w:rsid w:val="00672505"/>
    <w:rsid w:val="0067303E"/>
    <w:rsid w:val="006735E7"/>
    <w:rsid w:val="006738A8"/>
    <w:rsid w:val="00674DB7"/>
    <w:rsid w:val="00675071"/>
    <w:rsid w:val="006750CB"/>
    <w:rsid w:val="006761B0"/>
    <w:rsid w:val="00677A89"/>
    <w:rsid w:val="00681357"/>
    <w:rsid w:val="00682621"/>
    <w:rsid w:val="00686577"/>
    <w:rsid w:val="0069249C"/>
    <w:rsid w:val="00693009"/>
    <w:rsid w:val="006A14CE"/>
    <w:rsid w:val="006A1F3C"/>
    <w:rsid w:val="006A2236"/>
    <w:rsid w:val="006A2D82"/>
    <w:rsid w:val="006A35E3"/>
    <w:rsid w:val="006A3863"/>
    <w:rsid w:val="006A4324"/>
    <w:rsid w:val="006A445E"/>
    <w:rsid w:val="006A6965"/>
    <w:rsid w:val="006A6B2E"/>
    <w:rsid w:val="006B17B8"/>
    <w:rsid w:val="006B1F88"/>
    <w:rsid w:val="006B2373"/>
    <w:rsid w:val="006B3A3E"/>
    <w:rsid w:val="006B6D4D"/>
    <w:rsid w:val="006C0C2B"/>
    <w:rsid w:val="006C1355"/>
    <w:rsid w:val="006C2209"/>
    <w:rsid w:val="006C2312"/>
    <w:rsid w:val="006C3439"/>
    <w:rsid w:val="006C34CF"/>
    <w:rsid w:val="006C3762"/>
    <w:rsid w:val="006D1CDD"/>
    <w:rsid w:val="006D5D65"/>
    <w:rsid w:val="006E03D2"/>
    <w:rsid w:val="006E1EA4"/>
    <w:rsid w:val="006E23DB"/>
    <w:rsid w:val="006E559C"/>
    <w:rsid w:val="006E59A3"/>
    <w:rsid w:val="006E5CCB"/>
    <w:rsid w:val="006F4FB9"/>
    <w:rsid w:val="006F58C5"/>
    <w:rsid w:val="006F6C3C"/>
    <w:rsid w:val="006F714D"/>
    <w:rsid w:val="006F76CF"/>
    <w:rsid w:val="00701431"/>
    <w:rsid w:val="0070619D"/>
    <w:rsid w:val="007077C7"/>
    <w:rsid w:val="0071064C"/>
    <w:rsid w:val="00710C34"/>
    <w:rsid w:val="0071126A"/>
    <w:rsid w:val="00711560"/>
    <w:rsid w:val="007116ED"/>
    <w:rsid w:val="007128E4"/>
    <w:rsid w:val="00712E2B"/>
    <w:rsid w:val="0071635C"/>
    <w:rsid w:val="00720180"/>
    <w:rsid w:val="0072145D"/>
    <w:rsid w:val="00721C53"/>
    <w:rsid w:val="007230AC"/>
    <w:rsid w:val="007241A8"/>
    <w:rsid w:val="007279A8"/>
    <w:rsid w:val="00730558"/>
    <w:rsid w:val="00730C8E"/>
    <w:rsid w:val="007343A2"/>
    <w:rsid w:val="0073521A"/>
    <w:rsid w:val="00736086"/>
    <w:rsid w:val="00736F56"/>
    <w:rsid w:val="00737A13"/>
    <w:rsid w:val="00737EAD"/>
    <w:rsid w:val="00741715"/>
    <w:rsid w:val="007428EA"/>
    <w:rsid w:val="0074345B"/>
    <w:rsid w:val="007527AA"/>
    <w:rsid w:val="00757D89"/>
    <w:rsid w:val="00760261"/>
    <w:rsid w:val="00760DCA"/>
    <w:rsid w:val="00773C2C"/>
    <w:rsid w:val="00774076"/>
    <w:rsid w:val="007760BD"/>
    <w:rsid w:val="00776A98"/>
    <w:rsid w:val="00780121"/>
    <w:rsid w:val="007824C2"/>
    <w:rsid w:val="007846B1"/>
    <w:rsid w:val="00784916"/>
    <w:rsid w:val="00784B22"/>
    <w:rsid w:val="00784E17"/>
    <w:rsid w:val="007936C4"/>
    <w:rsid w:val="00796168"/>
    <w:rsid w:val="00796AEF"/>
    <w:rsid w:val="00797E97"/>
    <w:rsid w:val="007A09E0"/>
    <w:rsid w:val="007A1DD7"/>
    <w:rsid w:val="007A2159"/>
    <w:rsid w:val="007A7AEC"/>
    <w:rsid w:val="007B04DA"/>
    <w:rsid w:val="007B24D3"/>
    <w:rsid w:val="007B627E"/>
    <w:rsid w:val="007B7081"/>
    <w:rsid w:val="007B7937"/>
    <w:rsid w:val="007C1BC9"/>
    <w:rsid w:val="007C2B1B"/>
    <w:rsid w:val="007C4133"/>
    <w:rsid w:val="007C46B2"/>
    <w:rsid w:val="007C722F"/>
    <w:rsid w:val="007D4AA4"/>
    <w:rsid w:val="007D69F1"/>
    <w:rsid w:val="007E0815"/>
    <w:rsid w:val="007E0DDC"/>
    <w:rsid w:val="007E174B"/>
    <w:rsid w:val="007E1CA9"/>
    <w:rsid w:val="007E3D03"/>
    <w:rsid w:val="007E3D05"/>
    <w:rsid w:val="007E4A10"/>
    <w:rsid w:val="007E4CBF"/>
    <w:rsid w:val="007E4DD1"/>
    <w:rsid w:val="007E62A9"/>
    <w:rsid w:val="007E6751"/>
    <w:rsid w:val="007E725E"/>
    <w:rsid w:val="007F36C9"/>
    <w:rsid w:val="007F61A7"/>
    <w:rsid w:val="007F7BFC"/>
    <w:rsid w:val="007F7F54"/>
    <w:rsid w:val="00800DE9"/>
    <w:rsid w:val="00800E5C"/>
    <w:rsid w:val="00806DB7"/>
    <w:rsid w:val="00806E23"/>
    <w:rsid w:val="00806FBB"/>
    <w:rsid w:val="00807B55"/>
    <w:rsid w:val="008102DE"/>
    <w:rsid w:val="00810405"/>
    <w:rsid w:val="0081085F"/>
    <w:rsid w:val="00811A65"/>
    <w:rsid w:val="00815B1B"/>
    <w:rsid w:val="00816FC9"/>
    <w:rsid w:val="0082085A"/>
    <w:rsid w:val="00821D25"/>
    <w:rsid w:val="00822275"/>
    <w:rsid w:val="00822CCF"/>
    <w:rsid w:val="00822F82"/>
    <w:rsid w:val="00824566"/>
    <w:rsid w:val="00825875"/>
    <w:rsid w:val="00825C65"/>
    <w:rsid w:val="008315C4"/>
    <w:rsid w:val="008326B7"/>
    <w:rsid w:val="00835CF8"/>
    <w:rsid w:val="00837472"/>
    <w:rsid w:val="00840173"/>
    <w:rsid w:val="0085099D"/>
    <w:rsid w:val="00855399"/>
    <w:rsid w:val="00855861"/>
    <w:rsid w:val="008558F1"/>
    <w:rsid w:val="00855D49"/>
    <w:rsid w:val="0085675F"/>
    <w:rsid w:val="00860DFF"/>
    <w:rsid w:val="00862F78"/>
    <w:rsid w:val="00866ACD"/>
    <w:rsid w:val="008676C2"/>
    <w:rsid w:val="00873B0E"/>
    <w:rsid w:val="008814E7"/>
    <w:rsid w:val="00884549"/>
    <w:rsid w:val="00885923"/>
    <w:rsid w:val="0088668F"/>
    <w:rsid w:val="008920E3"/>
    <w:rsid w:val="008A1F20"/>
    <w:rsid w:val="008A4C2B"/>
    <w:rsid w:val="008A645A"/>
    <w:rsid w:val="008A7406"/>
    <w:rsid w:val="008A7C44"/>
    <w:rsid w:val="008A7F58"/>
    <w:rsid w:val="008B3ADE"/>
    <w:rsid w:val="008B3B59"/>
    <w:rsid w:val="008B3D56"/>
    <w:rsid w:val="008B415F"/>
    <w:rsid w:val="008B5AC7"/>
    <w:rsid w:val="008B61D9"/>
    <w:rsid w:val="008B6D7A"/>
    <w:rsid w:val="008C0E70"/>
    <w:rsid w:val="008C1697"/>
    <w:rsid w:val="008C4856"/>
    <w:rsid w:val="008C48B8"/>
    <w:rsid w:val="008C7F09"/>
    <w:rsid w:val="008D0F72"/>
    <w:rsid w:val="008D3CDD"/>
    <w:rsid w:val="008D7F47"/>
    <w:rsid w:val="008E465D"/>
    <w:rsid w:val="008E713C"/>
    <w:rsid w:val="008F361F"/>
    <w:rsid w:val="008F4030"/>
    <w:rsid w:val="008F49B2"/>
    <w:rsid w:val="008F65B7"/>
    <w:rsid w:val="008F67CD"/>
    <w:rsid w:val="008F71F2"/>
    <w:rsid w:val="00901C28"/>
    <w:rsid w:val="009026B1"/>
    <w:rsid w:val="00904989"/>
    <w:rsid w:val="00904D34"/>
    <w:rsid w:val="00906AA2"/>
    <w:rsid w:val="00910293"/>
    <w:rsid w:val="00913BF6"/>
    <w:rsid w:val="0092009D"/>
    <w:rsid w:val="009214F5"/>
    <w:rsid w:val="00921FB3"/>
    <w:rsid w:val="009303CD"/>
    <w:rsid w:val="00932734"/>
    <w:rsid w:val="009360CC"/>
    <w:rsid w:val="00936992"/>
    <w:rsid w:val="00936CB0"/>
    <w:rsid w:val="00940E5F"/>
    <w:rsid w:val="00941C3B"/>
    <w:rsid w:val="00943A16"/>
    <w:rsid w:val="00943A43"/>
    <w:rsid w:val="0094612E"/>
    <w:rsid w:val="00951A22"/>
    <w:rsid w:val="00953024"/>
    <w:rsid w:val="00960C7D"/>
    <w:rsid w:val="0096147A"/>
    <w:rsid w:val="0097047E"/>
    <w:rsid w:val="009705A3"/>
    <w:rsid w:val="009715A8"/>
    <w:rsid w:val="00971EAD"/>
    <w:rsid w:val="009732D5"/>
    <w:rsid w:val="00975E51"/>
    <w:rsid w:val="00977C26"/>
    <w:rsid w:val="0098148C"/>
    <w:rsid w:val="0098190C"/>
    <w:rsid w:val="00983AD3"/>
    <w:rsid w:val="00983FCC"/>
    <w:rsid w:val="00984DF3"/>
    <w:rsid w:val="009902C8"/>
    <w:rsid w:val="0099162A"/>
    <w:rsid w:val="00991F81"/>
    <w:rsid w:val="00992982"/>
    <w:rsid w:val="009937BD"/>
    <w:rsid w:val="00994705"/>
    <w:rsid w:val="009A00BC"/>
    <w:rsid w:val="009A1E1E"/>
    <w:rsid w:val="009A3149"/>
    <w:rsid w:val="009A524D"/>
    <w:rsid w:val="009A6E48"/>
    <w:rsid w:val="009A7BE9"/>
    <w:rsid w:val="009B0A3A"/>
    <w:rsid w:val="009B1012"/>
    <w:rsid w:val="009B5659"/>
    <w:rsid w:val="009B57E0"/>
    <w:rsid w:val="009B6417"/>
    <w:rsid w:val="009B6E5F"/>
    <w:rsid w:val="009C023F"/>
    <w:rsid w:val="009C130B"/>
    <w:rsid w:val="009C211E"/>
    <w:rsid w:val="009C5E3D"/>
    <w:rsid w:val="009C7B00"/>
    <w:rsid w:val="009D04CF"/>
    <w:rsid w:val="009D2853"/>
    <w:rsid w:val="009D5FC6"/>
    <w:rsid w:val="009E0DD4"/>
    <w:rsid w:val="009E1323"/>
    <w:rsid w:val="009E3B30"/>
    <w:rsid w:val="009E42DB"/>
    <w:rsid w:val="009E44FB"/>
    <w:rsid w:val="009E534B"/>
    <w:rsid w:val="009E599C"/>
    <w:rsid w:val="009E7608"/>
    <w:rsid w:val="009E7BC4"/>
    <w:rsid w:val="009E7CE3"/>
    <w:rsid w:val="009F1B7C"/>
    <w:rsid w:val="009F1D7F"/>
    <w:rsid w:val="009F3413"/>
    <w:rsid w:val="009F711C"/>
    <w:rsid w:val="00A05852"/>
    <w:rsid w:val="00A111F1"/>
    <w:rsid w:val="00A11ABB"/>
    <w:rsid w:val="00A13091"/>
    <w:rsid w:val="00A148BB"/>
    <w:rsid w:val="00A15A07"/>
    <w:rsid w:val="00A16997"/>
    <w:rsid w:val="00A20C2F"/>
    <w:rsid w:val="00A27135"/>
    <w:rsid w:val="00A43012"/>
    <w:rsid w:val="00A43BF0"/>
    <w:rsid w:val="00A467F5"/>
    <w:rsid w:val="00A470E5"/>
    <w:rsid w:val="00A54FF1"/>
    <w:rsid w:val="00A57152"/>
    <w:rsid w:val="00A625DF"/>
    <w:rsid w:val="00A63B69"/>
    <w:rsid w:val="00A64134"/>
    <w:rsid w:val="00A672E5"/>
    <w:rsid w:val="00A70927"/>
    <w:rsid w:val="00A71C76"/>
    <w:rsid w:val="00A72CA8"/>
    <w:rsid w:val="00A72EF8"/>
    <w:rsid w:val="00A76338"/>
    <w:rsid w:val="00A77021"/>
    <w:rsid w:val="00A770FE"/>
    <w:rsid w:val="00A77FC7"/>
    <w:rsid w:val="00A817A7"/>
    <w:rsid w:val="00A82105"/>
    <w:rsid w:val="00A82AF6"/>
    <w:rsid w:val="00A86B34"/>
    <w:rsid w:val="00A906C8"/>
    <w:rsid w:val="00A910E8"/>
    <w:rsid w:val="00A92070"/>
    <w:rsid w:val="00A928ED"/>
    <w:rsid w:val="00A92DCA"/>
    <w:rsid w:val="00A958E4"/>
    <w:rsid w:val="00A964E1"/>
    <w:rsid w:val="00A96BF2"/>
    <w:rsid w:val="00A96E19"/>
    <w:rsid w:val="00AA01DE"/>
    <w:rsid w:val="00AA0363"/>
    <w:rsid w:val="00AA176F"/>
    <w:rsid w:val="00AA252A"/>
    <w:rsid w:val="00AA4628"/>
    <w:rsid w:val="00AA6A92"/>
    <w:rsid w:val="00AB3319"/>
    <w:rsid w:val="00AB3C00"/>
    <w:rsid w:val="00AB446D"/>
    <w:rsid w:val="00AB4488"/>
    <w:rsid w:val="00AB561C"/>
    <w:rsid w:val="00AB7B3C"/>
    <w:rsid w:val="00AC009E"/>
    <w:rsid w:val="00AC45D3"/>
    <w:rsid w:val="00AC5FAE"/>
    <w:rsid w:val="00AC6F9E"/>
    <w:rsid w:val="00AC73F3"/>
    <w:rsid w:val="00AC7B69"/>
    <w:rsid w:val="00AD01DE"/>
    <w:rsid w:val="00AD1280"/>
    <w:rsid w:val="00AD4B5B"/>
    <w:rsid w:val="00AD6160"/>
    <w:rsid w:val="00AD724F"/>
    <w:rsid w:val="00AE055F"/>
    <w:rsid w:val="00AE15E9"/>
    <w:rsid w:val="00AE2680"/>
    <w:rsid w:val="00AE323C"/>
    <w:rsid w:val="00AE3F3D"/>
    <w:rsid w:val="00AE5915"/>
    <w:rsid w:val="00AF01A1"/>
    <w:rsid w:val="00AF0937"/>
    <w:rsid w:val="00AF1619"/>
    <w:rsid w:val="00AF16D3"/>
    <w:rsid w:val="00AF17EE"/>
    <w:rsid w:val="00AF185D"/>
    <w:rsid w:val="00AF2738"/>
    <w:rsid w:val="00AF2DCF"/>
    <w:rsid w:val="00AF5A7F"/>
    <w:rsid w:val="00AF5D2C"/>
    <w:rsid w:val="00AF637E"/>
    <w:rsid w:val="00AF7ACC"/>
    <w:rsid w:val="00B015D5"/>
    <w:rsid w:val="00B02198"/>
    <w:rsid w:val="00B03831"/>
    <w:rsid w:val="00B04545"/>
    <w:rsid w:val="00B0576F"/>
    <w:rsid w:val="00B079B1"/>
    <w:rsid w:val="00B12266"/>
    <w:rsid w:val="00B136DA"/>
    <w:rsid w:val="00B175F8"/>
    <w:rsid w:val="00B17999"/>
    <w:rsid w:val="00B225DD"/>
    <w:rsid w:val="00B246D6"/>
    <w:rsid w:val="00B257E8"/>
    <w:rsid w:val="00B26FA5"/>
    <w:rsid w:val="00B317A0"/>
    <w:rsid w:val="00B35ADE"/>
    <w:rsid w:val="00B35C85"/>
    <w:rsid w:val="00B401FF"/>
    <w:rsid w:val="00B4198B"/>
    <w:rsid w:val="00B42067"/>
    <w:rsid w:val="00B42579"/>
    <w:rsid w:val="00B45946"/>
    <w:rsid w:val="00B515FD"/>
    <w:rsid w:val="00B52033"/>
    <w:rsid w:val="00B52897"/>
    <w:rsid w:val="00B5371D"/>
    <w:rsid w:val="00B54B8B"/>
    <w:rsid w:val="00B56575"/>
    <w:rsid w:val="00B56B2B"/>
    <w:rsid w:val="00B606D6"/>
    <w:rsid w:val="00B616BA"/>
    <w:rsid w:val="00B650B8"/>
    <w:rsid w:val="00B65F24"/>
    <w:rsid w:val="00B7471A"/>
    <w:rsid w:val="00B761DA"/>
    <w:rsid w:val="00B82314"/>
    <w:rsid w:val="00B84504"/>
    <w:rsid w:val="00B84C88"/>
    <w:rsid w:val="00B85986"/>
    <w:rsid w:val="00B85EB6"/>
    <w:rsid w:val="00B86D2A"/>
    <w:rsid w:val="00B91952"/>
    <w:rsid w:val="00B91F2D"/>
    <w:rsid w:val="00B93BE1"/>
    <w:rsid w:val="00B9694C"/>
    <w:rsid w:val="00B96E87"/>
    <w:rsid w:val="00B97731"/>
    <w:rsid w:val="00BA0859"/>
    <w:rsid w:val="00BA0D9F"/>
    <w:rsid w:val="00BA37CE"/>
    <w:rsid w:val="00BA4F36"/>
    <w:rsid w:val="00BA762B"/>
    <w:rsid w:val="00BB0BB4"/>
    <w:rsid w:val="00BB20DE"/>
    <w:rsid w:val="00BB6A3B"/>
    <w:rsid w:val="00BB7647"/>
    <w:rsid w:val="00BC17F3"/>
    <w:rsid w:val="00BC195E"/>
    <w:rsid w:val="00BC5545"/>
    <w:rsid w:val="00BC5C2D"/>
    <w:rsid w:val="00BC6571"/>
    <w:rsid w:val="00BD2CE1"/>
    <w:rsid w:val="00BD4472"/>
    <w:rsid w:val="00BD492B"/>
    <w:rsid w:val="00BD5E13"/>
    <w:rsid w:val="00BD6205"/>
    <w:rsid w:val="00BE234A"/>
    <w:rsid w:val="00BE5952"/>
    <w:rsid w:val="00BE725B"/>
    <w:rsid w:val="00BF05F1"/>
    <w:rsid w:val="00BF07B1"/>
    <w:rsid w:val="00BF27B2"/>
    <w:rsid w:val="00BF2A62"/>
    <w:rsid w:val="00BF33E7"/>
    <w:rsid w:val="00BF6B2F"/>
    <w:rsid w:val="00BF70DE"/>
    <w:rsid w:val="00C00EEB"/>
    <w:rsid w:val="00C019B6"/>
    <w:rsid w:val="00C04358"/>
    <w:rsid w:val="00C04440"/>
    <w:rsid w:val="00C10C09"/>
    <w:rsid w:val="00C11B7F"/>
    <w:rsid w:val="00C1631F"/>
    <w:rsid w:val="00C169B2"/>
    <w:rsid w:val="00C22ACF"/>
    <w:rsid w:val="00C26F99"/>
    <w:rsid w:val="00C305DF"/>
    <w:rsid w:val="00C32016"/>
    <w:rsid w:val="00C3460A"/>
    <w:rsid w:val="00C34D0A"/>
    <w:rsid w:val="00C35432"/>
    <w:rsid w:val="00C355D5"/>
    <w:rsid w:val="00C3641E"/>
    <w:rsid w:val="00C36651"/>
    <w:rsid w:val="00C40321"/>
    <w:rsid w:val="00C422F5"/>
    <w:rsid w:val="00C4262E"/>
    <w:rsid w:val="00C4427B"/>
    <w:rsid w:val="00C45E74"/>
    <w:rsid w:val="00C4646B"/>
    <w:rsid w:val="00C47151"/>
    <w:rsid w:val="00C4755E"/>
    <w:rsid w:val="00C50B97"/>
    <w:rsid w:val="00C51F2F"/>
    <w:rsid w:val="00C56E92"/>
    <w:rsid w:val="00C61324"/>
    <w:rsid w:val="00C61527"/>
    <w:rsid w:val="00C617A7"/>
    <w:rsid w:val="00C61CDB"/>
    <w:rsid w:val="00C62E73"/>
    <w:rsid w:val="00C632F7"/>
    <w:rsid w:val="00C64212"/>
    <w:rsid w:val="00C65BF5"/>
    <w:rsid w:val="00C65F32"/>
    <w:rsid w:val="00C66D0D"/>
    <w:rsid w:val="00C71666"/>
    <w:rsid w:val="00C719E5"/>
    <w:rsid w:val="00C71C23"/>
    <w:rsid w:val="00C743C1"/>
    <w:rsid w:val="00C75692"/>
    <w:rsid w:val="00C75A40"/>
    <w:rsid w:val="00C7779B"/>
    <w:rsid w:val="00C80269"/>
    <w:rsid w:val="00C81400"/>
    <w:rsid w:val="00C841C8"/>
    <w:rsid w:val="00C84668"/>
    <w:rsid w:val="00C870A0"/>
    <w:rsid w:val="00C910A7"/>
    <w:rsid w:val="00C91C3B"/>
    <w:rsid w:val="00C920F9"/>
    <w:rsid w:val="00C941DE"/>
    <w:rsid w:val="00C955F4"/>
    <w:rsid w:val="00CA0640"/>
    <w:rsid w:val="00CA0BAB"/>
    <w:rsid w:val="00CA35A7"/>
    <w:rsid w:val="00CA3D60"/>
    <w:rsid w:val="00CB0FFC"/>
    <w:rsid w:val="00CB16F4"/>
    <w:rsid w:val="00CB19AA"/>
    <w:rsid w:val="00CB4335"/>
    <w:rsid w:val="00CB6F8D"/>
    <w:rsid w:val="00CC140D"/>
    <w:rsid w:val="00CC174E"/>
    <w:rsid w:val="00CC5C49"/>
    <w:rsid w:val="00CC63FE"/>
    <w:rsid w:val="00CC7356"/>
    <w:rsid w:val="00CC746D"/>
    <w:rsid w:val="00CD352C"/>
    <w:rsid w:val="00CD3D8A"/>
    <w:rsid w:val="00CE0FF5"/>
    <w:rsid w:val="00CE2A15"/>
    <w:rsid w:val="00CE4133"/>
    <w:rsid w:val="00CE5CEC"/>
    <w:rsid w:val="00CF211D"/>
    <w:rsid w:val="00CF2AEA"/>
    <w:rsid w:val="00CF2D84"/>
    <w:rsid w:val="00CF3857"/>
    <w:rsid w:val="00CF5DB8"/>
    <w:rsid w:val="00CF78EE"/>
    <w:rsid w:val="00CF7BB6"/>
    <w:rsid w:val="00D00C69"/>
    <w:rsid w:val="00D01665"/>
    <w:rsid w:val="00D02118"/>
    <w:rsid w:val="00D06A87"/>
    <w:rsid w:val="00D06D78"/>
    <w:rsid w:val="00D1038D"/>
    <w:rsid w:val="00D105DE"/>
    <w:rsid w:val="00D10A1E"/>
    <w:rsid w:val="00D10A8D"/>
    <w:rsid w:val="00D11171"/>
    <w:rsid w:val="00D11448"/>
    <w:rsid w:val="00D14E94"/>
    <w:rsid w:val="00D14EFB"/>
    <w:rsid w:val="00D157BE"/>
    <w:rsid w:val="00D15CD7"/>
    <w:rsid w:val="00D2241B"/>
    <w:rsid w:val="00D237B6"/>
    <w:rsid w:val="00D259F9"/>
    <w:rsid w:val="00D3047F"/>
    <w:rsid w:val="00D312D8"/>
    <w:rsid w:val="00D3145C"/>
    <w:rsid w:val="00D36C6C"/>
    <w:rsid w:val="00D41F12"/>
    <w:rsid w:val="00D42FD4"/>
    <w:rsid w:val="00D44E09"/>
    <w:rsid w:val="00D45E02"/>
    <w:rsid w:val="00D46F89"/>
    <w:rsid w:val="00D476D5"/>
    <w:rsid w:val="00D53073"/>
    <w:rsid w:val="00D5340C"/>
    <w:rsid w:val="00D56585"/>
    <w:rsid w:val="00D6571D"/>
    <w:rsid w:val="00D66E2E"/>
    <w:rsid w:val="00D707D0"/>
    <w:rsid w:val="00D71FC3"/>
    <w:rsid w:val="00D7654C"/>
    <w:rsid w:val="00D77107"/>
    <w:rsid w:val="00D8390C"/>
    <w:rsid w:val="00D911D5"/>
    <w:rsid w:val="00D9186D"/>
    <w:rsid w:val="00D93178"/>
    <w:rsid w:val="00D932BB"/>
    <w:rsid w:val="00D949E1"/>
    <w:rsid w:val="00D95E4F"/>
    <w:rsid w:val="00D973D0"/>
    <w:rsid w:val="00DA022B"/>
    <w:rsid w:val="00DA197C"/>
    <w:rsid w:val="00DA21E2"/>
    <w:rsid w:val="00DA47E7"/>
    <w:rsid w:val="00DB1882"/>
    <w:rsid w:val="00DB2A55"/>
    <w:rsid w:val="00DB2E8C"/>
    <w:rsid w:val="00DB4070"/>
    <w:rsid w:val="00DB4114"/>
    <w:rsid w:val="00DB63E9"/>
    <w:rsid w:val="00DC1921"/>
    <w:rsid w:val="00DC5843"/>
    <w:rsid w:val="00DC6A45"/>
    <w:rsid w:val="00DD15F0"/>
    <w:rsid w:val="00DD3606"/>
    <w:rsid w:val="00DD5146"/>
    <w:rsid w:val="00DD5986"/>
    <w:rsid w:val="00DD7C89"/>
    <w:rsid w:val="00DE18A1"/>
    <w:rsid w:val="00DE3110"/>
    <w:rsid w:val="00DE6A25"/>
    <w:rsid w:val="00DE6F60"/>
    <w:rsid w:val="00DF2388"/>
    <w:rsid w:val="00DF2EF5"/>
    <w:rsid w:val="00DF310F"/>
    <w:rsid w:val="00DF3F69"/>
    <w:rsid w:val="00DF46E7"/>
    <w:rsid w:val="00DF606E"/>
    <w:rsid w:val="00DF62F3"/>
    <w:rsid w:val="00DF6B07"/>
    <w:rsid w:val="00E0170A"/>
    <w:rsid w:val="00E01C16"/>
    <w:rsid w:val="00E03442"/>
    <w:rsid w:val="00E0468D"/>
    <w:rsid w:val="00E07F5F"/>
    <w:rsid w:val="00E10DE7"/>
    <w:rsid w:val="00E165EF"/>
    <w:rsid w:val="00E202B8"/>
    <w:rsid w:val="00E20EB6"/>
    <w:rsid w:val="00E211FB"/>
    <w:rsid w:val="00E216EF"/>
    <w:rsid w:val="00E22DC9"/>
    <w:rsid w:val="00E242B5"/>
    <w:rsid w:val="00E301CF"/>
    <w:rsid w:val="00E31A8A"/>
    <w:rsid w:val="00E332E0"/>
    <w:rsid w:val="00E34F38"/>
    <w:rsid w:val="00E37986"/>
    <w:rsid w:val="00E400FC"/>
    <w:rsid w:val="00E40605"/>
    <w:rsid w:val="00E43030"/>
    <w:rsid w:val="00E43777"/>
    <w:rsid w:val="00E43A6E"/>
    <w:rsid w:val="00E444D4"/>
    <w:rsid w:val="00E44B15"/>
    <w:rsid w:val="00E46A9F"/>
    <w:rsid w:val="00E473E3"/>
    <w:rsid w:val="00E47915"/>
    <w:rsid w:val="00E51B72"/>
    <w:rsid w:val="00E5260C"/>
    <w:rsid w:val="00E52D00"/>
    <w:rsid w:val="00E54EC8"/>
    <w:rsid w:val="00E56326"/>
    <w:rsid w:val="00E5786F"/>
    <w:rsid w:val="00E66AF9"/>
    <w:rsid w:val="00E677B5"/>
    <w:rsid w:val="00E67994"/>
    <w:rsid w:val="00E7035D"/>
    <w:rsid w:val="00E72701"/>
    <w:rsid w:val="00E73E57"/>
    <w:rsid w:val="00E73F6D"/>
    <w:rsid w:val="00E74B33"/>
    <w:rsid w:val="00E76359"/>
    <w:rsid w:val="00E7746E"/>
    <w:rsid w:val="00E80010"/>
    <w:rsid w:val="00E8327E"/>
    <w:rsid w:val="00E83B73"/>
    <w:rsid w:val="00E83D06"/>
    <w:rsid w:val="00E85677"/>
    <w:rsid w:val="00E8573C"/>
    <w:rsid w:val="00E87944"/>
    <w:rsid w:val="00E93836"/>
    <w:rsid w:val="00E94601"/>
    <w:rsid w:val="00E96D12"/>
    <w:rsid w:val="00EA2633"/>
    <w:rsid w:val="00EA566F"/>
    <w:rsid w:val="00EA5C20"/>
    <w:rsid w:val="00EA74E6"/>
    <w:rsid w:val="00EB17F7"/>
    <w:rsid w:val="00EB18C0"/>
    <w:rsid w:val="00EB1E56"/>
    <w:rsid w:val="00EB2080"/>
    <w:rsid w:val="00EB2528"/>
    <w:rsid w:val="00EB5D12"/>
    <w:rsid w:val="00EC1116"/>
    <w:rsid w:val="00EC17B4"/>
    <w:rsid w:val="00EC2C63"/>
    <w:rsid w:val="00EC5839"/>
    <w:rsid w:val="00ED0A50"/>
    <w:rsid w:val="00ED0BAF"/>
    <w:rsid w:val="00ED296B"/>
    <w:rsid w:val="00ED458A"/>
    <w:rsid w:val="00ED46D8"/>
    <w:rsid w:val="00ED66B4"/>
    <w:rsid w:val="00ED7523"/>
    <w:rsid w:val="00ED79D0"/>
    <w:rsid w:val="00EE0E34"/>
    <w:rsid w:val="00EE11DA"/>
    <w:rsid w:val="00EF248F"/>
    <w:rsid w:val="00EF3305"/>
    <w:rsid w:val="00EF5887"/>
    <w:rsid w:val="00EF6166"/>
    <w:rsid w:val="00F006C6"/>
    <w:rsid w:val="00F00B48"/>
    <w:rsid w:val="00F049B7"/>
    <w:rsid w:val="00F05467"/>
    <w:rsid w:val="00F06B23"/>
    <w:rsid w:val="00F078E0"/>
    <w:rsid w:val="00F10601"/>
    <w:rsid w:val="00F10B84"/>
    <w:rsid w:val="00F10E7A"/>
    <w:rsid w:val="00F140B0"/>
    <w:rsid w:val="00F1655D"/>
    <w:rsid w:val="00F1794A"/>
    <w:rsid w:val="00F20848"/>
    <w:rsid w:val="00F21881"/>
    <w:rsid w:val="00F22BE3"/>
    <w:rsid w:val="00F241CC"/>
    <w:rsid w:val="00F323D7"/>
    <w:rsid w:val="00F331DF"/>
    <w:rsid w:val="00F35117"/>
    <w:rsid w:val="00F36620"/>
    <w:rsid w:val="00F42715"/>
    <w:rsid w:val="00F452C4"/>
    <w:rsid w:val="00F459E0"/>
    <w:rsid w:val="00F50985"/>
    <w:rsid w:val="00F54693"/>
    <w:rsid w:val="00F55511"/>
    <w:rsid w:val="00F55B53"/>
    <w:rsid w:val="00F5751E"/>
    <w:rsid w:val="00F57897"/>
    <w:rsid w:val="00F600C6"/>
    <w:rsid w:val="00F607D9"/>
    <w:rsid w:val="00F62410"/>
    <w:rsid w:val="00F6396B"/>
    <w:rsid w:val="00F654F1"/>
    <w:rsid w:val="00F66A54"/>
    <w:rsid w:val="00F707F6"/>
    <w:rsid w:val="00F70F0F"/>
    <w:rsid w:val="00F70FF9"/>
    <w:rsid w:val="00F718BB"/>
    <w:rsid w:val="00F72065"/>
    <w:rsid w:val="00F7209F"/>
    <w:rsid w:val="00F72190"/>
    <w:rsid w:val="00F72ADD"/>
    <w:rsid w:val="00F74013"/>
    <w:rsid w:val="00F7601C"/>
    <w:rsid w:val="00F765C6"/>
    <w:rsid w:val="00F76981"/>
    <w:rsid w:val="00F77E92"/>
    <w:rsid w:val="00F8011A"/>
    <w:rsid w:val="00F81314"/>
    <w:rsid w:val="00F84629"/>
    <w:rsid w:val="00F84679"/>
    <w:rsid w:val="00F8474B"/>
    <w:rsid w:val="00F877C4"/>
    <w:rsid w:val="00F87E1E"/>
    <w:rsid w:val="00F91328"/>
    <w:rsid w:val="00F925B6"/>
    <w:rsid w:val="00F93B99"/>
    <w:rsid w:val="00F9690B"/>
    <w:rsid w:val="00F9692A"/>
    <w:rsid w:val="00F97EE7"/>
    <w:rsid w:val="00FA0BC4"/>
    <w:rsid w:val="00FA0CE0"/>
    <w:rsid w:val="00FA41FD"/>
    <w:rsid w:val="00FA559F"/>
    <w:rsid w:val="00FA5D35"/>
    <w:rsid w:val="00FA79CF"/>
    <w:rsid w:val="00FB0999"/>
    <w:rsid w:val="00FB3023"/>
    <w:rsid w:val="00FB35D9"/>
    <w:rsid w:val="00FB35E6"/>
    <w:rsid w:val="00FB5F25"/>
    <w:rsid w:val="00FB62C3"/>
    <w:rsid w:val="00FB7384"/>
    <w:rsid w:val="00FC39DC"/>
    <w:rsid w:val="00FC7976"/>
    <w:rsid w:val="00FD0333"/>
    <w:rsid w:val="00FD4E2B"/>
    <w:rsid w:val="00FE035F"/>
    <w:rsid w:val="00FE095D"/>
    <w:rsid w:val="00FE0CDE"/>
    <w:rsid w:val="00FE1AD3"/>
    <w:rsid w:val="00FE247D"/>
    <w:rsid w:val="00FE30E2"/>
    <w:rsid w:val="00FE32C2"/>
    <w:rsid w:val="00FE42F0"/>
    <w:rsid w:val="00FF572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4A31E"/>
  <w15:docId w15:val="{B4505762-2812-4874-97B0-18930B82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4BE"/>
    <w:rPr>
      <w:lang w:val="sq-AL"/>
    </w:rPr>
  </w:style>
  <w:style w:type="paragraph" w:styleId="Heading1">
    <w:name w:val="heading 1"/>
    <w:basedOn w:val="Normal"/>
    <w:next w:val="Normal"/>
    <w:link w:val="Heading1Char"/>
    <w:uiPriority w:val="9"/>
    <w:qFormat/>
    <w:rsid w:val="002064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64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C27D3"/>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BE"/>
    <w:rPr>
      <w:rFonts w:asciiTheme="majorHAnsi" w:eastAsiaTheme="majorEastAsia" w:hAnsiTheme="majorHAnsi" w:cstheme="majorBidi"/>
      <w:color w:val="365F91" w:themeColor="accent1" w:themeShade="BF"/>
      <w:sz w:val="32"/>
      <w:szCs w:val="32"/>
      <w:lang w:val="sq-AL"/>
    </w:rPr>
  </w:style>
  <w:style w:type="character" w:customStyle="1" w:styleId="Heading2Char">
    <w:name w:val="Heading 2 Char"/>
    <w:basedOn w:val="DefaultParagraphFont"/>
    <w:link w:val="Heading2"/>
    <w:uiPriority w:val="9"/>
    <w:rsid w:val="002064BE"/>
    <w:rPr>
      <w:rFonts w:asciiTheme="majorHAnsi" w:eastAsiaTheme="majorEastAsia" w:hAnsiTheme="majorHAnsi" w:cstheme="majorBidi"/>
      <w:color w:val="365F91" w:themeColor="accent1" w:themeShade="BF"/>
      <w:sz w:val="26"/>
      <w:szCs w:val="26"/>
      <w:lang w:val="sq-AL"/>
    </w:rPr>
  </w:style>
  <w:style w:type="character" w:customStyle="1" w:styleId="Heading3Char">
    <w:name w:val="Heading 3 Char"/>
    <w:basedOn w:val="DefaultParagraphFont"/>
    <w:link w:val="Heading3"/>
    <w:uiPriority w:val="9"/>
    <w:rsid w:val="005C27D3"/>
    <w:rPr>
      <w:rFonts w:ascii="Times New Roman" w:eastAsia="Times New Roman" w:hAnsi="Times New Roman" w:cs="Times New Roman"/>
      <w:b/>
      <w:bCs/>
      <w:sz w:val="27"/>
      <w:szCs w:val="27"/>
    </w:rPr>
  </w:style>
  <w:style w:type="paragraph" w:styleId="NoSpacing">
    <w:name w:val="No Spacing"/>
    <w:link w:val="NoSpacingChar"/>
    <w:uiPriority w:val="1"/>
    <w:qFormat/>
    <w:rsid w:val="002064B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064BE"/>
    <w:rPr>
      <w:rFonts w:eastAsiaTheme="minorEastAsia"/>
      <w:lang w:eastAsia="ja-JP"/>
    </w:rPr>
  </w:style>
  <w:style w:type="paragraph" w:styleId="BalloonText">
    <w:name w:val="Balloon Text"/>
    <w:basedOn w:val="Normal"/>
    <w:link w:val="BalloonTextChar"/>
    <w:uiPriority w:val="99"/>
    <w:semiHidden/>
    <w:unhideWhenUsed/>
    <w:rsid w:val="00206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4BE"/>
    <w:rPr>
      <w:rFonts w:ascii="Tahoma" w:hAnsi="Tahoma" w:cs="Tahoma"/>
      <w:sz w:val="16"/>
      <w:szCs w:val="16"/>
      <w:lang w:val="sq-AL"/>
    </w:rPr>
  </w:style>
  <w:style w:type="paragraph" w:styleId="Title">
    <w:name w:val="Title"/>
    <w:basedOn w:val="Normal"/>
    <w:next w:val="Normal"/>
    <w:link w:val="TitleChar"/>
    <w:uiPriority w:val="10"/>
    <w:qFormat/>
    <w:rsid w:val="002064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2064BE"/>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064BE"/>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2064BE"/>
    <w:rPr>
      <w:rFonts w:asciiTheme="majorHAnsi" w:eastAsiaTheme="majorEastAsia" w:hAnsiTheme="majorHAnsi" w:cstheme="majorBidi"/>
      <w:i/>
      <w:iCs/>
      <w:color w:val="4F81BD" w:themeColor="accent1"/>
      <w:spacing w:val="15"/>
      <w:sz w:val="24"/>
      <w:szCs w:val="24"/>
      <w:lang w:eastAsia="ja-JP"/>
    </w:rPr>
  </w:style>
  <w:style w:type="character" w:styleId="PlaceholderText">
    <w:name w:val="Placeholder Text"/>
    <w:basedOn w:val="DefaultParagraphFont"/>
    <w:uiPriority w:val="99"/>
    <w:semiHidden/>
    <w:rsid w:val="002064BE"/>
    <w:rPr>
      <w:color w:val="808080"/>
    </w:rPr>
  </w:style>
  <w:style w:type="paragraph" w:styleId="Header">
    <w:name w:val="header"/>
    <w:basedOn w:val="Normal"/>
    <w:link w:val="HeaderChar"/>
    <w:uiPriority w:val="99"/>
    <w:unhideWhenUsed/>
    <w:rsid w:val="00206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4BE"/>
    <w:rPr>
      <w:lang w:val="sq-AL"/>
    </w:rPr>
  </w:style>
  <w:style w:type="paragraph" w:styleId="Footer">
    <w:name w:val="footer"/>
    <w:basedOn w:val="Normal"/>
    <w:link w:val="FooterChar"/>
    <w:uiPriority w:val="99"/>
    <w:unhideWhenUsed/>
    <w:rsid w:val="00206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4BE"/>
    <w:rPr>
      <w:lang w:val="sq-AL"/>
    </w:rPr>
  </w:style>
  <w:style w:type="paragraph" w:styleId="ListParagraph">
    <w:name w:val="List Paragraph"/>
    <w:aliases w:val="Citation List,ANNEX,Bullet,bullet,bu,b,bullet1,B,b1,Bullet 1,bullet 1,body,b Char Char Char,b Char Char Char Char Char Char,b Char Char,Body Char1 Char1,b Char Char Char Char Char Char Char Char"/>
    <w:basedOn w:val="Normal"/>
    <w:link w:val="ListParagraphChar"/>
    <w:uiPriority w:val="34"/>
    <w:qFormat/>
    <w:rsid w:val="002064BE"/>
    <w:pPr>
      <w:ind w:left="720"/>
      <w:contextualSpacing/>
    </w:pPr>
  </w:style>
  <w:style w:type="character" w:customStyle="1" w:styleId="ListParagraphChar">
    <w:name w:val="List Paragraph Char"/>
    <w:aliases w:val="Citation List Char,ANNEX Char,Bullet Char,bullet Char,bu Char,b Char,bullet1 Char,B Char,b1 Char,Bullet 1 Char,bullet 1 Char,body Char,b Char Char Char Char,b Char Char Char Char Char Char Char,b Char Char Char1,Body Char1 Char1 Char"/>
    <w:link w:val="ListParagraph"/>
    <w:uiPriority w:val="34"/>
    <w:rsid w:val="002064BE"/>
    <w:rPr>
      <w:lang w:val="sq-AL"/>
    </w:rPr>
  </w:style>
  <w:style w:type="character" w:styleId="CommentReference">
    <w:name w:val="annotation reference"/>
    <w:rsid w:val="002064BE"/>
    <w:rPr>
      <w:sz w:val="16"/>
      <w:szCs w:val="16"/>
    </w:rPr>
  </w:style>
  <w:style w:type="paragraph" w:styleId="CommentText">
    <w:name w:val="annotation text"/>
    <w:basedOn w:val="Normal"/>
    <w:link w:val="CommentTextChar"/>
    <w:rsid w:val="002064BE"/>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rsid w:val="002064BE"/>
    <w:rPr>
      <w:rFonts w:ascii="Times New Roman" w:eastAsia="SimSun" w:hAnsi="Times New Roman" w:cs="Times New Roman"/>
      <w:sz w:val="20"/>
      <w:szCs w:val="20"/>
      <w:lang w:val="sq-AL" w:eastAsia="zh-CN"/>
    </w:rPr>
  </w:style>
  <w:style w:type="paragraph" w:styleId="FootnoteText">
    <w:name w:val="footnote text"/>
    <w:basedOn w:val="Normal"/>
    <w:link w:val="FootnoteTextChar"/>
    <w:uiPriority w:val="99"/>
    <w:unhideWhenUsed/>
    <w:rsid w:val="002064BE"/>
    <w:pPr>
      <w:spacing w:after="0" w:line="240" w:lineRule="auto"/>
    </w:pPr>
    <w:rPr>
      <w:sz w:val="20"/>
      <w:szCs w:val="20"/>
    </w:rPr>
  </w:style>
  <w:style w:type="character" w:customStyle="1" w:styleId="FootnoteTextChar">
    <w:name w:val="Footnote Text Char"/>
    <w:basedOn w:val="DefaultParagraphFont"/>
    <w:link w:val="FootnoteText"/>
    <w:uiPriority w:val="99"/>
    <w:rsid w:val="002064BE"/>
    <w:rPr>
      <w:sz w:val="20"/>
      <w:szCs w:val="20"/>
      <w:lang w:val="sq-AL"/>
    </w:rPr>
  </w:style>
  <w:style w:type="character" w:styleId="FootnoteReference">
    <w:name w:val="footnote reference"/>
    <w:basedOn w:val="DefaultParagraphFont"/>
    <w:uiPriority w:val="99"/>
    <w:semiHidden/>
    <w:unhideWhenUsed/>
    <w:rsid w:val="002064BE"/>
    <w:rPr>
      <w:vertAlign w:val="superscript"/>
    </w:rPr>
  </w:style>
  <w:style w:type="character" w:styleId="Hyperlink">
    <w:name w:val="Hyperlink"/>
    <w:basedOn w:val="DefaultParagraphFont"/>
    <w:uiPriority w:val="99"/>
    <w:unhideWhenUsed/>
    <w:rsid w:val="002064BE"/>
    <w:rPr>
      <w:color w:val="0000FF" w:themeColor="hyperlink"/>
      <w:u w:val="single"/>
    </w:rPr>
  </w:style>
  <w:style w:type="paragraph" w:styleId="NormalWeb">
    <w:name w:val="Normal (Web)"/>
    <w:basedOn w:val="Normal"/>
    <w:uiPriority w:val="99"/>
    <w:unhideWhenUsed/>
    <w:rsid w:val="002064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2064B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064BE"/>
    <w:rPr>
      <w:rFonts w:ascii="Times New Roman" w:eastAsia="SimSun" w:hAnsi="Times New Roman" w:cs="Times New Roman"/>
      <w:b/>
      <w:bCs/>
      <w:sz w:val="20"/>
      <w:szCs w:val="20"/>
      <w:lang w:val="sq-AL" w:eastAsia="zh-CN"/>
    </w:rPr>
  </w:style>
  <w:style w:type="table" w:customStyle="1" w:styleId="PlainTable11">
    <w:name w:val="Plain Table 11"/>
    <w:basedOn w:val="TableNormal"/>
    <w:uiPriority w:val="41"/>
    <w:rsid w:val="002064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064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2064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2064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2">
    <w:name w:val="toc 2"/>
    <w:basedOn w:val="Normal"/>
    <w:next w:val="Normal"/>
    <w:autoRedefine/>
    <w:uiPriority w:val="39"/>
    <w:unhideWhenUsed/>
    <w:rsid w:val="002064BE"/>
    <w:pPr>
      <w:tabs>
        <w:tab w:val="left" w:pos="880"/>
        <w:tab w:val="right" w:leader="dot" w:pos="10070"/>
      </w:tabs>
      <w:spacing w:after="100"/>
      <w:ind w:left="220"/>
    </w:pPr>
  </w:style>
  <w:style w:type="paragraph" w:styleId="TOC1">
    <w:name w:val="toc 1"/>
    <w:basedOn w:val="Normal"/>
    <w:next w:val="Normal"/>
    <w:autoRedefine/>
    <w:uiPriority w:val="39"/>
    <w:unhideWhenUsed/>
    <w:rsid w:val="00824566"/>
    <w:pPr>
      <w:tabs>
        <w:tab w:val="left" w:pos="440"/>
        <w:tab w:val="right" w:leader="dot" w:pos="10070"/>
      </w:tabs>
      <w:spacing w:after="100" w:line="240" w:lineRule="auto"/>
    </w:pPr>
    <w:rPr>
      <w:b/>
      <w:noProof/>
    </w:rPr>
  </w:style>
  <w:style w:type="paragraph" w:styleId="TOCHeading">
    <w:name w:val="TOC Heading"/>
    <w:basedOn w:val="Heading1"/>
    <w:next w:val="Normal"/>
    <w:uiPriority w:val="39"/>
    <w:unhideWhenUsed/>
    <w:qFormat/>
    <w:rsid w:val="002064BE"/>
    <w:pPr>
      <w:spacing w:line="259" w:lineRule="auto"/>
      <w:outlineLvl w:val="9"/>
    </w:pPr>
    <w:rPr>
      <w:lang w:val="en-US"/>
    </w:rPr>
  </w:style>
  <w:style w:type="paragraph" w:styleId="TOC3">
    <w:name w:val="toc 3"/>
    <w:basedOn w:val="Normal"/>
    <w:next w:val="Normal"/>
    <w:autoRedefine/>
    <w:uiPriority w:val="39"/>
    <w:unhideWhenUsed/>
    <w:rsid w:val="002064BE"/>
    <w:pPr>
      <w:spacing w:after="100" w:line="259" w:lineRule="auto"/>
      <w:ind w:left="440"/>
    </w:pPr>
    <w:rPr>
      <w:rFonts w:eastAsiaTheme="minorEastAsia" w:cs="Times New Roman"/>
      <w:lang w:val="en-US"/>
    </w:rPr>
  </w:style>
  <w:style w:type="paragraph" w:styleId="Caption">
    <w:name w:val="caption"/>
    <w:basedOn w:val="Normal"/>
    <w:next w:val="Normal"/>
    <w:autoRedefine/>
    <w:uiPriority w:val="35"/>
    <w:unhideWhenUsed/>
    <w:qFormat/>
    <w:rsid w:val="006B6D4D"/>
    <w:pPr>
      <w:keepNext/>
      <w:spacing w:after="0"/>
      <w:jc w:val="both"/>
    </w:pPr>
    <w:rPr>
      <w:rFonts w:ascii="Times New Roman" w:eastAsia="Times New Roman" w:hAnsi="Times New Roman" w:cs="Times New Roman"/>
      <w:b/>
      <w:i/>
      <w:iCs/>
      <w:color w:val="000000" w:themeColor="text1"/>
      <w:sz w:val="24"/>
      <w:szCs w:val="24"/>
    </w:rPr>
  </w:style>
  <w:style w:type="paragraph" w:styleId="TableofFigures">
    <w:name w:val="table of figures"/>
    <w:basedOn w:val="Normal"/>
    <w:next w:val="Normal"/>
    <w:uiPriority w:val="99"/>
    <w:unhideWhenUsed/>
    <w:rsid w:val="002064BE"/>
    <w:pPr>
      <w:spacing w:after="0"/>
    </w:pPr>
  </w:style>
  <w:style w:type="table" w:customStyle="1" w:styleId="GridTable4-Accent61">
    <w:name w:val="Grid Table 4 - Accent 61"/>
    <w:basedOn w:val="TableNormal"/>
    <w:uiPriority w:val="49"/>
    <w:rsid w:val="002064BE"/>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SubtleEmphasis">
    <w:name w:val="Subtle Emphasis"/>
    <w:basedOn w:val="DefaultParagraphFont"/>
    <w:uiPriority w:val="19"/>
    <w:qFormat/>
    <w:rsid w:val="002064BE"/>
    <w:rPr>
      <w:i/>
      <w:iCs/>
      <w:color w:val="404040" w:themeColor="text1" w:themeTint="BF"/>
    </w:rPr>
  </w:style>
  <w:style w:type="table" w:customStyle="1" w:styleId="GridTable1Light-Accent11">
    <w:name w:val="Grid Table 1 Light - Accent 11"/>
    <w:basedOn w:val="TableNormal"/>
    <w:uiPriority w:val="46"/>
    <w:rsid w:val="006B3A3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840173"/>
    <w:pPr>
      <w:spacing w:after="0" w:line="240" w:lineRule="auto"/>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FollowedHyperlink">
    <w:name w:val="FollowedHyperlink"/>
    <w:basedOn w:val="DefaultParagraphFont"/>
    <w:uiPriority w:val="99"/>
    <w:semiHidden/>
    <w:unhideWhenUsed/>
    <w:rsid w:val="002A5512"/>
    <w:rPr>
      <w:color w:val="800080" w:themeColor="followedHyperlink"/>
      <w:u w:val="single"/>
    </w:rPr>
  </w:style>
  <w:style w:type="character" w:customStyle="1" w:styleId="tlid-translation">
    <w:name w:val="tlid-translation"/>
    <w:basedOn w:val="DefaultParagraphFont"/>
    <w:rsid w:val="00157795"/>
  </w:style>
  <w:style w:type="table" w:styleId="LightShading-Accent3">
    <w:name w:val="Light Shading Accent 3"/>
    <w:basedOn w:val="TableNormal"/>
    <w:uiPriority w:val="60"/>
    <w:rsid w:val="003B35CF"/>
    <w:pPr>
      <w:spacing w:after="0" w:line="240" w:lineRule="auto"/>
    </w:pPr>
    <w:rPr>
      <w:color w:val="76923C" w:themeColor="accent3" w:themeShade="BF"/>
      <w:lang w:val="sq-A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940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 Box"/>
    <w:basedOn w:val="Normal"/>
    <w:autoRedefine/>
    <w:rsid w:val="00E94601"/>
    <w:pPr>
      <w:framePr w:wrap="notBeside" w:vAnchor="text" w:hAnchor="text" w:y="1"/>
      <w:spacing w:after="0" w:line="240" w:lineRule="auto"/>
    </w:pPr>
    <w:rPr>
      <w:rFonts w:ascii="Times New Roman" w:eastAsia="Times New Roman" w:hAnsi="Times New Roman" w:cs="Times New Roman"/>
      <w:sz w:val="24"/>
      <w:szCs w:val="24"/>
      <w:lang w:val="en-GB" w:eastAsia="fr-FR"/>
    </w:rPr>
  </w:style>
  <w:style w:type="character" w:customStyle="1" w:styleId="st">
    <w:name w:val="st"/>
    <w:basedOn w:val="DefaultParagraphFont"/>
    <w:rsid w:val="00B257E8"/>
  </w:style>
  <w:style w:type="table" w:styleId="GridTable1Light-Accent6">
    <w:name w:val="Grid Table 1 Light Accent 6"/>
    <w:basedOn w:val="TableNormal"/>
    <w:uiPriority w:val="46"/>
    <w:rsid w:val="00092C3F"/>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092C3F"/>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6">
    <w:name w:val="Grid Table 2 Accent 6"/>
    <w:basedOn w:val="TableNormal"/>
    <w:uiPriority w:val="47"/>
    <w:rsid w:val="00092C3F"/>
    <w:pPr>
      <w:spacing w:after="0" w:line="240" w:lineRule="auto"/>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84246">
      <w:bodyDiv w:val="1"/>
      <w:marLeft w:val="0"/>
      <w:marRight w:val="0"/>
      <w:marTop w:val="0"/>
      <w:marBottom w:val="0"/>
      <w:divBdr>
        <w:top w:val="none" w:sz="0" w:space="0" w:color="auto"/>
        <w:left w:val="none" w:sz="0" w:space="0" w:color="auto"/>
        <w:bottom w:val="none" w:sz="0" w:space="0" w:color="auto"/>
        <w:right w:val="none" w:sz="0" w:space="0" w:color="auto"/>
      </w:divBdr>
      <w:divsChild>
        <w:div w:id="1020401320">
          <w:marLeft w:val="547"/>
          <w:marRight w:val="0"/>
          <w:marTop w:val="0"/>
          <w:marBottom w:val="0"/>
          <w:divBdr>
            <w:top w:val="none" w:sz="0" w:space="0" w:color="auto"/>
            <w:left w:val="none" w:sz="0" w:space="0" w:color="auto"/>
            <w:bottom w:val="none" w:sz="0" w:space="0" w:color="auto"/>
            <w:right w:val="none" w:sz="0" w:space="0" w:color="auto"/>
          </w:divBdr>
        </w:div>
        <w:div w:id="1510830942">
          <w:marLeft w:val="547"/>
          <w:marRight w:val="0"/>
          <w:marTop w:val="0"/>
          <w:marBottom w:val="0"/>
          <w:divBdr>
            <w:top w:val="none" w:sz="0" w:space="0" w:color="auto"/>
            <w:left w:val="none" w:sz="0" w:space="0" w:color="auto"/>
            <w:bottom w:val="none" w:sz="0" w:space="0" w:color="auto"/>
            <w:right w:val="none" w:sz="0" w:space="0" w:color="auto"/>
          </w:divBdr>
        </w:div>
        <w:div w:id="270287468">
          <w:marLeft w:val="547"/>
          <w:marRight w:val="0"/>
          <w:marTop w:val="0"/>
          <w:marBottom w:val="0"/>
          <w:divBdr>
            <w:top w:val="none" w:sz="0" w:space="0" w:color="auto"/>
            <w:left w:val="none" w:sz="0" w:space="0" w:color="auto"/>
            <w:bottom w:val="none" w:sz="0" w:space="0" w:color="auto"/>
            <w:right w:val="none" w:sz="0" w:space="0" w:color="auto"/>
          </w:divBdr>
        </w:div>
        <w:div w:id="2117747586">
          <w:marLeft w:val="547"/>
          <w:marRight w:val="0"/>
          <w:marTop w:val="0"/>
          <w:marBottom w:val="0"/>
          <w:divBdr>
            <w:top w:val="none" w:sz="0" w:space="0" w:color="auto"/>
            <w:left w:val="none" w:sz="0" w:space="0" w:color="auto"/>
            <w:bottom w:val="none" w:sz="0" w:space="0" w:color="auto"/>
            <w:right w:val="none" w:sz="0" w:space="0" w:color="auto"/>
          </w:divBdr>
        </w:div>
        <w:div w:id="592400664">
          <w:marLeft w:val="547"/>
          <w:marRight w:val="0"/>
          <w:marTop w:val="0"/>
          <w:marBottom w:val="0"/>
          <w:divBdr>
            <w:top w:val="none" w:sz="0" w:space="0" w:color="auto"/>
            <w:left w:val="none" w:sz="0" w:space="0" w:color="auto"/>
            <w:bottom w:val="none" w:sz="0" w:space="0" w:color="auto"/>
            <w:right w:val="none" w:sz="0" w:space="0" w:color="auto"/>
          </w:divBdr>
        </w:div>
      </w:divsChild>
    </w:div>
    <w:div w:id="426972912">
      <w:bodyDiv w:val="1"/>
      <w:marLeft w:val="0"/>
      <w:marRight w:val="0"/>
      <w:marTop w:val="0"/>
      <w:marBottom w:val="0"/>
      <w:divBdr>
        <w:top w:val="none" w:sz="0" w:space="0" w:color="auto"/>
        <w:left w:val="none" w:sz="0" w:space="0" w:color="auto"/>
        <w:bottom w:val="none" w:sz="0" w:space="0" w:color="auto"/>
        <w:right w:val="none" w:sz="0" w:space="0" w:color="auto"/>
      </w:divBdr>
    </w:div>
    <w:div w:id="500705259">
      <w:bodyDiv w:val="1"/>
      <w:marLeft w:val="0"/>
      <w:marRight w:val="0"/>
      <w:marTop w:val="0"/>
      <w:marBottom w:val="0"/>
      <w:divBdr>
        <w:top w:val="none" w:sz="0" w:space="0" w:color="auto"/>
        <w:left w:val="none" w:sz="0" w:space="0" w:color="auto"/>
        <w:bottom w:val="none" w:sz="0" w:space="0" w:color="auto"/>
        <w:right w:val="none" w:sz="0" w:space="0" w:color="auto"/>
      </w:divBdr>
      <w:divsChild>
        <w:div w:id="287787805">
          <w:marLeft w:val="547"/>
          <w:marRight w:val="0"/>
          <w:marTop w:val="0"/>
          <w:marBottom w:val="0"/>
          <w:divBdr>
            <w:top w:val="none" w:sz="0" w:space="0" w:color="auto"/>
            <w:left w:val="none" w:sz="0" w:space="0" w:color="auto"/>
            <w:bottom w:val="none" w:sz="0" w:space="0" w:color="auto"/>
            <w:right w:val="none" w:sz="0" w:space="0" w:color="auto"/>
          </w:divBdr>
        </w:div>
        <w:div w:id="43792205">
          <w:marLeft w:val="547"/>
          <w:marRight w:val="0"/>
          <w:marTop w:val="0"/>
          <w:marBottom w:val="0"/>
          <w:divBdr>
            <w:top w:val="none" w:sz="0" w:space="0" w:color="auto"/>
            <w:left w:val="none" w:sz="0" w:space="0" w:color="auto"/>
            <w:bottom w:val="none" w:sz="0" w:space="0" w:color="auto"/>
            <w:right w:val="none" w:sz="0" w:space="0" w:color="auto"/>
          </w:divBdr>
        </w:div>
        <w:div w:id="1043989311">
          <w:marLeft w:val="547"/>
          <w:marRight w:val="0"/>
          <w:marTop w:val="0"/>
          <w:marBottom w:val="0"/>
          <w:divBdr>
            <w:top w:val="none" w:sz="0" w:space="0" w:color="auto"/>
            <w:left w:val="none" w:sz="0" w:space="0" w:color="auto"/>
            <w:bottom w:val="none" w:sz="0" w:space="0" w:color="auto"/>
            <w:right w:val="none" w:sz="0" w:space="0" w:color="auto"/>
          </w:divBdr>
        </w:div>
      </w:divsChild>
    </w:div>
    <w:div w:id="500852824">
      <w:bodyDiv w:val="1"/>
      <w:marLeft w:val="0"/>
      <w:marRight w:val="0"/>
      <w:marTop w:val="0"/>
      <w:marBottom w:val="0"/>
      <w:divBdr>
        <w:top w:val="none" w:sz="0" w:space="0" w:color="auto"/>
        <w:left w:val="none" w:sz="0" w:space="0" w:color="auto"/>
        <w:bottom w:val="none" w:sz="0" w:space="0" w:color="auto"/>
        <w:right w:val="none" w:sz="0" w:space="0" w:color="auto"/>
      </w:divBdr>
      <w:divsChild>
        <w:div w:id="500660392">
          <w:marLeft w:val="547"/>
          <w:marRight w:val="0"/>
          <w:marTop w:val="0"/>
          <w:marBottom w:val="0"/>
          <w:divBdr>
            <w:top w:val="none" w:sz="0" w:space="0" w:color="auto"/>
            <w:left w:val="none" w:sz="0" w:space="0" w:color="auto"/>
            <w:bottom w:val="none" w:sz="0" w:space="0" w:color="auto"/>
            <w:right w:val="none" w:sz="0" w:space="0" w:color="auto"/>
          </w:divBdr>
        </w:div>
        <w:div w:id="1038235832">
          <w:marLeft w:val="547"/>
          <w:marRight w:val="0"/>
          <w:marTop w:val="0"/>
          <w:marBottom w:val="0"/>
          <w:divBdr>
            <w:top w:val="none" w:sz="0" w:space="0" w:color="auto"/>
            <w:left w:val="none" w:sz="0" w:space="0" w:color="auto"/>
            <w:bottom w:val="none" w:sz="0" w:space="0" w:color="auto"/>
            <w:right w:val="none" w:sz="0" w:space="0" w:color="auto"/>
          </w:divBdr>
        </w:div>
        <w:div w:id="464661679">
          <w:marLeft w:val="547"/>
          <w:marRight w:val="0"/>
          <w:marTop w:val="0"/>
          <w:marBottom w:val="0"/>
          <w:divBdr>
            <w:top w:val="none" w:sz="0" w:space="0" w:color="auto"/>
            <w:left w:val="none" w:sz="0" w:space="0" w:color="auto"/>
            <w:bottom w:val="none" w:sz="0" w:space="0" w:color="auto"/>
            <w:right w:val="none" w:sz="0" w:space="0" w:color="auto"/>
          </w:divBdr>
        </w:div>
        <w:div w:id="2006086138">
          <w:marLeft w:val="547"/>
          <w:marRight w:val="0"/>
          <w:marTop w:val="0"/>
          <w:marBottom w:val="0"/>
          <w:divBdr>
            <w:top w:val="none" w:sz="0" w:space="0" w:color="auto"/>
            <w:left w:val="none" w:sz="0" w:space="0" w:color="auto"/>
            <w:bottom w:val="none" w:sz="0" w:space="0" w:color="auto"/>
            <w:right w:val="none" w:sz="0" w:space="0" w:color="auto"/>
          </w:divBdr>
        </w:div>
      </w:divsChild>
    </w:div>
    <w:div w:id="576474267">
      <w:bodyDiv w:val="1"/>
      <w:marLeft w:val="0"/>
      <w:marRight w:val="0"/>
      <w:marTop w:val="0"/>
      <w:marBottom w:val="0"/>
      <w:divBdr>
        <w:top w:val="none" w:sz="0" w:space="0" w:color="auto"/>
        <w:left w:val="none" w:sz="0" w:space="0" w:color="auto"/>
        <w:bottom w:val="none" w:sz="0" w:space="0" w:color="auto"/>
        <w:right w:val="none" w:sz="0" w:space="0" w:color="auto"/>
      </w:divBdr>
    </w:div>
    <w:div w:id="590088031">
      <w:bodyDiv w:val="1"/>
      <w:marLeft w:val="0"/>
      <w:marRight w:val="0"/>
      <w:marTop w:val="0"/>
      <w:marBottom w:val="0"/>
      <w:divBdr>
        <w:top w:val="none" w:sz="0" w:space="0" w:color="auto"/>
        <w:left w:val="none" w:sz="0" w:space="0" w:color="auto"/>
        <w:bottom w:val="none" w:sz="0" w:space="0" w:color="auto"/>
        <w:right w:val="none" w:sz="0" w:space="0" w:color="auto"/>
      </w:divBdr>
    </w:div>
    <w:div w:id="622227084">
      <w:bodyDiv w:val="1"/>
      <w:marLeft w:val="0"/>
      <w:marRight w:val="0"/>
      <w:marTop w:val="0"/>
      <w:marBottom w:val="0"/>
      <w:divBdr>
        <w:top w:val="none" w:sz="0" w:space="0" w:color="auto"/>
        <w:left w:val="none" w:sz="0" w:space="0" w:color="auto"/>
        <w:bottom w:val="none" w:sz="0" w:space="0" w:color="auto"/>
        <w:right w:val="none" w:sz="0" w:space="0" w:color="auto"/>
      </w:divBdr>
      <w:divsChild>
        <w:div w:id="868878663">
          <w:marLeft w:val="547"/>
          <w:marRight w:val="0"/>
          <w:marTop w:val="0"/>
          <w:marBottom w:val="0"/>
          <w:divBdr>
            <w:top w:val="none" w:sz="0" w:space="0" w:color="auto"/>
            <w:left w:val="none" w:sz="0" w:space="0" w:color="auto"/>
            <w:bottom w:val="none" w:sz="0" w:space="0" w:color="auto"/>
            <w:right w:val="none" w:sz="0" w:space="0" w:color="auto"/>
          </w:divBdr>
        </w:div>
        <w:div w:id="804935949">
          <w:marLeft w:val="547"/>
          <w:marRight w:val="0"/>
          <w:marTop w:val="0"/>
          <w:marBottom w:val="0"/>
          <w:divBdr>
            <w:top w:val="none" w:sz="0" w:space="0" w:color="auto"/>
            <w:left w:val="none" w:sz="0" w:space="0" w:color="auto"/>
            <w:bottom w:val="none" w:sz="0" w:space="0" w:color="auto"/>
            <w:right w:val="none" w:sz="0" w:space="0" w:color="auto"/>
          </w:divBdr>
        </w:div>
        <w:div w:id="361786486">
          <w:marLeft w:val="547"/>
          <w:marRight w:val="0"/>
          <w:marTop w:val="0"/>
          <w:marBottom w:val="0"/>
          <w:divBdr>
            <w:top w:val="none" w:sz="0" w:space="0" w:color="auto"/>
            <w:left w:val="none" w:sz="0" w:space="0" w:color="auto"/>
            <w:bottom w:val="none" w:sz="0" w:space="0" w:color="auto"/>
            <w:right w:val="none" w:sz="0" w:space="0" w:color="auto"/>
          </w:divBdr>
        </w:div>
        <w:div w:id="506016349">
          <w:marLeft w:val="547"/>
          <w:marRight w:val="0"/>
          <w:marTop w:val="0"/>
          <w:marBottom w:val="0"/>
          <w:divBdr>
            <w:top w:val="none" w:sz="0" w:space="0" w:color="auto"/>
            <w:left w:val="none" w:sz="0" w:space="0" w:color="auto"/>
            <w:bottom w:val="none" w:sz="0" w:space="0" w:color="auto"/>
            <w:right w:val="none" w:sz="0" w:space="0" w:color="auto"/>
          </w:divBdr>
        </w:div>
        <w:div w:id="410469045">
          <w:marLeft w:val="547"/>
          <w:marRight w:val="0"/>
          <w:marTop w:val="0"/>
          <w:marBottom w:val="0"/>
          <w:divBdr>
            <w:top w:val="none" w:sz="0" w:space="0" w:color="auto"/>
            <w:left w:val="none" w:sz="0" w:space="0" w:color="auto"/>
            <w:bottom w:val="none" w:sz="0" w:space="0" w:color="auto"/>
            <w:right w:val="none" w:sz="0" w:space="0" w:color="auto"/>
          </w:divBdr>
        </w:div>
      </w:divsChild>
    </w:div>
    <w:div w:id="648946958">
      <w:bodyDiv w:val="1"/>
      <w:marLeft w:val="0"/>
      <w:marRight w:val="0"/>
      <w:marTop w:val="0"/>
      <w:marBottom w:val="0"/>
      <w:divBdr>
        <w:top w:val="none" w:sz="0" w:space="0" w:color="auto"/>
        <w:left w:val="none" w:sz="0" w:space="0" w:color="auto"/>
        <w:bottom w:val="none" w:sz="0" w:space="0" w:color="auto"/>
        <w:right w:val="none" w:sz="0" w:space="0" w:color="auto"/>
      </w:divBdr>
      <w:divsChild>
        <w:div w:id="755596727">
          <w:marLeft w:val="0"/>
          <w:marRight w:val="0"/>
          <w:marTop w:val="0"/>
          <w:marBottom w:val="0"/>
          <w:divBdr>
            <w:top w:val="none" w:sz="0" w:space="0" w:color="auto"/>
            <w:left w:val="none" w:sz="0" w:space="0" w:color="auto"/>
            <w:bottom w:val="none" w:sz="0" w:space="0" w:color="auto"/>
            <w:right w:val="none" w:sz="0" w:space="0" w:color="auto"/>
          </w:divBdr>
        </w:div>
        <w:div w:id="1969433863">
          <w:marLeft w:val="0"/>
          <w:marRight w:val="0"/>
          <w:marTop w:val="0"/>
          <w:marBottom w:val="0"/>
          <w:divBdr>
            <w:top w:val="none" w:sz="0" w:space="0" w:color="auto"/>
            <w:left w:val="none" w:sz="0" w:space="0" w:color="auto"/>
            <w:bottom w:val="none" w:sz="0" w:space="0" w:color="auto"/>
            <w:right w:val="none" w:sz="0" w:space="0" w:color="auto"/>
          </w:divBdr>
        </w:div>
        <w:div w:id="1945844591">
          <w:marLeft w:val="0"/>
          <w:marRight w:val="0"/>
          <w:marTop w:val="0"/>
          <w:marBottom w:val="0"/>
          <w:divBdr>
            <w:top w:val="none" w:sz="0" w:space="0" w:color="auto"/>
            <w:left w:val="none" w:sz="0" w:space="0" w:color="auto"/>
            <w:bottom w:val="none" w:sz="0" w:space="0" w:color="auto"/>
            <w:right w:val="none" w:sz="0" w:space="0" w:color="auto"/>
          </w:divBdr>
        </w:div>
        <w:div w:id="514928449">
          <w:marLeft w:val="0"/>
          <w:marRight w:val="0"/>
          <w:marTop w:val="0"/>
          <w:marBottom w:val="0"/>
          <w:divBdr>
            <w:top w:val="none" w:sz="0" w:space="0" w:color="auto"/>
            <w:left w:val="none" w:sz="0" w:space="0" w:color="auto"/>
            <w:bottom w:val="none" w:sz="0" w:space="0" w:color="auto"/>
            <w:right w:val="none" w:sz="0" w:space="0" w:color="auto"/>
          </w:divBdr>
        </w:div>
        <w:div w:id="1792895637">
          <w:marLeft w:val="0"/>
          <w:marRight w:val="0"/>
          <w:marTop w:val="0"/>
          <w:marBottom w:val="0"/>
          <w:divBdr>
            <w:top w:val="none" w:sz="0" w:space="0" w:color="auto"/>
            <w:left w:val="none" w:sz="0" w:space="0" w:color="auto"/>
            <w:bottom w:val="none" w:sz="0" w:space="0" w:color="auto"/>
            <w:right w:val="none" w:sz="0" w:space="0" w:color="auto"/>
          </w:divBdr>
        </w:div>
        <w:div w:id="1941445051">
          <w:marLeft w:val="0"/>
          <w:marRight w:val="0"/>
          <w:marTop w:val="0"/>
          <w:marBottom w:val="0"/>
          <w:divBdr>
            <w:top w:val="none" w:sz="0" w:space="0" w:color="auto"/>
            <w:left w:val="none" w:sz="0" w:space="0" w:color="auto"/>
            <w:bottom w:val="none" w:sz="0" w:space="0" w:color="auto"/>
            <w:right w:val="none" w:sz="0" w:space="0" w:color="auto"/>
          </w:divBdr>
        </w:div>
        <w:div w:id="621687581">
          <w:marLeft w:val="0"/>
          <w:marRight w:val="0"/>
          <w:marTop w:val="0"/>
          <w:marBottom w:val="0"/>
          <w:divBdr>
            <w:top w:val="none" w:sz="0" w:space="0" w:color="auto"/>
            <w:left w:val="none" w:sz="0" w:space="0" w:color="auto"/>
            <w:bottom w:val="none" w:sz="0" w:space="0" w:color="auto"/>
            <w:right w:val="none" w:sz="0" w:space="0" w:color="auto"/>
          </w:divBdr>
        </w:div>
        <w:div w:id="1701204404">
          <w:marLeft w:val="0"/>
          <w:marRight w:val="0"/>
          <w:marTop w:val="0"/>
          <w:marBottom w:val="0"/>
          <w:divBdr>
            <w:top w:val="none" w:sz="0" w:space="0" w:color="auto"/>
            <w:left w:val="none" w:sz="0" w:space="0" w:color="auto"/>
            <w:bottom w:val="none" w:sz="0" w:space="0" w:color="auto"/>
            <w:right w:val="none" w:sz="0" w:space="0" w:color="auto"/>
          </w:divBdr>
        </w:div>
        <w:div w:id="304167034">
          <w:marLeft w:val="0"/>
          <w:marRight w:val="0"/>
          <w:marTop w:val="0"/>
          <w:marBottom w:val="0"/>
          <w:divBdr>
            <w:top w:val="none" w:sz="0" w:space="0" w:color="auto"/>
            <w:left w:val="none" w:sz="0" w:space="0" w:color="auto"/>
            <w:bottom w:val="none" w:sz="0" w:space="0" w:color="auto"/>
            <w:right w:val="none" w:sz="0" w:space="0" w:color="auto"/>
          </w:divBdr>
        </w:div>
        <w:div w:id="1096751341">
          <w:marLeft w:val="0"/>
          <w:marRight w:val="0"/>
          <w:marTop w:val="0"/>
          <w:marBottom w:val="0"/>
          <w:divBdr>
            <w:top w:val="none" w:sz="0" w:space="0" w:color="auto"/>
            <w:left w:val="none" w:sz="0" w:space="0" w:color="auto"/>
            <w:bottom w:val="none" w:sz="0" w:space="0" w:color="auto"/>
            <w:right w:val="none" w:sz="0" w:space="0" w:color="auto"/>
          </w:divBdr>
        </w:div>
        <w:div w:id="1525168327">
          <w:marLeft w:val="0"/>
          <w:marRight w:val="0"/>
          <w:marTop w:val="0"/>
          <w:marBottom w:val="0"/>
          <w:divBdr>
            <w:top w:val="none" w:sz="0" w:space="0" w:color="auto"/>
            <w:left w:val="none" w:sz="0" w:space="0" w:color="auto"/>
            <w:bottom w:val="none" w:sz="0" w:space="0" w:color="auto"/>
            <w:right w:val="none" w:sz="0" w:space="0" w:color="auto"/>
          </w:divBdr>
        </w:div>
        <w:div w:id="1440491891">
          <w:marLeft w:val="0"/>
          <w:marRight w:val="0"/>
          <w:marTop w:val="0"/>
          <w:marBottom w:val="0"/>
          <w:divBdr>
            <w:top w:val="none" w:sz="0" w:space="0" w:color="auto"/>
            <w:left w:val="none" w:sz="0" w:space="0" w:color="auto"/>
            <w:bottom w:val="none" w:sz="0" w:space="0" w:color="auto"/>
            <w:right w:val="none" w:sz="0" w:space="0" w:color="auto"/>
          </w:divBdr>
        </w:div>
      </w:divsChild>
    </w:div>
    <w:div w:id="716053299">
      <w:bodyDiv w:val="1"/>
      <w:marLeft w:val="0"/>
      <w:marRight w:val="0"/>
      <w:marTop w:val="0"/>
      <w:marBottom w:val="0"/>
      <w:divBdr>
        <w:top w:val="none" w:sz="0" w:space="0" w:color="auto"/>
        <w:left w:val="none" w:sz="0" w:space="0" w:color="auto"/>
        <w:bottom w:val="none" w:sz="0" w:space="0" w:color="auto"/>
        <w:right w:val="none" w:sz="0" w:space="0" w:color="auto"/>
      </w:divBdr>
    </w:div>
    <w:div w:id="749233993">
      <w:bodyDiv w:val="1"/>
      <w:marLeft w:val="0"/>
      <w:marRight w:val="0"/>
      <w:marTop w:val="0"/>
      <w:marBottom w:val="0"/>
      <w:divBdr>
        <w:top w:val="none" w:sz="0" w:space="0" w:color="auto"/>
        <w:left w:val="none" w:sz="0" w:space="0" w:color="auto"/>
        <w:bottom w:val="none" w:sz="0" w:space="0" w:color="auto"/>
        <w:right w:val="none" w:sz="0" w:space="0" w:color="auto"/>
      </w:divBdr>
      <w:divsChild>
        <w:div w:id="1469203485">
          <w:marLeft w:val="547"/>
          <w:marRight w:val="0"/>
          <w:marTop w:val="0"/>
          <w:marBottom w:val="0"/>
          <w:divBdr>
            <w:top w:val="none" w:sz="0" w:space="0" w:color="auto"/>
            <w:left w:val="none" w:sz="0" w:space="0" w:color="auto"/>
            <w:bottom w:val="none" w:sz="0" w:space="0" w:color="auto"/>
            <w:right w:val="none" w:sz="0" w:space="0" w:color="auto"/>
          </w:divBdr>
        </w:div>
        <w:div w:id="1528593013">
          <w:marLeft w:val="547"/>
          <w:marRight w:val="0"/>
          <w:marTop w:val="0"/>
          <w:marBottom w:val="0"/>
          <w:divBdr>
            <w:top w:val="none" w:sz="0" w:space="0" w:color="auto"/>
            <w:left w:val="none" w:sz="0" w:space="0" w:color="auto"/>
            <w:bottom w:val="none" w:sz="0" w:space="0" w:color="auto"/>
            <w:right w:val="none" w:sz="0" w:space="0" w:color="auto"/>
          </w:divBdr>
        </w:div>
        <w:div w:id="285235262">
          <w:marLeft w:val="547"/>
          <w:marRight w:val="0"/>
          <w:marTop w:val="0"/>
          <w:marBottom w:val="0"/>
          <w:divBdr>
            <w:top w:val="none" w:sz="0" w:space="0" w:color="auto"/>
            <w:left w:val="none" w:sz="0" w:space="0" w:color="auto"/>
            <w:bottom w:val="none" w:sz="0" w:space="0" w:color="auto"/>
            <w:right w:val="none" w:sz="0" w:space="0" w:color="auto"/>
          </w:divBdr>
        </w:div>
        <w:div w:id="291711573">
          <w:marLeft w:val="547"/>
          <w:marRight w:val="0"/>
          <w:marTop w:val="0"/>
          <w:marBottom w:val="0"/>
          <w:divBdr>
            <w:top w:val="none" w:sz="0" w:space="0" w:color="auto"/>
            <w:left w:val="none" w:sz="0" w:space="0" w:color="auto"/>
            <w:bottom w:val="none" w:sz="0" w:space="0" w:color="auto"/>
            <w:right w:val="none" w:sz="0" w:space="0" w:color="auto"/>
          </w:divBdr>
        </w:div>
        <w:div w:id="1037506239">
          <w:marLeft w:val="547"/>
          <w:marRight w:val="0"/>
          <w:marTop w:val="0"/>
          <w:marBottom w:val="0"/>
          <w:divBdr>
            <w:top w:val="none" w:sz="0" w:space="0" w:color="auto"/>
            <w:left w:val="none" w:sz="0" w:space="0" w:color="auto"/>
            <w:bottom w:val="none" w:sz="0" w:space="0" w:color="auto"/>
            <w:right w:val="none" w:sz="0" w:space="0" w:color="auto"/>
          </w:divBdr>
        </w:div>
      </w:divsChild>
    </w:div>
    <w:div w:id="761804207">
      <w:bodyDiv w:val="1"/>
      <w:marLeft w:val="0"/>
      <w:marRight w:val="0"/>
      <w:marTop w:val="0"/>
      <w:marBottom w:val="0"/>
      <w:divBdr>
        <w:top w:val="none" w:sz="0" w:space="0" w:color="auto"/>
        <w:left w:val="none" w:sz="0" w:space="0" w:color="auto"/>
        <w:bottom w:val="none" w:sz="0" w:space="0" w:color="auto"/>
        <w:right w:val="none" w:sz="0" w:space="0" w:color="auto"/>
      </w:divBdr>
    </w:div>
    <w:div w:id="806243653">
      <w:bodyDiv w:val="1"/>
      <w:marLeft w:val="0"/>
      <w:marRight w:val="0"/>
      <w:marTop w:val="0"/>
      <w:marBottom w:val="0"/>
      <w:divBdr>
        <w:top w:val="none" w:sz="0" w:space="0" w:color="auto"/>
        <w:left w:val="none" w:sz="0" w:space="0" w:color="auto"/>
        <w:bottom w:val="none" w:sz="0" w:space="0" w:color="auto"/>
        <w:right w:val="none" w:sz="0" w:space="0" w:color="auto"/>
      </w:divBdr>
      <w:divsChild>
        <w:div w:id="287007609">
          <w:marLeft w:val="547"/>
          <w:marRight w:val="0"/>
          <w:marTop w:val="0"/>
          <w:marBottom w:val="0"/>
          <w:divBdr>
            <w:top w:val="none" w:sz="0" w:space="0" w:color="auto"/>
            <w:left w:val="none" w:sz="0" w:space="0" w:color="auto"/>
            <w:bottom w:val="none" w:sz="0" w:space="0" w:color="auto"/>
            <w:right w:val="none" w:sz="0" w:space="0" w:color="auto"/>
          </w:divBdr>
        </w:div>
        <w:div w:id="207375904">
          <w:marLeft w:val="547"/>
          <w:marRight w:val="0"/>
          <w:marTop w:val="0"/>
          <w:marBottom w:val="0"/>
          <w:divBdr>
            <w:top w:val="none" w:sz="0" w:space="0" w:color="auto"/>
            <w:left w:val="none" w:sz="0" w:space="0" w:color="auto"/>
            <w:bottom w:val="none" w:sz="0" w:space="0" w:color="auto"/>
            <w:right w:val="none" w:sz="0" w:space="0" w:color="auto"/>
          </w:divBdr>
        </w:div>
        <w:div w:id="417018129">
          <w:marLeft w:val="547"/>
          <w:marRight w:val="0"/>
          <w:marTop w:val="0"/>
          <w:marBottom w:val="0"/>
          <w:divBdr>
            <w:top w:val="none" w:sz="0" w:space="0" w:color="auto"/>
            <w:left w:val="none" w:sz="0" w:space="0" w:color="auto"/>
            <w:bottom w:val="none" w:sz="0" w:space="0" w:color="auto"/>
            <w:right w:val="none" w:sz="0" w:space="0" w:color="auto"/>
          </w:divBdr>
        </w:div>
        <w:div w:id="747969983">
          <w:marLeft w:val="547"/>
          <w:marRight w:val="0"/>
          <w:marTop w:val="0"/>
          <w:marBottom w:val="0"/>
          <w:divBdr>
            <w:top w:val="none" w:sz="0" w:space="0" w:color="auto"/>
            <w:left w:val="none" w:sz="0" w:space="0" w:color="auto"/>
            <w:bottom w:val="none" w:sz="0" w:space="0" w:color="auto"/>
            <w:right w:val="none" w:sz="0" w:space="0" w:color="auto"/>
          </w:divBdr>
        </w:div>
        <w:div w:id="2092462549">
          <w:marLeft w:val="547"/>
          <w:marRight w:val="0"/>
          <w:marTop w:val="0"/>
          <w:marBottom w:val="0"/>
          <w:divBdr>
            <w:top w:val="none" w:sz="0" w:space="0" w:color="auto"/>
            <w:left w:val="none" w:sz="0" w:space="0" w:color="auto"/>
            <w:bottom w:val="none" w:sz="0" w:space="0" w:color="auto"/>
            <w:right w:val="none" w:sz="0" w:space="0" w:color="auto"/>
          </w:divBdr>
        </w:div>
      </w:divsChild>
    </w:div>
    <w:div w:id="871111155">
      <w:bodyDiv w:val="1"/>
      <w:marLeft w:val="0"/>
      <w:marRight w:val="0"/>
      <w:marTop w:val="0"/>
      <w:marBottom w:val="0"/>
      <w:divBdr>
        <w:top w:val="none" w:sz="0" w:space="0" w:color="auto"/>
        <w:left w:val="none" w:sz="0" w:space="0" w:color="auto"/>
        <w:bottom w:val="none" w:sz="0" w:space="0" w:color="auto"/>
        <w:right w:val="none" w:sz="0" w:space="0" w:color="auto"/>
      </w:divBdr>
      <w:divsChild>
        <w:div w:id="1156455924">
          <w:marLeft w:val="547"/>
          <w:marRight w:val="0"/>
          <w:marTop w:val="0"/>
          <w:marBottom w:val="0"/>
          <w:divBdr>
            <w:top w:val="none" w:sz="0" w:space="0" w:color="auto"/>
            <w:left w:val="none" w:sz="0" w:space="0" w:color="auto"/>
            <w:bottom w:val="none" w:sz="0" w:space="0" w:color="auto"/>
            <w:right w:val="none" w:sz="0" w:space="0" w:color="auto"/>
          </w:divBdr>
        </w:div>
        <w:div w:id="711928309">
          <w:marLeft w:val="547"/>
          <w:marRight w:val="0"/>
          <w:marTop w:val="0"/>
          <w:marBottom w:val="0"/>
          <w:divBdr>
            <w:top w:val="none" w:sz="0" w:space="0" w:color="auto"/>
            <w:left w:val="none" w:sz="0" w:space="0" w:color="auto"/>
            <w:bottom w:val="none" w:sz="0" w:space="0" w:color="auto"/>
            <w:right w:val="none" w:sz="0" w:space="0" w:color="auto"/>
          </w:divBdr>
        </w:div>
        <w:div w:id="314183716">
          <w:marLeft w:val="547"/>
          <w:marRight w:val="0"/>
          <w:marTop w:val="0"/>
          <w:marBottom w:val="0"/>
          <w:divBdr>
            <w:top w:val="none" w:sz="0" w:space="0" w:color="auto"/>
            <w:left w:val="none" w:sz="0" w:space="0" w:color="auto"/>
            <w:bottom w:val="none" w:sz="0" w:space="0" w:color="auto"/>
            <w:right w:val="none" w:sz="0" w:space="0" w:color="auto"/>
          </w:divBdr>
        </w:div>
        <w:div w:id="1468280451">
          <w:marLeft w:val="547"/>
          <w:marRight w:val="0"/>
          <w:marTop w:val="0"/>
          <w:marBottom w:val="0"/>
          <w:divBdr>
            <w:top w:val="none" w:sz="0" w:space="0" w:color="auto"/>
            <w:left w:val="none" w:sz="0" w:space="0" w:color="auto"/>
            <w:bottom w:val="none" w:sz="0" w:space="0" w:color="auto"/>
            <w:right w:val="none" w:sz="0" w:space="0" w:color="auto"/>
          </w:divBdr>
        </w:div>
        <w:div w:id="907421740">
          <w:marLeft w:val="547"/>
          <w:marRight w:val="0"/>
          <w:marTop w:val="0"/>
          <w:marBottom w:val="0"/>
          <w:divBdr>
            <w:top w:val="none" w:sz="0" w:space="0" w:color="auto"/>
            <w:left w:val="none" w:sz="0" w:space="0" w:color="auto"/>
            <w:bottom w:val="none" w:sz="0" w:space="0" w:color="auto"/>
            <w:right w:val="none" w:sz="0" w:space="0" w:color="auto"/>
          </w:divBdr>
        </w:div>
      </w:divsChild>
    </w:div>
    <w:div w:id="894005613">
      <w:bodyDiv w:val="1"/>
      <w:marLeft w:val="0"/>
      <w:marRight w:val="0"/>
      <w:marTop w:val="0"/>
      <w:marBottom w:val="0"/>
      <w:divBdr>
        <w:top w:val="none" w:sz="0" w:space="0" w:color="auto"/>
        <w:left w:val="none" w:sz="0" w:space="0" w:color="auto"/>
        <w:bottom w:val="none" w:sz="0" w:space="0" w:color="auto"/>
        <w:right w:val="none" w:sz="0" w:space="0" w:color="auto"/>
      </w:divBdr>
      <w:divsChild>
        <w:div w:id="1854218465">
          <w:marLeft w:val="547"/>
          <w:marRight w:val="0"/>
          <w:marTop w:val="0"/>
          <w:marBottom w:val="0"/>
          <w:divBdr>
            <w:top w:val="none" w:sz="0" w:space="0" w:color="auto"/>
            <w:left w:val="none" w:sz="0" w:space="0" w:color="auto"/>
            <w:bottom w:val="none" w:sz="0" w:space="0" w:color="auto"/>
            <w:right w:val="none" w:sz="0" w:space="0" w:color="auto"/>
          </w:divBdr>
        </w:div>
        <w:div w:id="95054056">
          <w:marLeft w:val="547"/>
          <w:marRight w:val="0"/>
          <w:marTop w:val="0"/>
          <w:marBottom w:val="0"/>
          <w:divBdr>
            <w:top w:val="none" w:sz="0" w:space="0" w:color="auto"/>
            <w:left w:val="none" w:sz="0" w:space="0" w:color="auto"/>
            <w:bottom w:val="none" w:sz="0" w:space="0" w:color="auto"/>
            <w:right w:val="none" w:sz="0" w:space="0" w:color="auto"/>
          </w:divBdr>
        </w:div>
        <w:div w:id="1395010005">
          <w:marLeft w:val="547"/>
          <w:marRight w:val="0"/>
          <w:marTop w:val="0"/>
          <w:marBottom w:val="0"/>
          <w:divBdr>
            <w:top w:val="none" w:sz="0" w:space="0" w:color="auto"/>
            <w:left w:val="none" w:sz="0" w:space="0" w:color="auto"/>
            <w:bottom w:val="none" w:sz="0" w:space="0" w:color="auto"/>
            <w:right w:val="none" w:sz="0" w:space="0" w:color="auto"/>
          </w:divBdr>
        </w:div>
        <w:div w:id="1015885969">
          <w:marLeft w:val="547"/>
          <w:marRight w:val="0"/>
          <w:marTop w:val="0"/>
          <w:marBottom w:val="0"/>
          <w:divBdr>
            <w:top w:val="none" w:sz="0" w:space="0" w:color="auto"/>
            <w:left w:val="none" w:sz="0" w:space="0" w:color="auto"/>
            <w:bottom w:val="none" w:sz="0" w:space="0" w:color="auto"/>
            <w:right w:val="none" w:sz="0" w:space="0" w:color="auto"/>
          </w:divBdr>
        </w:div>
      </w:divsChild>
    </w:div>
    <w:div w:id="904025789">
      <w:bodyDiv w:val="1"/>
      <w:marLeft w:val="0"/>
      <w:marRight w:val="0"/>
      <w:marTop w:val="0"/>
      <w:marBottom w:val="0"/>
      <w:divBdr>
        <w:top w:val="none" w:sz="0" w:space="0" w:color="auto"/>
        <w:left w:val="none" w:sz="0" w:space="0" w:color="auto"/>
        <w:bottom w:val="none" w:sz="0" w:space="0" w:color="auto"/>
        <w:right w:val="none" w:sz="0" w:space="0" w:color="auto"/>
      </w:divBdr>
    </w:div>
    <w:div w:id="917980241">
      <w:bodyDiv w:val="1"/>
      <w:marLeft w:val="0"/>
      <w:marRight w:val="0"/>
      <w:marTop w:val="0"/>
      <w:marBottom w:val="0"/>
      <w:divBdr>
        <w:top w:val="none" w:sz="0" w:space="0" w:color="auto"/>
        <w:left w:val="none" w:sz="0" w:space="0" w:color="auto"/>
        <w:bottom w:val="none" w:sz="0" w:space="0" w:color="auto"/>
        <w:right w:val="none" w:sz="0" w:space="0" w:color="auto"/>
      </w:divBdr>
    </w:div>
    <w:div w:id="936986048">
      <w:bodyDiv w:val="1"/>
      <w:marLeft w:val="0"/>
      <w:marRight w:val="0"/>
      <w:marTop w:val="0"/>
      <w:marBottom w:val="0"/>
      <w:divBdr>
        <w:top w:val="none" w:sz="0" w:space="0" w:color="auto"/>
        <w:left w:val="none" w:sz="0" w:space="0" w:color="auto"/>
        <w:bottom w:val="none" w:sz="0" w:space="0" w:color="auto"/>
        <w:right w:val="none" w:sz="0" w:space="0" w:color="auto"/>
      </w:divBdr>
    </w:div>
    <w:div w:id="938290157">
      <w:bodyDiv w:val="1"/>
      <w:marLeft w:val="0"/>
      <w:marRight w:val="0"/>
      <w:marTop w:val="0"/>
      <w:marBottom w:val="0"/>
      <w:divBdr>
        <w:top w:val="none" w:sz="0" w:space="0" w:color="auto"/>
        <w:left w:val="none" w:sz="0" w:space="0" w:color="auto"/>
        <w:bottom w:val="none" w:sz="0" w:space="0" w:color="auto"/>
        <w:right w:val="none" w:sz="0" w:space="0" w:color="auto"/>
      </w:divBdr>
      <w:divsChild>
        <w:div w:id="1940916133">
          <w:marLeft w:val="0"/>
          <w:marRight w:val="0"/>
          <w:marTop w:val="0"/>
          <w:marBottom w:val="0"/>
          <w:divBdr>
            <w:top w:val="none" w:sz="0" w:space="0" w:color="auto"/>
            <w:left w:val="none" w:sz="0" w:space="0" w:color="auto"/>
            <w:bottom w:val="none" w:sz="0" w:space="0" w:color="auto"/>
            <w:right w:val="none" w:sz="0" w:space="0" w:color="auto"/>
          </w:divBdr>
        </w:div>
        <w:div w:id="1322780316">
          <w:marLeft w:val="0"/>
          <w:marRight w:val="0"/>
          <w:marTop w:val="0"/>
          <w:marBottom w:val="0"/>
          <w:divBdr>
            <w:top w:val="none" w:sz="0" w:space="0" w:color="auto"/>
            <w:left w:val="none" w:sz="0" w:space="0" w:color="auto"/>
            <w:bottom w:val="none" w:sz="0" w:space="0" w:color="auto"/>
            <w:right w:val="none" w:sz="0" w:space="0" w:color="auto"/>
          </w:divBdr>
        </w:div>
        <w:div w:id="541552675">
          <w:marLeft w:val="0"/>
          <w:marRight w:val="0"/>
          <w:marTop w:val="0"/>
          <w:marBottom w:val="0"/>
          <w:divBdr>
            <w:top w:val="none" w:sz="0" w:space="0" w:color="auto"/>
            <w:left w:val="none" w:sz="0" w:space="0" w:color="auto"/>
            <w:bottom w:val="none" w:sz="0" w:space="0" w:color="auto"/>
            <w:right w:val="none" w:sz="0" w:space="0" w:color="auto"/>
          </w:divBdr>
        </w:div>
        <w:div w:id="512302789">
          <w:marLeft w:val="0"/>
          <w:marRight w:val="0"/>
          <w:marTop w:val="0"/>
          <w:marBottom w:val="0"/>
          <w:divBdr>
            <w:top w:val="none" w:sz="0" w:space="0" w:color="auto"/>
            <w:left w:val="none" w:sz="0" w:space="0" w:color="auto"/>
            <w:bottom w:val="none" w:sz="0" w:space="0" w:color="auto"/>
            <w:right w:val="none" w:sz="0" w:space="0" w:color="auto"/>
          </w:divBdr>
        </w:div>
        <w:div w:id="1942181891">
          <w:marLeft w:val="0"/>
          <w:marRight w:val="0"/>
          <w:marTop w:val="0"/>
          <w:marBottom w:val="0"/>
          <w:divBdr>
            <w:top w:val="none" w:sz="0" w:space="0" w:color="auto"/>
            <w:left w:val="none" w:sz="0" w:space="0" w:color="auto"/>
            <w:bottom w:val="none" w:sz="0" w:space="0" w:color="auto"/>
            <w:right w:val="none" w:sz="0" w:space="0" w:color="auto"/>
          </w:divBdr>
        </w:div>
        <w:div w:id="339430593">
          <w:marLeft w:val="0"/>
          <w:marRight w:val="0"/>
          <w:marTop w:val="0"/>
          <w:marBottom w:val="0"/>
          <w:divBdr>
            <w:top w:val="none" w:sz="0" w:space="0" w:color="auto"/>
            <w:left w:val="none" w:sz="0" w:space="0" w:color="auto"/>
            <w:bottom w:val="none" w:sz="0" w:space="0" w:color="auto"/>
            <w:right w:val="none" w:sz="0" w:space="0" w:color="auto"/>
          </w:divBdr>
        </w:div>
        <w:div w:id="394204601">
          <w:marLeft w:val="0"/>
          <w:marRight w:val="0"/>
          <w:marTop w:val="0"/>
          <w:marBottom w:val="0"/>
          <w:divBdr>
            <w:top w:val="none" w:sz="0" w:space="0" w:color="auto"/>
            <w:left w:val="none" w:sz="0" w:space="0" w:color="auto"/>
            <w:bottom w:val="none" w:sz="0" w:space="0" w:color="auto"/>
            <w:right w:val="none" w:sz="0" w:space="0" w:color="auto"/>
          </w:divBdr>
        </w:div>
        <w:div w:id="1711106033">
          <w:marLeft w:val="0"/>
          <w:marRight w:val="0"/>
          <w:marTop w:val="0"/>
          <w:marBottom w:val="0"/>
          <w:divBdr>
            <w:top w:val="none" w:sz="0" w:space="0" w:color="auto"/>
            <w:left w:val="none" w:sz="0" w:space="0" w:color="auto"/>
            <w:bottom w:val="none" w:sz="0" w:space="0" w:color="auto"/>
            <w:right w:val="none" w:sz="0" w:space="0" w:color="auto"/>
          </w:divBdr>
        </w:div>
      </w:divsChild>
    </w:div>
    <w:div w:id="966858667">
      <w:bodyDiv w:val="1"/>
      <w:marLeft w:val="0"/>
      <w:marRight w:val="0"/>
      <w:marTop w:val="0"/>
      <w:marBottom w:val="0"/>
      <w:divBdr>
        <w:top w:val="none" w:sz="0" w:space="0" w:color="auto"/>
        <w:left w:val="none" w:sz="0" w:space="0" w:color="auto"/>
        <w:bottom w:val="none" w:sz="0" w:space="0" w:color="auto"/>
        <w:right w:val="none" w:sz="0" w:space="0" w:color="auto"/>
      </w:divBdr>
    </w:div>
    <w:div w:id="983195805">
      <w:bodyDiv w:val="1"/>
      <w:marLeft w:val="0"/>
      <w:marRight w:val="0"/>
      <w:marTop w:val="0"/>
      <w:marBottom w:val="0"/>
      <w:divBdr>
        <w:top w:val="none" w:sz="0" w:space="0" w:color="auto"/>
        <w:left w:val="none" w:sz="0" w:space="0" w:color="auto"/>
        <w:bottom w:val="none" w:sz="0" w:space="0" w:color="auto"/>
        <w:right w:val="none" w:sz="0" w:space="0" w:color="auto"/>
      </w:divBdr>
      <w:divsChild>
        <w:div w:id="62335126">
          <w:marLeft w:val="547"/>
          <w:marRight w:val="0"/>
          <w:marTop w:val="0"/>
          <w:marBottom w:val="0"/>
          <w:divBdr>
            <w:top w:val="none" w:sz="0" w:space="0" w:color="auto"/>
            <w:left w:val="none" w:sz="0" w:space="0" w:color="auto"/>
            <w:bottom w:val="none" w:sz="0" w:space="0" w:color="auto"/>
            <w:right w:val="none" w:sz="0" w:space="0" w:color="auto"/>
          </w:divBdr>
        </w:div>
        <w:div w:id="212236262">
          <w:marLeft w:val="547"/>
          <w:marRight w:val="0"/>
          <w:marTop w:val="0"/>
          <w:marBottom w:val="0"/>
          <w:divBdr>
            <w:top w:val="none" w:sz="0" w:space="0" w:color="auto"/>
            <w:left w:val="none" w:sz="0" w:space="0" w:color="auto"/>
            <w:bottom w:val="none" w:sz="0" w:space="0" w:color="auto"/>
            <w:right w:val="none" w:sz="0" w:space="0" w:color="auto"/>
          </w:divBdr>
        </w:div>
        <w:div w:id="2143188759">
          <w:marLeft w:val="547"/>
          <w:marRight w:val="0"/>
          <w:marTop w:val="0"/>
          <w:marBottom w:val="0"/>
          <w:divBdr>
            <w:top w:val="none" w:sz="0" w:space="0" w:color="auto"/>
            <w:left w:val="none" w:sz="0" w:space="0" w:color="auto"/>
            <w:bottom w:val="none" w:sz="0" w:space="0" w:color="auto"/>
            <w:right w:val="none" w:sz="0" w:space="0" w:color="auto"/>
          </w:divBdr>
        </w:div>
        <w:div w:id="1063333330">
          <w:marLeft w:val="547"/>
          <w:marRight w:val="0"/>
          <w:marTop w:val="0"/>
          <w:marBottom w:val="0"/>
          <w:divBdr>
            <w:top w:val="none" w:sz="0" w:space="0" w:color="auto"/>
            <w:left w:val="none" w:sz="0" w:space="0" w:color="auto"/>
            <w:bottom w:val="none" w:sz="0" w:space="0" w:color="auto"/>
            <w:right w:val="none" w:sz="0" w:space="0" w:color="auto"/>
          </w:divBdr>
        </w:div>
        <w:div w:id="612397210">
          <w:marLeft w:val="547"/>
          <w:marRight w:val="0"/>
          <w:marTop w:val="0"/>
          <w:marBottom w:val="0"/>
          <w:divBdr>
            <w:top w:val="none" w:sz="0" w:space="0" w:color="auto"/>
            <w:left w:val="none" w:sz="0" w:space="0" w:color="auto"/>
            <w:bottom w:val="none" w:sz="0" w:space="0" w:color="auto"/>
            <w:right w:val="none" w:sz="0" w:space="0" w:color="auto"/>
          </w:divBdr>
        </w:div>
        <w:div w:id="608506428">
          <w:marLeft w:val="547"/>
          <w:marRight w:val="0"/>
          <w:marTop w:val="0"/>
          <w:marBottom w:val="0"/>
          <w:divBdr>
            <w:top w:val="none" w:sz="0" w:space="0" w:color="auto"/>
            <w:left w:val="none" w:sz="0" w:space="0" w:color="auto"/>
            <w:bottom w:val="none" w:sz="0" w:space="0" w:color="auto"/>
            <w:right w:val="none" w:sz="0" w:space="0" w:color="auto"/>
          </w:divBdr>
        </w:div>
        <w:div w:id="347175686">
          <w:marLeft w:val="547"/>
          <w:marRight w:val="0"/>
          <w:marTop w:val="0"/>
          <w:marBottom w:val="0"/>
          <w:divBdr>
            <w:top w:val="none" w:sz="0" w:space="0" w:color="auto"/>
            <w:left w:val="none" w:sz="0" w:space="0" w:color="auto"/>
            <w:bottom w:val="none" w:sz="0" w:space="0" w:color="auto"/>
            <w:right w:val="none" w:sz="0" w:space="0" w:color="auto"/>
          </w:divBdr>
        </w:div>
      </w:divsChild>
    </w:div>
    <w:div w:id="1022169735">
      <w:bodyDiv w:val="1"/>
      <w:marLeft w:val="0"/>
      <w:marRight w:val="0"/>
      <w:marTop w:val="0"/>
      <w:marBottom w:val="0"/>
      <w:divBdr>
        <w:top w:val="none" w:sz="0" w:space="0" w:color="auto"/>
        <w:left w:val="none" w:sz="0" w:space="0" w:color="auto"/>
        <w:bottom w:val="none" w:sz="0" w:space="0" w:color="auto"/>
        <w:right w:val="none" w:sz="0" w:space="0" w:color="auto"/>
      </w:divBdr>
      <w:divsChild>
        <w:div w:id="310061741">
          <w:marLeft w:val="547"/>
          <w:marRight w:val="0"/>
          <w:marTop w:val="0"/>
          <w:marBottom w:val="0"/>
          <w:divBdr>
            <w:top w:val="none" w:sz="0" w:space="0" w:color="auto"/>
            <w:left w:val="none" w:sz="0" w:space="0" w:color="auto"/>
            <w:bottom w:val="none" w:sz="0" w:space="0" w:color="auto"/>
            <w:right w:val="none" w:sz="0" w:space="0" w:color="auto"/>
          </w:divBdr>
        </w:div>
        <w:div w:id="787774386">
          <w:marLeft w:val="547"/>
          <w:marRight w:val="0"/>
          <w:marTop w:val="0"/>
          <w:marBottom w:val="0"/>
          <w:divBdr>
            <w:top w:val="none" w:sz="0" w:space="0" w:color="auto"/>
            <w:left w:val="none" w:sz="0" w:space="0" w:color="auto"/>
            <w:bottom w:val="none" w:sz="0" w:space="0" w:color="auto"/>
            <w:right w:val="none" w:sz="0" w:space="0" w:color="auto"/>
          </w:divBdr>
        </w:div>
        <w:div w:id="1190795103">
          <w:marLeft w:val="547"/>
          <w:marRight w:val="0"/>
          <w:marTop w:val="0"/>
          <w:marBottom w:val="0"/>
          <w:divBdr>
            <w:top w:val="none" w:sz="0" w:space="0" w:color="auto"/>
            <w:left w:val="none" w:sz="0" w:space="0" w:color="auto"/>
            <w:bottom w:val="none" w:sz="0" w:space="0" w:color="auto"/>
            <w:right w:val="none" w:sz="0" w:space="0" w:color="auto"/>
          </w:divBdr>
        </w:div>
        <w:div w:id="1313220379">
          <w:marLeft w:val="547"/>
          <w:marRight w:val="0"/>
          <w:marTop w:val="0"/>
          <w:marBottom w:val="0"/>
          <w:divBdr>
            <w:top w:val="none" w:sz="0" w:space="0" w:color="auto"/>
            <w:left w:val="none" w:sz="0" w:space="0" w:color="auto"/>
            <w:bottom w:val="none" w:sz="0" w:space="0" w:color="auto"/>
            <w:right w:val="none" w:sz="0" w:space="0" w:color="auto"/>
          </w:divBdr>
        </w:div>
      </w:divsChild>
    </w:div>
    <w:div w:id="1069767071">
      <w:bodyDiv w:val="1"/>
      <w:marLeft w:val="0"/>
      <w:marRight w:val="0"/>
      <w:marTop w:val="0"/>
      <w:marBottom w:val="0"/>
      <w:divBdr>
        <w:top w:val="none" w:sz="0" w:space="0" w:color="auto"/>
        <w:left w:val="none" w:sz="0" w:space="0" w:color="auto"/>
        <w:bottom w:val="none" w:sz="0" w:space="0" w:color="auto"/>
        <w:right w:val="none" w:sz="0" w:space="0" w:color="auto"/>
      </w:divBdr>
      <w:divsChild>
        <w:div w:id="1637250298">
          <w:marLeft w:val="547"/>
          <w:marRight w:val="0"/>
          <w:marTop w:val="0"/>
          <w:marBottom w:val="0"/>
          <w:divBdr>
            <w:top w:val="none" w:sz="0" w:space="0" w:color="auto"/>
            <w:left w:val="none" w:sz="0" w:space="0" w:color="auto"/>
            <w:bottom w:val="none" w:sz="0" w:space="0" w:color="auto"/>
            <w:right w:val="none" w:sz="0" w:space="0" w:color="auto"/>
          </w:divBdr>
        </w:div>
        <w:div w:id="1435860796">
          <w:marLeft w:val="547"/>
          <w:marRight w:val="0"/>
          <w:marTop w:val="0"/>
          <w:marBottom w:val="0"/>
          <w:divBdr>
            <w:top w:val="none" w:sz="0" w:space="0" w:color="auto"/>
            <w:left w:val="none" w:sz="0" w:space="0" w:color="auto"/>
            <w:bottom w:val="none" w:sz="0" w:space="0" w:color="auto"/>
            <w:right w:val="none" w:sz="0" w:space="0" w:color="auto"/>
          </w:divBdr>
        </w:div>
        <w:div w:id="911428768">
          <w:marLeft w:val="547"/>
          <w:marRight w:val="0"/>
          <w:marTop w:val="0"/>
          <w:marBottom w:val="0"/>
          <w:divBdr>
            <w:top w:val="none" w:sz="0" w:space="0" w:color="auto"/>
            <w:left w:val="none" w:sz="0" w:space="0" w:color="auto"/>
            <w:bottom w:val="none" w:sz="0" w:space="0" w:color="auto"/>
            <w:right w:val="none" w:sz="0" w:space="0" w:color="auto"/>
          </w:divBdr>
        </w:div>
        <w:div w:id="804389545">
          <w:marLeft w:val="547"/>
          <w:marRight w:val="0"/>
          <w:marTop w:val="0"/>
          <w:marBottom w:val="0"/>
          <w:divBdr>
            <w:top w:val="none" w:sz="0" w:space="0" w:color="auto"/>
            <w:left w:val="none" w:sz="0" w:space="0" w:color="auto"/>
            <w:bottom w:val="none" w:sz="0" w:space="0" w:color="auto"/>
            <w:right w:val="none" w:sz="0" w:space="0" w:color="auto"/>
          </w:divBdr>
        </w:div>
        <w:div w:id="1516656454">
          <w:marLeft w:val="547"/>
          <w:marRight w:val="0"/>
          <w:marTop w:val="0"/>
          <w:marBottom w:val="0"/>
          <w:divBdr>
            <w:top w:val="none" w:sz="0" w:space="0" w:color="auto"/>
            <w:left w:val="none" w:sz="0" w:space="0" w:color="auto"/>
            <w:bottom w:val="none" w:sz="0" w:space="0" w:color="auto"/>
            <w:right w:val="none" w:sz="0" w:space="0" w:color="auto"/>
          </w:divBdr>
        </w:div>
      </w:divsChild>
    </w:div>
    <w:div w:id="1106197757">
      <w:bodyDiv w:val="1"/>
      <w:marLeft w:val="0"/>
      <w:marRight w:val="0"/>
      <w:marTop w:val="0"/>
      <w:marBottom w:val="0"/>
      <w:divBdr>
        <w:top w:val="none" w:sz="0" w:space="0" w:color="auto"/>
        <w:left w:val="none" w:sz="0" w:space="0" w:color="auto"/>
        <w:bottom w:val="none" w:sz="0" w:space="0" w:color="auto"/>
        <w:right w:val="none" w:sz="0" w:space="0" w:color="auto"/>
      </w:divBdr>
      <w:divsChild>
        <w:div w:id="1305694391">
          <w:marLeft w:val="547"/>
          <w:marRight w:val="0"/>
          <w:marTop w:val="0"/>
          <w:marBottom w:val="0"/>
          <w:divBdr>
            <w:top w:val="none" w:sz="0" w:space="0" w:color="auto"/>
            <w:left w:val="none" w:sz="0" w:space="0" w:color="auto"/>
            <w:bottom w:val="none" w:sz="0" w:space="0" w:color="auto"/>
            <w:right w:val="none" w:sz="0" w:space="0" w:color="auto"/>
          </w:divBdr>
        </w:div>
        <w:div w:id="1668509454">
          <w:marLeft w:val="547"/>
          <w:marRight w:val="0"/>
          <w:marTop w:val="0"/>
          <w:marBottom w:val="0"/>
          <w:divBdr>
            <w:top w:val="none" w:sz="0" w:space="0" w:color="auto"/>
            <w:left w:val="none" w:sz="0" w:space="0" w:color="auto"/>
            <w:bottom w:val="none" w:sz="0" w:space="0" w:color="auto"/>
            <w:right w:val="none" w:sz="0" w:space="0" w:color="auto"/>
          </w:divBdr>
        </w:div>
        <w:div w:id="668365014">
          <w:marLeft w:val="547"/>
          <w:marRight w:val="0"/>
          <w:marTop w:val="0"/>
          <w:marBottom w:val="0"/>
          <w:divBdr>
            <w:top w:val="none" w:sz="0" w:space="0" w:color="auto"/>
            <w:left w:val="none" w:sz="0" w:space="0" w:color="auto"/>
            <w:bottom w:val="none" w:sz="0" w:space="0" w:color="auto"/>
            <w:right w:val="none" w:sz="0" w:space="0" w:color="auto"/>
          </w:divBdr>
        </w:div>
        <w:div w:id="819080123">
          <w:marLeft w:val="547"/>
          <w:marRight w:val="0"/>
          <w:marTop w:val="0"/>
          <w:marBottom w:val="0"/>
          <w:divBdr>
            <w:top w:val="none" w:sz="0" w:space="0" w:color="auto"/>
            <w:left w:val="none" w:sz="0" w:space="0" w:color="auto"/>
            <w:bottom w:val="none" w:sz="0" w:space="0" w:color="auto"/>
            <w:right w:val="none" w:sz="0" w:space="0" w:color="auto"/>
          </w:divBdr>
        </w:div>
      </w:divsChild>
    </w:div>
    <w:div w:id="1172648685">
      <w:bodyDiv w:val="1"/>
      <w:marLeft w:val="0"/>
      <w:marRight w:val="0"/>
      <w:marTop w:val="0"/>
      <w:marBottom w:val="0"/>
      <w:divBdr>
        <w:top w:val="none" w:sz="0" w:space="0" w:color="auto"/>
        <w:left w:val="none" w:sz="0" w:space="0" w:color="auto"/>
        <w:bottom w:val="none" w:sz="0" w:space="0" w:color="auto"/>
        <w:right w:val="none" w:sz="0" w:space="0" w:color="auto"/>
      </w:divBdr>
    </w:div>
    <w:div w:id="1208833108">
      <w:bodyDiv w:val="1"/>
      <w:marLeft w:val="0"/>
      <w:marRight w:val="0"/>
      <w:marTop w:val="0"/>
      <w:marBottom w:val="0"/>
      <w:divBdr>
        <w:top w:val="none" w:sz="0" w:space="0" w:color="auto"/>
        <w:left w:val="none" w:sz="0" w:space="0" w:color="auto"/>
        <w:bottom w:val="none" w:sz="0" w:space="0" w:color="auto"/>
        <w:right w:val="none" w:sz="0" w:space="0" w:color="auto"/>
      </w:divBdr>
      <w:divsChild>
        <w:div w:id="1929119840">
          <w:marLeft w:val="547"/>
          <w:marRight w:val="0"/>
          <w:marTop w:val="0"/>
          <w:marBottom w:val="0"/>
          <w:divBdr>
            <w:top w:val="none" w:sz="0" w:space="0" w:color="auto"/>
            <w:left w:val="none" w:sz="0" w:space="0" w:color="auto"/>
            <w:bottom w:val="none" w:sz="0" w:space="0" w:color="auto"/>
            <w:right w:val="none" w:sz="0" w:space="0" w:color="auto"/>
          </w:divBdr>
        </w:div>
        <w:div w:id="115755845">
          <w:marLeft w:val="547"/>
          <w:marRight w:val="0"/>
          <w:marTop w:val="0"/>
          <w:marBottom w:val="0"/>
          <w:divBdr>
            <w:top w:val="none" w:sz="0" w:space="0" w:color="auto"/>
            <w:left w:val="none" w:sz="0" w:space="0" w:color="auto"/>
            <w:bottom w:val="none" w:sz="0" w:space="0" w:color="auto"/>
            <w:right w:val="none" w:sz="0" w:space="0" w:color="auto"/>
          </w:divBdr>
        </w:div>
        <w:div w:id="2093429343">
          <w:marLeft w:val="547"/>
          <w:marRight w:val="0"/>
          <w:marTop w:val="0"/>
          <w:marBottom w:val="0"/>
          <w:divBdr>
            <w:top w:val="none" w:sz="0" w:space="0" w:color="auto"/>
            <w:left w:val="none" w:sz="0" w:space="0" w:color="auto"/>
            <w:bottom w:val="none" w:sz="0" w:space="0" w:color="auto"/>
            <w:right w:val="none" w:sz="0" w:space="0" w:color="auto"/>
          </w:divBdr>
        </w:div>
        <w:div w:id="1102603326">
          <w:marLeft w:val="547"/>
          <w:marRight w:val="0"/>
          <w:marTop w:val="0"/>
          <w:marBottom w:val="0"/>
          <w:divBdr>
            <w:top w:val="none" w:sz="0" w:space="0" w:color="auto"/>
            <w:left w:val="none" w:sz="0" w:space="0" w:color="auto"/>
            <w:bottom w:val="none" w:sz="0" w:space="0" w:color="auto"/>
            <w:right w:val="none" w:sz="0" w:space="0" w:color="auto"/>
          </w:divBdr>
        </w:div>
        <w:div w:id="1149322357">
          <w:marLeft w:val="547"/>
          <w:marRight w:val="0"/>
          <w:marTop w:val="0"/>
          <w:marBottom w:val="0"/>
          <w:divBdr>
            <w:top w:val="none" w:sz="0" w:space="0" w:color="auto"/>
            <w:left w:val="none" w:sz="0" w:space="0" w:color="auto"/>
            <w:bottom w:val="none" w:sz="0" w:space="0" w:color="auto"/>
            <w:right w:val="none" w:sz="0" w:space="0" w:color="auto"/>
          </w:divBdr>
        </w:div>
        <w:div w:id="2093044463">
          <w:marLeft w:val="547"/>
          <w:marRight w:val="0"/>
          <w:marTop w:val="0"/>
          <w:marBottom w:val="0"/>
          <w:divBdr>
            <w:top w:val="none" w:sz="0" w:space="0" w:color="auto"/>
            <w:left w:val="none" w:sz="0" w:space="0" w:color="auto"/>
            <w:bottom w:val="none" w:sz="0" w:space="0" w:color="auto"/>
            <w:right w:val="none" w:sz="0" w:space="0" w:color="auto"/>
          </w:divBdr>
        </w:div>
      </w:divsChild>
    </w:div>
    <w:div w:id="1250651732">
      <w:bodyDiv w:val="1"/>
      <w:marLeft w:val="0"/>
      <w:marRight w:val="0"/>
      <w:marTop w:val="0"/>
      <w:marBottom w:val="0"/>
      <w:divBdr>
        <w:top w:val="none" w:sz="0" w:space="0" w:color="auto"/>
        <w:left w:val="none" w:sz="0" w:space="0" w:color="auto"/>
        <w:bottom w:val="none" w:sz="0" w:space="0" w:color="auto"/>
        <w:right w:val="none" w:sz="0" w:space="0" w:color="auto"/>
      </w:divBdr>
      <w:divsChild>
        <w:div w:id="1467817383">
          <w:marLeft w:val="547"/>
          <w:marRight w:val="0"/>
          <w:marTop w:val="0"/>
          <w:marBottom w:val="0"/>
          <w:divBdr>
            <w:top w:val="none" w:sz="0" w:space="0" w:color="auto"/>
            <w:left w:val="none" w:sz="0" w:space="0" w:color="auto"/>
            <w:bottom w:val="none" w:sz="0" w:space="0" w:color="auto"/>
            <w:right w:val="none" w:sz="0" w:space="0" w:color="auto"/>
          </w:divBdr>
        </w:div>
        <w:div w:id="2097240914">
          <w:marLeft w:val="547"/>
          <w:marRight w:val="0"/>
          <w:marTop w:val="0"/>
          <w:marBottom w:val="0"/>
          <w:divBdr>
            <w:top w:val="none" w:sz="0" w:space="0" w:color="auto"/>
            <w:left w:val="none" w:sz="0" w:space="0" w:color="auto"/>
            <w:bottom w:val="none" w:sz="0" w:space="0" w:color="auto"/>
            <w:right w:val="none" w:sz="0" w:space="0" w:color="auto"/>
          </w:divBdr>
        </w:div>
        <w:div w:id="223688562">
          <w:marLeft w:val="547"/>
          <w:marRight w:val="0"/>
          <w:marTop w:val="0"/>
          <w:marBottom w:val="0"/>
          <w:divBdr>
            <w:top w:val="none" w:sz="0" w:space="0" w:color="auto"/>
            <w:left w:val="none" w:sz="0" w:space="0" w:color="auto"/>
            <w:bottom w:val="none" w:sz="0" w:space="0" w:color="auto"/>
            <w:right w:val="none" w:sz="0" w:space="0" w:color="auto"/>
          </w:divBdr>
        </w:div>
        <w:div w:id="1250391227">
          <w:marLeft w:val="547"/>
          <w:marRight w:val="0"/>
          <w:marTop w:val="0"/>
          <w:marBottom w:val="0"/>
          <w:divBdr>
            <w:top w:val="none" w:sz="0" w:space="0" w:color="auto"/>
            <w:left w:val="none" w:sz="0" w:space="0" w:color="auto"/>
            <w:bottom w:val="none" w:sz="0" w:space="0" w:color="auto"/>
            <w:right w:val="none" w:sz="0" w:space="0" w:color="auto"/>
          </w:divBdr>
        </w:div>
        <w:div w:id="1190878084">
          <w:marLeft w:val="547"/>
          <w:marRight w:val="0"/>
          <w:marTop w:val="0"/>
          <w:marBottom w:val="0"/>
          <w:divBdr>
            <w:top w:val="none" w:sz="0" w:space="0" w:color="auto"/>
            <w:left w:val="none" w:sz="0" w:space="0" w:color="auto"/>
            <w:bottom w:val="none" w:sz="0" w:space="0" w:color="auto"/>
            <w:right w:val="none" w:sz="0" w:space="0" w:color="auto"/>
          </w:divBdr>
        </w:div>
        <w:div w:id="732776048">
          <w:marLeft w:val="547"/>
          <w:marRight w:val="0"/>
          <w:marTop w:val="0"/>
          <w:marBottom w:val="0"/>
          <w:divBdr>
            <w:top w:val="none" w:sz="0" w:space="0" w:color="auto"/>
            <w:left w:val="none" w:sz="0" w:space="0" w:color="auto"/>
            <w:bottom w:val="none" w:sz="0" w:space="0" w:color="auto"/>
            <w:right w:val="none" w:sz="0" w:space="0" w:color="auto"/>
          </w:divBdr>
        </w:div>
      </w:divsChild>
    </w:div>
    <w:div w:id="1401827629">
      <w:bodyDiv w:val="1"/>
      <w:marLeft w:val="0"/>
      <w:marRight w:val="0"/>
      <w:marTop w:val="0"/>
      <w:marBottom w:val="0"/>
      <w:divBdr>
        <w:top w:val="none" w:sz="0" w:space="0" w:color="auto"/>
        <w:left w:val="none" w:sz="0" w:space="0" w:color="auto"/>
        <w:bottom w:val="none" w:sz="0" w:space="0" w:color="auto"/>
        <w:right w:val="none" w:sz="0" w:space="0" w:color="auto"/>
      </w:divBdr>
      <w:divsChild>
        <w:div w:id="1257010200">
          <w:marLeft w:val="547"/>
          <w:marRight w:val="0"/>
          <w:marTop w:val="0"/>
          <w:marBottom w:val="0"/>
          <w:divBdr>
            <w:top w:val="none" w:sz="0" w:space="0" w:color="auto"/>
            <w:left w:val="none" w:sz="0" w:space="0" w:color="auto"/>
            <w:bottom w:val="none" w:sz="0" w:space="0" w:color="auto"/>
            <w:right w:val="none" w:sz="0" w:space="0" w:color="auto"/>
          </w:divBdr>
        </w:div>
        <w:div w:id="555118940">
          <w:marLeft w:val="547"/>
          <w:marRight w:val="0"/>
          <w:marTop w:val="0"/>
          <w:marBottom w:val="0"/>
          <w:divBdr>
            <w:top w:val="none" w:sz="0" w:space="0" w:color="auto"/>
            <w:left w:val="none" w:sz="0" w:space="0" w:color="auto"/>
            <w:bottom w:val="none" w:sz="0" w:space="0" w:color="auto"/>
            <w:right w:val="none" w:sz="0" w:space="0" w:color="auto"/>
          </w:divBdr>
        </w:div>
        <w:div w:id="734400278">
          <w:marLeft w:val="547"/>
          <w:marRight w:val="0"/>
          <w:marTop w:val="0"/>
          <w:marBottom w:val="0"/>
          <w:divBdr>
            <w:top w:val="none" w:sz="0" w:space="0" w:color="auto"/>
            <w:left w:val="none" w:sz="0" w:space="0" w:color="auto"/>
            <w:bottom w:val="none" w:sz="0" w:space="0" w:color="auto"/>
            <w:right w:val="none" w:sz="0" w:space="0" w:color="auto"/>
          </w:divBdr>
        </w:div>
        <w:div w:id="1903251595">
          <w:marLeft w:val="547"/>
          <w:marRight w:val="0"/>
          <w:marTop w:val="0"/>
          <w:marBottom w:val="0"/>
          <w:divBdr>
            <w:top w:val="none" w:sz="0" w:space="0" w:color="auto"/>
            <w:left w:val="none" w:sz="0" w:space="0" w:color="auto"/>
            <w:bottom w:val="none" w:sz="0" w:space="0" w:color="auto"/>
            <w:right w:val="none" w:sz="0" w:space="0" w:color="auto"/>
          </w:divBdr>
        </w:div>
        <w:div w:id="1373336419">
          <w:marLeft w:val="547"/>
          <w:marRight w:val="0"/>
          <w:marTop w:val="0"/>
          <w:marBottom w:val="0"/>
          <w:divBdr>
            <w:top w:val="none" w:sz="0" w:space="0" w:color="auto"/>
            <w:left w:val="none" w:sz="0" w:space="0" w:color="auto"/>
            <w:bottom w:val="none" w:sz="0" w:space="0" w:color="auto"/>
            <w:right w:val="none" w:sz="0" w:space="0" w:color="auto"/>
          </w:divBdr>
        </w:div>
      </w:divsChild>
    </w:div>
    <w:div w:id="1417049010">
      <w:bodyDiv w:val="1"/>
      <w:marLeft w:val="0"/>
      <w:marRight w:val="0"/>
      <w:marTop w:val="0"/>
      <w:marBottom w:val="0"/>
      <w:divBdr>
        <w:top w:val="none" w:sz="0" w:space="0" w:color="auto"/>
        <w:left w:val="none" w:sz="0" w:space="0" w:color="auto"/>
        <w:bottom w:val="none" w:sz="0" w:space="0" w:color="auto"/>
        <w:right w:val="none" w:sz="0" w:space="0" w:color="auto"/>
      </w:divBdr>
      <w:divsChild>
        <w:div w:id="1281491776">
          <w:marLeft w:val="547"/>
          <w:marRight w:val="0"/>
          <w:marTop w:val="0"/>
          <w:marBottom w:val="0"/>
          <w:divBdr>
            <w:top w:val="none" w:sz="0" w:space="0" w:color="auto"/>
            <w:left w:val="none" w:sz="0" w:space="0" w:color="auto"/>
            <w:bottom w:val="none" w:sz="0" w:space="0" w:color="auto"/>
            <w:right w:val="none" w:sz="0" w:space="0" w:color="auto"/>
          </w:divBdr>
        </w:div>
        <w:div w:id="920334973">
          <w:marLeft w:val="547"/>
          <w:marRight w:val="0"/>
          <w:marTop w:val="0"/>
          <w:marBottom w:val="0"/>
          <w:divBdr>
            <w:top w:val="none" w:sz="0" w:space="0" w:color="auto"/>
            <w:left w:val="none" w:sz="0" w:space="0" w:color="auto"/>
            <w:bottom w:val="none" w:sz="0" w:space="0" w:color="auto"/>
            <w:right w:val="none" w:sz="0" w:space="0" w:color="auto"/>
          </w:divBdr>
        </w:div>
        <w:div w:id="1560894590">
          <w:marLeft w:val="547"/>
          <w:marRight w:val="0"/>
          <w:marTop w:val="0"/>
          <w:marBottom w:val="0"/>
          <w:divBdr>
            <w:top w:val="none" w:sz="0" w:space="0" w:color="auto"/>
            <w:left w:val="none" w:sz="0" w:space="0" w:color="auto"/>
            <w:bottom w:val="none" w:sz="0" w:space="0" w:color="auto"/>
            <w:right w:val="none" w:sz="0" w:space="0" w:color="auto"/>
          </w:divBdr>
        </w:div>
        <w:div w:id="686520467">
          <w:marLeft w:val="547"/>
          <w:marRight w:val="0"/>
          <w:marTop w:val="0"/>
          <w:marBottom w:val="0"/>
          <w:divBdr>
            <w:top w:val="none" w:sz="0" w:space="0" w:color="auto"/>
            <w:left w:val="none" w:sz="0" w:space="0" w:color="auto"/>
            <w:bottom w:val="none" w:sz="0" w:space="0" w:color="auto"/>
            <w:right w:val="none" w:sz="0" w:space="0" w:color="auto"/>
          </w:divBdr>
        </w:div>
      </w:divsChild>
    </w:div>
    <w:div w:id="1487431793">
      <w:bodyDiv w:val="1"/>
      <w:marLeft w:val="0"/>
      <w:marRight w:val="0"/>
      <w:marTop w:val="0"/>
      <w:marBottom w:val="0"/>
      <w:divBdr>
        <w:top w:val="none" w:sz="0" w:space="0" w:color="auto"/>
        <w:left w:val="none" w:sz="0" w:space="0" w:color="auto"/>
        <w:bottom w:val="none" w:sz="0" w:space="0" w:color="auto"/>
        <w:right w:val="none" w:sz="0" w:space="0" w:color="auto"/>
      </w:divBdr>
      <w:divsChild>
        <w:div w:id="233273148">
          <w:marLeft w:val="547"/>
          <w:marRight w:val="0"/>
          <w:marTop w:val="0"/>
          <w:marBottom w:val="0"/>
          <w:divBdr>
            <w:top w:val="none" w:sz="0" w:space="0" w:color="auto"/>
            <w:left w:val="none" w:sz="0" w:space="0" w:color="auto"/>
            <w:bottom w:val="none" w:sz="0" w:space="0" w:color="auto"/>
            <w:right w:val="none" w:sz="0" w:space="0" w:color="auto"/>
          </w:divBdr>
        </w:div>
        <w:div w:id="1714577443">
          <w:marLeft w:val="547"/>
          <w:marRight w:val="0"/>
          <w:marTop w:val="0"/>
          <w:marBottom w:val="0"/>
          <w:divBdr>
            <w:top w:val="none" w:sz="0" w:space="0" w:color="auto"/>
            <w:left w:val="none" w:sz="0" w:space="0" w:color="auto"/>
            <w:bottom w:val="none" w:sz="0" w:space="0" w:color="auto"/>
            <w:right w:val="none" w:sz="0" w:space="0" w:color="auto"/>
          </w:divBdr>
        </w:div>
        <w:div w:id="1622104141">
          <w:marLeft w:val="547"/>
          <w:marRight w:val="0"/>
          <w:marTop w:val="0"/>
          <w:marBottom w:val="0"/>
          <w:divBdr>
            <w:top w:val="none" w:sz="0" w:space="0" w:color="auto"/>
            <w:left w:val="none" w:sz="0" w:space="0" w:color="auto"/>
            <w:bottom w:val="none" w:sz="0" w:space="0" w:color="auto"/>
            <w:right w:val="none" w:sz="0" w:space="0" w:color="auto"/>
          </w:divBdr>
        </w:div>
        <w:div w:id="521629402">
          <w:marLeft w:val="547"/>
          <w:marRight w:val="0"/>
          <w:marTop w:val="0"/>
          <w:marBottom w:val="0"/>
          <w:divBdr>
            <w:top w:val="none" w:sz="0" w:space="0" w:color="auto"/>
            <w:left w:val="none" w:sz="0" w:space="0" w:color="auto"/>
            <w:bottom w:val="none" w:sz="0" w:space="0" w:color="auto"/>
            <w:right w:val="none" w:sz="0" w:space="0" w:color="auto"/>
          </w:divBdr>
        </w:div>
      </w:divsChild>
    </w:div>
    <w:div w:id="1495024319">
      <w:bodyDiv w:val="1"/>
      <w:marLeft w:val="0"/>
      <w:marRight w:val="0"/>
      <w:marTop w:val="0"/>
      <w:marBottom w:val="0"/>
      <w:divBdr>
        <w:top w:val="none" w:sz="0" w:space="0" w:color="auto"/>
        <w:left w:val="none" w:sz="0" w:space="0" w:color="auto"/>
        <w:bottom w:val="none" w:sz="0" w:space="0" w:color="auto"/>
        <w:right w:val="none" w:sz="0" w:space="0" w:color="auto"/>
      </w:divBdr>
      <w:divsChild>
        <w:div w:id="1439258538">
          <w:marLeft w:val="547"/>
          <w:marRight w:val="0"/>
          <w:marTop w:val="0"/>
          <w:marBottom w:val="0"/>
          <w:divBdr>
            <w:top w:val="none" w:sz="0" w:space="0" w:color="auto"/>
            <w:left w:val="none" w:sz="0" w:space="0" w:color="auto"/>
            <w:bottom w:val="none" w:sz="0" w:space="0" w:color="auto"/>
            <w:right w:val="none" w:sz="0" w:space="0" w:color="auto"/>
          </w:divBdr>
        </w:div>
        <w:div w:id="1433207417">
          <w:marLeft w:val="547"/>
          <w:marRight w:val="0"/>
          <w:marTop w:val="0"/>
          <w:marBottom w:val="0"/>
          <w:divBdr>
            <w:top w:val="none" w:sz="0" w:space="0" w:color="auto"/>
            <w:left w:val="none" w:sz="0" w:space="0" w:color="auto"/>
            <w:bottom w:val="none" w:sz="0" w:space="0" w:color="auto"/>
            <w:right w:val="none" w:sz="0" w:space="0" w:color="auto"/>
          </w:divBdr>
        </w:div>
        <w:div w:id="1093697369">
          <w:marLeft w:val="547"/>
          <w:marRight w:val="0"/>
          <w:marTop w:val="0"/>
          <w:marBottom w:val="0"/>
          <w:divBdr>
            <w:top w:val="none" w:sz="0" w:space="0" w:color="auto"/>
            <w:left w:val="none" w:sz="0" w:space="0" w:color="auto"/>
            <w:bottom w:val="none" w:sz="0" w:space="0" w:color="auto"/>
            <w:right w:val="none" w:sz="0" w:space="0" w:color="auto"/>
          </w:divBdr>
        </w:div>
        <w:div w:id="1434285812">
          <w:marLeft w:val="547"/>
          <w:marRight w:val="0"/>
          <w:marTop w:val="0"/>
          <w:marBottom w:val="0"/>
          <w:divBdr>
            <w:top w:val="none" w:sz="0" w:space="0" w:color="auto"/>
            <w:left w:val="none" w:sz="0" w:space="0" w:color="auto"/>
            <w:bottom w:val="none" w:sz="0" w:space="0" w:color="auto"/>
            <w:right w:val="none" w:sz="0" w:space="0" w:color="auto"/>
          </w:divBdr>
        </w:div>
        <w:div w:id="1002856971">
          <w:marLeft w:val="547"/>
          <w:marRight w:val="0"/>
          <w:marTop w:val="0"/>
          <w:marBottom w:val="0"/>
          <w:divBdr>
            <w:top w:val="none" w:sz="0" w:space="0" w:color="auto"/>
            <w:left w:val="none" w:sz="0" w:space="0" w:color="auto"/>
            <w:bottom w:val="none" w:sz="0" w:space="0" w:color="auto"/>
            <w:right w:val="none" w:sz="0" w:space="0" w:color="auto"/>
          </w:divBdr>
        </w:div>
      </w:divsChild>
    </w:div>
    <w:div w:id="1565989370">
      <w:bodyDiv w:val="1"/>
      <w:marLeft w:val="0"/>
      <w:marRight w:val="0"/>
      <w:marTop w:val="0"/>
      <w:marBottom w:val="0"/>
      <w:divBdr>
        <w:top w:val="none" w:sz="0" w:space="0" w:color="auto"/>
        <w:left w:val="none" w:sz="0" w:space="0" w:color="auto"/>
        <w:bottom w:val="none" w:sz="0" w:space="0" w:color="auto"/>
        <w:right w:val="none" w:sz="0" w:space="0" w:color="auto"/>
      </w:divBdr>
      <w:divsChild>
        <w:div w:id="659043196">
          <w:marLeft w:val="547"/>
          <w:marRight w:val="0"/>
          <w:marTop w:val="0"/>
          <w:marBottom w:val="0"/>
          <w:divBdr>
            <w:top w:val="none" w:sz="0" w:space="0" w:color="auto"/>
            <w:left w:val="none" w:sz="0" w:space="0" w:color="auto"/>
            <w:bottom w:val="none" w:sz="0" w:space="0" w:color="auto"/>
            <w:right w:val="none" w:sz="0" w:space="0" w:color="auto"/>
          </w:divBdr>
        </w:div>
        <w:div w:id="286010374">
          <w:marLeft w:val="547"/>
          <w:marRight w:val="0"/>
          <w:marTop w:val="0"/>
          <w:marBottom w:val="0"/>
          <w:divBdr>
            <w:top w:val="none" w:sz="0" w:space="0" w:color="auto"/>
            <w:left w:val="none" w:sz="0" w:space="0" w:color="auto"/>
            <w:bottom w:val="none" w:sz="0" w:space="0" w:color="auto"/>
            <w:right w:val="none" w:sz="0" w:space="0" w:color="auto"/>
          </w:divBdr>
        </w:div>
        <w:div w:id="1503740691">
          <w:marLeft w:val="547"/>
          <w:marRight w:val="0"/>
          <w:marTop w:val="0"/>
          <w:marBottom w:val="0"/>
          <w:divBdr>
            <w:top w:val="none" w:sz="0" w:space="0" w:color="auto"/>
            <w:left w:val="none" w:sz="0" w:space="0" w:color="auto"/>
            <w:bottom w:val="none" w:sz="0" w:space="0" w:color="auto"/>
            <w:right w:val="none" w:sz="0" w:space="0" w:color="auto"/>
          </w:divBdr>
        </w:div>
        <w:div w:id="1662392401">
          <w:marLeft w:val="547"/>
          <w:marRight w:val="0"/>
          <w:marTop w:val="0"/>
          <w:marBottom w:val="0"/>
          <w:divBdr>
            <w:top w:val="none" w:sz="0" w:space="0" w:color="auto"/>
            <w:left w:val="none" w:sz="0" w:space="0" w:color="auto"/>
            <w:bottom w:val="none" w:sz="0" w:space="0" w:color="auto"/>
            <w:right w:val="none" w:sz="0" w:space="0" w:color="auto"/>
          </w:divBdr>
        </w:div>
        <w:div w:id="466627569">
          <w:marLeft w:val="547"/>
          <w:marRight w:val="0"/>
          <w:marTop w:val="0"/>
          <w:marBottom w:val="0"/>
          <w:divBdr>
            <w:top w:val="none" w:sz="0" w:space="0" w:color="auto"/>
            <w:left w:val="none" w:sz="0" w:space="0" w:color="auto"/>
            <w:bottom w:val="none" w:sz="0" w:space="0" w:color="auto"/>
            <w:right w:val="none" w:sz="0" w:space="0" w:color="auto"/>
          </w:divBdr>
        </w:div>
        <w:div w:id="377314275">
          <w:marLeft w:val="547"/>
          <w:marRight w:val="0"/>
          <w:marTop w:val="0"/>
          <w:marBottom w:val="0"/>
          <w:divBdr>
            <w:top w:val="none" w:sz="0" w:space="0" w:color="auto"/>
            <w:left w:val="none" w:sz="0" w:space="0" w:color="auto"/>
            <w:bottom w:val="none" w:sz="0" w:space="0" w:color="auto"/>
            <w:right w:val="none" w:sz="0" w:space="0" w:color="auto"/>
          </w:divBdr>
        </w:div>
        <w:div w:id="439299284">
          <w:marLeft w:val="547"/>
          <w:marRight w:val="0"/>
          <w:marTop w:val="0"/>
          <w:marBottom w:val="0"/>
          <w:divBdr>
            <w:top w:val="none" w:sz="0" w:space="0" w:color="auto"/>
            <w:left w:val="none" w:sz="0" w:space="0" w:color="auto"/>
            <w:bottom w:val="none" w:sz="0" w:space="0" w:color="auto"/>
            <w:right w:val="none" w:sz="0" w:space="0" w:color="auto"/>
          </w:divBdr>
        </w:div>
      </w:divsChild>
    </w:div>
    <w:div w:id="1634097863">
      <w:bodyDiv w:val="1"/>
      <w:marLeft w:val="0"/>
      <w:marRight w:val="0"/>
      <w:marTop w:val="0"/>
      <w:marBottom w:val="0"/>
      <w:divBdr>
        <w:top w:val="none" w:sz="0" w:space="0" w:color="auto"/>
        <w:left w:val="none" w:sz="0" w:space="0" w:color="auto"/>
        <w:bottom w:val="none" w:sz="0" w:space="0" w:color="auto"/>
        <w:right w:val="none" w:sz="0" w:space="0" w:color="auto"/>
      </w:divBdr>
    </w:div>
    <w:div w:id="1699891549">
      <w:bodyDiv w:val="1"/>
      <w:marLeft w:val="0"/>
      <w:marRight w:val="0"/>
      <w:marTop w:val="0"/>
      <w:marBottom w:val="0"/>
      <w:divBdr>
        <w:top w:val="none" w:sz="0" w:space="0" w:color="auto"/>
        <w:left w:val="none" w:sz="0" w:space="0" w:color="auto"/>
        <w:bottom w:val="none" w:sz="0" w:space="0" w:color="auto"/>
        <w:right w:val="none" w:sz="0" w:space="0" w:color="auto"/>
      </w:divBdr>
      <w:divsChild>
        <w:div w:id="248928263">
          <w:marLeft w:val="547"/>
          <w:marRight w:val="0"/>
          <w:marTop w:val="0"/>
          <w:marBottom w:val="0"/>
          <w:divBdr>
            <w:top w:val="none" w:sz="0" w:space="0" w:color="auto"/>
            <w:left w:val="none" w:sz="0" w:space="0" w:color="auto"/>
            <w:bottom w:val="none" w:sz="0" w:space="0" w:color="auto"/>
            <w:right w:val="none" w:sz="0" w:space="0" w:color="auto"/>
          </w:divBdr>
        </w:div>
        <w:div w:id="820316162">
          <w:marLeft w:val="547"/>
          <w:marRight w:val="0"/>
          <w:marTop w:val="0"/>
          <w:marBottom w:val="0"/>
          <w:divBdr>
            <w:top w:val="none" w:sz="0" w:space="0" w:color="auto"/>
            <w:left w:val="none" w:sz="0" w:space="0" w:color="auto"/>
            <w:bottom w:val="none" w:sz="0" w:space="0" w:color="auto"/>
            <w:right w:val="none" w:sz="0" w:space="0" w:color="auto"/>
          </w:divBdr>
        </w:div>
        <w:div w:id="448864879">
          <w:marLeft w:val="547"/>
          <w:marRight w:val="0"/>
          <w:marTop w:val="0"/>
          <w:marBottom w:val="0"/>
          <w:divBdr>
            <w:top w:val="none" w:sz="0" w:space="0" w:color="auto"/>
            <w:left w:val="none" w:sz="0" w:space="0" w:color="auto"/>
            <w:bottom w:val="none" w:sz="0" w:space="0" w:color="auto"/>
            <w:right w:val="none" w:sz="0" w:space="0" w:color="auto"/>
          </w:divBdr>
        </w:div>
        <w:div w:id="1228372561">
          <w:marLeft w:val="547"/>
          <w:marRight w:val="0"/>
          <w:marTop w:val="0"/>
          <w:marBottom w:val="0"/>
          <w:divBdr>
            <w:top w:val="none" w:sz="0" w:space="0" w:color="auto"/>
            <w:left w:val="none" w:sz="0" w:space="0" w:color="auto"/>
            <w:bottom w:val="none" w:sz="0" w:space="0" w:color="auto"/>
            <w:right w:val="none" w:sz="0" w:space="0" w:color="auto"/>
          </w:divBdr>
        </w:div>
        <w:div w:id="1655721952">
          <w:marLeft w:val="547"/>
          <w:marRight w:val="0"/>
          <w:marTop w:val="0"/>
          <w:marBottom w:val="0"/>
          <w:divBdr>
            <w:top w:val="none" w:sz="0" w:space="0" w:color="auto"/>
            <w:left w:val="none" w:sz="0" w:space="0" w:color="auto"/>
            <w:bottom w:val="none" w:sz="0" w:space="0" w:color="auto"/>
            <w:right w:val="none" w:sz="0" w:space="0" w:color="auto"/>
          </w:divBdr>
        </w:div>
      </w:divsChild>
    </w:div>
    <w:div w:id="1740322081">
      <w:bodyDiv w:val="1"/>
      <w:marLeft w:val="0"/>
      <w:marRight w:val="0"/>
      <w:marTop w:val="0"/>
      <w:marBottom w:val="0"/>
      <w:divBdr>
        <w:top w:val="none" w:sz="0" w:space="0" w:color="auto"/>
        <w:left w:val="none" w:sz="0" w:space="0" w:color="auto"/>
        <w:bottom w:val="none" w:sz="0" w:space="0" w:color="auto"/>
        <w:right w:val="none" w:sz="0" w:space="0" w:color="auto"/>
      </w:divBdr>
      <w:divsChild>
        <w:div w:id="2103720694">
          <w:marLeft w:val="547"/>
          <w:marRight w:val="0"/>
          <w:marTop w:val="0"/>
          <w:marBottom w:val="0"/>
          <w:divBdr>
            <w:top w:val="none" w:sz="0" w:space="0" w:color="auto"/>
            <w:left w:val="none" w:sz="0" w:space="0" w:color="auto"/>
            <w:bottom w:val="none" w:sz="0" w:space="0" w:color="auto"/>
            <w:right w:val="none" w:sz="0" w:space="0" w:color="auto"/>
          </w:divBdr>
        </w:div>
        <w:div w:id="1141993853">
          <w:marLeft w:val="547"/>
          <w:marRight w:val="0"/>
          <w:marTop w:val="0"/>
          <w:marBottom w:val="0"/>
          <w:divBdr>
            <w:top w:val="none" w:sz="0" w:space="0" w:color="auto"/>
            <w:left w:val="none" w:sz="0" w:space="0" w:color="auto"/>
            <w:bottom w:val="none" w:sz="0" w:space="0" w:color="auto"/>
            <w:right w:val="none" w:sz="0" w:space="0" w:color="auto"/>
          </w:divBdr>
        </w:div>
        <w:div w:id="1469660660">
          <w:marLeft w:val="547"/>
          <w:marRight w:val="0"/>
          <w:marTop w:val="0"/>
          <w:marBottom w:val="0"/>
          <w:divBdr>
            <w:top w:val="none" w:sz="0" w:space="0" w:color="auto"/>
            <w:left w:val="none" w:sz="0" w:space="0" w:color="auto"/>
            <w:bottom w:val="none" w:sz="0" w:space="0" w:color="auto"/>
            <w:right w:val="none" w:sz="0" w:space="0" w:color="auto"/>
          </w:divBdr>
        </w:div>
        <w:div w:id="1601178184">
          <w:marLeft w:val="547"/>
          <w:marRight w:val="0"/>
          <w:marTop w:val="0"/>
          <w:marBottom w:val="0"/>
          <w:divBdr>
            <w:top w:val="none" w:sz="0" w:space="0" w:color="auto"/>
            <w:left w:val="none" w:sz="0" w:space="0" w:color="auto"/>
            <w:bottom w:val="none" w:sz="0" w:space="0" w:color="auto"/>
            <w:right w:val="none" w:sz="0" w:space="0" w:color="auto"/>
          </w:divBdr>
        </w:div>
      </w:divsChild>
    </w:div>
    <w:div w:id="1780561199">
      <w:bodyDiv w:val="1"/>
      <w:marLeft w:val="0"/>
      <w:marRight w:val="0"/>
      <w:marTop w:val="0"/>
      <w:marBottom w:val="0"/>
      <w:divBdr>
        <w:top w:val="none" w:sz="0" w:space="0" w:color="auto"/>
        <w:left w:val="none" w:sz="0" w:space="0" w:color="auto"/>
        <w:bottom w:val="none" w:sz="0" w:space="0" w:color="auto"/>
        <w:right w:val="none" w:sz="0" w:space="0" w:color="auto"/>
      </w:divBdr>
    </w:div>
    <w:div w:id="1794253229">
      <w:bodyDiv w:val="1"/>
      <w:marLeft w:val="0"/>
      <w:marRight w:val="0"/>
      <w:marTop w:val="0"/>
      <w:marBottom w:val="0"/>
      <w:divBdr>
        <w:top w:val="none" w:sz="0" w:space="0" w:color="auto"/>
        <w:left w:val="none" w:sz="0" w:space="0" w:color="auto"/>
        <w:bottom w:val="none" w:sz="0" w:space="0" w:color="auto"/>
        <w:right w:val="none" w:sz="0" w:space="0" w:color="auto"/>
      </w:divBdr>
      <w:divsChild>
        <w:div w:id="345907019">
          <w:marLeft w:val="547"/>
          <w:marRight w:val="0"/>
          <w:marTop w:val="0"/>
          <w:marBottom w:val="0"/>
          <w:divBdr>
            <w:top w:val="none" w:sz="0" w:space="0" w:color="auto"/>
            <w:left w:val="none" w:sz="0" w:space="0" w:color="auto"/>
            <w:bottom w:val="none" w:sz="0" w:space="0" w:color="auto"/>
            <w:right w:val="none" w:sz="0" w:space="0" w:color="auto"/>
          </w:divBdr>
        </w:div>
        <w:div w:id="313681638">
          <w:marLeft w:val="547"/>
          <w:marRight w:val="0"/>
          <w:marTop w:val="0"/>
          <w:marBottom w:val="0"/>
          <w:divBdr>
            <w:top w:val="none" w:sz="0" w:space="0" w:color="auto"/>
            <w:left w:val="none" w:sz="0" w:space="0" w:color="auto"/>
            <w:bottom w:val="none" w:sz="0" w:space="0" w:color="auto"/>
            <w:right w:val="none" w:sz="0" w:space="0" w:color="auto"/>
          </w:divBdr>
        </w:div>
        <w:div w:id="741559269">
          <w:marLeft w:val="547"/>
          <w:marRight w:val="0"/>
          <w:marTop w:val="0"/>
          <w:marBottom w:val="0"/>
          <w:divBdr>
            <w:top w:val="none" w:sz="0" w:space="0" w:color="auto"/>
            <w:left w:val="none" w:sz="0" w:space="0" w:color="auto"/>
            <w:bottom w:val="none" w:sz="0" w:space="0" w:color="auto"/>
            <w:right w:val="none" w:sz="0" w:space="0" w:color="auto"/>
          </w:divBdr>
        </w:div>
        <w:div w:id="699429566">
          <w:marLeft w:val="547"/>
          <w:marRight w:val="0"/>
          <w:marTop w:val="0"/>
          <w:marBottom w:val="0"/>
          <w:divBdr>
            <w:top w:val="none" w:sz="0" w:space="0" w:color="auto"/>
            <w:left w:val="none" w:sz="0" w:space="0" w:color="auto"/>
            <w:bottom w:val="none" w:sz="0" w:space="0" w:color="auto"/>
            <w:right w:val="none" w:sz="0" w:space="0" w:color="auto"/>
          </w:divBdr>
        </w:div>
        <w:div w:id="722480361">
          <w:marLeft w:val="547"/>
          <w:marRight w:val="0"/>
          <w:marTop w:val="0"/>
          <w:marBottom w:val="0"/>
          <w:divBdr>
            <w:top w:val="none" w:sz="0" w:space="0" w:color="auto"/>
            <w:left w:val="none" w:sz="0" w:space="0" w:color="auto"/>
            <w:bottom w:val="none" w:sz="0" w:space="0" w:color="auto"/>
            <w:right w:val="none" w:sz="0" w:space="0" w:color="auto"/>
          </w:divBdr>
        </w:div>
      </w:divsChild>
    </w:div>
    <w:div w:id="1845509970">
      <w:bodyDiv w:val="1"/>
      <w:marLeft w:val="0"/>
      <w:marRight w:val="0"/>
      <w:marTop w:val="0"/>
      <w:marBottom w:val="0"/>
      <w:divBdr>
        <w:top w:val="none" w:sz="0" w:space="0" w:color="auto"/>
        <w:left w:val="none" w:sz="0" w:space="0" w:color="auto"/>
        <w:bottom w:val="none" w:sz="0" w:space="0" w:color="auto"/>
        <w:right w:val="none" w:sz="0" w:space="0" w:color="auto"/>
      </w:divBdr>
    </w:div>
    <w:div w:id="1932926702">
      <w:bodyDiv w:val="1"/>
      <w:marLeft w:val="0"/>
      <w:marRight w:val="0"/>
      <w:marTop w:val="0"/>
      <w:marBottom w:val="0"/>
      <w:divBdr>
        <w:top w:val="none" w:sz="0" w:space="0" w:color="auto"/>
        <w:left w:val="none" w:sz="0" w:space="0" w:color="auto"/>
        <w:bottom w:val="none" w:sz="0" w:space="0" w:color="auto"/>
        <w:right w:val="none" w:sz="0" w:space="0" w:color="auto"/>
      </w:divBdr>
      <w:divsChild>
        <w:div w:id="930549911">
          <w:marLeft w:val="547"/>
          <w:marRight w:val="0"/>
          <w:marTop w:val="0"/>
          <w:marBottom w:val="0"/>
          <w:divBdr>
            <w:top w:val="none" w:sz="0" w:space="0" w:color="auto"/>
            <w:left w:val="none" w:sz="0" w:space="0" w:color="auto"/>
            <w:bottom w:val="none" w:sz="0" w:space="0" w:color="auto"/>
            <w:right w:val="none" w:sz="0" w:space="0" w:color="auto"/>
          </w:divBdr>
        </w:div>
        <w:div w:id="1270621713">
          <w:marLeft w:val="547"/>
          <w:marRight w:val="0"/>
          <w:marTop w:val="0"/>
          <w:marBottom w:val="0"/>
          <w:divBdr>
            <w:top w:val="none" w:sz="0" w:space="0" w:color="auto"/>
            <w:left w:val="none" w:sz="0" w:space="0" w:color="auto"/>
            <w:bottom w:val="none" w:sz="0" w:space="0" w:color="auto"/>
            <w:right w:val="none" w:sz="0" w:space="0" w:color="auto"/>
          </w:divBdr>
        </w:div>
        <w:div w:id="601687906">
          <w:marLeft w:val="547"/>
          <w:marRight w:val="0"/>
          <w:marTop w:val="0"/>
          <w:marBottom w:val="0"/>
          <w:divBdr>
            <w:top w:val="none" w:sz="0" w:space="0" w:color="auto"/>
            <w:left w:val="none" w:sz="0" w:space="0" w:color="auto"/>
            <w:bottom w:val="none" w:sz="0" w:space="0" w:color="auto"/>
            <w:right w:val="none" w:sz="0" w:space="0" w:color="auto"/>
          </w:divBdr>
        </w:div>
        <w:div w:id="1919093558">
          <w:marLeft w:val="547"/>
          <w:marRight w:val="0"/>
          <w:marTop w:val="0"/>
          <w:marBottom w:val="0"/>
          <w:divBdr>
            <w:top w:val="none" w:sz="0" w:space="0" w:color="auto"/>
            <w:left w:val="none" w:sz="0" w:space="0" w:color="auto"/>
            <w:bottom w:val="none" w:sz="0" w:space="0" w:color="auto"/>
            <w:right w:val="none" w:sz="0" w:space="0" w:color="auto"/>
          </w:divBdr>
        </w:div>
        <w:div w:id="2077241231">
          <w:marLeft w:val="547"/>
          <w:marRight w:val="0"/>
          <w:marTop w:val="0"/>
          <w:marBottom w:val="0"/>
          <w:divBdr>
            <w:top w:val="none" w:sz="0" w:space="0" w:color="auto"/>
            <w:left w:val="none" w:sz="0" w:space="0" w:color="auto"/>
            <w:bottom w:val="none" w:sz="0" w:space="0" w:color="auto"/>
            <w:right w:val="none" w:sz="0" w:space="0" w:color="auto"/>
          </w:divBdr>
        </w:div>
        <w:div w:id="578440130">
          <w:marLeft w:val="547"/>
          <w:marRight w:val="0"/>
          <w:marTop w:val="0"/>
          <w:marBottom w:val="0"/>
          <w:divBdr>
            <w:top w:val="none" w:sz="0" w:space="0" w:color="auto"/>
            <w:left w:val="none" w:sz="0" w:space="0" w:color="auto"/>
            <w:bottom w:val="none" w:sz="0" w:space="0" w:color="auto"/>
            <w:right w:val="none" w:sz="0" w:space="0" w:color="auto"/>
          </w:divBdr>
        </w:div>
      </w:divsChild>
    </w:div>
    <w:div w:id="1990867130">
      <w:bodyDiv w:val="1"/>
      <w:marLeft w:val="0"/>
      <w:marRight w:val="0"/>
      <w:marTop w:val="0"/>
      <w:marBottom w:val="0"/>
      <w:divBdr>
        <w:top w:val="none" w:sz="0" w:space="0" w:color="auto"/>
        <w:left w:val="none" w:sz="0" w:space="0" w:color="auto"/>
        <w:bottom w:val="none" w:sz="0" w:space="0" w:color="auto"/>
        <w:right w:val="none" w:sz="0" w:space="0" w:color="auto"/>
      </w:divBdr>
      <w:divsChild>
        <w:div w:id="1578130480">
          <w:marLeft w:val="547"/>
          <w:marRight w:val="0"/>
          <w:marTop w:val="0"/>
          <w:marBottom w:val="0"/>
          <w:divBdr>
            <w:top w:val="none" w:sz="0" w:space="0" w:color="auto"/>
            <w:left w:val="none" w:sz="0" w:space="0" w:color="auto"/>
            <w:bottom w:val="none" w:sz="0" w:space="0" w:color="auto"/>
            <w:right w:val="none" w:sz="0" w:space="0" w:color="auto"/>
          </w:divBdr>
        </w:div>
        <w:div w:id="1564481766">
          <w:marLeft w:val="547"/>
          <w:marRight w:val="0"/>
          <w:marTop w:val="0"/>
          <w:marBottom w:val="0"/>
          <w:divBdr>
            <w:top w:val="none" w:sz="0" w:space="0" w:color="auto"/>
            <w:left w:val="none" w:sz="0" w:space="0" w:color="auto"/>
            <w:bottom w:val="none" w:sz="0" w:space="0" w:color="auto"/>
            <w:right w:val="none" w:sz="0" w:space="0" w:color="auto"/>
          </w:divBdr>
        </w:div>
        <w:div w:id="1172523417">
          <w:marLeft w:val="547"/>
          <w:marRight w:val="0"/>
          <w:marTop w:val="0"/>
          <w:marBottom w:val="0"/>
          <w:divBdr>
            <w:top w:val="none" w:sz="0" w:space="0" w:color="auto"/>
            <w:left w:val="none" w:sz="0" w:space="0" w:color="auto"/>
            <w:bottom w:val="none" w:sz="0" w:space="0" w:color="auto"/>
            <w:right w:val="none" w:sz="0" w:space="0" w:color="auto"/>
          </w:divBdr>
        </w:div>
        <w:div w:id="805897216">
          <w:marLeft w:val="547"/>
          <w:marRight w:val="0"/>
          <w:marTop w:val="0"/>
          <w:marBottom w:val="0"/>
          <w:divBdr>
            <w:top w:val="none" w:sz="0" w:space="0" w:color="auto"/>
            <w:left w:val="none" w:sz="0" w:space="0" w:color="auto"/>
            <w:bottom w:val="none" w:sz="0" w:space="0" w:color="auto"/>
            <w:right w:val="none" w:sz="0" w:space="0" w:color="auto"/>
          </w:divBdr>
        </w:div>
        <w:div w:id="812136071">
          <w:marLeft w:val="547"/>
          <w:marRight w:val="0"/>
          <w:marTop w:val="0"/>
          <w:marBottom w:val="0"/>
          <w:divBdr>
            <w:top w:val="none" w:sz="0" w:space="0" w:color="auto"/>
            <w:left w:val="none" w:sz="0" w:space="0" w:color="auto"/>
            <w:bottom w:val="none" w:sz="0" w:space="0" w:color="auto"/>
            <w:right w:val="none" w:sz="0" w:space="0" w:color="auto"/>
          </w:divBdr>
        </w:div>
        <w:div w:id="367487310">
          <w:marLeft w:val="547"/>
          <w:marRight w:val="0"/>
          <w:marTop w:val="0"/>
          <w:marBottom w:val="0"/>
          <w:divBdr>
            <w:top w:val="none" w:sz="0" w:space="0" w:color="auto"/>
            <w:left w:val="none" w:sz="0" w:space="0" w:color="auto"/>
            <w:bottom w:val="none" w:sz="0" w:space="0" w:color="auto"/>
            <w:right w:val="none" w:sz="0" w:space="0" w:color="auto"/>
          </w:divBdr>
        </w:div>
      </w:divsChild>
    </w:div>
    <w:div w:id="2004502339">
      <w:bodyDiv w:val="1"/>
      <w:marLeft w:val="0"/>
      <w:marRight w:val="0"/>
      <w:marTop w:val="0"/>
      <w:marBottom w:val="0"/>
      <w:divBdr>
        <w:top w:val="none" w:sz="0" w:space="0" w:color="auto"/>
        <w:left w:val="none" w:sz="0" w:space="0" w:color="auto"/>
        <w:bottom w:val="none" w:sz="0" w:space="0" w:color="auto"/>
        <w:right w:val="none" w:sz="0" w:space="0" w:color="auto"/>
      </w:divBdr>
      <w:divsChild>
        <w:div w:id="907181490">
          <w:marLeft w:val="547"/>
          <w:marRight w:val="0"/>
          <w:marTop w:val="0"/>
          <w:marBottom w:val="0"/>
          <w:divBdr>
            <w:top w:val="none" w:sz="0" w:space="0" w:color="auto"/>
            <w:left w:val="none" w:sz="0" w:space="0" w:color="auto"/>
            <w:bottom w:val="none" w:sz="0" w:space="0" w:color="auto"/>
            <w:right w:val="none" w:sz="0" w:space="0" w:color="auto"/>
          </w:divBdr>
        </w:div>
        <w:div w:id="551621584">
          <w:marLeft w:val="547"/>
          <w:marRight w:val="0"/>
          <w:marTop w:val="0"/>
          <w:marBottom w:val="0"/>
          <w:divBdr>
            <w:top w:val="none" w:sz="0" w:space="0" w:color="auto"/>
            <w:left w:val="none" w:sz="0" w:space="0" w:color="auto"/>
            <w:bottom w:val="none" w:sz="0" w:space="0" w:color="auto"/>
            <w:right w:val="none" w:sz="0" w:space="0" w:color="auto"/>
          </w:divBdr>
        </w:div>
        <w:div w:id="1599369439">
          <w:marLeft w:val="547"/>
          <w:marRight w:val="0"/>
          <w:marTop w:val="0"/>
          <w:marBottom w:val="0"/>
          <w:divBdr>
            <w:top w:val="none" w:sz="0" w:space="0" w:color="auto"/>
            <w:left w:val="none" w:sz="0" w:space="0" w:color="auto"/>
            <w:bottom w:val="none" w:sz="0" w:space="0" w:color="auto"/>
            <w:right w:val="none" w:sz="0" w:space="0" w:color="auto"/>
          </w:divBdr>
        </w:div>
        <w:div w:id="1119449391">
          <w:marLeft w:val="547"/>
          <w:marRight w:val="0"/>
          <w:marTop w:val="0"/>
          <w:marBottom w:val="0"/>
          <w:divBdr>
            <w:top w:val="none" w:sz="0" w:space="0" w:color="auto"/>
            <w:left w:val="none" w:sz="0" w:space="0" w:color="auto"/>
            <w:bottom w:val="none" w:sz="0" w:space="0" w:color="auto"/>
            <w:right w:val="none" w:sz="0" w:space="0" w:color="auto"/>
          </w:divBdr>
        </w:div>
        <w:div w:id="1283921501">
          <w:marLeft w:val="547"/>
          <w:marRight w:val="0"/>
          <w:marTop w:val="0"/>
          <w:marBottom w:val="0"/>
          <w:divBdr>
            <w:top w:val="none" w:sz="0" w:space="0" w:color="auto"/>
            <w:left w:val="none" w:sz="0" w:space="0" w:color="auto"/>
            <w:bottom w:val="none" w:sz="0" w:space="0" w:color="auto"/>
            <w:right w:val="none" w:sz="0" w:space="0" w:color="auto"/>
          </w:divBdr>
        </w:div>
        <w:div w:id="481852564">
          <w:marLeft w:val="547"/>
          <w:marRight w:val="0"/>
          <w:marTop w:val="0"/>
          <w:marBottom w:val="0"/>
          <w:divBdr>
            <w:top w:val="none" w:sz="0" w:space="0" w:color="auto"/>
            <w:left w:val="none" w:sz="0" w:space="0" w:color="auto"/>
            <w:bottom w:val="none" w:sz="0" w:space="0" w:color="auto"/>
            <w:right w:val="none" w:sz="0" w:space="0" w:color="auto"/>
          </w:divBdr>
        </w:div>
      </w:divsChild>
    </w:div>
    <w:div w:id="2079866408">
      <w:bodyDiv w:val="1"/>
      <w:marLeft w:val="0"/>
      <w:marRight w:val="0"/>
      <w:marTop w:val="0"/>
      <w:marBottom w:val="0"/>
      <w:divBdr>
        <w:top w:val="none" w:sz="0" w:space="0" w:color="auto"/>
        <w:left w:val="none" w:sz="0" w:space="0" w:color="auto"/>
        <w:bottom w:val="none" w:sz="0" w:space="0" w:color="auto"/>
        <w:right w:val="none" w:sz="0" w:space="0" w:color="auto"/>
      </w:divBdr>
      <w:divsChild>
        <w:div w:id="524247360">
          <w:marLeft w:val="547"/>
          <w:marRight w:val="0"/>
          <w:marTop w:val="0"/>
          <w:marBottom w:val="0"/>
          <w:divBdr>
            <w:top w:val="none" w:sz="0" w:space="0" w:color="auto"/>
            <w:left w:val="none" w:sz="0" w:space="0" w:color="auto"/>
            <w:bottom w:val="none" w:sz="0" w:space="0" w:color="auto"/>
            <w:right w:val="none" w:sz="0" w:space="0" w:color="auto"/>
          </w:divBdr>
        </w:div>
        <w:div w:id="1277756073">
          <w:marLeft w:val="547"/>
          <w:marRight w:val="0"/>
          <w:marTop w:val="0"/>
          <w:marBottom w:val="0"/>
          <w:divBdr>
            <w:top w:val="none" w:sz="0" w:space="0" w:color="auto"/>
            <w:left w:val="none" w:sz="0" w:space="0" w:color="auto"/>
            <w:bottom w:val="none" w:sz="0" w:space="0" w:color="auto"/>
            <w:right w:val="none" w:sz="0" w:space="0" w:color="auto"/>
          </w:divBdr>
        </w:div>
        <w:div w:id="2103606560">
          <w:marLeft w:val="547"/>
          <w:marRight w:val="0"/>
          <w:marTop w:val="0"/>
          <w:marBottom w:val="0"/>
          <w:divBdr>
            <w:top w:val="none" w:sz="0" w:space="0" w:color="auto"/>
            <w:left w:val="none" w:sz="0" w:space="0" w:color="auto"/>
            <w:bottom w:val="none" w:sz="0" w:space="0" w:color="auto"/>
            <w:right w:val="none" w:sz="0" w:space="0" w:color="auto"/>
          </w:divBdr>
        </w:div>
        <w:div w:id="1979262184">
          <w:marLeft w:val="547"/>
          <w:marRight w:val="0"/>
          <w:marTop w:val="0"/>
          <w:marBottom w:val="0"/>
          <w:divBdr>
            <w:top w:val="none" w:sz="0" w:space="0" w:color="auto"/>
            <w:left w:val="none" w:sz="0" w:space="0" w:color="auto"/>
            <w:bottom w:val="none" w:sz="0" w:space="0" w:color="auto"/>
            <w:right w:val="none" w:sz="0" w:space="0" w:color="auto"/>
          </w:divBdr>
        </w:div>
      </w:divsChild>
    </w:div>
    <w:div w:id="2090301158">
      <w:bodyDiv w:val="1"/>
      <w:marLeft w:val="0"/>
      <w:marRight w:val="0"/>
      <w:marTop w:val="0"/>
      <w:marBottom w:val="0"/>
      <w:divBdr>
        <w:top w:val="none" w:sz="0" w:space="0" w:color="auto"/>
        <w:left w:val="none" w:sz="0" w:space="0" w:color="auto"/>
        <w:bottom w:val="none" w:sz="0" w:space="0" w:color="auto"/>
        <w:right w:val="none" w:sz="0" w:space="0" w:color="auto"/>
      </w:divBdr>
      <w:divsChild>
        <w:div w:id="2046828301">
          <w:marLeft w:val="0"/>
          <w:marRight w:val="0"/>
          <w:marTop w:val="0"/>
          <w:marBottom w:val="0"/>
          <w:divBdr>
            <w:top w:val="none" w:sz="0" w:space="0" w:color="auto"/>
            <w:left w:val="none" w:sz="0" w:space="0" w:color="auto"/>
            <w:bottom w:val="none" w:sz="0" w:space="0" w:color="auto"/>
            <w:right w:val="none" w:sz="0" w:space="0" w:color="auto"/>
          </w:divBdr>
        </w:div>
        <w:div w:id="1295601655">
          <w:marLeft w:val="0"/>
          <w:marRight w:val="0"/>
          <w:marTop w:val="0"/>
          <w:marBottom w:val="0"/>
          <w:divBdr>
            <w:top w:val="none" w:sz="0" w:space="0" w:color="auto"/>
            <w:left w:val="none" w:sz="0" w:space="0" w:color="auto"/>
            <w:bottom w:val="none" w:sz="0" w:space="0" w:color="auto"/>
            <w:right w:val="none" w:sz="0" w:space="0" w:color="auto"/>
          </w:divBdr>
        </w:div>
        <w:div w:id="1422682696">
          <w:marLeft w:val="0"/>
          <w:marRight w:val="0"/>
          <w:marTop w:val="0"/>
          <w:marBottom w:val="0"/>
          <w:divBdr>
            <w:top w:val="none" w:sz="0" w:space="0" w:color="auto"/>
            <w:left w:val="none" w:sz="0" w:space="0" w:color="auto"/>
            <w:bottom w:val="none" w:sz="0" w:space="0" w:color="auto"/>
            <w:right w:val="none" w:sz="0" w:space="0" w:color="auto"/>
          </w:divBdr>
        </w:div>
        <w:div w:id="1779447755">
          <w:marLeft w:val="0"/>
          <w:marRight w:val="0"/>
          <w:marTop w:val="0"/>
          <w:marBottom w:val="0"/>
          <w:divBdr>
            <w:top w:val="none" w:sz="0" w:space="0" w:color="auto"/>
            <w:left w:val="none" w:sz="0" w:space="0" w:color="auto"/>
            <w:bottom w:val="none" w:sz="0" w:space="0" w:color="auto"/>
            <w:right w:val="none" w:sz="0" w:space="0" w:color="auto"/>
          </w:divBdr>
        </w:div>
        <w:div w:id="2035305409">
          <w:marLeft w:val="0"/>
          <w:marRight w:val="0"/>
          <w:marTop w:val="0"/>
          <w:marBottom w:val="0"/>
          <w:divBdr>
            <w:top w:val="none" w:sz="0" w:space="0" w:color="auto"/>
            <w:left w:val="none" w:sz="0" w:space="0" w:color="auto"/>
            <w:bottom w:val="none" w:sz="0" w:space="0" w:color="auto"/>
            <w:right w:val="none" w:sz="0" w:space="0" w:color="auto"/>
          </w:divBdr>
        </w:div>
        <w:div w:id="956060711">
          <w:marLeft w:val="0"/>
          <w:marRight w:val="0"/>
          <w:marTop w:val="0"/>
          <w:marBottom w:val="0"/>
          <w:divBdr>
            <w:top w:val="none" w:sz="0" w:space="0" w:color="auto"/>
            <w:left w:val="none" w:sz="0" w:space="0" w:color="auto"/>
            <w:bottom w:val="none" w:sz="0" w:space="0" w:color="auto"/>
            <w:right w:val="none" w:sz="0" w:space="0" w:color="auto"/>
          </w:divBdr>
        </w:div>
        <w:div w:id="40174936">
          <w:marLeft w:val="0"/>
          <w:marRight w:val="0"/>
          <w:marTop w:val="0"/>
          <w:marBottom w:val="0"/>
          <w:divBdr>
            <w:top w:val="none" w:sz="0" w:space="0" w:color="auto"/>
            <w:left w:val="none" w:sz="0" w:space="0" w:color="auto"/>
            <w:bottom w:val="none" w:sz="0" w:space="0" w:color="auto"/>
            <w:right w:val="none" w:sz="0" w:space="0" w:color="auto"/>
          </w:divBdr>
        </w:div>
        <w:div w:id="2088795017">
          <w:marLeft w:val="0"/>
          <w:marRight w:val="0"/>
          <w:marTop w:val="0"/>
          <w:marBottom w:val="0"/>
          <w:divBdr>
            <w:top w:val="none" w:sz="0" w:space="0" w:color="auto"/>
            <w:left w:val="none" w:sz="0" w:space="0" w:color="auto"/>
            <w:bottom w:val="none" w:sz="0" w:space="0" w:color="auto"/>
            <w:right w:val="none" w:sz="0" w:space="0" w:color="auto"/>
          </w:divBdr>
        </w:div>
        <w:div w:id="1404833417">
          <w:marLeft w:val="0"/>
          <w:marRight w:val="0"/>
          <w:marTop w:val="0"/>
          <w:marBottom w:val="0"/>
          <w:divBdr>
            <w:top w:val="none" w:sz="0" w:space="0" w:color="auto"/>
            <w:left w:val="none" w:sz="0" w:space="0" w:color="auto"/>
            <w:bottom w:val="none" w:sz="0" w:space="0" w:color="auto"/>
            <w:right w:val="none" w:sz="0" w:space="0" w:color="auto"/>
          </w:divBdr>
        </w:div>
        <w:div w:id="745611689">
          <w:marLeft w:val="0"/>
          <w:marRight w:val="0"/>
          <w:marTop w:val="0"/>
          <w:marBottom w:val="0"/>
          <w:divBdr>
            <w:top w:val="none" w:sz="0" w:space="0" w:color="auto"/>
            <w:left w:val="none" w:sz="0" w:space="0" w:color="auto"/>
            <w:bottom w:val="none" w:sz="0" w:space="0" w:color="auto"/>
            <w:right w:val="none" w:sz="0" w:space="0" w:color="auto"/>
          </w:divBdr>
        </w:div>
        <w:div w:id="1433937370">
          <w:marLeft w:val="0"/>
          <w:marRight w:val="0"/>
          <w:marTop w:val="0"/>
          <w:marBottom w:val="0"/>
          <w:divBdr>
            <w:top w:val="none" w:sz="0" w:space="0" w:color="auto"/>
            <w:left w:val="none" w:sz="0" w:space="0" w:color="auto"/>
            <w:bottom w:val="none" w:sz="0" w:space="0" w:color="auto"/>
            <w:right w:val="none" w:sz="0" w:space="0" w:color="auto"/>
          </w:divBdr>
        </w:div>
        <w:div w:id="996763605">
          <w:marLeft w:val="0"/>
          <w:marRight w:val="0"/>
          <w:marTop w:val="0"/>
          <w:marBottom w:val="0"/>
          <w:divBdr>
            <w:top w:val="none" w:sz="0" w:space="0" w:color="auto"/>
            <w:left w:val="none" w:sz="0" w:space="0" w:color="auto"/>
            <w:bottom w:val="none" w:sz="0" w:space="0" w:color="auto"/>
            <w:right w:val="none" w:sz="0" w:space="0" w:color="auto"/>
          </w:divBdr>
        </w:div>
        <w:div w:id="1943872787">
          <w:marLeft w:val="0"/>
          <w:marRight w:val="0"/>
          <w:marTop w:val="0"/>
          <w:marBottom w:val="0"/>
          <w:divBdr>
            <w:top w:val="none" w:sz="0" w:space="0" w:color="auto"/>
            <w:left w:val="none" w:sz="0" w:space="0" w:color="auto"/>
            <w:bottom w:val="none" w:sz="0" w:space="0" w:color="auto"/>
            <w:right w:val="none" w:sz="0" w:space="0" w:color="auto"/>
          </w:divBdr>
        </w:div>
        <w:div w:id="1236738982">
          <w:marLeft w:val="0"/>
          <w:marRight w:val="0"/>
          <w:marTop w:val="0"/>
          <w:marBottom w:val="0"/>
          <w:divBdr>
            <w:top w:val="none" w:sz="0" w:space="0" w:color="auto"/>
            <w:left w:val="none" w:sz="0" w:space="0" w:color="auto"/>
            <w:bottom w:val="none" w:sz="0" w:space="0" w:color="auto"/>
            <w:right w:val="none" w:sz="0" w:space="0" w:color="auto"/>
          </w:divBdr>
        </w:div>
        <w:div w:id="965889234">
          <w:marLeft w:val="0"/>
          <w:marRight w:val="0"/>
          <w:marTop w:val="0"/>
          <w:marBottom w:val="0"/>
          <w:divBdr>
            <w:top w:val="none" w:sz="0" w:space="0" w:color="auto"/>
            <w:left w:val="none" w:sz="0" w:space="0" w:color="auto"/>
            <w:bottom w:val="none" w:sz="0" w:space="0" w:color="auto"/>
            <w:right w:val="none" w:sz="0" w:space="0" w:color="auto"/>
          </w:divBdr>
        </w:div>
        <w:div w:id="1085028663">
          <w:marLeft w:val="0"/>
          <w:marRight w:val="0"/>
          <w:marTop w:val="0"/>
          <w:marBottom w:val="0"/>
          <w:divBdr>
            <w:top w:val="none" w:sz="0" w:space="0" w:color="auto"/>
            <w:left w:val="none" w:sz="0" w:space="0" w:color="auto"/>
            <w:bottom w:val="none" w:sz="0" w:space="0" w:color="auto"/>
            <w:right w:val="none" w:sz="0" w:space="0" w:color="auto"/>
          </w:divBdr>
        </w:div>
        <w:div w:id="271597386">
          <w:marLeft w:val="0"/>
          <w:marRight w:val="0"/>
          <w:marTop w:val="0"/>
          <w:marBottom w:val="0"/>
          <w:divBdr>
            <w:top w:val="none" w:sz="0" w:space="0" w:color="auto"/>
            <w:left w:val="none" w:sz="0" w:space="0" w:color="auto"/>
            <w:bottom w:val="none" w:sz="0" w:space="0" w:color="auto"/>
            <w:right w:val="none" w:sz="0" w:space="0" w:color="auto"/>
          </w:divBdr>
        </w:div>
        <w:div w:id="221059550">
          <w:marLeft w:val="0"/>
          <w:marRight w:val="0"/>
          <w:marTop w:val="0"/>
          <w:marBottom w:val="0"/>
          <w:divBdr>
            <w:top w:val="none" w:sz="0" w:space="0" w:color="auto"/>
            <w:left w:val="none" w:sz="0" w:space="0" w:color="auto"/>
            <w:bottom w:val="none" w:sz="0" w:space="0" w:color="auto"/>
            <w:right w:val="none" w:sz="0" w:space="0" w:color="auto"/>
          </w:divBdr>
        </w:div>
        <w:div w:id="1541823274">
          <w:marLeft w:val="0"/>
          <w:marRight w:val="0"/>
          <w:marTop w:val="0"/>
          <w:marBottom w:val="0"/>
          <w:divBdr>
            <w:top w:val="none" w:sz="0" w:space="0" w:color="auto"/>
            <w:left w:val="none" w:sz="0" w:space="0" w:color="auto"/>
            <w:bottom w:val="none" w:sz="0" w:space="0" w:color="auto"/>
            <w:right w:val="none" w:sz="0" w:space="0" w:color="auto"/>
          </w:divBdr>
        </w:div>
        <w:div w:id="57166396">
          <w:marLeft w:val="0"/>
          <w:marRight w:val="0"/>
          <w:marTop w:val="0"/>
          <w:marBottom w:val="0"/>
          <w:divBdr>
            <w:top w:val="none" w:sz="0" w:space="0" w:color="auto"/>
            <w:left w:val="none" w:sz="0" w:space="0" w:color="auto"/>
            <w:bottom w:val="none" w:sz="0" w:space="0" w:color="auto"/>
            <w:right w:val="none" w:sz="0" w:space="0" w:color="auto"/>
          </w:divBdr>
        </w:div>
        <w:div w:id="2168610">
          <w:marLeft w:val="0"/>
          <w:marRight w:val="0"/>
          <w:marTop w:val="0"/>
          <w:marBottom w:val="0"/>
          <w:divBdr>
            <w:top w:val="none" w:sz="0" w:space="0" w:color="auto"/>
            <w:left w:val="none" w:sz="0" w:space="0" w:color="auto"/>
            <w:bottom w:val="none" w:sz="0" w:space="0" w:color="auto"/>
            <w:right w:val="none" w:sz="0" w:space="0" w:color="auto"/>
          </w:divBdr>
        </w:div>
        <w:div w:id="314379676">
          <w:marLeft w:val="0"/>
          <w:marRight w:val="0"/>
          <w:marTop w:val="0"/>
          <w:marBottom w:val="0"/>
          <w:divBdr>
            <w:top w:val="none" w:sz="0" w:space="0" w:color="auto"/>
            <w:left w:val="none" w:sz="0" w:space="0" w:color="auto"/>
            <w:bottom w:val="none" w:sz="0" w:space="0" w:color="auto"/>
            <w:right w:val="none" w:sz="0" w:space="0" w:color="auto"/>
          </w:divBdr>
        </w:div>
        <w:div w:id="935360197">
          <w:marLeft w:val="0"/>
          <w:marRight w:val="0"/>
          <w:marTop w:val="0"/>
          <w:marBottom w:val="0"/>
          <w:divBdr>
            <w:top w:val="none" w:sz="0" w:space="0" w:color="auto"/>
            <w:left w:val="none" w:sz="0" w:space="0" w:color="auto"/>
            <w:bottom w:val="none" w:sz="0" w:space="0" w:color="auto"/>
            <w:right w:val="none" w:sz="0" w:space="0" w:color="auto"/>
          </w:divBdr>
        </w:div>
        <w:div w:id="561988555">
          <w:marLeft w:val="0"/>
          <w:marRight w:val="0"/>
          <w:marTop w:val="0"/>
          <w:marBottom w:val="0"/>
          <w:divBdr>
            <w:top w:val="none" w:sz="0" w:space="0" w:color="auto"/>
            <w:left w:val="none" w:sz="0" w:space="0" w:color="auto"/>
            <w:bottom w:val="none" w:sz="0" w:space="0" w:color="auto"/>
            <w:right w:val="none" w:sz="0" w:space="0" w:color="auto"/>
          </w:divBdr>
        </w:div>
        <w:div w:id="1878467967">
          <w:marLeft w:val="0"/>
          <w:marRight w:val="0"/>
          <w:marTop w:val="0"/>
          <w:marBottom w:val="0"/>
          <w:divBdr>
            <w:top w:val="none" w:sz="0" w:space="0" w:color="auto"/>
            <w:left w:val="none" w:sz="0" w:space="0" w:color="auto"/>
            <w:bottom w:val="none" w:sz="0" w:space="0" w:color="auto"/>
            <w:right w:val="none" w:sz="0" w:space="0" w:color="auto"/>
          </w:divBdr>
        </w:div>
        <w:div w:id="2040155768">
          <w:marLeft w:val="0"/>
          <w:marRight w:val="0"/>
          <w:marTop w:val="0"/>
          <w:marBottom w:val="0"/>
          <w:divBdr>
            <w:top w:val="none" w:sz="0" w:space="0" w:color="auto"/>
            <w:left w:val="none" w:sz="0" w:space="0" w:color="auto"/>
            <w:bottom w:val="none" w:sz="0" w:space="0" w:color="auto"/>
            <w:right w:val="none" w:sz="0" w:space="0" w:color="auto"/>
          </w:divBdr>
        </w:div>
        <w:div w:id="1871649215">
          <w:marLeft w:val="0"/>
          <w:marRight w:val="0"/>
          <w:marTop w:val="0"/>
          <w:marBottom w:val="0"/>
          <w:divBdr>
            <w:top w:val="none" w:sz="0" w:space="0" w:color="auto"/>
            <w:left w:val="none" w:sz="0" w:space="0" w:color="auto"/>
            <w:bottom w:val="none" w:sz="0" w:space="0" w:color="auto"/>
            <w:right w:val="none" w:sz="0" w:space="0" w:color="auto"/>
          </w:divBdr>
        </w:div>
        <w:div w:id="845169724">
          <w:marLeft w:val="0"/>
          <w:marRight w:val="0"/>
          <w:marTop w:val="0"/>
          <w:marBottom w:val="0"/>
          <w:divBdr>
            <w:top w:val="none" w:sz="0" w:space="0" w:color="auto"/>
            <w:left w:val="none" w:sz="0" w:space="0" w:color="auto"/>
            <w:bottom w:val="none" w:sz="0" w:space="0" w:color="auto"/>
            <w:right w:val="none" w:sz="0" w:space="0" w:color="auto"/>
          </w:divBdr>
        </w:div>
        <w:div w:id="1446536405">
          <w:marLeft w:val="0"/>
          <w:marRight w:val="0"/>
          <w:marTop w:val="0"/>
          <w:marBottom w:val="0"/>
          <w:divBdr>
            <w:top w:val="none" w:sz="0" w:space="0" w:color="auto"/>
            <w:left w:val="none" w:sz="0" w:space="0" w:color="auto"/>
            <w:bottom w:val="none" w:sz="0" w:space="0" w:color="auto"/>
            <w:right w:val="none" w:sz="0" w:space="0" w:color="auto"/>
          </w:divBdr>
        </w:div>
        <w:div w:id="1791121893">
          <w:marLeft w:val="0"/>
          <w:marRight w:val="0"/>
          <w:marTop w:val="0"/>
          <w:marBottom w:val="0"/>
          <w:divBdr>
            <w:top w:val="none" w:sz="0" w:space="0" w:color="auto"/>
            <w:left w:val="none" w:sz="0" w:space="0" w:color="auto"/>
            <w:bottom w:val="none" w:sz="0" w:space="0" w:color="auto"/>
            <w:right w:val="none" w:sz="0" w:space="0" w:color="auto"/>
          </w:divBdr>
        </w:div>
        <w:div w:id="1124348507">
          <w:marLeft w:val="0"/>
          <w:marRight w:val="0"/>
          <w:marTop w:val="0"/>
          <w:marBottom w:val="0"/>
          <w:divBdr>
            <w:top w:val="none" w:sz="0" w:space="0" w:color="auto"/>
            <w:left w:val="none" w:sz="0" w:space="0" w:color="auto"/>
            <w:bottom w:val="none" w:sz="0" w:space="0" w:color="auto"/>
            <w:right w:val="none" w:sz="0" w:space="0" w:color="auto"/>
          </w:divBdr>
        </w:div>
        <w:div w:id="1755008002">
          <w:marLeft w:val="0"/>
          <w:marRight w:val="0"/>
          <w:marTop w:val="0"/>
          <w:marBottom w:val="0"/>
          <w:divBdr>
            <w:top w:val="none" w:sz="0" w:space="0" w:color="auto"/>
            <w:left w:val="none" w:sz="0" w:space="0" w:color="auto"/>
            <w:bottom w:val="none" w:sz="0" w:space="0" w:color="auto"/>
            <w:right w:val="none" w:sz="0" w:space="0" w:color="auto"/>
          </w:divBdr>
        </w:div>
      </w:divsChild>
    </w:div>
    <w:div w:id="2098284542">
      <w:bodyDiv w:val="1"/>
      <w:marLeft w:val="0"/>
      <w:marRight w:val="0"/>
      <w:marTop w:val="0"/>
      <w:marBottom w:val="0"/>
      <w:divBdr>
        <w:top w:val="none" w:sz="0" w:space="0" w:color="auto"/>
        <w:left w:val="none" w:sz="0" w:space="0" w:color="auto"/>
        <w:bottom w:val="none" w:sz="0" w:space="0" w:color="auto"/>
        <w:right w:val="none" w:sz="0" w:space="0" w:color="auto"/>
      </w:divBdr>
    </w:div>
    <w:div w:id="2117168280">
      <w:bodyDiv w:val="1"/>
      <w:marLeft w:val="0"/>
      <w:marRight w:val="0"/>
      <w:marTop w:val="0"/>
      <w:marBottom w:val="0"/>
      <w:divBdr>
        <w:top w:val="none" w:sz="0" w:space="0" w:color="auto"/>
        <w:left w:val="none" w:sz="0" w:space="0" w:color="auto"/>
        <w:bottom w:val="none" w:sz="0" w:space="0" w:color="auto"/>
        <w:right w:val="none" w:sz="0" w:space="0" w:color="auto"/>
      </w:divBdr>
      <w:divsChild>
        <w:div w:id="521170652">
          <w:marLeft w:val="547"/>
          <w:marRight w:val="0"/>
          <w:marTop w:val="0"/>
          <w:marBottom w:val="0"/>
          <w:divBdr>
            <w:top w:val="none" w:sz="0" w:space="0" w:color="auto"/>
            <w:left w:val="none" w:sz="0" w:space="0" w:color="auto"/>
            <w:bottom w:val="none" w:sz="0" w:space="0" w:color="auto"/>
            <w:right w:val="none" w:sz="0" w:space="0" w:color="auto"/>
          </w:divBdr>
        </w:div>
        <w:div w:id="790369336">
          <w:marLeft w:val="547"/>
          <w:marRight w:val="0"/>
          <w:marTop w:val="0"/>
          <w:marBottom w:val="0"/>
          <w:divBdr>
            <w:top w:val="none" w:sz="0" w:space="0" w:color="auto"/>
            <w:left w:val="none" w:sz="0" w:space="0" w:color="auto"/>
            <w:bottom w:val="none" w:sz="0" w:space="0" w:color="auto"/>
            <w:right w:val="none" w:sz="0" w:space="0" w:color="auto"/>
          </w:divBdr>
        </w:div>
        <w:div w:id="7732842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diagramData" Target="diagrams/data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8.xml"/><Relationship Id="rId10" Type="http://schemas.openxmlformats.org/officeDocument/2006/relationships/image" Target="media/image2.gif"/><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chart" Target="charts/chart4.xml"/><Relationship Id="rId22" Type="http://schemas.openxmlformats.org/officeDocument/2006/relationships/chart" Target="charts/chart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ad.oecd-ilibrary.org/governance/public-private-partnerships_9789264046733-en" TargetMode="External"/><Relationship Id="rId2" Type="http://schemas.openxmlformats.org/officeDocument/2006/relationships/hyperlink" Target="https://www.imf.org/en/Publications/IMF-Special-Issues/Issues/2016/12/31/Public-Private-Partnerships-Government-Guarantees-and-Fiscal-Risk-18587" TargetMode="External"/><Relationship Id="rId1" Type="http://schemas.openxmlformats.org/officeDocument/2006/relationships/hyperlink" Target="https://pppknowledgelab.org/guide/sections/1" TargetMode="External"/><Relationship Id="rId5" Type="http://schemas.openxmlformats.org/officeDocument/2006/relationships/hyperlink" Target="http://www.dogana.gov.al/c/169/185/266/skanimi-ne-dogane" TargetMode="External"/><Relationship Id="rId4" Type="http://schemas.openxmlformats.org/officeDocument/2006/relationships/hyperlink" Target="http://www.atrako.gov.al/?page_id=97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ilvana.doci\Desktop\Tabela%20e%20koncesionev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ilvana.doci\Desktop\Tabela%20e%20koncesionev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ilvana.doci\Desktop\Tabela%20e%20koncesionev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ilvana.doci\Desktop\Tabela%20e%20koncesionev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ilvana.doci\Desktop\Tabela%20e%20koncesioneve.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RAPORT%202020\Tabela%20e%20koncesioneve%20RVP.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RAPORT%202020\Tabela%20e%20koncesioneve%20RVP.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RAPORT%202020\Tabela%20e%20koncesioneve%20RV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7.9359142607174082E-2"/>
          <c:y val="0.11518763796909491"/>
          <c:w val="0.82947631546056744"/>
          <c:h val="0.67698284403191333"/>
        </c:manualLayout>
      </c:layout>
      <c:barChart>
        <c:barDir val="col"/>
        <c:grouping val="clustered"/>
        <c:varyColors val="0"/>
        <c:ser>
          <c:idx val="0"/>
          <c:order val="0"/>
          <c:tx>
            <c:strRef>
              <c:f>Graphs!$C$4</c:f>
              <c:strCache>
                <c:ptCount val="1"/>
                <c:pt idx="0">
                  <c:v>Vlera totale e investimit për projektet me Koncesion/PPP</c:v>
                </c:pt>
              </c:strCache>
            </c:strRef>
          </c:tx>
          <c:spPr>
            <a:solidFill>
              <a:schemeClr val="bg2">
                <a:lumMod val="50000"/>
              </a:schemeClr>
            </a:solidFill>
            <a:ln>
              <a:solidFill>
                <a:schemeClr val="accent2">
                  <a:lumMod val="75000"/>
                </a:schemeClr>
              </a:solidFill>
            </a:ln>
            <a:effectLst/>
          </c:spPr>
          <c:invertIfNegative val="0"/>
          <c:cat>
            <c:numRef>
              <c:f>Graphs!$B$5:$B$18</c:f>
              <c:numCache>
                <c:formatCode>General</c:formatCode>
                <c:ptCount val="14"/>
                <c:pt idx="0">
                  <c:v>2004</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Graphs!$C$5:$C$18</c:f>
              <c:numCache>
                <c:formatCode>_(* #,##0_);_(* \(#,##0\);_(* "-"??_);_(@_)</c:formatCode>
                <c:ptCount val="14"/>
                <c:pt idx="0" formatCode="#,##0">
                  <c:v>9114560000</c:v>
                </c:pt>
                <c:pt idx="1">
                  <c:v>932970817</c:v>
                </c:pt>
                <c:pt idx="2">
                  <c:v>169959310062</c:v>
                </c:pt>
                <c:pt idx="3">
                  <c:v>64006742589.050003</c:v>
                </c:pt>
                <c:pt idx="4">
                  <c:v>1545604390</c:v>
                </c:pt>
                <c:pt idx="5">
                  <c:v>46348769478</c:v>
                </c:pt>
                <c:pt idx="6">
                  <c:v>11527770621</c:v>
                </c:pt>
                <c:pt idx="7">
                  <c:v>81619078631.399994</c:v>
                </c:pt>
                <c:pt idx="8">
                  <c:v>13375842646</c:v>
                </c:pt>
                <c:pt idx="9">
                  <c:v>6173193072</c:v>
                </c:pt>
                <c:pt idx="10">
                  <c:v>30377768058.639191</c:v>
                </c:pt>
                <c:pt idx="11">
                  <c:v>24995907080.5</c:v>
                </c:pt>
                <c:pt idx="12">
                  <c:v>58535847032</c:v>
                </c:pt>
                <c:pt idx="13">
                  <c:v>25927558783.26001</c:v>
                </c:pt>
              </c:numCache>
            </c:numRef>
          </c:val>
          <c:extLst xmlns:c16r2="http://schemas.microsoft.com/office/drawing/2015/06/chart">
            <c:ext xmlns:c16="http://schemas.microsoft.com/office/drawing/2014/chart" uri="{C3380CC4-5D6E-409C-BE32-E72D297353CC}">
              <c16:uniqueId val="{00000000-AA6F-4659-BA60-1A24BCF7788B}"/>
            </c:ext>
          </c:extLst>
        </c:ser>
        <c:dLbls>
          <c:showLegendKey val="0"/>
          <c:showVal val="0"/>
          <c:showCatName val="0"/>
          <c:showSerName val="0"/>
          <c:showPercent val="0"/>
          <c:showBubbleSize val="0"/>
        </c:dLbls>
        <c:gapWidth val="219"/>
        <c:overlap val="-27"/>
        <c:axId val="-698813024"/>
        <c:axId val="-698812480"/>
      </c:barChart>
      <c:lineChart>
        <c:grouping val="standard"/>
        <c:varyColors val="0"/>
        <c:ser>
          <c:idx val="1"/>
          <c:order val="1"/>
          <c:tx>
            <c:strRef>
              <c:f>Graphs!$E$4</c:f>
              <c:strCache>
                <c:ptCount val="1"/>
                <c:pt idx="0">
                  <c:v>Nr.total i projekteve koncesion/PPP të miratuara</c:v>
                </c:pt>
              </c:strCache>
            </c:strRef>
          </c:tx>
          <c:spPr>
            <a:ln w="28575" cap="rnd">
              <a:solidFill>
                <a:srgbClr val="C00000"/>
              </a:solidFill>
              <a:round/>
            </a:ln>
            <a:effectLst/>
          </c:spPr>
          <c:marker>
            <c:symbol val="none"/>
          </c:marker>
          <c:dLbls>
            <c:dLbl>
              <c:idx val="0"/>
              <c:layout>
                <c:manualLayout>
                  <c:x val="-1.9668099529875641E-2"/>
                  <c:y val="-3.53200883002207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A6F-4659-BA60-1A24BCF7788B}"/>
                </c:ext>
                <c:ext xmlns:c15="http://schemas.microsoft.com/office/drawing/2012/chart" uri="{CE6537A1-D6FC-4f65-9D91-7224C49458BB}"/>
              </c:extLst>
            </c:dLbl>
            <c:dLbl>
              <c:idx val="1"/>
              <c:layout>
                <c:manualLayout>
                  <c:x val="-2.2946116118188274E-2"/>
                  <c:y val="-3.53200883002207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A6F-4659-BA60-1A24BCF7788B}"/>
                </c:ext>
                <c:ext xmlns:c15="http://schemas.microsoft.com/office/drawing/2012/chart" uri="{CE6537A1-D6FC-4f65-9D91-7224C49458BB}"/>
              </c:extLst>
            </c:dLbl>
            <c:dLbl>
              <c:idx val="4"/>
              <c:layout>
                <c:manualLayout>
                  <c:x val="-7.9365079365079395E-3"/>
                  <c:y val="4.884004884004796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A6F-4659-BA60-1A24BCF7788B}"/>
                </c:ext>
                <c:ext xmlns:c15="http://schemas.microsoft.com/office/drawing/2012/chart" uri="{CE6537A1-D6FC-4f65-9D91-7224C49458BB}"/>
              </c:extLst>
            </c:dLbl>
            <c:dLbl>
              <c:idx val="5"/>
              <c:layout>
                <c:manualLayout>
                  <c:x val="-1.9668099529875641E-2"/>
                  <c:y val="-3.97350993377483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A6F-4659-BA60-1A24BCF7788B}"/>
                </c:ext>
                <c:ext xmlns:c15="http://schemas.microsoft.com/office/drawing/2012/chart" uri="{CE6537A1-D6FC-4f65-9D91-7224C49458BB}"/>
              </c:extLst>
            </c:dLbl>
            <c:dLbl>
              <c:idx val="6"/>
              <c:layout>
                <c:manualLayout>
                  <c:x val="-9.8340497649378779E-3"/>
                  <c:y val="-4.415011037527675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A6F-4659-BA60-1A24BCF7788B}"/>
                </c:ext>
                <c:ext xmlns:c15="http://schemas.microsoft.com/office/drawing/2012/chart" uri="{CE6537A1-D6FC-4f65-9D91-7224C49458BB}"/>
              </c:extLst>
            </c:dLbl>
            <c:dLbl>
              <c:idx val="8"/>
              <c:layout>
                <c:manualLayout>
                  <c:x val="-8.1950414707816395E-3"/>
                  <c:y val="-5.29801324503311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A6F-4659-BA60-1A24BCF7788B}"/>
                </c:ext>
                <c:ext xmlns:c15="http://schemas.microsoft.com/office/drawing/2012/chart" uri="{CE6537A1-D6FC-4f65-9D91-7224C49458BB}"/>
              </c:extLst>
            </c:dLbl>
            <c:dLbl>
              <c:idx val="9"/>
              <c:layout>
                <c:manualLayout>
                  <c:x val="-8.1950414707815146E-3"/>
                  <c:y val="-2.20750551876379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A6F-4659-BA60-1A24BCF7788B}"/>
                </c:ext>
                <c:ext xmlns:c15="http://schemas.microsoft.com/office/drawing/2012/chart" uri="{CE6537A1-D6FC-4f65-9D91-7224C49458BB}"/>
              </c:extLst>
            </c:dLbl>
            <c:dLbl>
              <c:idx val="10"/>
              <c:layout>
                <c:manualLayout>
                  <c:x val="-3.2780165883127279E-3"/>
                  <c:y val="-3.53200883002207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A6F-4659-BA60-1A24BCF7788B}"/>
                </c:ext>
                <c:ext xmlns:c15="http://schemas.microsoft.com/office/drawing/2012/chart" uri="{CE6537A1-D6FC-4f65-9D91-7224C49458BB}"/>
              </c:extLst>
            </c:dLbl>
            <c:dLbl>
              <c:idx val="11"/>
              <c:layout>
                <c:manualLayout>
                  <c:x val="-4.9170248824689103E-3"/>
                  <c:y val="-2.6490066225165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A6F-4659-BA60-1A24BCF7788B}"/>
                </c:ext>
                <c:ext xmlns:c15="http://schemas.microsoft.com/office/drawing/2012/chart" uri="{CE6537A1-D6FC-4f65-9D91-7224C49458BB}"/>
              </c:extLst>
            </c:dLbl>
            <c:dLbl>
              <c:idx val="12"/>
              <c:layout>
                <c:manualLayout>
                  <c:x val="-9.8340497649378224E-3"/>
                  <c:y val="-3.97350993377483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A6F-4659-BA60-1A24BCF7788B}"/>
                </c:ext>
                <c:ext xmlns:c15="http://schemas.microsoft.com/office/drawing/2012/chart" uri="{CE6537A1-D6FC-4f65-9D91-7224C49458BB}"/>
              </c:extLst>
            </c:dLbl>
            <c:dLbl>
              <c:idx val="13"/>
              <c:layout>
                <c:manualLayout>
                  <c:x val="-2.7863141000657284E-2"/>
                  <c:y val="-3.53200883002208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A6F-4659-BA60-1A24BCF7788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Graphs!$E$5:$E$18</c:f>
              <c:numCache>
                <c:formatCode>General</c:formatCode>
                <c:ptCount val="14"/>
                <c:pt idx="0">
                  <c:v>1</c:v>
                </c:pt>
                <c:pt idx="1">
                  <c:v>3</c:v>
                </c:pt>
                <c:pt idx="2">
                  <c:v>29</c:v>
                </c:pt>
                <c:pt idx="3">
                  <c:v>57</c:v>
                </c:pt>
                <c:pt idx="4">
                  <c:v>6</c:v>
                </c:pt>
                <c:pt idx="5">
                  <c:v>16</c:v>
                </c:pt>
                <c:pt idx="6">
                  <c:v>13</c:v>
                </c:pt>
                <c:pt idx="7">
                  <c:v>51</c:v>
                </c:pt>
                <c:pt idx="8">
                  <c:v>5</c:v>
                </c:pt>
                <c:pt idx="9">
                  <c:v>11</c:v>
                </c:pt>
                <c:pt idx="10">
                  <c:v>10</c:v>
                </c:pt>
                <c:pt idx="11">
                  <c:v>11</c:v>
                </c:pt>
                <c:pt idx="12">
                  <c:v>6</c:v>
                </c:pt>
                <c:pt idx="13">
                  <c:v>5</c:v>
                </c:pt>
              </c:numCache>
            </c:numRef>
          </c:cat>
          <c:val>
            <c:numRef>
              <c:f>Graphs!$E$5:$E$18</c:f>
              <c:numCache>
                <c:formatCode>General</c:formatCode>
                <c:ptCount val="14"/>
                <c:pt idx="0">
                  <c:v>1</c:v>
                </c:pt>
                <c:pt idx="1">
                  <c:v>3</c:v>
                </c:pt>
                <c:pt idx="2">
                  <c:v>29</c:v>
                </c:pt>
                <c:pt idx="3">
                  <c:v>57</c:v>
                </c:pt>
                <c:pt idx="4">
                  <c:v>6</c:v>
                </c:pt>
                <c:pt idx="5">
                  <c:v>16</c:v>
                </c:pt>
                <c:pt idx="6">
                  <c:v>13</c:v>
                </c:pt>
                <c:pt idx="7">
                  <c:v>51</c:v>
                </c:pt>
                <c:pt idx="8">
                  <c:v>5</c:v>
                </c:pt>
                <c:pt idx="9">
                  <c:v>11</c:v>
                </c:pt>
                <c:pt idx="10">
                  <c:v>10</c:v>
                </c:pt>
                <c:pt idx="11">
                  <c:v>11</c:v>
                </c:pt>
                <c:pt idx="12">
                  <c:v>6</c:v>
                </c:pt>
                <c:pt idx="13">
                  <c:v>5</c:v>
                </c:pt>
              </c:numCache>
            </c:numRef>
          </c:val>
          <c:smooth val="0"/>
          <c:extLst xmlns:c16r2="http://schemas.microsoft.com/office/drawing/2015/06/chart">
            <c:ext xmlns:c16="http://schemas.microsoft.com/office/drawing/2014/chart" uri="{C3380CC4-5D6E-409C-BE32-E72D297353CC}">
              <c16:uniqueId val="{0000000C-AA6F-4659-BA60-1A24BCF7788B}"/>
            </c:ext>
          </c:extLst>
        </c:ser>
        <c:dLbls>
          <c:showLegendKey val="0"/>
          <c:showVal val="0"/>
          <c:showCatName val="0"/>
          <c:showSerName val="0"/>
          <c:showPercent val="0"/>
          <c:showBubbleSize val="0"/>
        </c:dLbls>
        <c:marker val="1"/>
        <c:smooth val="0"/>
        <c:axId val="-698823904"/>
        <c:axId val="-698824448"/>
      </c:lineChart>
      <c:catAx>
        <c:axId val="-6988130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8812480"/>
        <c:crosses val="autoZero"/>
        <c:auto val="1"/>
        <c:lblAlgn val="ctr"/>
        <c:lblOffset val="100"/>
        <c:noMultiLvlLbl val="0"/>
      </c:catAx>
      <c:valAx>
        <c:axId val="-69881248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b="0" i="0" baseline="0">
                    <a:solidFill>
                      <a:sysClr val="windowText" lastClr="000000"/>
                    </a:solidFill>
                    <a:effectLst/>
                  </a:rPr>
                  <a:t>Vlera e projekteve në miliardë Lekë</a:t>
                </a:r>
                <a:endParaRPr lang="en-US" sz="900">
                  <a:solidFill>
                    <a:sysClr val="windowText" lastClr="000000"/>
                  </a:solidFill>
                  <a:effectLst/>
                </a:endParaRPr>
              </a:p>
            </c:rich>
          </c:tx>
          <c:layout>
            <c:manualLayout>
              <c:xMode val="edge"/>
              <c:yMode val="edge"/>
              <c:x val="1.9841269841269849E-3"/>
              <c:y val="0.13811119763875668"/>
            </c:manualLayout>
          </c:layout>
          <c:overlay val="0"/>
          <c:spPr>
            <a:noFill/>
            <a:ln>
              <a:noFill/>
            </a:ln>
            <a:effectLst/>
          </c:spPr>
        </c:title>
        <c:numFmt formatCode="_(* #,##0_);_(* \(#,##0\);_(* &quot;-&quot;??_);_(@_)" sourceLinked="0"/>
        <c:majorTickMark val="out"/>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8813024"/>
        <c:crosses val="autoZero"/>
        <c:crossBetween val="between"/>
        <c:dispUnits>
          <c:builtInUnit val="billions"/>
        </c:dispUnits>
      </c:valAx>
      <c:valAx>
        <c:axId val="-698824448"/>
        <c:scaling>
          <c:orientation val="minMax"/>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effectLst/>
                  </a:rPr>
                  <a:t>Numri</a:t>
                </a:r>
                <a:r>
                  <a:rPr lang="en-US" sz="800" baseline="0">
                    <a:solidFill>
                      <a:sysClr val="windowText" lastClr="000000"/>
                    </a:solidFill>
                    <a:effectLst/>
                  </a:rPr>
                  <a:t> total i projekteve</a:t>
                </a:r>
                <a:endParaRPr lang="en-US" sz="800">
                  <a:solidFill>
                    <a:sysClr val="windowText" lastClr="000000"/>
                  </a:solidFill>
                  <a:effectLst/>
                </a:endParaRPr>
              </a:p>
            </c:rich>
          </c:tx>
          <c:layout>
            <c:manualLayout>
              <c:xMode val="edge"/>
              <c:yMode val="edge"/>
              <c:x val="0.95507483439570084"/>
              <c:y val="0.29241883226135207"/>
            </c:manualLayout>
          </c:layout>
          <c:overlay val="0"/>
          <c:spPr>
            <a:noFill/>
            <a:ln>
              <a:noFill/>
            </a:ln>
            <a:effectLst/>
          </c:spPr>
        </c:title>
        <c:numFmt formatCode="#,##0" sourceLinked="0"/>
        <c:majorTickMark val="out"/>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98823904"/>
        <c:crosses val="max"/>
        <c:crossBetween val="between"/>
      </c:valAx>
      <c:catAx>
        <c:axId val="-698823904"/>
        <c:scaling>
          <c:orientation val="minMax"/>
        </c:scaling>
        <c:delete val="1"/>
        <c:axPos val="b"/>
        <c:numFmt formatCode="General" sourceLinked="1"/>
        <c:majorTickMark val="none"/>
        <c:minorTickMark val="none"/>
        <c:tickLblPos val="none"/>
        <c:crossAx val="-698824448"/>
        <c:crosses val="autoZero"/>
        <c:auto val="1"/>
        <c:lblAlgn val="ctr"/>
        <c:lblOffset val="100"/>
        <c:noMultiLvlLbl val="0"/>
      </c:cat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pattFill prst="pct30">
      <a:fgClr>
        <a:srgbClr val="FFE8D1"/>
      </a:fgClr>
      <a:bgClr>
        <a:schemeClr val="bg1"/>
      </a:bgClr>
    </a:patt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8.7295650543682074E-2"/>
          <c:y val="6.5187664041994775E-2"/>
          <c:w val="0.82153980752405964"/>
          <c:h val="0.7211004322989043"/>
        </c:manualLayout>
      </c:layout>
      <c:barChart>
        <c:barDir val="col"/>
        <c:grouping val="clustered"/>
        <c:varyColors val="0"/>
        <c:ser>
          <c:idx val="0"/>
          <c:order val="0"/>
          <c:tx>
            <c:strRef>
              <c:f>Graphs!$D$4</c:f>
              <c:strCache>
                <c:ptCount val="1"/>
                <c:pt idx="0">
                  <c:v>Vlera Kumulative  e investimit për projektet me Koncesion/PPP</c:v>
                </c:pt>
              </c:strCache>
            </c:strRef>
          </c:tx>
          <c:spPr>
            <a:solidFill>
              <a:schemeClr val="bg2">
                <a:lumMod val="50000"/>
              </a:schemeClr>
            </a:solidFill>
            <a:ln>
              <a:solidFill>
                <a:schemeClr val="accent2">
                  <a:lumMod val="75000"/>
                </a:schemeClr>
              </a:solidFill>
            </a:ln>
            <a:effectLst/>
          </c:spPr>
          <c:invertIfNegative val="0"/>
          <c:cat>
            <c:numRef>
              <c:f>Graphs!$B$5:$B$18</c:f>
              <c:numCache>
                <c:formatCode>General</c:formatCode>
                <c:ptCount val="14"/>
                <c:pt idx="0">
                  <c:v>2004</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Graphs!$D$5:$D$18</c:f>
              <c:numCache>
                <c:formatCode>_(* #,##0_);_(* \(#,##0\);_(* "-"??_);_(@_)</c:formatCode>
                <c:ptCount val="14"/>
                <c:pt idx="0">
                  <c:v>9114560000</c:v>
                </c:pt>
                <c:pt idx="1">
                  <c:v>10047530817</c:v>
                </c:pt>
                <c:pt idx="2">
                  <c:v>180006840879</c:v>
                </c:pt>
                <c:pt idx="3">
                  <c:v>244013583468.04999</c:v>
                </c:pt>
                <c:pt idx="4">
                  <c:v>245559187858.04999</c:v>
                </c:pt>
                <c:pt idx="5">
                  <c:v>291907957336.04987</c:v>
                </c:pt>
                <c:pt idx="6">
                  <c:v>303435727957.04987</c:v>
                </c:pt>
                <c:pt idx="7">
                  <c:v>385054806588.44995</c:v>
                </c:pt>
                <c:pt idx="8">
                  <c:v>398430649234.44995</c:v>
                </c:pt>
                <c:pt idx="9">
                  <c:v>404603842306.44995</c:v>
                </c:pt>
                <c:pt idx="10">
                  <c:v>434981610365.08917</c:v>
                </c:pt>
                <c:pt idx="11">
                  <c:v>459977517445.58917</c:v>
                </c:pt>
                <c:pt idx="12">
                  <c:v>518513364477.58917</c:v>
                </c:pt>
                <c:pt idx="13">
                  <c:v>544440923260.84906</c:v>
                </c:pt>
              </c:numCache>
            </c:numRef>
          </c:val>
          <c:extLst xmlns:c16r2="http://schemas.microsoft.com/office/drawing/2015/06/chart">
            <c:ext xmlns:c16="http://schemas.microsoft.com/office/drawing/2014/chart" uri="{C3380CC4-5D6E-409C-BE32-E72D297353CC}">
              <c16:uniqueId val="{00000000-1373-4688-979D-80DF7B177639}"/>
            </c:ext>
          </c:extLst>
        </c:ser>
        <c:dLbls>
          <c:showLegendKey val="0"/>
          <c:showVal val="0"/>
          <c:showCatName val="0"/>
          <c:showSerName val="0"/>
          <c:showPercent val="0"/>
          <c:showBubbleSize val="0"/>
        </c:dLbls>
        <c:gapWidth val="219"/>
        <c:overlap val="-27"/>
        <c:axId val="-698822816"/>
        <c:axId val="-698817376"/>
      </c:barChart>
      <c:lineChart>
        <c:grouping val="standard"/>
        <c:varyColors val="0"/>
        <c:ser>
          <c:idx val="1"/>
          <c:order val="1"/>
          <c:tx>
            <c:strRef>
              <c:f>Graphs!$H$4</c:f>
              <c:strCache>
                <c:ptCount val="1"/>
                <c:pt idx="0">
                  <c:v>Pesha kumulative e vlerës investimit PPP si % e PBB-së</c:v>
                </c:pt>
              </c:strCache>
            </c:strRef>
          </c:tx>
          <c:spPr>
            <a:ln w="28575" cap="rnd">
              <a:solidFill>
                <a:srgbClr val="C00000"/>
              </a:solidFill>
              <a:round/>
            </a:ln>
            <a:effectLst/>
          </c:spPr>
          <c:marker>
            <c:symbol val="none"/>
          </c:marker>
          <c:dLbls>
            <c:dLbl>
              <c:idx val="0"/>
              <c:delete val="1"/>
              <c:extLst xmlns:c16r2="http://schemas.microsoft.com/office/drawing/2015/06/chart">
                <c:ext xmlns:c16="http://schemas.microsoft.com/office/drawing/2014/chart" uri="{C3380CC4-5D6E-409C-BE32-E72D297353CC}">
                  <c16:uniqueId val="{00000001-1373-4688-979D-80DF7B177639}"/>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2-1373-4688-979D-80DF7B177639}"/>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3-1373-4688-979D-80DF7B177639}"/>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4-1373-4688-979D-80DF7B177639}"/>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5-1373-4688-979D-80DF7B177639}"/>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6-1373-4688-979D-80DF7B177639}"/>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7-1373-4688-979D-80DF7B177639}"/>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8-1373-4688-979D-80DF7B177639}"/>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9-1373-4688-979D-80DF7B177639}"/>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0A-1373-4688-979D-80DF7B177639}"/>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0B-1373-4688-979D-80DF7B177639}"/>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C-1373-4688-979D-80DF7B177639}"/>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0D-1373-4688-979D-80DF7B177639}"/>
                </c:ext>
                <c:ext xmlns:c15="http://schemas.microsoft.com/office/drawing/2012/chart" uri="{CE6537A1-D6FC-4f65-9D91-7224C49458BB}"/>
              </c:extLst>
            </c:dLbl>
            <c:dLbl>
              <c:idx val="13"/>
              <c:layout>
                <c:manualLayout>
                  <c:x val="-6.5947989365237616E-2"/>
                  <c:y val="-3.973509933774836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373-4688-979D-80DF7B17763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Graphs!$H$5:$H$18</c:f>
              <c:numCache>
                <c:formatCode>0.0%</c:formatCode>
                <c:ptCount val="14"/>
                <c:pt idx="0">
                  <c:v>1.0909787323687416E-2</c:v>
                </c:pt>
                <c:pt idx="1">
                  <c:v>1.2005652786473892E-2</c:v>
                </c:pt>
                <c:pt idx="2">
                  <c:v>0.20007429240746924</c:v>
                </c:pt>
                <c:pt idx="3">
                  <c:v>0.24924778699494393</c:v>
                </c:pt>
                <c:pt idx="4">
                  <c:v>0.19995048274411698</c:v>
                </c:pt>
                <c:pt idx="5">
                  <c:v>0.22443685287681148</c:v>
                </c:pt>
                <c:pt idx="6">
                  <c:v>0.22766598411706543</c:v>
                </c:pt>
                <c:pt idx="7">
                  <c:v>0.2852147966066863</c:v>
                </c:pt>
                <c:pt idx="8">
                  <c:v>0.28555114099468648</c:v>
                </c:pt>
                <c:pt idx="9">
                  <c:v>0.28209032264136785</c:v>
                </c:pt>
                <c:pt idx="10">
                  <c:v>0.29540768348145496</c:v>
                </c:pt>
                <c:pt idx="11">
                  <c:v>0.29651463367732173</c:v>
                </c:pt>
                <c:pt idx="12">
                  <c:v>0.31470828142606783</c:v>
                </c:pt>
                <c:pt idx="13" formatCode="0%">
                  <c:v>0.31062984153640061</c:v>
                </c:pt>
              </c:numCache>
            </c:numRef>
          </c:val>
          <c:smooth val="0"/>
          <c:extLst xmlns:c16r2="http://schemas.microsoft.com/office/drawing/2015/06/chart">
            <c:ext xmlns:c16="http://schemas.microsoft.com/office/drawing/2014/chart" uri="{C3380CC4-5D6E-409C-BE32-E72D297353CC}">
              <c16:uniqueId val="{0000000F-1373-4688-979D-80DF7B177639}"/>
            </c:ext>
          </c:extLst>
        </c:ser>
        <c:dLbls>
          <c:showLegendKey val="0"/>
          <c:showVal val="0"/>
          <c:showCatName val="0"/>
          <c:showSerName val="0"/>
          <c:showPercent val="0"/>
          <c:showBubbleSize val="0"/>
        </c:dLbls>
        <c:marker val="1"/>
        <c:smooth val="0"/>
        <c:axId val="-698819008"/>
        <c:axId val="-698826624"/>
      </c:lineChart>
      <c:catAx>
        <c:axId val="-6988228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8817376"/>
        <c:crosses val="autoZero"/>
        <c:auto val="1"/>
        <c:lblAlgn val="ctr"/>
        <c:lblOffset val="100"/>
        <c:noMultiLvlLbl val="0"/>
      </c:catAx>
      <c:valAx>
        <c:axId val="-698817376"/>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b="0" i="0" baseline="0">
                    <a:solidFill>
                      <a:sysClr val="windowText" lastClr="000000"/>
                    </a:solidFill>
                    <a:effectLst/>
                  </a:rPr>
                  <a:t>Vlera e projekteve në miliardë Lekë</a:t>
                </a:r>
                <a:endParaRPr lang="en-US" sz="900">
                  <a:solidFill>
                    <a:sysClr val="windowText" lastClr="000000"/>
                  </a:solidFill>
                  <a:effectLst/>
                </a:endParaRPr>
              </a:p>
            </c:rich>
          </c:tx>
          <c:layout>
            <c:manualLayout>
              <c:xMode val="edge"/>
              <c:yMode val="edge"/>
              <c:x val="6.7713410823647124E-3"/>
              <c:y val="0.12126486027481864"/>
            </c:manualLayout>
          </c:layout>
          <c:overlay val="0"/>
          <c:spPr>
            <a:noFill/>
            <a:ln>
              <a:noFill/>
            </a:ln>
            <a:effectLst/>
          </c:spPr>
        </c:title>
        <c:numFmt formatCode="_(* #,##0_);_(* \(#,##0\);_(* &quot;-&quot;??_);_(@_)" sourceLinked="0"/>
        <c:majorTickMark val="out"/>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8822816"/>
        <c:crosses val="autoZero"/>
        <c:crossBetween val="between"/>
        <c:dispUnits>
          <c:builtInUnit val="billions"/>
        </c:dispUnits>
      </c:valAx>
      <c:valAx>
        <c:axId val="-698826624"/>
        <c:scaling>
          <c:orientation val="minMax"/>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b="0" i="0" baseline="0">
                    <a:solidFill>
                      <a:sysClr val="windowText" lastClr="000000"/>
                    </a:solidFill>
                    <a:effectLst/>
                  </a:rPr>
                  <a:t>Pesha kumulative e Projekteve PPP si % e PBB-së</a:t>
                </a:r>
                <a:endParaRPr lang="en-US" sz="800">
                  <a:solidFill>
                    <a:sysClr val="windowText" lastClr="000000"/>
                  </a:solidFill>
                  <a:effectLst/>
                </a:endParaRPr>
              </a:p>
            </c:rich>
          </c:tx>
          <c:layout>
            <c:manualLayout>
              <c:xMode val="edge"/>
              <c:yMode val="edge"/>
              <c:x val="0.95529761904761901"/>
              <c:y val="7.6459008800370556E-2"/>
            </c:manualLayout>
          </c:layout>
          <c:overlay val="0"/>
          <c:spPr>
            <a:noFill/>
            <a:ln>
              <a:noFill/>
            </a:ln>
            <a:effectLst/>
          </c:spPr>
        </c:title>
        <c:numFmt formatCode="0%" sourceLinked="0"/>
        <c:majorTickMark val="out"/>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8819008"/>
        <c:crosses val="max"/>
        <c:crossBetween val="between"/>
      </c:valAx>
      <c:catAx>
        <c:axId val="-698819008"/>
        <c:scaling>
          <c:orientation val="minMax"/>
        </c:scaling>
        <c:delete val="1"/>
        <c:axPos val="b"/>
        <c:majorTickMark val="none"/>
        <c:minorTickMark val="none"/>
        <c:tickLblPos val="none"/>
        <c:crossAx val="-698826624"/>
        <c:crosses val="autoZero"/>
        <c:auto val="1"/>
        <c:lblAlgn val="ctr"/>
        <c:lblOffset val="100"/>
        <c:noMultiLvlLbl val="0"/>
      </c:cat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pattFill prst="pct30">
      <a:fgClr>
        <a:srgbClr val="FFE8D1"/>
      </a:fgClr>
      <a:bgClr>
        <a:schemeClr val="bg1"/>
      </a:bgClr>
    </a:patt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8.888888888888892E-2"/>
          <c:w val="0.90286351706036749"/>
          <c:h val="0.65514785651793572"/>
        </c:manualLayout>
      </c:layout>
      <c:barChart>
        <c:barDir val="col"/>
        <c:grouping val="percentStacked"/>
        <c:varyColors val="0"/>
        <c:ser>
          <c:idx val="0"/>
          <c:order val="0"/>
          <c:tx>
            <c:strRef>
              <c:f>Graphs!$I$4</c:f>
              <c:strCache>
                <c:ptCount val="1"/>
                <c:pt idx="0">
                  <c:v>Propozim i kërkuar</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Graphs!$B$5:$B$18</c:f>
              <c:numCache>
                <c:formatCode>General</c:formatCode>
                <c:ptCount val="14"/>
                <c:pt idx="0">
                  <c:v>2004</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Graphs!$I$5:$I$18</c:f>
              <c:numCache>
                <c:formatCode>General</c:formatCode>
                <c:ptCount val="14"/>
                <c:pt idx="0">
                  <c:v>0</c:v>
                </c:pt>
                <c:pt idx="1">
                  <c:v>0</c:v>
                </c:pt>
                <c:pt idx="2">
                  <c:v>2</c:v>
                </c:pt>
                <c:pt idx="3">
                  <c:v>1</c:v>
                </c:pt>
                <c:pt idx="4">
                  <c:v>0</c:v>
                </c:pt>
                <c:pt idx="5">
                  <c:v>0</c:v>
                </c:pt>
                <c:pt idx="6">
                  <c:v>0</c:v>
                </c:pt>
                <c:pt idx="7">
                  <c:v>2</c:v>
                </c:pt>
                <c:pt idx="8">
                  <c:v>1</c:v>
                </c:pt>
                <c:pt idx="9">
                  <c:v>5</c:v>
                </c:pt>
                <c:pt idx="10">
                  <c:v>7</c:v>
                </c:pt>
                <c:pt idx="11">
                  <c:v>8</c:v>
                </c:pt>
                <c:pt idx="12">
                  <c:v>1</c:v>
                </c:pt>
                <c:pt idx="13">
                  <c:v>1</c:v>
                </c:pt>
              </c:numCache>
            </c:numRef>
          </c:val>
          <c:extLst xmlns:c16r2="http://schemas.microsoft.com/office/drawing/2015/06/chart">
            <c:ext xmlns:c16="http://schemas.microsoft.com/office/drawing/2014/chart" uri="{C3380CC4-5D6E-409C-BE32-E72D297353CC}">
              <c16:uniqueId val="{00000000-7068-4CCE-A284-C4A207587B92}"/>
            </c:ext>
          </c:extLst>
        </c:ser>
        <c:ser>
          <c:idx val="1"/>
          <c:order val="1"/>
          <c:tx>
            <c:strRef>
              <c:f>Graphs!$J$4</c:f>
              <c:strCache>
                <c:ptCount val="1"/>
                <c:pt idx="0">
                  <c:v>Propozim i pakërkuar</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Graphs!$B$5:$B$18</c:f>
              <c:numCache>
                <c:formatCode>General</c:formatCode>
                <c:ptCount val="14"/>
                <c:pt idx="0">
                  <c:v>2004</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Graphs!$J$5:$J$18</c:f>
              <c:numCache>
                <c:formatCode>General</c:formatCode>
                <c:ptCount val="14"/>
                <c:pt idx="0">
                  <c:v>1</c:v>
                </c:pt>
                <c:pt idx="1">
                  <c:v>3</c:v>
                </c:pt>
                <c:pt idx="2">
                  <c:v>27</c:v>
                </c:pt>
                <c:pt idx="3">
                  <c:v>56</c:v>
                </c:pt>
                <c:pt idx="4">
                  <c:v>6</c:v>
                </c:pt>
                <c:pt idx="5">
                  <c:v>16</c:v>
                </c:pt>
                <c:pt idx="6">
                  <c:v>13</c:v>
                </c:pt>
                <c:pt idx="7">
                  <c:v>49</c:v>
                </c:pt>
                <c:pt idx="8">
                  <c:v>4</c:v>
                </c:pt>
                <c:pt idx="9">
                  <c:v>6</c:v>
                </c:pt>
                <c:pt idx="10">
                  <c:v>3</c:v>
                </c:pt>
                <c:pt idx="11">
                  <c:v>3</c:v>
                </c:pt>
                <c:pt idx="12">
                  <c:v>5</c:v>
                </c:pt>
                <c:pt idx="13">
                  <c:v>4</c:v>
                </c:pt>
              </c:numCache>
            </c:numRef>
          </c:val>
          <c:extLst xmlns:c16r2="http://schemas.microsoft.com/office/drawing/2015/06/chart">
            <c:ext xmlns:c16="http://schemas.microsoft.com/office/drawing/2014/chart" uri="{C3380CC4-5D6E-409C-BE32-E72D297353CC}">
              <c16:uniqueId val="{00000001-7068-4CCE-A284-C4A207587B92}"/>
            </c:ext>
          </c:extLst>
        </c:ser>
        <c:dLbls>
          <c:showLegendKey val="0"/>
          <c:showVal val="1"/>
          <c:showCatName val="0"/>
          <c:showSerName val="0"/>
          <c:showPercent val="0"/>
          <c:showBubbleSize val="0"/>
        </c:dLbls>
        <c:gapWidth val="150"/>
        <c:overlap val="100"/>
        <c:axId val="-698819552"/>
        <c:axId val="-698821728"/>
      </c:barChart>
      <c:catAx>
        <c:axId val="-698819552"/>
        <c:scaling>
          <c:orientation val="minMax"/>
        </c:scaling>
        <c:delete val="0"/>
        <c:axPos val="b"/>
        <c:numFmt formatCode="General" sourceLinked="1"/>
        <c:majorTickMark val="none"/>
        <c:minorTickMark val="none"/>
        <c:tickLblPos val="nextTo"/>
        <c:spPr>
          <a:noFill/>
          <a:ln w="9525" cap="flat" cmpd="sng" algn="ctr">
            <a:solidFill>
              <a:schemeClr val="bg2">
                <a:lumMod val="9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8821728"/>
        <c:crosses val="autoZero"/>
        <c:auto val="1"/>
        <c:lblAlgn val="ctr"/>
        <c:lblOffset val="100"/>
        <c:noMultiLvlLbl val="0"/>
      </c:catAx>
      <c:valAx>
        <c:axId val="-698821728"/>
        <c:scaling>
          <c:orientation val="minMax"/>
        </c:scaling>
        <c:delete val="1"/>
        <c:axPos val="l"/>
        <c:numFmt formatCode="0%" sourceLinked="1"/>
        <c:majorTickMark val="out"/>
        <c:minorTickMark val="none"/>
        <c:tickLblPos val="none"/>
        <c:crossAx val="-698819552"/>
        <c:crosses val="autoZero"/>
        <c:crossBetween val="between"/>
      </c:valAx>
      <c:spPr>
        <a:solidFill>
          <a:schemeClr val="bg1"/>
        </a:solidFill>
        <a:ln>
          <a:noFill/>
        </a:ln>
        <a:effectLst/>
      </c:spPr>
    </c:plotArea>
    <c:legend>
      <c:legendPos val="b"/>
      <c:layout>
        <c:manualLayout>
          <c:xMode val="edge"/>
          <c:yMode val="edge"/>
          <c:x val="0.25681832324150977"/>
          <c:y val="0.87291601049868783"/>
          <c:w val="0.45029796807313982"/>
          <c:h val="0.1004606299212598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pattFill prst="pct25">
      <a:fgClr>
        <a:srgbClr val="FFE8D1"/>
      </a:fgClr>
      <a:bgClr>
        <a:schemeClr val="bg1"/>
      </a:bgClr>
    </a:patt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692692318514E-2"/>
          <c:y val="7.2524407252440748E-2"/>
          <c:w val="0.85555980643662499"/>
          <c:h val="0.68159896330950265"/>
        </c:manualLayout>
      </c:layout>
      <c:barChart>
        <c:barDir val="col"/>
        <c:grouping val="clustered"/>
        <c:varyColors val="0"/>
        <c:ser>
          <c:idx val="0"/>
          <c:order val="0"/>
          <c:tx>
            <c:strRef>
              <c:f>Graphs!$B$27:$C$27</c:f>
              <c:strCache>
                <c:ptCount val="2"/>
                <c:pt idx="0">
                  <c:v>Kontrata koncesionare/PPP të miratuara</c:v>
                </c:pt>
              </c:strCache>
            </c:strRef>
          </c:tx>
          <c:spPr>
            <a:solidFill>
              <a:schemeClr val="bg2">
                <a:lumMod val="50000"/>
              </a:schemeClr>
            </a:solidFill>
            <a:ln>
              <a:solidFill>
                <a:srgbClr val="C00000"/>
              </a:solidFill>
            </a:ln>
            <a:effectLst/>
          </c:spPr>
          <c:invertIfNegative val="0"/>
          <c:dLbls>
            <c:dLbl>
              <c:idx val="0"/>
              <c:layout>
                <c:manualLayout>
                  <c:x val="0"/>
                  <c:y val="1.11576011157601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67C-4565-B5AC-09B79CB4899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Graphs!$D$26:$E$26</c:f>
              <c:strCache>
                <c:ptCount val="2"/>
                <c:pt idx="0">
                  <c:v>2004-2013</c:v>
                </c:pt>
                <c:pt idx="1">
                  <c:v>2014-2019</c:v>
                </c:pt>
              </c:strCache>
            </c:strRef>
          </c:cat>
          <c:val>
            <c:numRef>
              <c:f>Graphs!$D$27:$E$27</c:f>
              <c:numCache>
                <c:formatCode>General</c:formatCode>
                <c:ptCount val="2"/>
                <c:pt idx="0">
                  <c:v>176</c:v>
                </c:pt>
                <c:pt idx="1">
                  <c:v>48</c:v>
                </c:pt>
              </c:numCache>
            </c:numRef>
          </c:val>
          <c:extLst xmlns:c16r2="http://schemas.microsoft.com/office/drawing/2015/06/chart">
            <c:ext xmlns:c16="http://schemas.microsoft.com/office/drawing/2014/chart" uri="{C3380CC4-5D6E-409C-BE32-E72D297353CC}">
              <c16:uniqueId val="{00000001-E67C-4565-B5AC-09B79CB48994}"/>
            </c:ext>
          </c:extLst>
        </c:ser>
        <c:dLbls>
          <c:showLegendKey val="0"/>
          <c:showVal val="1"/>
          <c:showCatName val="0"/>
          <c:showSerName val="0"/>
          <c:showPercent val="0"/>
          <c:showBubbleSize val="0"/>
        </c:dLbls>
        <c:gapWidth val="219"/>
        <c:axId val="-698817920"/>
        <c:axId val="-698816832"/>
      </c:barChart>
      <c:lineChart>
        <c:grouping val="standard"/>
        <c:varyColors val="0"/>
        <c:ser>
          <c:idx val="1"/>
          <c:order val="1"/>
          <c:tx>
            <c:strRef>
              <c:f>Graphs!$B$28:$C$28</c:f>
              <c:strCache>
                <c:ptCount val="2"/>
                <c:pt idx="0">
                  <c:v>Ndryshimi në %</c:v>
                </c:pt>
              </c:strCache>
            </c:strRef>
          </c:tx>
          <c:spPr>
            <a:ln w="28575" cap="rnd">
              <a:solidFill>
                <a:srgbClr val="C00000"/>
              </a:solidFill>
              <a:round/>
            </a:ln>
            <a:effectLst/>
          </c:spPr>
          <c:marker>
            <c:symbol val="none"/>
          </c:marker>
          <c:dLbls>
            <c:dLbl>
              <c:idx val="0"/>
              <c:delete val="1"/>
              <c:extLst xmlns:c16r2="http://schemas.microsoft.com/office/drawing/2015/06/chart">
                <c:ext xmlns:c16="http://schemas.microsoft.com/office/drawing/2014/chart" uri="{C3380CC4-5D6E-409C-BE32-E72D297353CC}">
                  <c16:uniqueId val="{00000002-E67C-4565-B5AC-09B79CB48994}"/>
                </c:ext>
                <c:ext xmlns:c15="http://schemas.microsoft.com/office/drawing/2012/chart" uri="{CE6537A1-D6FC-4f65-9D91-7224C49458BB}"/>
              </c:extLst>
            </c:dLbl>
            <c:dLbl>
              <c:idx val="1"/>
              <c:layout>
                <c:manualLayout>
                  <c:x val="-0.25612052730696822"/>
                  <c:y val="-0.2287308228730822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67C-4565-B5AC-09B79CB4899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Graphs!$D$26:$E$26</c:f>
              <c:strCache>
                <c:ptCount val="2"/>
                <c:pt idx="0">
                  <c:v>2004-2013</c:v>
                </c:pt>
                <c:pt idx="1">
                  <c:v>2014-2019</c:v>
                </c:pt>
              </c:strCache>
            </c:strRef>
          </c:cat>
          <c:val>
            <c:numRef>
              <c:f>Graphs!$D$28:$E$28</c:f>
              <c:numCache>
                <c:formatCode>0%</c:formatCode>
                <c:ptCount val="2"/>
                <c:pt idx="0" formatCode="General">
                  <c:v>0</c:v>
                </c:pt>
                <c:pt idx="1">
                  <c:v>-0.72727272727272729</c:v>
                </c:pt>
              </c:numCache>
            </c:numRef>
          </c:val>
          <c:smooth val="0"/>
          <c:extLst xmlns:c16r2="http://schemas.microsoft.com/office/drawing/2015/06/chart">
            <c:ext xmlns:c16="http://schemas.microsoft.com/office/drawing/2014/chart" uri="{C3380CC4-5D6E-409C-BE32-E72D297353CC}">
              <c16:uniqueId val="{00000004-E67C-4565-B5AC-09B79CB48994}"/>
            </c:ext>
          </c:extLst>
        </c:ser>
        <c:dLbls>
          <c:showLegendKey val="0"/>
          <c:showVal val="1"/>
          <c:showCatName val="0"/>
          <c:showSerName val="0"/>
          <c:showPercent val="0"/>
          <c:showBubbleSize val="0"/>
        </c:dLbls>
        <c:marker val="1"/>
        <c:smooth val="0"/>
        <c:axId val="-746343120"/>
        <c:axId val="-746347472"/>
      </c:lineChart>
      <c:catAx>
        <c:axId val="-6988179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98816832"/>
        <c:crosses val="autoZero"/>
        <c:auto val="1"/>
        <c:lblAlgn val="ctr"/>
        <c:lblOffset val="100"/>
        <c:noMultiLvlLbl val="0"/>
      </c:catAx>
      <c:valAx>
        <c:axId val="-698816832"/>
        <c:scaling>
          <c:orientation val="minMax"/>
        </c:scaling>
        <c:delete val="0"/>
        <c:axPos val="l"/>
        <c:numFmt formatCode="General" sourceLinked="1"/>
        <c:majorTickMark val="out"/>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98817920"/>
        <c:crosses val="autoZero"/>
        <c:crossBetween val="between"/>
      </c:valAx>
      <c:valAx>
        <c:axId val="-746347472"/>
        <c:scaling>
          <c:orientation val="minMax"/>
          <c:max val="0.60000000000000031"/>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746343120"/>
        <c:crosses val="max"/>
        <c:crossBetween val="between"/>
      </c:valAx>
      <c:catAx>
        <c:axId val="-746343120"/>
        <c:scaling>
          <c:orientation val="minMax"/>
        </c:scaling>
        <c:delete val="1"/>
        <c:axPos val="b"/>
        <c:numFmt formatCode="General" sourceLinked="1"/>
        <c:majorTickMark val="out"/>
        <c:minorTickMark val="none"/>
        <c:tickLblPos val="none"/>
        <c:crossAx val="-746347472"/>
        <c:crosses val="autoZero"/>
        <c:auto val="1"/>
        <c:lblAlgn val="ctr"/>
        <c:lblOffset val="100"/>
        <c:noMultiLvlLbl val="0"/>
      </c:catAx>
      <c:spPr>
        <a:solidFill>
          <a:schemeClr val="bg1"/>
        </a:solidFill>
        <a:ln>
          <a:noFill/>
        </a:ln>
        <a:effectLst/>
      </c:spPr>
    </c:plotArea>
    <c:legend>
      <c:legendPos val="b"/>
      <c:layout>
        <c:manualLayout>
          <c:xMode val="edge"/>
          <c:yMode val="edge"/>
          <c:x val="9.1127422631493163E-2"/>
          <c:y val="0.8668054777671621"/>
          <c:w val="0.77869834067351806"/>
          <c:h val="9.414291832767771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pattFill prst="pct25">
      <a:fgClr>
        <a:srgbClr val="FFE8D1"/>
      </a:fgClr>
      <a:bgClr>
        <a:schemeClr val="bg1"/>
      </a:bgClr>
    </a:patt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Graphs!$M$4</c:f>
              <c:strCache>
                <c:ptCount val="1"/>
                <c:pt idx="0">
                  <c:v>Numri  kontratave koncesionare/PPP</c:v>
                </c:pt>
              </c:strCache>
            </c:strRef>
          </c:tx>
          <c:spPr>
            <a:solidFill>
              <a:schemeClr val="bg2">
                <a:lumMod val="75000"/>
              </a:schemeClr>
            </a:solidFill>
            <a:ln>
              <a:solidFill>
                <a:schemeClr val="accent2"/>
              </a:solidFill>
            </a:ln>
            <a:effectLst/>
          </c:spPr>
          <c:invertIfNegative val="0"/>
          <c:dPt>
            <c:idx val="9"/>
            <c:invertIfNegative val="0"/>
            <c:bubble3D val="0"/>
            <c:spPr>
              <a:solidFill>
                <a:schemeClr val="accent2"/>
              </a:solidFill>
              <a:ln>
                <a:solidFill>
                  <a:schemeClr val="bg2">
                    <a:lumMod val="50000"/>
                  </a:schemeClr>
                </a:solidFill>
              </a:ln>
              <a:effectLst/>
            </c:spPr>
            <c:extLst xmlns:c16r2="http://schemas.microsoft.com/office/drawing/2015/06/chart">
              <c:ext xmlns:c16="http://schemas.microsoft.com/office/drawing/2014/chart" uri="{C3380CC4-5D6E-409C-BE32-E72D297353CC}">
                <c16:uniqueId val="{00000001-D138-4D33-8D0C-C71CE74BCF71}"/>
              </c:ext>
            </c:extLst>
          </c:dPt>
          <c:dLbls>
            <c:dLbl>
              <c:idx val="9"/>
              <c:tx>
                <c:rich>
                  <a:bodyPr/>
                  <a:lstStyle/>
                  <a:p>
                    <a:fld id="{B9C83ECA-95D2-4755-9568-0C35E236ED34}" type="VALUE">
                      <a:rPr lang="en-US">
                        <a:solidFill>
                          <a:schemeClr val="accent2"/>
                        </a:solidFill>
                      </a:rPr>
                      <a:pPr/>
                      <a:t>[VALUE]</a:t>
                    </a:fld>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138-4D33-8D0C-C71CE74BCF71}"/>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Graphs!$L$5:$L$14</c:f>
              <c:strCache>
                <c:ptCount val="10"/>
                <c:pt idx="0">
                  <c:v>Bashkia Vlorë</c:v>
                </c:pt>
                <c:pt idx="1">
                  <c:v>Bashkia Kamëz</c:v>
                </c:pt>
                <c:pt idx="2">
                  <c:v>Bashkia Tiranë</c:v>
                </c:pt>
                <c:pt idx="3">
                  <c:v>Ministria e Brendshme</c:v>
                </c:pt>
                <c:pt idx="4">
                  <c:v>Ministria e Turizmit dhe Mjedisit</c:v>
                </c:pt>
                <c:pt idx="5">
                  <c:v>Ministria e Bujqësisë dhe Zhvillimit Rural</c:v>
                </c:pt>
                <c:pt idx="6">
                  <c:v>Ministria e Shëndetësisë dhe Mbrotjes Sociale</c:v>
                </c:pt>
                <c:pt idx="7">
                  <c:v>Ministria e Financave dhe Ekonomisë</c:v>
                </c:pt>
                <c:pt idx="8">
                  <c:v>Ministria e Infrastrukturës dhe Energjisë</c:v>
                </c:pt>
                <c:pt idx="9">
                  <c:v>Total </c:v>
                </c:pt>
              </c:strCache>
            </c:strRef>
          </c:cat>
          <c:val>
            <c:numRef>
              <c:f>Graphs!$M$5:$M$14</c:f>
              <c:numCache>
                <c:formatCode>General</c:formatCode>
                <c:ptCount val="10"/>
                <c:pt idx="0">
                  <c:v>1</c:v>
                </c:pt>
                <c:pt idx="1">
                  <c:v>1</c:v>
                </c:pt>
                <c:pt idx="2">
                  <c:v>2</c:v>
                </c:pt>
                <c:pt idx="3">
                  <c:v>1</c:v>
                </c:pt>
                <c:pt idx="4">
                  <c:v>1</c:v>
                </c:pt>
                <c:pt idx="5">
                  <c:v>2</c:v>
                </c:pt>
                <c:pt idx="6">
                  <c:v>4</c:v>
                </c:pt>
                <c:pt idx="7">
                  <c:v>6</c:v>
                </c:pt>
                <c:pt idx="8">
                  <c:v>206</c:v>
                </c:pt>
                <c:pt idx="9">
                  <c:v>224</c:v>
                </c:pt>
              </c:numCache>
            </c:numRef>
          </c:val>
          <c:extLst xmlns:c16r2="http://schemas.microsoft.com/office/drawing/2015/06/chart">
            <c:ext xmlns:c16="http://schemas.microsoft.com/office/drawing/2014/chart" uri="{C3380CC4-5D6E-409C-BE32-E72D297353CC}">
              <c16:uniqueId val="{00000002-D138-4D33-8D0C-C71CE74BCF71}"/>
            </c:ext>
          </c:extLst>
        </c:ser>
        <c:dLbls>
          <c:showLegendKey val="0"/>
          <c:showVal val="1"/>
          <c:showCatName val="0"/>
          <c:showSerName val="0"/>
          <c:showPercent val="0"/>
          <c:showBubbleSize val="0"/>
        </c:dLbls>
        <c:gapWidth val="182"/>
        <c:axId val="-746346928"/>
        <c:axId val="-746346384"/>
      </c:barChart>
      <c:catAx>
        <c:axId val="-746346928"/>
        <c:scaling>
          <c:orientation val="minMax"/>
        </c:scaling>
        <c:delete val="0"/>
        <c:axPos val="l"/>
        <c:numFmt formatCode="General" sourceLinked="1"/>
        <c:majorTickMark val="out"/>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6346384"/>
        <c:crosses val="autoZero"/>
        <c:auto val="1"/>
        <c:lblAlgn val="ctr"/>
        <c:lblOffset val="100"/>
        <c:noMultiLvlLbl val="0"/>
      </c:catAx>
      <c:valAx>
        <c:axId val="-746346384"/>
        <c:scaling>
          <c:orientation val="minMax"/>
        </c:scaling>
        <c:delete val="0"/>
        <c:axPos val="b"/>
        <c:numFmt formatCode="General"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46346928"/>
        <c:crosses val="autoZero"/>
        <c:crossBetween val="between"/>
      </c:valAx>
      <c:spPr>
        <a:solidFill>
          <a:schemeClr val="bg1"/>
        </a:solidFill>
        <a:ln>
          <a:noFill/>
        </a:ln>
        <a:effectLst/>
      </c:spPr>
    </c:plotArea>
    <c:plotVisOnly val="1"/>
    <c:dispBlanksAs val="gap"/>
    <c:showDLblsOverMax val="0"/>
  </c:chart>
  <c:spPr>
    <a:pattFill prst="pct30">
      <a:fgClr>
        <a:schemeClr val="accent6">
          <a:lumMod val="20000"/>
          <a:lumOff val="80000"/>
        </a:schemeClr>
      </a:fgClr>
      <a:bgClr>
        <a:schemeClr val="bg1"/>
      </a:bgClr>
    </a:pattFill>
    <a:ln w="9525" cap="flat" cmpd="sng" algn="ctr">
      <a:solidFill>
        <a:schemeClr val="bg2">
          <a:lumMod val="7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33141090696996212"/>
          <c:y val="0.1201909517407885"/>
          <c:w val="0.37185076628828334"/>
          <c:h val="0.69543750092908707"/>
        </c:manualLayout>
      </c:layout>
      <c:doughnutChart>
        <c:varyColors val="1"/>
        <c:ser>
          <c:idx val="0"/>
          <c:order val="0"/>
          <c:tx>
            <c:strRef>
              <c:f>'C:\Users\silvana.doci\Desktop\Raporti paraprak i permbledhur 9-mujor 2019\[PPP graph ppt - Working (Autosaved).xlsx]Sipas Sektorit'!$E$21</c:f>
              <c:strCache>
                <c:ptCount val="1"/>
                <c:pt idx="0">
                  <c:v>Numri i kontratave aktive</c:v>
                </c:pt>
              </c:strCache>
            </c:strRef>
          </c:tx>
          <c:spPr>
            <a:effectLst>
              <a:softEdge rad="0"/>
            </a:effectLst>
            <a:scene3d>
              <a:camera prst="orthographicFront"/>
              <a:lightRig rig="threePt" dir="t"/>
            </a:scene3d>
            <a:sp3d>
              <a:bevelT w="12700" prst="angle"/>
              <a:bevelB w="12700"/>
            </a:sp3d>
          </c:spPr>
          <c:explosion val="13"/>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softEdge rad="0"/>
              </a:effectLst>
              <a:scene3d>
                <a:camera prst="orthographicFront"/>
                <a:lightRig rig="threePt" dir="t"/>
              </a:scene3d>
              <a:sp3d>
                <a:bevelT w="12700" prst="angle"/>
                <a:bevelB w="12700"/>
              </a:sp3d>
            </c:spPr>
          </c:dPt>
          <c:dPt>
            <c:idx val="1"/>
            <c:bubble3D val="0"/>
            <c:spPr>
              <a:solidFill>
                <a:schemeClr val="accent3"/>
              </a:solidFill>
              <a:ln>
                <a:noFill/>
              </a:ln>
              <a:effectLst>
                <a:softEdge rad="0"/>
              </a:effectLst>
              <a:scene3d>
                <a:camera prst="orthographicFront"/>
                <a:lightRig rig="threePt" dir="t"/>
              </a:scene3d>
              <a:sp3d>
                <a:bevelT w="12700" prst="angle"/>
                <a:bevelB w="12700"/>
              </a:sp3d>
            </c:spPr>
          </c:dPt>
          <c:dPt>
            <c:idx val="2"/>
            <c:bubble3D val="0"/>
            <c:explosion val="2"/>
            <c:spPr>
              <a:solidFill>
                <a:srgbClr val="C00000"/>
              </a:solidFill>
              <a:ln>
                <a:noFill/>
              </a:ln>
              <a:effectLst>
                <a:softEdge rad="0"/>
              </a:effectLst>
              <a:scene3d>
                <a:camera prst="orthographicFront"/>
                <a:lightRig rig="threePt" dir="t"/>
              </a:scene3d>
              <a:sp3d>
                <a:bevelT w="12700" prst="angle"/>
                <a:bevelB w="12700"/>
              </a:sp3d>
            </c:spPr>
          </c:dPt>
          <c:dPt>
            <c:idx val="3"/>
            <c:bubble3D val="0"/>
            <c:explosion val="15"/>
            <c:spPr>
              <a:solidFill>
                <a:schemeClr val="bg2">
                  <a:lumMod val="50000"/>
                </a:schemeClr>
              </a:solidFill>
              <a:ln>
                <a:noFill/>
              </a:ln>
              <a:effectLst>
                <a:softEdge rad="0"/>
              </a:effectLst>
              <a:scene3d>
                <a:camera prst="orthographicFront"/>
                <a:lightRig rig="threePt" dir="t"/>
              </a:scene3d>
              <a:sp3d>
                <a:bevelT w="12700" prst="angle"/>
                <a:bevelB w="12700"/>
              </a:sp3d>
            </c:spPr>
          </c:dPt>
          <c:dPt>
            <c:idx val="4"/>
            <c:bubble3D val="0"/>
            <c:explosion val="5"/>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softEdge rad="0"/>
              </a:effectLst>
              <a:scene3d>
                <a:camera prst="orthographicFront"/>
                <a:lightRig rig="threePt" dir="t"/>
              </a:scene3d>
              <a:sp3d>
                <a:bevelT w="12700" prst="angle"/>
                <a:bevelB w="12700"/>
              </a:sp3d>
            </c:spPr>
          </c:dPt>
          <c:dLbls>
            <c:dLbl>
              <c:idx val="0"/>
              <c:layout>
                <c:manualLayout>
                  <c:x val="-0.16741540193911092"/>
                  <c:y val="-9.767276065229348E-2"/>
                </c:manualLayout>
              </c:layout>
              <c:tx>
                <c:rich>
                  <a:bodyPr rot="0" spcFirstLastPara="1" vertOverflow="clip" horzOverflow="clip" vert="horz" wrap="square" lIns="38100" tIns="19050" rIns="38100" bIns="19050" anchor="t" anchorCtr="0">
                    <a:noAutofit/>
                  </a:bodyPr>
                  <a:lstStyle/>
                  <a:p>
                    <a:pPr algn="r">
                      <a:defRPr sz="900" b="1" i="0" u="none" strike="noStrike" kern="1200" baseline="0">
                        <a:solidFill>
                          <a:schemeClr val="dk2">
                            <a:lumMod val="75000"/>
                          </a:schemeClr>
                        </a:solidFill>
                        <a:latin typeface="Times New Roman" panose="02020603050405020304" pitchFamily="18" charset="0"/>
                        <a:ea typeface="+mn-ea"/>
                        <a:cs typeface="Times New Roman" panose="02020603050405020304" pitchFamily="18" charset="0"/>
                      </a:defRPr>
                    </a:pPr>
                    <a:fld id="{F720E52A-73B0-45E1-9819-B936EF05E7DE}" type="CATEGORYNAME">
                      <a:rPr lang="en-US" sz="900" b="1">
                        <a:solidFill>
                          <a:schemeClr val="tx2">
                            <a:lumMod val="75000"/>
                          </a:schemeClr>
                        </a:solidFill>
                        <a:latin typeface="Times New Roman" panose="02020603050405020304" pitchFamily="18" charset="0"/>
                        <a:cs typeface="Times New Roman" panose="02020603050405020304" pitchFamily="18" charset="0"/>
                      </a:rPr>
                      <a:pPr algn="r">
                        <a:defRPr b="1">
                          <a:latin typeface="Times New Roman" panose="02020603050405020304" pitchFamily="18" charset="0"/>
                          <a:cs typeface="Times New Roman" panose="02020603050405020304" pitchFamily="18" charset="0"/>
                        </a:defRPr>
                      </a:pPr>
                      <a:t>[CATEGORY NAME]</a:t>
                    </a:fld>
                    <a:endParaRPr lang="en-US" sz="900" b="1" baseline="0">
                      <a:solidFill>
                        <a:schemeClr val="tx2">
                          <a:lumMod val="75000"/>
                        </a:schemeClr>
                      </a:solidFill>
                      <a:latin typeface="Times New Roman" panose="02020603050405020304" pitchFamily="18" charset="0"/>
                      <a:cs typeface="Times New Roman" panose="02020603050405020304" pitchFamily="18" charset="0"/>
                    </a:endParaRPr>
                  </a:p>
                  <a:p>
                    <a:pPr algn="r">
                      <a:defRPr b="1">
                        <a:latin typeface="Times New Roman" panose="02020603050405020304" pitchFamily="18" charset="0"/>
                        <a:cs typeface="Times New Roman" panose="02020603050405020304" pitchFamily="18" charset="0"/>
                      </a:defRPr>
                    </a:pPr>
                    <a:r>
                      <a:rPr lang="en-US" sz="900" b="1" baseline="0">
                        <a:solidFill>
                          <a:sysClr val="windowText" lastClr="000000"/>
                        </a:solidFill>
                        <a:latin typeface="Times New Roman" panose="02020603050405020304" pitchFamily="18" charset="0"/>
                        <a:cs typeface="Times New Roman" panose="02020603050405020304" pitchFamily="18" charset="0"/>
                      </a:rPr>
                      <a:t>-186 </a:t>
                    </a:r>
                    <a:r>
                      <a:rPr lang="en-US" sz="900" b="1">
                        <a:solidFill>
                          <a:sysClr val="windowText" lastClr="000000"/>
                        </a:solidFill>
                        <a:latin typeface="Times New Roman" panose="02020603050405020304" pitchFamily="18" charset="0"/>
                        <a:cs typeface="Times New Roman" panose="02020603050405020304" pitchFamily="18" charset="0"/>
                      </a:rPr>
                      <a:t>Kontrata</a:t>
                    </a:r>
                  </a:p>
                  <a:p>
                    <a:pPr algn="r">
                      <a:defRPr b="1">
                        <a:latin typeface="Times New Roman" panose="02020603050405020304" pitchFamily="18" charset="0"/>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-418,5 mld lekë</a:t>
                    </a:r>
                  </a:p>
                </c:rich>
              </c:tx>
              <c:numFmt formatCode="General" sourceLinked="0"/>
              <c:spPr>
                <a:xfrm>
                  <a:off x="114300" y="911336"/>
                  <a:ext cx="1499721" cy="629523"/>
                </a:xfrm>
                <a:solidFill>
                  <a:sysClr val="window" lastClr="FFFFFF"/>
                </a:solidFill>
                <a:ln w="9525" cap="flat" cmpd="sng" algn="ctr">
                  <a:solidFill>
                    <a:srgbClr val="4F81BD">
                      <a:lumMod val="20000"/>
                      <a:lumOff val="80000"/>
                    </a:srgbClr>
                  </a:solidFill>
                  <a:prstDash val="solid"/>
                  <a:round/>
                  <a:headEnd type="none" w="med" len="med"/>
                  <a:tailEnd type="none" w="med" len="med"/>
                </a:ln>
                <a:effectLst/>
              </c:spPr>
              <c:txPr>
                <a:bodyPr rot="0" spcFirstLastPara="1" vertOverflow="clip" horzOverflow="clip" vert="horz" wrap="square" lIns="38100" tIns="19050" rIns="38100" bIns="19050" anchor="t" anchorCtr="0">
                  <a:noAutofit/>
                </a:bodyPr>
                <a:lstStyle/>
                <a:p>
                  <a:pPr algn="r">
                    <a:defRPr sz="900" b="1" i="0" u="none" strike="noStrike" kern="1200" baseline="0">
                      <a:solidFill>
                        <a:schemeClr val="dk2">
                          <a:lumMod val="7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gd name="adj1" fmla="val 59967"/>
                        <a:gd name="adj2" fmla="val -910"/>
                      </a:avLst>
                    </a:prstGeom>
                    <a:noFill/>
                    <a:ln>
                      <a:noFill/>
                    </a:ln>
                  </c15:spPr>
                  <c15:layout>
                    <c:manualLayout>
                      <c:w val="0.2483456287207001"/>
                      <c:h val="0.19496056954279004"/>
                    </c:manualLayout>
                  </c15:layout>
                  <c15:dlblFieldTable/>
                  <c15:showDataLabelsRange val="0"/>
                </c:ext>
              </c:extLst>
            </c:dLbl>
            <c:dLbl>
              <c:idx val="1"/>
              <c:layout>
                <c:manualLayout>
                  <c:x val="0.13658456101679894"/>
                  <c:y val="-0.20859610976741394"/>
                </c:manualLayout>
              </c:layout>
              <c:tx>
                <c:rich>
                  <a:bodyPr rot="0" spcFirstLastPara="1" vertOverflow="clip" horzOverflow="clip" vert="horz" wrap="square" lIns="38100" tIns="19050" rIns="38100" bIns="19050" anchor="ctr" anchorCtr="0">
                    <a:spAutoFit/>
                  </a:bodyPr>
                  <a:lstStyle/>
                  <a:p>
                    <a:pPr algn="l">
                      <a:defRPr sz="900" b="0" i="0" u="none" strike="noStrike" kern="1200" baseline="0">
                        <a:solidFill>
                          <a:schemeClr val="dk2">
                            <a:lumMod val="75000"/>
                          </a:schemeClr>
                        </a:solidFill>
                        <a:latin typeface="+mn-lt"/>
                        <a:ea typeface="+mn-ea"/>
                        <a:cs typeface="+mn-cs"/>
                      </a:defRPr>
                    </a:pPr>
                    <a:fld id="{61CE9C64-F616-4ADB-8A10-30511B0D6557}" type="CATEGORYNAME">
                      <a:rPr lang="en-US" b="1">
                        <a:solidFill>
                          <a:schemeClr val="accent3">
                            <a:lumMod val="50000"/>
                          </a:schemeClr>
                        </a:solidFill>
                      </a:rPr>
                      <a:pPr algn="l">
                        <a:defRPr/>
                      </a:pPr>
                      <a:t>[CATEGORY NAME]</a:t>
                    </a:fld>
                    <a:r>
                      <a:rPr lang="en-US" baseline="0"/>
                      <a:t>
-</a:t>
                    </a:r>
                    <a:fld id="{E6D033BB-29A4-493C-9EEE-9EF8A0BA43BB}" type="VALUE">
                      <a:rPr lang="en-US" b="1" baseline="0">
                        <a:solidFill>
                          <a:sysClr val="windowText" lastClr="000000"/>
                        </a:solidFill>
                      </a:rPr>
                      <a:pPr algn="l">
                        <a:defRPr/>
                      </a:pPr>
                      <a:t>[VALUE]</a:t>
                    </a:fld>
                    <a:r>
                      <a:rPr lang="en-US" b="1" baseline="0">
                        <a:solidFill>
                          <a:sysClr val="windowText" lastClr="000000"/>
                        </a:solidFill>
                      </a:rPr>
                      <a:t> Kontrata</a:t>
                    </a:r>
                  </a:p>
                  <a:p>
                    <a:pPr algn="l">
                      <a:defRPr/>
                    </a:pPr>
                    <a:r>
                      <a:rPr lang="en-US" b="1" baseline="0">
                        <a:solidFill>
                          <a:sysClr val="windowText" lastClr="000000"/>
                        </a:solidFill>
                      </a:rPr>
                      <a:t>-25,8 mld Lekë</a:t>
                    </a:r>
                  </a:p>
                </c:rich>
              </c:tx>
              <c:numFmt formatCode="General" sourceLinked="0"/>
              <c:spPr>
                <a:xfrm>
                  <a:off x="3771335" y="627079"/>
                  <a:ext cx="1475605" cy="586206"/>
                </a:xfrm>
                <a:solidFill>
                  <a:sysClr val="window" lastClr="FFFFFF"/>
                </a:solidFill>
                <a:ln w="9525" cap="flat" cmpd="sng" algn="ctr">
                  <a:solidFill>
                    <a:srgbClr val="9BBB59">
                      <a:lumMod val="40000"/>
                      <a:lumOff val="60000"/>
                    </a:srgbClr>
                  </a:solidFill>
                  <a:prstDash val="solid"/>
                  <a:round/>
                  <a:headEnd type="none" w="med" len="med"/>
                  <a:tailEnd type="none" w="med" len="med"/>
                </a:ln>
                <a:effectLst/>
              </c:spPr>
              <c:txPr>
                <a:bodyPr rot="0" spcFirstLastPara="1" vertOverflow="clip" horzOverflow="clip" vert="horz" wrap="square" lIns="38100" tIns="19050" rIns="38100" bIns="19050" anchor="ctr" anchorCtr="0">
                  <a:spAutoFit/>
                </a:bodyPr>
                <a:lstStyle/>
                <a:p>
                  <a:pPr algn="l">
                    <a:defRPr sz="900" b="0" i="0" u="none" strike="noStrike" kern="1200" baseline="0">
                      <a:solidFill>
                        <a:schemeClr val="dk2">
                          <a:lumMod val="75000"/>
                        </a:schemeClr>
                      </a:solidFill>
                      <a:latin typeface="+mn-lt"/>
                      <a:ea typeface="+mn-ea"/>
                      <a:cs typeface="+mn-cs"/>
                    </a:defRPr>
                  </a:pPr>
                  <a:endParaRPr lang="en-US"/>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gd name="adj1" fmla="val -44924"/>
                        <a:gd name="adj2" fmla="val 98597"/>
                      </a:avLst>
                    </a:prstGeom>
                    <a:noFill/>
                    <a:ln>
                      <a:noFill/>
                    </a:ln>
                  </c15:spPr>
                  <c15:layout>
                    <c:manualLayout>
                      <c:w val="0.2443522115291144"/>
                      <c:h val="0.19904633871985514"/>
                    </c:manualLayout>
                  </c15:layout>
                  <c15:dlblFieldTable/>
                  <c15:showDataLabelsRange val="0"/>
                </c:ext>
              </c:extLst>
            </c:dLbl>
            <c:dLbl>
              <c:idx val="2"/>
              <c:layout>
                <c:manualLayout>
                  <c:x val="0.24211356466876977"/>
                  <c:y val="-3.3554626619087542E-2"/>
                </c:manualLayout>
              </c:layout>
              <c:tx>
                <c:rich>
                  <a:bodyPr rot="0" spcFirstLastPara="1" vertOverflow="clip" horzOverflow="clip" vert="horz" wrap="square" lIns="38100" tIns="19050" rIns="38100" bIns="19050" anchor="ctr" anchorCtr="0">
                    <a:spAutoFit/>
                  </a:bodyPr>
                  <a:lstStyle/>
                  <a:p>
                    <a:pPr algn="l">
                      <a:defRPr sz="900" b="1" i="0" u="none" strike="noStrike" kern="1200" baseline="0">
                        <a:solidFill>
                          <a:sysClr val="windowText" lastClr="000000"/>
                        </a:solidFill>
                        <a:latin typeface="+mn-lt"/>
                        <a:ea typeface="+mn-ea"/>
                        <a:cs typeface="+mn-cs"/>
                      </a:defRPr>
                    </a:pPr>
                    <a:fld id="{15D4BA63-DDEB-4444-ACBB-A0817AB88411}" type="CATEGORYNAME">
                      <a:rPr lang="en-US" b="1">
                        <a:solidFill>
                          <a:srgbClr val="C00000"/>
                        </a:solidFill>
                      </a:rPr>
                      <a:pPr algn="l">
                        <a:defRPr b="1">
                          <a:solidFill>
                            <a:sysClr val="windowText" lastClr="000000"/>
                          </a:solidFill>
                        </a:defRPr>
                      </a:pPr>
                      <a:t>[CATEGORY NAME]</a:t>
                    </a:fld>
                    <a:r>
                      <a:rPr lang="en-US" b="1" baseline="0">
                        <a:solidFill>
                          <a:sysClr val="windowText" lastClr="000000"/>
                        </a:solidFill>
                      </a:rPr>
                      <a:t>
-</a:t>
                    </a:r>
                    <a:fld id="{FACBAC1C-3173-483B-B437-9E88C5723EC2}" type="VALUE">
                      <a:rPr lang="en-US" b="1" baseline="0">
                        <a:solidFill>
                          <a:sysClr val="windowText" lastClr="000000"/>
                        </a:solidFill>
                      </a:rPr>
                      <a:pPr algn="l">
                        <a:defRPr b="1">
                          <a:solidFill>
                            <a:sysClr val="windowText" lastClr="000000"/>
                          </a:solidFill>
                        </a:defRPr>
                      </a:pPr>
                      <a:t>[VALUE]</a:t>
                    </a:fld>
                    <a:r>
                      <a:rPr lang="en-US" b="1" baseline="0">
                        <a:solidFill>
                          <a:sysClr val="windowText" lastClr="000000"/>
                        </a:solidFill>
                      </a:rPr>
                      <a:t> Kontrata</a:t>
                    </a:r>
                  </a:p>
                  <a:p>
                    <a:pPr algn="l">
                      <a:defRPr b="1">
                        <a:solidFill>
                          <a:sysClr val="windowText" lastClr="000000"/>
                        </a:solidFill>
                      </a:defRPr>
                    </a:pPr>
                    <a:r>
                      <a:rPr lang="en-US" b="1" baseline="0">
                        <a:solidFill>
                          <a:sysClr val="windowText" lastClr="000000"/>
                        </a:solidFill>
                      </a:rPr>
                      <a:t>-4,2 mld Lekë</a:t>
                    </a:r>
                  </a:p>
                </c:rich>
              </c:tx>
              <c:numFmt formatCode="General" sourceLinked="0"/>
              <c:spPr>
                <a:xfrm>
                  <a:off x="4286249" y="1375651"/>
                  <a:ext cx="1524146" cy="542739"/>
                </a:xfrm>
                <a:solidFill>
                  <a:sysClr val="window" lastClr="FFFFFF"/>
                </a:solidFill>
                <a:ln w="9525" cap="flat" cmpd="sng" algn="ctr">
                  <a:solidFill>
                    <a:srgbClr val="C0504D">
                      <a:lumMod val="20000"/>
                      <a:lumOff val="80000"/>
                    </a:srgbClr>
                  </a:solidFill>
                  <a:prstDash val="solid"/>
                  <a:round/>
                  <a:headEnd type="none" w="med" len="med"/>
                  <a:tailEnd type="none" w="med" len="med"/>
                </a:ln>
                <a:effectLst/>
              </c:spPr>
              <c:txPr>
                <a:bodyPr rot="0" spcFirstLastPara="1" vertOverflow="clip" horzOverflow="clip" vert="horz" wrap="square" lIns="38100" tIns="19050" rIns="38100" bIns="19050" anchor="ctr" anchorCtr="0">
                  <a:spAutoFit/>
                </a:bodyPr>
                <a:lstStyle/>
                <a:p>
                  <a:pPr algn="l">
                    <a:defRPr sz="900" b="1"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gd name="adj1" fmla="val -83429"/>
                        <a:gd name="adj2" fmla="val 23473"/>
                      </a:avLst>
                    </a:prstGeom>
                    <a:noFill/>
                    <a:ln>
                      <a:noFill/>
                    </a:ln>
                  </c15:spPr>
                  <c15:layout>
                    <c:manualLayout>
                      <c:w val="0.25239010738799605"/>
                      <c:h val="0.16808393744642264"/>
                    </c:manualLayout>
                  </c15:layout>
                  <c15:dlblFieldTable/>
                  <c15:showDataLabelsRange val="0"/>
                </c:ext>
              </c:extLst>
            </c:dLbl>
            <c:dLbl>
              <c:idx val="3"/>
              <c:layout>
                <c:manualLayout>
                  <c:x val="0.21613817200294758"/>
                  <c:y val="0.1018517945007953"/>
                </c:manualLayout>
              </c:layout>
              <c:tx>
                <c:rich>
                  <a:bodyPr rot="0" spcFirstLastPara="1" vertOverflow="clip" horzOverflow="clip" vert="horz" wrap="square" lIns="38100" tIns="19050" rIns="38100" bIns="19050" anchor="ctr" anchorCtr="0">
                    <a:spAutoFit/>
                  </a:bodyPr>
                  <a:lstStyle/>
                  <a:p>
                    <a:pPr algn="l">
                      <a:defRPr sz="900" b="1" i="0" u="none" strike="noStrike" kern="1200" baseline="0">
                        <a:solidFill>
                          <a:sysClr val="windowText" lastClr="000000"/>
                        </a:solidFill>
                        <a:latin typeface="+mn-lt"/>
                        <a:ea typeface="+mn-ea"/>
                        <a:cs typeface="+mn-cs"/>
                      </a:defRPr>
                    </a:pPr>
                    <a:fld id="{865DD673-152A-4734-A4E5-092D44D94C6D}" type="CATEGORYNAME">
                      <a:rPr lang="en-US" b="1">
                        <a:solidFill>
                          <a:schemeClr val="bg2">
                            <a:lumMod val="50000"/>
                          </a:schemeClr>
                        </a:solidFill>
                      </a:rPr>
                      <a:pPr algn="l">
                        <a:defRPr b="1">
                          <a:solidFill>
                            <a:sysClr val="windowText" lastClr="000000"/>
                          </a:solidFill>
                        </a:defRPr>
                      </a:pPr>
                      <a:t>[CATEGORY NAME]</a:t>
                    </a:fld>
                    <a:r>
                      <a:rPr lang="en-US" b="1" baseline="0">
                        <a:solidFill>
                          <a:sysClr val="windowText" lastClr="000000"/>
                        </a:solidFill>
                      </a:rPr>
                      <a:t>
-19 Kontrata</a:t>
                    </a:r>
                  </a:p>
                  <a:p>
                    <a:pPr algn="l">
                      <a:defRPr b="1">
                        <a:solidFill>
                          <a:sysClr val="windowText" lastClr="000000"/>
                        </a:solidFill>
                      </a:defRPr>
                    </a:pPr>
                    <a:r>
                      <a:rPr lang="en-US" b="1" baseline="0">
                        <a:solidFill>
                          <a:sysClr val="windowText" lastClr="000000"/>
                        </a:solidFill>
                      </a:rPr>
                      <a:t>-85,5 mld Lekë</a:t>
                    </a:r>
                  </a:p>
                </c:rich>
              </c:tx>
              <c:numFmt formatCode="General" sourceLinked="0"/>
              <c:spPr>
                <a:xfrm>
                  <a:off x="4459196" y="2015941"/>
                  <a:ext cx="1579653" cy="542739"/>
                </a:xfrm>
                <a:solidFill>
                  <a:sysClr val="window" lastClr="FFFFFF"/>
                </a:solidFill>
                <a:ln>
                  <a:solidFill>
                    <a:schemeClr val="bg2">
                      <a:lumMod val="75000"/>
                    </a:schemeClr>
                  </a:solidFill>
                </a:ln>
                <a:effectLst/>
              </c:spPr>
              <c:txPr>
                <a:bodyPr rot="0" spcFirstLastPara="1" vertOverflow="clip" horzOverflow="clip" vert="horz" wrap="square" lIns="38100" tIns="19050" rIns="38100" bIns="19050" anchor="ctr" anchorCtr="0">
                  <a:spAutoFit/>
                </a:bodyPr>
                <a:lstStyle/>
                <a:p>
                  <a:pPr algn="l">
                    <a:defRPr sz="900" b="1"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gd name="adj1" fmla="val -71773"/>
                        <a:gd name="adj2" fmla="val -46556"/>
                      </a:avLst>
                    </a:prstGeom>
                    <a:noFill/>
                    <a:ln>
                      <a:noFill/>
                    </a:ln>
                  </c15:spPr>
                  <c15:layout>
                    <c:manualLayout>
                      <c:w val="0.2615817581161976"/>
                      <c:h val="0.16808398950131237"/>
                    </c:manualLayout>
                  </c15:layout>
                  <c15:dlblFieldTable/>
                  <c15:showDataLabelsRange val="0"/>
                </c:ext>
              </c:extLst>
            </c:dLbl>
            <c:dLbl>
              <c:idx val="4"/>
              <c:layout>
                <c:manualLayout>
                  <c:x val="0.13535750877267236"/>
                  <c:y val="0.24196836604587801"/>
                </c:manualLayout>
              </c:layout>
              <c:tx>
                <c:rich>
                  <a:bodyPr rot="0" spcFirstLastPara="1" vertOverflow="clip" horzOverflow="clip" vert="horz" wrap="square" lIns="38100" tIns="19050" rIns="38100" bIns="19050" anchor="ctr" anchorCtr="0">
                    <a:spAutoFit/>
                  </a:bodyPr>
                  <a:lstStyle/>
                  <a:p>
                    <a:pPr algn="l">
                      <a:defRPr sz="900" b="1" i="0" u="none" strike="noStrike" kern="1200" baseline="0">
                        <a:solidFill>
                          <a:sysClr val="windowText" lastClr="000000"/>
                        </a:solidFill>
                        <a:latin typeface="+mn-lt"/>
                        <a:ea typeface="+mn-ea"/>
                        <a:cs typeface="+mn-cs"/>
                      </a:defRPr>
                    </a:pPr>
                    <a:fld id="{D5AD2217-D52E-46F5-A279-AEA2A10D7376}" type="CATEGORYNAME">
                      <a:rPr lang="en-US" b="1">
                        <a:solidFill>
                          <a:schemeClr val="accent5">
                            <a:lumMod val="75000"/>
                          </a:schemeClr>
                        </a:solidFill>
                      </a:rPr>
                      <a:pPr algn="l">
                        <a:defRPr b="1">
                          <a:solidFill>
                            <a:sysClr val="windowText" lastClr="000000"/>
                          </a:solidFill>
                        </a:defRPr>
                      </a:pPr>
                      <a:t>[CATEGORY NAME]</a:t>
                    </a:fld>
                    <a:r>
                      <a:rPr lang="en-US" b="1" baseline="0">
                        <a:solidFill>
                          <a:sysClr val="windowText" lastClr="000000"/>
                        </a:solidFill>
                      </a:rPr>
                      <a:t>
-9 Kontrata</a:t>
                    </a:r>
                  </a:p>
                  <a:p>
                    <a:pPr algn="l">
                      <a:defRPr b="1">
                        <a:solidFill>
                          <a:sysClr val="windowText" lastClr="000000"/>
                        </a:solidFill>
                      </a:defRPr>
                    </a:pPr>
                    <a:r>
                      <a:rPr lang="en-US" b="1" baseline="0">
                        <a:solidFill>
                          <a:sysClr val="windowText" lastClr="000000"/>
                        </a:solidFill>
                      </a:rPr>
                      <a:t>-9,6 mld Lekë</a:t>
                    </a:r>
                  </a:p>
                </c:rich>
              </c:tx>
              <c:numFmt formatCode="General" sourceLinked="0"/>
              <c:spPr>
                <a:xfrm>
                  <a:off x="3868606" y="2669460"/>
                  <a:ext cx="1173998" cy="542739"/>
                </a:xfrm>
                <a:solidFill>
                  <a:sysClr val="window" lastClr="FFFFFF"/>
                </a:solidFill>
                <a:ln>
                  <a:solidFill>
                    <a:schemeClr val="accent5">
                      <a:lumMod val="40000"/>
                      <a:lumOff val="60000"/>
                    </a:schemeClr>
                  </a:solidFill>
                </a:ln>
                <a:effectLst/>
                <a:scene3d>
                  <a:camera prst="orthographicFront"/>
                  <a:lightRig rig="threePt" dir="t"/>
                </a:scene3d>
                <a:sp3d>
                  <a:bevelT w="0"/>
                </a:sp3d>
              </c:spPr>
              <c:txPr>
                <a:bodyPr rot="0" spcFirstLastPara="1" vertOverflow="clip" horzOverflow="clip" vert="horz" wrap="square" lIns="38100" tIns="19050" rIns="38100" bIns="19050" anchor="ctr" anchorCtr="0">
                  <a:spAutoFit/>
                </a:bodyPr>
                <a:lstStyle/>
                <a:p>
                  <a:pPr algn="l">
                    <a:defRPr sz="900" b="1"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gd name="adj1" fmla="val -52588"/>
                        <a:gd name="adj2" fmla="val -103227"/>
                      </a:avLst>
                    </a:prstGeom>
                    <a:noFill/>
                    <a:ln>
                      <a:noFill/>
                    </a:ln>
                  </c15:spPr>
                  <c15:layout>
                    <c:manualLayout>
                      <c:w val="0.21964436667638768"/>
                      <c:h val="0.19880892937163341"/>
                    </c:manualLayout>
                  </c15:layout>
                  <c15:dlblFieldTable/>
                  <c15:showDataLabelsRange val="0"/>
                </c:ext>
              </c:extLst>
            </c:dLbl>
            <c:numFmt formatCode="General" sourceLinked="0"/>
            <c:spPr>
              <a:solidFill>
                <a:sysClr val="window" lastClr="FFFFFF"/>
              </a:solidFill>
              <a:ln>
                <a:solidFill>
                  <a:schemeClr val="accent2">
                    <a:lumMod val="20000"/>
                    <a:lumOff val="80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showLegendKey val="0"/>
            <c:showVal val="1"/>
            <c:showCatName val="1"/>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'[1]Sipas Sektorit'!$D$22:$D$26</c:f>
              <c:strCache>
                <c:ptCount val="5"/>
                <c:pt idx="0">
                  <c:v>Sektori i Energjisë</c:v>
                </c:pt>
                <c:pt idx="1">
                  <c:v>Sektori i Mjedisit</c:v>
                </c:pt>
                <c:pt idx="2">
                  <c:v>Sektori i Shëndetësisë</c:v>
                </c:pt>
                <c:pt idx="3">
                  <c:v>Sektori i Transportit</c:v>
                </c:pt>
                <c:pt idx="4">
                  <c:v>Të tjera</c:v>
                </c:pt>
              </c:strCache>
            </c:strRef>
          </c:cat>
          <c:val>
            <c:numRef>
              <c:f>'[1]Sipas Sektorit'!$E$22:$E$26</c:f>
              <c:numCache>
                <c:formatCode>General</c:formatCode>
                <c:ptCount val="5"/>
                <c:pt idx="0">
                  <c:v>185</c:v>
                </c:pt>
                <c:pt idx="1">
                  <c:v>6</c:v>
                </c:pt>
                <c:pt idx="2">
                  <c:v>4</c:v>
                </c:pt>
                <c:pt idx="3">
                  <c:v>15</c:v>
                </c:pt>
                <c:pt idx="4">
                  <c:v>9</c:v>
                </c:pt>
              </c:numCache>
            </c:numRef>
          </c:val>
        </c:ser>
        <c:dLbls>
          <c:showLegendKey val="0"/>
          <c:showVal val="0"/>
          <c:showCatName val="0"/>
          <c:showSerName val="0"/>
          <c:showPercent val="0"/>
          <c:showBubbleSize val="0"/>
          <c:showLeaderLines val="0"/>
        </c:dLbls>
        <c:firstSliceAng val="132"/>
        <c:holeSize val="60"/>
      </c:doughnutChart>
      <c:spPr>
        <a:noFill/>
        <a:ln>
          <a:noFill/>
        </a:ln>
        <a:effectLst/>
      </c:spPr>
    </c:plotArea>
    <c:plotVisOnly val="1"/>
    <c:dispBlanksAs val="gap"/>
    <c:showDLblsOverMax val="0"/>
  </c:chart>
  <c:spPr>
    <a:pattFill prst="pct30">
      <a:fgClr>
        <a:schemeClr val="bg2"/>
      </a:fgClr>
      <a:bgClr>
        <a:schemeClr val="bg1"/>
      </a:bgClr>
    </a:pattFill>
    <a:ln w="9525" cap="flat" cmpd="sng" algn="ctr">
      <a:solidFill>
        <a:schemeClr val="bg1">
          <a:lumMod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'PPP me mbeshtetje buxhetore'!$C$5</c:f>
              <c:strCache>
                <c:ptCount val="1"/>
                <c:pt idx="0">
                  <c:v>Ndërtimi, operimi dhe transferimi e inceneratorit për përpunimin e mbetjeve urbane të Bashkise së Elbasanit </c:v>
                </c:pt>
              </c:strCache>
            </c:strRef>
          </c:tx>
          <c:spPr>
            <a:solidFill>
              <a:schemeClr val="accent1"/>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buxhetore'!$G$5:$K$5</c:f>
              <c:numCache>
                <c:formatCode>#,##0</c:formatCode>
                <c:ptCount val="5"/>
                <c:pt idx="0">
                  <c:v>601429.30700000003</c:v>
                </c:pt>
                <c:pt idx="1">
                  <c:v>631317</c:v>
                </c:pt>
                <c:pt idx="2">
                  <c:v>661500</c:v>
                </c:pt>
                <c:pt idx="3">
                  <c:v>331000</c:v>
                </c:pt>
                <c:pt idx="4">
                  <c:v>0</c:v>
                </c:pt>
              </c:numCache>
            </c:numRef>
          </c:val>
          <c:extLst xmlns:c16r2="http://schemas.microsoft.com/office/drawing/2015/06/chart">
            <c:ext xmlns:c16="http://schemas.microsoft.com/office/drawing/2014/chart" uri="{C3380CC4-5D6E-409C-BE32-E72D297353CC}">
              <c16:uniqueId val="{00000000-94A4-4772-BC97-5FB6D2F50F8F}"/>
            </c:ext>
          </c:extLst>
        </c:ser>
        <c:ser>
          <c:idx val="2"/>
          <c:order val="1"/>
          <c:tx>
            <c:strRef>
              <c:f>'PPP me mbeshtetje buxhetore'!$C$7</c:f>
              <c:strCache>
                <c:ptCount val="1"/>
                <c:pt idx="0">
                  <c:v>Ndërtimi, Operimi dhe Transferimi (BOT) HEC mbi lumin Devoll, rimbursimi i ndërtimit të rrugëve zëvendësuese</c:v>
                </c:pt>
              </c:strCache>
            </c:strRef>
          </c:tx>
          <c:spPr>
            <a:solidFill>
              <a:schemeClr val="accent3"/>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buxhetore'!$G$7:$K$7</c:f>
              <c:numCache>
                <c:formatCode>#,##0</c:formatCode>
                <c:ptCount val="5"/>
                <c:pt idx="0">
                  <c:v>1355108.108</c:v>
                </c:pt>
                <c:pt idx="1">
                  <c:v>1505822</c:v>
                </c:pt>
                <c:pt idx="2">
                  <c:v>0</c:v>
                </c:pt>
                <c:pt idx="3">
                  <c:v>0</c:v>
                </c:pt>
                <c:pt idx="4">
                  <c:v>0</c:v>
                </c:pt>
              </c:numCache>
            </c:numRef>
          </c:val>
          <c:extLst xmlns:c16r2="http://schemas.microsoft.com/office/drawing/2015/06/chart">
            <c:ext xmlns:c16="http://schemas.microsoft.com/office/drawing/2014/chart" uri="{C3380CC4-5D6E-409C-BE32-E72D297353CC}">
              <c16:uniqueId val="{00000001-94A4-4772-BC97-5FB6D2F50F8F}"/>
            </c:ext>
          </c:extLst>
        </c:ser>
        <c:ser>
          <c:idx val="3"/>
          <c:order val="2"/>
          <c:tx>
            <c:strRef>
              <c:f>'PPP me mbeshtetje buxhetore'!$C$8</c:f>
              <c:strCache>
                <c:ptCount val="1"/>
                <c:pt idx="0">
                  <c:v>Ndertimi dhe Operimi i Rruges se Arbrit</c:v>
                </c:pt>
              </c:strCache>
            </c:strRef>
          </c:tx>
          <c:spPr>
            <a:solidFill>
              <a:schemeClr val="accent4"/>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buxhetore'!$G$8:$K$8</c:f>
              <c:numCache>
                <c:formatCode>#,##0</c:formatCode>
                <c:ptCount val="5"/>
                <c:pt idx="0">
                  <c:v>0</c:v>
                </c:pt>
                <c:pt idx="1">
                  <c:v>3910860</c:v>
                </c:pt>
                <c:pt idx="2">
                  <c:v>3925000</c:v>
                </c:pt>
                <c:pt idx="3">
                  <c:v>3325000</c:v>
                </c:pt>
                <c:pt idx="4">
                  <c:v>3000000</c:v>
                </c:pt>
              </c:numCache>
            </c:numRef>
          </c:val>
          <c:extLst xmlns:c16r2="http://schemas.microsoft.com/office/drawing/2015/06/chart">
            <c:ext xmlns:c16="http://schemas.microsoft.com/office/drawing/2014/chart" uri="{C3380CC4-5D6E-409C-BE32-E72D297353CC}">
              <c16:uniqueId val="{00000002-94A4-4772-BC97-5FB6D2F50F8F}"/>
            </c:ext>
          </c:extLst>
        </c:ser>
        <c:ser>
          <c:idx val="4"/>
          <c:order val="3"/>
          <c:tx>
            <c:strRef>
              <c:f>'PPP me mbeshtetje buxhetore'!$C$9</c:f>
              <c:strCache>
                <c:ptCount val="1"/>
                <c:pt idx="0">
                  <c:v>Ndërtim, Operim dhe Mirëmbajtje e Rruges Milot-Morinë</c:v>
                </c:pt>
              </c:strCache>
            </c:strRef>
          </c:tx>
          <c:spPr>
            <a:solidFill>
              <a:schemeClr val="accent5"/>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buxhetore'!$G$9:$K$9</c:f>
              <c:numCache>
                <c:formatCode>#,##0</c:formatCode>
                <c:ptCount val="5"/>
                <c:pt idx="0">
                  <c:v>308183</c:v>
                </c:pt>
                <c:pt idx="1">
                  <c:v>570642</c:v>
                </c:pt>
                <c:pt idx="2">
                  <c:v>720000</c:v>
                </c:pt>
                <c:pt idx="3">
                  <c:v>720000</c:v>
                </c:pt>
                <c:pt idx="4">
                  <c:v>692000</c:v>
                </c:pt>
              </c:numCache>
            </c:numRef>
          </c:val>
          <c:extLst xmlns:c16r2="http://schemas.microsoft.com/office/drawing/2015/06/chart">
            <c:ext xmlns:c16="http://schemas.microsoft.com/office/drawing/2014/chart" uri="{C3380CC4-5D6E-409C-BE32-E72D297353CC}">
              <c16:uniqueId val="{00000003-94A4-4772-BC97-5FB6D2F50F8F}"/>
            </c:ext>
          </c:extLst>
        </c:ser>
        <c:ser>
          <c:idx val="1"/>
          <c:order val="4"/>
          <c:tx>
            <c:strRef>
              <c:f>'PPP me mbeshtetje buxhetore'!$C$6</c:f>
              <c:strCache>
                <c:ptCount val="1"/>
                <c:pt idx="0">
                  <c:v>Ndërtimi, operimi dhe transferimi e inceneratorit për përpunimin e mbetjeve urbane të Bashkisë Fier</c:v>
                </c:pt>
              </c:strCache>
            </c:strRef>
          </c:tx>
          <c:spPr>
            <a:solidFill>
              <a:schemeClr val="accent2"/>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buxhetore'!$G$6:$K$6</c:f>
              <c:numCache>
                <c:formatCode>#,##0</c:formatCode>
                <c:ptCount val="5"/>
                <c:pt idx="0">
                  <c:v>752771.26</c:v>
                </c:pt>
                <c:pt idx="1">
                  <c:v>752770</c:v>
                </c:pt>
                <c:pt idx="2">
                  <c:v>752770</c:v>
                </c:pt>
                <c:pt idx="3">
                  <c:v>752770</c:v>
                </c:pt>
                <c:pt idx="4">
                  <c:v>752770</c:v>
                </c:pt>
              </c:numCache>
            </c:numRef>
          </c:val>
          <c:extLst xmlns:c16r2="http://schemas.microsoft.com/office/drawing/2015/06/chart">
            <c:ext xmlns:c16="http://schemas.microsoft.com/office/drawing/2014/chart" uri="{C3380CC4-5D6E-409C-BE32-E72D297353CC}">
              <c16:uniqueId val="{00000004-94A4-4772-BC97-5FB6D2F50F8F}"/>
            </c:ext>
          </c:extLst>
        </c:ser>
        <c:ser>
          <c:idx val="5"/>
          <c:order val="5"/>
          <c:tx>
            <c:strRef>
              <c:f>'PPP me mbeshtetje buxhetore'!$C$10</c:f>
              <c:strCache>
                <c:ptCount val="1"/>
                <c:pt idx="0">
                  <c:v>Ndertimi dhe Operimi i Porti Jahteve Orikum - Dukat </c:v>
                </c:pt>
              </c:strCache>
            </c:strRef>
          </c:tx>
          <c:spPr>
            <a:solidFill>
              <a:schemeClr val="accent6"/>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buxhetore'!$G$10:$K$10</c:f>
              <c:numCache>
                <c:formatCode>#,##0</c:formatCode>
                <c:ptCount val="5"/>
                <c:pt idx="0">
                  <c:v>0</c:v>
                </c:pt>
                <c:pt idx="1">
                  <c:v>0</c:v>
                </c:pt>
                <c:pt idx="2">
                  <c:v>393147</c:v>
                </c:pt>
                <c:pt idx="3">
                  <c:v>1087880</c:v>
                </c:pt>
                <c:pt idx="4">
                  <c:v>1036300</c:v>
                </c:pt>
              </c:numCache>
            </c:numRef>
          </c:val>
          <c:extLst xmlns:c16r2="http://schemas.microsoft.com/office/drawing/2015/06/chart">
            <c:ext xmlns:c16="http://schemas.microsoft.com/office/drawing/2014/chart" uri="{C3380CC4-5D6E-409C-BE32-E72D297353CC}">
              <c16:uniqueId val="{00000005-94A4-4772-BC97-5FB6D2F50F8F}"/>
            </c:ext>
          </c:extLst>
        </c:ser>
        <c:ser>
          <c:idx val="6"/>
          <c:order val="6"/>
          <c:tx>
            <c:strRef>
              <c:f>'PPP me mbeshtetje buxhetore'!$C$11</c:f>
              <c:strCache>
                <c:ptCount val="1"/>
                <c:pt idx="0">
                  <c:v>Ndertimi dhe Operimi i Rruges Milot - Balldren</c:v>
                </c:pt>
              </c:strCache>
            </c:strRef>
          </c:tx>
          <c:spPr>
            <a:solidFill>
              <a:schemeClr val="accent1">
                <a:lumMod val="60000"/>
              </a:schemeClr>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buxhetore'!$G$11:$K$11</c:f>
              <c:numCache>
                <c:formatCode>#,##0</c:formatCode>
                <c:ptCount val="5"/>
                <c:pt idx="0">
                  <c:v>0</c:v>
                </c:pt>
                <c:pt idx="1">
                  <c:v>0</c:v>
                </c:pt>
                <c:pt idx="2">
                  <c:v>100000</c:v>
                </c:pt>
                <c:pt idx="3">
                  <c:v>100000</c:v>
                </c:pt>
                <c:pt idx="4">
                  <c:v>312000</c:v>
                </c:pt>
              </c:numCache>
            </c:numRef>
          </c:val>
          <c:extLst xmlns:c16r2="http://schemas.microsoft.com/office/drawing/2015/06/chart">
            <c:ext xmlns:c16="http://schemas.microsoft.com/office/drawing/2014/chart" uri="{C3380CC4-5D6E-409C-BE32-E72D297353CC}">
              <c16:uniqueId val="{00000006-94A4-4772-BC97-5FB6D2F50F8F}"/>
            </c:ext>
          </c:extLst>
        </c:ser>
        <c:ser>
          <c:idx val="8"/>
          <c:order val="7"/>
          <c:tx>
            <c:strRef>
              <c:f>'PPP me mbeshtetje buxhetore'!$C$13</c:f>
              <c:strCache>
                <c:ptCount val="1"/>
                <c:pt idx="0">
                  <c:v>Kontrolli baze i popullsise 35-70 vjeç (check up)</c:v>
                </c:pt>
              </c:strCache>
            </c:strRef>
          </c:tx>
          <c:spPr>
            <a:solidFill>
              <a:schemeClr val="accent3">
                <a:lumMod val="60000"/>
              </a:schemeClr>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buxhetore'!$G$13:$K$13</c:f>
              <c:numCache>
                <c:formatCode>#,##0</c:formatCode>
                <c:ptCount val="5"/>
                <c:pt idx="0">
                  <c:v>876083.19500000007</c:v>
                </c:pt>
                <c:pt idx="1">
                  <c:v>876083</c:v>
                </c:pt>
                <c:pt idx="2">
                  <c:v>876083</c:v>
                </c:pt>
                <c:pt idx="3">
                  <c:v>876083</c:v>
                </c:pt>
                <c:pt idx="4">
                  <c:v>876083</c:v>
                </c:pt>
              </c:numCache>
            </c:numRef>
          </c:val>
          <c:extLst xmlns:c16r2="http://schemas.microsoft.com/office/drawing/2015/06/chart">
            <c:ext xmlns:c16="http://schemas.microsoft.com/office/drawing/2014/chart" uri="{C3380CC4-5D6E-409C-BE32-E72D297353CC}">
              <c16:uniqueId val="{00000007-94A4-4772-BC97-5FB6D2F50F8F}"/>
            </c:ext>
          </c:extLst>
        </c:ser>
        <c:ser>
          <c:idx val="7"/>
          <c:order val="8"/>
          <c:tx>
            <c:strRef>
              <c:f>'PPP me mbeshtetje buxhetore'!$C$12</c:f>
              <c:strCache>
                <c:ptCount val="1"/>
                <c:pt idx="0">
                  <c:v>Shërbimi i Skanimit në Dogana</c:v>
                </c:pt>
              </c:strCache>
            </c:strRef>
          </c:tx>
          <c:spPr>
            <a:solidFill>
              <a:schemeClr val="accent2">
                <a:lumMod val="60000"/>
              </a:schemeClr>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buxhetore'!$G$12:$K$12</c:f>
              <c:numCache>
                <c:formatCode>#,##0</c:formatCode>
                <c:ptCount val="5"/>
                <c:pt idx="0">
                  <c:v>1525579</c:v>
                </c:pt>
                <c:pt idx="1">
                  <c:v>1509659</c:v>
                </c:pt>
                <c:pt idx="2">
                  <c:v>1540896</c:v>
                </c:pt>
                <c:pt idx="3">
                  <c:v>1587123</c:v>
                </c:pt>
                <c:pt idx="4">
                  <c:v>1634737</c:v>
                </c:pt>
              </c:numCache>
            </c:numRef>
          </c:val>
          <c:extLst xmlns:c16r2="http://schemas.microsoft.com/office/drawing/2015/06/chart">
            <c:ext xmlns:c16="http://schemas.microsoft.com/office/drawing/2014/chart" uri="{C3380CC4-5D6E-409C-BE32-E72D297353CC}">
              <c16:uniqueId val="{00000008-94A4-4772-BC97-5FB6D2F50F8F}"/>
            </c:ext>
          </c:extLst>
        </c:ser>
        <c:ser>
          <c:idx val="9"/>
          <c:order val="9"/>
          <c:tx>
            <c:strRef>
              <c:f>'PPP me mbeshtetje buxhetore'!$C$14</c:f>
              <c:strCache>
                <c:ptCount val="1"/>
                <c:pt idx="0">
                  <c:v>Ofrimi i setit të personalizuar të instrumenteve kirurgjikale, material mjekësor steril njëpërdorimësh në sallat kirurgjikale, trajtimi i mbetjeve biologjike dhe dezinfektimi i sallave kirurgjikale</c:v>
                </c:pt>
              </c:strCache>
            </c:strRef>
          </c:tx>
          <c:spPr>
            <a:solidFill>
              <a:schemeClr val="accent4">
                <a:lumMod val="60000"/>
              </a:schemeClr>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buxhetore'!$G$14:$K$14</c:f>
              <c:numCache>
                <c:formatCode>#,##0</c:formatCode>
                <c:ptCount val="5"/>
                <c:pt idx="0">
                  <c:v>1625580.5728000004</c:v>
                </c:pt>
                <c:pt idx="1">
                  <c:v>2163282</c:v>
                </c:pt>
                <c:pt idx="2">
                  <c:v>1655322</c:v>
                </c:pt>
                <c:pt idx="3">
                  <c:v>1704982</c:v>
                </c:pt>
                <c:pt idx="4">
                  <c:v>1756211</c:v>
                </c:pt>
              </c:numCache>
            </c:numRef>
          </c:val>
          <c:extLst xmlns:c16r2="http://schemas.microsoft.com/office/drawing/2015/06/chart">
            <c:ext xmlns:c16="http://schemas.microsoft.com/office/drawing/2014/chart" uri="{C3380CC4-5D6E-409C-BE32-E72D297353CC}">
              <c16:uniqueId val="{00000009-94A4-4772-BC97-5FB6D2F50F8F}"/>
            </c:ext>
          </c:extLst>
        </c:ser>
        <c:ser>
          <c:idx val="10"/>
          <c:order val="10"/>
          <c:tx>
            <c:strRef>
              <c:f>'PPP me mbeshtetje buxhetore'!$C$15</c:f>
              <c:strCache>
                <c:ptCount val="1"/>
                <c:pt idx="0">
                  <c:v>Ofrimi i sherbimit te dializes ne 5 spitale rajonale</c:v>
                </c:pt>
              </c:strCache>
            </c:strRef>
          </c:tx>
          <c:spPr>
            <a:solidFill>
              <a:schemeClr val="accent5">
                <a:lumMod val="60000"/>
              </a:schemeClr>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buxhetore'!$G$15:$K$15</c:f>
              <c:numCache>
                <c:formatCode>#,##0</c:formatCode>
                <c:ptCount val="5"/>
                <c:pt idx="0">
                  <c:v>738910.77999999968</c:v>
                </c:pt>
                <c:pt idx="1">
                  <c:v>804388</c:v>
                </c:pt>
                <c:pt idx="2">
                  <c:v>688581</c:v>
                </c:pt>
                <c:pt idx="3">
                  <c:v>734021</c:v>
                </c:pt>
                <c:pt idx="4">
                  <c:v>756200</c:v>
                </c:pt>
              </c:numCache>
            </c:numRef>
          </c:val>
          <c:extLst xmlns:c16r2="http://schemas.microsoft.com/office/drawing/2015/06/chart">
            <c:ext xmlns:c16="http://schemas.microsoft.com/office/drawing/2014/chart" uri="{C3380CC4-5D6E-409C-BE32-E72D297353CC}">
              <c16:uniqueId val="{0000000A-94A4-4772-BC97-5FB6D2F50F8F}"/>
            </c:ext>
          </c:extLst>
        </c:ser>
        <c:ser>
          <c:idx val="11"/>
          <c:order val="11"/>
          <c:tx>
            <c:strRef>
              <c:f>'PPP me mbeshtetje buxhetore'!$C$16</c:f>
              <c:strCache>
                <c:ptCount val="1"/>
                <c:pt idx="0">
                  <c:v>Ofrimi i Shërbimeve laboratorike spitalore</c:v>
                </c:pt>
              </c:strCache>
            </c:strRef>
          </c:tx>
          <c:spPr>
            <a:solidFill>
              <a:schemeClr val="accent6">
                <a:lumMod val="60000"/>
              </a:schemeClr>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buxhetore'!$G$16:$K$16</c:f>
              <c:numCache>
                <c:formatCode>#,##0</c:formatCode>
                <c:ptCount val="5"/>
                <c:pt idx="0">
                  <c:v>0</c:v>
                </c:pt>
                <c:pt idx="1">
                  <c:v>0</c:v>
                </c:pt>
                <c:pt idx="2">
                  <c:v>1280444</c:v>
                </c:pt>
                <c:pt idx="3">
                  <c:v>1290241</c:v>
                </c:pt>
                <c:pt idx="4">
                  <c:v>1300136</c:v>
                </c:pt>
              </c:numCache>
            </c:numRef>
          </c:val>
          <c:extLst xmlns:c16r2="http://schemas.microsoft.com/office/drawing/2015/06/chart">
            <c:ext xmlns:c16="http://schemas.microsoft.com/office/drawing/2014/chart" uri="{C3380CC4-5D6E-409C-BE32-E72D297353CC}">
              <c16:uniqueId val="{0000000B-94A4-4772-BC97-5FB6D2F50F8F}"/>
            </c:ext>
          </c:extLst>
        </c:ser>
        <c:ser>
          <c:idx val="12"/>
          <c:order val="12"/>
          <c:tx>
            <c:strRef>
              <c:f>'PPP me mbeshtetje buxhetore'!$C$17</c:f>
              <c:strCache>
                <c:ptCount val="1"/>
                <c:pt idx="0">
                  <c:v>Për përmirësimin e infrastrukturës arsimore në Bashkinë Tiranë</c:v>
                </c:pt>
              </c:strCache>
            </c:strRef>
          </c:tx>
          <c:spPr>
            <a:solidFill>
              <a:schemeClr val="accent1">
                <a:lumMod val="80000"/>
                <a:lumOff val="20000"/>
              </a:schemeClr>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buxhetore'!$G$17:$K$17</c:f>
              <c:numCache>
                <c:formatCode>#,##0</c:formatCode>
                <c:ptCount val="5"/>
                <c:pt idx="0">
                  <c:v>0</c:v>
                </c:pt>
                <c:pt idx="1">
                  <c:v>0</c:v>
                </c:pt>
                <c:pt idx="2">
                  <c:v>1018303</c:v>
                </c:pt>
                <c:pt idx="3">
                  <c:v>1528336</c:v>
                </c:pt>
                <c:pt idx="4">
                  <c:v>1401505</c:v>
                </c:pt>
              </c:numCache>
            </c:numRef>
          </c:val>
          <c:extLst xmlns:c16r2="http://schemas.microsoft.com/office/drawing/2015/06/chart">
            <c:ext xmlns:c16="http://schemas.microsoft.com/office/drawing/2014/chart" uri="{C3380CC4-5D6E-409C-BE32-E72D297353CC}">
              <c16:uniqueId val="{0000000C-94A4-4772-BC97-5FB6D2F50F8F}"/>
            </c:ext>
          </c:extLst>
        </c:ser>
        <c:ser>
          <c:idx val="13"/>
          <c:order val="13"/>
          <c:tx>
            <c:strRef>
              <c:f>'PPP me mbeshtetje buxhetore'!$C$18</c:f>
              <c:strCache>
                <c:ptCount val="1"/>
                <c:pt idx="0">
                  <c:v>Per ndertimin e landfillit, inceneratorit dhe rehabilitimin e venddepozimeve ekzistuese Tirane dhe prodhimin e energjise elektrike</c:v>
                </c:pt>
              </c:strCache>
            </c:strRef>
          </c:tx>
          <c:spPr>
            <a:solidFill>
              <a:schemeClr val="accent2">
                <a:lumMod val="80000"/>
                <a:lumOff val="20000"/>
              </a:schemeClr>
            </a:solidFill>
            <a:ln>
              <a:noFill/>
            </a:ln>
            <a:effectLst/>
          </c:spPr>
          <c:invertIfNegative val="0"/>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buxhetore'!$G$18:$K$18</c:f>
              <c:numCache>
                <c:formatCode>#,##0</c:formatCode>
                <c:ptCount val="5"/>
                <c:pt idx="0">
                  <c:v>977000.15</c:v>
                </c:pt>
                <c:pt idx="1">
                  <c:v>977126</c:v>
                </c:pt>
                <c:pt idx="2">
                  <c:v>998410</c:v>
                </c:pt>
                <c:pt idx="3">
                  <c:v>1165124</c:v>
                </c:pt>
                <c:pt idx="4">
                  <c:v>1165124</c:v>
                </c:pt>
              </c:numCache>
            </c:numRef>
          </c:val>
          <c:extLst xmlns:c16r2="http://schemas.microsoft.com/office/drawing/2015/06/chart">
            <c:ext xmlns:c16="http://schemas.microsoft.com/office/drawing/2014/chart" uri="{C3380CC4-5D6E-409C-BE32-E72D297353CC}">
              <c16:uniqueId val="{0000000D-94A4-4772-BC97-5FB6D2F50F8F}"/>
            </c:ext>
          </c:extLst>
        </c:ser>
        <c:dLbls>
          <c:showLegendKey val="0"/>
          <c:showVal val="0"/>
          <c:showCatName val="0"/>
          <c:showSerName val="0"/>
          <c:showPercent val="0"/>
          <c:showBubbleSize val="0"/>
        </c:dLbls>
        <c:gapWidth val="150"/>
        <c:overlap val="100"/>
        <c:axId val="-746342032"/>
        <c:axId val="-746349104"/>
      </c:barChart>
      <c:catAx>
        <c:axId val="-74634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46349104"/>
        <c:crosses val="autoZero"/>
        <c:auto val="1"/>
        <c:lblAlgn val="ctr"/>
        <c:lblOffset val="100"/>
        <c:noMultiLvlLbl val="0"/>
      </c:catAx>
      <c:valAx>
        <c:axId val="-746349104"/>
        <c:scaling>
          <c:orientation val="minMax"/>
        </c:scaling>
        <c:delete val="0"/>
        <c:axPos val="l"/>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46342032"/>
        <c:crosses val="autoZero"/>
        <c:crossBetween val="between"/>
        <c:dispUnits>
          <c:builtInUnit val="thousand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në milionë</a:t>
                  </a:r>
                </a:p>
              </c:rich>
            </c:tx>
            <c:spPr>
              <a:noFill/>
              <a:ln>
                <a:noFill/>
              </a:ln>
              <a:effectLst/>
            </c:spPr>
          </c:dispUnitsLbl>
        </c:dispUnits>
      </c:valAx>
      <c:spPr>
        <a:solidFill>
          <a:sysClr val="window" lastClr="FFFFFF"/>
        </a:solidFill>
        <a:ln>
          <a:noFill/>
        </a:ln>
        <a:effectLst/>
      </c:spPr>
    </c:plotArea>
    <c:legend>
      <c:legendPos val="b"/>
      <c:layout>
        <c:manualLayout>
          <c:xMode val="edge"/>
          <c:yMode val="edge"/>
          <c:x val="1.3088566007770969E-2"/>
          <c:y val="0.44420941917779405"/>
          <c:w val="0.98002411531505207"/>
          <c:h val="0.5465624447217317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pattFill prst="pct30">
      <a:fgClr>
        <a:schemeClr val="accent2">
          <a:lumMod val="20000"/>
          <a:lumOff val="80000"/>
        </a:schemeClr>
      </a:fgClr>
      <a:bgClr>
        <a:schemeClr val="bg1"/>
      </a:bgClr>
    </a:patt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475168849700805E-2"/>
          <c:y val="8.8796296296296373E-2"/>
          <c:w val="0.9205020794566422"/>
          <c:h val="0.69790099154272378"/>
        </c:manualLayout>
      </c:layout>
      <c:lineChart>
        <c:grouping val="standard"/>
        <c:varyColors val="0"/>
        <c:ser>
          <c:idx val="0"/>
          <c:order val="0"/>
          <c:tx>
            <c:strRef>
              <c:f>'PPP me mbeshtetje buxhetore'!$A$21</c:f>
              <c:strCache>
                <c:ptCount val="1"/>
                <c:pt idx="0">
                  <c:v>Përpjesa e pagesave të PPP ndaj totalit të të ardhurave tatimore të vitit paraardhës buxhetor </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'PPP me mbeshtetje buxhetore'!$G$4:$K$4</c:f>
              <c:strCache>
                <c:ptCount val="5"/>
                <c:pt idx="0">
                  <c:v> 2018 Fakt</c:v>
                </c:pt>
                <c:pt idx="1">
                  <c:v> 2019 Fakt</c:v>
                </c:pt>
                <c:pt idx="2">
                  <c:v>2020 Parashikuar</c:v>
                </c:pt>
                <c:pt idx="3">
                  <c:v>2021 Parashikuar</c:v>
                </c:pt>
                <c:pt idx="4">
                  <c:v>2022 Parashikuar</c:v>
                </c:pt>
              </c:strCache>
            </c:strRef>
          </c:cat>
          <c:val>
            <c:numRef>
              <c:f>'PPP me mbeshtetje buxhetore'!$G$21:$K$21</c:f>
              <c:numCache>
                <c:formatCode>0.0%</c:formatCode>
                <c:ptCount val="5"/>
                <c:pt idx="0">
                  <c:v>2.1976933878635564E-2</c:v>
                </c:pt>
                <c:pt idx="1">
                  <c:v>3.2675555872248747E-2</c:v>
                </c:pt>
                <c:pt idx="2">
                  <c:v>3.2588132067447373E-2</c:v>
                </c:pt>
                <c:pt idx="3">
                  <c:v>3.2687372734472898E-2</c:v>
                </c:pt>
                <c:pt idx="4">
                  <c:v>2.9915624210358524E-2</c:v>
                </c:pt>
              </c:numCache>
            </c:numRef>
          </c:val>
          <c:smooth val="0"/>
          <c:extLst xmlns:c16r2="http://schemas.microsoft.com/office/drawing/2015/06/chart">
            <c:ext xmlns:c16="http://schemas.microsoft.com/office/drawing/2014/chart" uri="{C3380CC4-5D6E-409C-BE32-E72D297353CC}">
              <c16:uniqueId val="{00000000-B73F-49B2-9F41-F46E3BB627D0}"/>
            </c:ext>
          </c:extLst>
        </c:ser>
        <c:dLbls>
          <c:showLegendKey val="0"/>
          <c:showVal val="1"/>
          <c:showCatName val="0"/>
          <c:showSerName val="0"/>
          <c:showPercent val="0"/>
          <c:showBubbleSize val="0"/>
        </c:dLbls>
        <c:marker val="1"/>
        <c:smooth val="0"/>
        <c:axId val="-755766656"/>
        <c:axId val="-755765568"/>
      </c:lineChart>
      <c:catAx>
        <c:axId val="-755766656"/>
        <c:scaling>
          <c:orientation val="minMax"/>
        </c:scaling>
        <c:delete val="0"/>
        <c:axPos val="b"/>
        <c:numFmt formatCode="General" sourceLinked="1"/>
        <c:majorTickMark val="in"/>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55765568"/>
        <c:crosses val="autoZero"/>
        <c:auto val="1"/>
        <c:lblAlgn val="ctr"/>
        <c:lblOffset val="100"/>
        <c:noMultiLvlLbl val="0"/>
      </c:catAx>
      <c:valAx>
        <c:axId val="-755765568"/>
        <c:scaling>
          <c:orientation val="minMax"/>
          <c:max val="6.0000000000000026E-2"/>
          <c:min val="0"/>
        </c:scaling>
        <c:delete val="0"/>
        <c:axPos val="l"/>
        <c:numFmt formatCode="0.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766656"/>
        <c:crosses val="autoZero"/>
        <c:crossBetween val="between"/>
      </c:valAx>
      <c:spPr>
        <a:solidFill>
          <a:sysClr val="window" lastClr="FFFFFF"/>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pattFill prst="pct30">
      <a:fgClr>
        <a:schemeClr val="accent4">
          <a:lumMod val="20000"/>
          <a:lumOff val="80000"/>
        </a:schemeClr>
      </a:fgClr>
      <a:bgClr>
        <a:schemeClr val="bg1"/>
      </a:bgClr>
    </a:pattFill>
    <a:ln w="9525" cap="flat" cmpd="sng" algn="ctr">
      <a:solidFill>
        <a:schemeClr val="bg1">
          <a:lumMod val="65000"/>
        </a:schemeClr>
      </a:solid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E46227-4E1B-48D9-ABC6-C0AE7698ECB2}" type="doc">
      <dgm:prSet loTypeId="urn:microsoft.com/office/officeart/2005/8/layout/balance1" loCatId="relationship" qsTypeId="urn:microsoft.com/office/officeart/2005/8/quickstyle/simple1" qsCatId="simple" csTypeId="urn:microsoft.com/office/officeart/2005/8/colors/accent1_2" csCatId="accent1" phldr="1"/>
      <dgm:spPr/>
      <dgm:t>
        <a:bodyPr/>
        <a:lstStyle/>
        <a:p>
          <a:endParaRPr lang="en-US"/>
        </a:p>
      </dgm:t>
    </dgm:pt>
    <dgm:pt modelId="{8045946F-9246-43CA-B02A-590659B06F3C}">
      <dgm:prSet phldrT="[Text]" custT="1"/>
      <dgm:spPr>
        <a:solidFill>
          <a:schemeClr val="bg2">
            <a:lumMod val="90000"/>
            <a:alpha val="90000"/>
          </a:schemeClr>
        </a:solidFill>
      </dgm:spPr>
      <dgm:t>
        <a:bodyPr/>
        <a:lstStyle/>
        <a:p>
          <a:r>
            <a:rPr lang="en-US" sz="1100" b="1">
              <a:latin typeface="Times New Roman" panose="02020603050405020304" pitchFamily="18" charset="0"/>
              <a:cs typeface="Times New Roman" panose="02020603050405020304" pitchFamily="18" charset="0"/>
            </a:rPr>
            <a:t>Me mbështetje buxhetore </a:t>
          </a:r>
        </a:p>
      </dgm:t>
    </dgm:pt>
    <dgm:pt modelId="{C5A7C52E-1CF2-4F23-84B1-92848A50DC72}" type="parTrans" cxnId="{0B2CF980-A02C-42E1-9812-808B1ABC8254}">
      <dgm:prSet/>
      <dgm:spPr/>
      <dgm:t>
        <a:bodyPr/>
        <a:lstStyle/>
        <a:p>
          <a:endParaRPr lang="en-US"/>
        </a:p>
      </dgm:t>
    </dgm:pt>
    <dgm:pt modelId="{D04AB5AD-77CD-46BD-A8FE-0D5CA70BB95F}" type="sibTrans" cxnId="{0B2CF980-A02C-42E1-9812-808B1ABC8254}">
      <dgm:prSet/>
      <dgm:spPr/>
      <dgm:t>
        <a:bodyPr/>
        <a:lstStyle/>
        <a:p>
          <a:endParaRPr lang="en-US"/>
        </a:p>
      </dgm:t>
    </dgm:pt>
    <dgm:pt modelId="{946F207A-379A-4171-A41B-760E404B701B}">
      <dgm:prSet phldrT="[Text]" custT="1"/>
      <dgm:spPr>
        <a:ln>
          <a:solidFill>
            <a:schemeClr val="bg2">
              <a:lumMod val="75000"/>
            </a:schemeClr>
          </a:solidFill>
        </a:ln>
      </dgm:spPr>
      <dgm:t>
        <a:bodyPr/>
        <a:lstStyle/>
        <a:p>
          <a:r>
            <a:rPr lang="en-US" sz="1100">
              <a:latin typeface="Arial Narrow" panose="020B0606020202030204" pitchFamily="34" charset="0"/>
            </a:rPr>
            <a:t>14 </a:t>
          </a:r>
          <a:r>
            <a:rPr lang="en-US" sz="1100">
              <a:latin typeface="Arial Narrow" panose="020B0606020202030204" pitchFamily="34" charset="0"/>
              <a:cs typeface="Times New Roman" panose="02020603050405020304" pitchFamily="18" charset="0"/>
            </a:rPr>
            <a:t>kontrata</a:t>
          </a:r>
          <a:r>
            <a:rPr lang="en-US" sz="1100">
              <a:latin typeface="Arial Narrow" panose="020B0606020202030204" pitchFamily="34" charset="0"/>
            </a:rPr>
            <a:t> koncesionare/PPP</a:t>
          </a:r>
        </a:p>
      </dgm:t>
    </dgm:pt>
    <dgm:pt modelId="{D527AEBD-D03B-4F86-BC85-02E93EFF2E09}" type="parTrans" cxnId="{DCB91A32-C8B6-4D63-8E2E-641C4538EAD2}">
      <dgm:prSet/>
      <dgm:spPr/>
      <dgm:t>
        <a:bodyPr/>
        <a:lstStyle/>
        <a:p>
          <a:endParaRPr lang="en-US"/>
        </a:p>
      </dgm:t>
    </dgm:pt>
    <dgm:pt modelId="{68034CD4-C8EB-4D81-87FF-CCF1F1E525C7}" type="sibTrans" cxnId="{DCB91A32-C8B6-4D63-8E2E-641C4538EAD2}">
      <dgm:prSet/>
      <dgm:spPr/>
      <dgm:t>
        <a:bodyPr/>
        <a:lstStyle/>
        <a:p>
          <a:endParaRPr lang="en-US"/>
        </a:p>
      </dgm:t>
    </dgm:pt>
    <dgm:pt modelId="{0CDBF9B2-71AB-46AD-8509-9A08DB0533B8}">
      <dgm:prSet phldrT="[Text]" custT="1"/>
      <dgm:spPr>
        <a:solidFill>
          <a:schemeClr val="bg2">
            <a:lumMod val="90000"/>
            <a:alpha val="90000"/>
          </a:schemeClr>
        </a:solidFill>
      </dgm:spPr>
      <dgm:t>
        <a:bodyPr/>
        <a:lstStyle/>
        <a:p>
          <a:r>
            <a:rPr lang="en-US" sz="1100" b="1">
              <a:latin typeface="Times New Roman" panose="02020603050405020304" pitchFamily="18" charset="0"/>
              <a:cs typeface="Times New Roman" panose="02020603050405020304" pitchFamily="18" charset="0"/>
            </a:rPr>
            <a:t>Pa mbështetje buxhetore</a:t>
          </a:r>
        </a:p>
      </dgm:t>
    </dgm:pt>
    <dgm:pt modelId="{A40BA730-E58E-45EA-AD85-CFBFF8F928E1}" type="parTrans" cxnId="{259C90E4-94E0-4BCE-A9A0-BC59F882EEAD}">
      <dgm:prSet/>
      <dgm:spPr/>
      <dgm:t>
        <a:bodyPr/>
        <a:lstStyle/>
        <a:p>
          <a:endParaRPr lang="en-US"/>
        </a:p>
      </dgm:t>
    </dgm:pt>
    <dgm:pt modelId="{33E7A744-6703-4E3E-AAE1-1CBCA69B35AA}" type="sibTrans" cxnId="{259C90E4-94E0-4BCE-A9A0-BC59F882EEAD}">
      <dgm:prSet/>
      <dgm:spPr/>
      <dgm:t>
        <a:bodyPr/>
        <a:lstStyle/>
        <a:p>
          <a:endParaRPr lang="en-US"/>
        </a:p>
      </dgm:t>
    </dgm:pt>
    <dgm:pt modelId="{B93BEE3A-6955-4037-AFEE-D0F2492AE68B}">
      <dgm:prSet phldrT="[Text]" custT="1"/>
      <dgm:spPr>
        <a:ln>
          <a:solidFill>
            <a:schemeClr val="bg2">
              <a:lumMod val="75000"/>
            </a:schemeClr>
          </a:solidFill>
        </a:ln>
      </dgm:spPr>
      <dgm:t>
        <a:bodyPr/>
        <a:lstStyle/>
        <a:p>
          <a:r>
            <a:rPr lang="en-US" sz="1100" b="0">
              <a:latin typeface="Arial Narrow" panose="020B0606020202030204" pitchFamily="34" charset="0"/>
            </a:rPr>
            <a:t>210 kontrata koncesionare/ PPP</a:t>
          </a:r>
        </a:p>
      </dgm:t>
    </dgm:pt>
    <dgm:pt modelId="{34CF9D80-B8DD-4553-9EB1-9BBA66F487A7}" type="parTrans" cxnId="{FFF4EBB1-540B-4FAE-B311-D046B405E82F}">
      <dgm:prSet/>
      <dgm:spPr/>
      <dgm:t>
        <a:bodyPr/>
        <a:lstStyle/>
        <a:p>
          <a:endParaRPr lang="en-US"/>
        </a:p>
      </dgm:t>
    </dgm:pt>
    <dgm:pt modelId="{F2ABEE91-E7E5-43A1-B941-A4A4BBE7955A}" type="sibTrans" cxnId="{FFF4EBB1-540B-4FAE-B311-D046B405E82F}">
      <dgm:prSet/>
      <dgm:spPr/>
      <dgm:t>
        <a:bodyPr/>
        <a:lstStyle/>
        <a:p>
          <a:endParaRPr lang="en-US"/>
        </a:p>
      </dgm:t>
    </dgm:pt>
    <dgm:pt modelId="{5C43B4CF-BF25-4701-83B7-397253D289B5}">
      <dgm:prSet phldrT="[Text]" phldr="1"/>
      <dgm:spPr>
        <a:solidFill>
          <a:schemeClr val="bg2"/>
        </a:solidFill>
        <a:ln>
          <a:solidFill>
            <a:schemeClr val="bg2"/>
          </a:solidFill>
        </a:ln>
      </dgm:spPr>
      <dgm:t>
        <a:bodyPr/>
        <a:lstStyle/>
        <a:p>
          <a:endParaRPr lang="en-US">
            <a:ln w="0">
              <a:noFill/>
            </a:ln>
            <a:solidFill>
              <a:schemeClr val="bg2">
                <a:alpha val="93000"/>
              </a:schemeClr>
            </a:solidFill>
          </a:endParaRPr>
        </a:p>
      </dgm:t>
    </dgm:pt>
    <dgm:pt modelId="{FBDC6DD3-218B-4403-8530-E3DA5468AD90}" type="sibTrans" cxnId="{5AABDCDE-DD6D-4831-9BDB-D721789B39DB}">
      <dgm:prSet/>
      <dgm:spPr/>
      <dgm:t>
        <a:bodyPr/>
        <a:lstStyle/>
        <a:p>
          <a:endParaRPr lang="en-US"/>
        </a:p>
      </dgm:t>
    </dgm:pt>
    <dgm:pt modelId="{BDD2F5DA-37DD-4E1D-9107-28DDC185BEE6}" type="parTrans" cxnId="{5AABDCDE-DD6D-4831-9BDB-D721789B39DB}">
      <dgm:prSet/>
      <dgm:spPr/>
      <dgm:t>
        <a:bodyPr/>
        <a:lstStyle/>
        <a:p>
          <a:endParaRPr lang="en-US"/>
        </a:p>
      </dgm:t>
    </dgm:pt>
    <dgm:pt modelId="{5C3E4777-81F7-4FE1-B71D-4E15004637B9}" type="pres">
      <dgm:prSet presAssocID="{82E46227-4E1B-48D9-ABC6-C0AE7698ECB2}" presName="outerComposite" presStyleCnt="0">
        <dgm:presLayoutVars>
          <dgm:chMax val="2"/>
          <dgm:animLvl val="lvl"/>
          <dgm:resizeHandles val="exact"/>
        </dgm:presLayoutVars>
      </dgm:prSet>
      <dgm:spPr/>
      <dgm:t>
        <a:bodyPr/>
        <a:lstStyle/>
        <a:p>
          <a:endParaRPr lang="en-US"/>
        </a:p>
      </dgm:t>
    </dgm:pt>
    <dgm:pt modelId="{0FC37BBB-5E42-4B13-B938-78FE9D7CEEA4}" type="pres">
      <dgm:prSet presAssocID="{82E46227-4E1B-48D9-ABC6-C0AE7698ECB2}" presName="dummyMaxCanvas" presStyleCnt="0"/>
      <dgm:spPr/>
    </dgm:pt>
    <dgm:pt modelId="{41453939-F898-4AD0-B1B7-A3E6AB6DCC2A}" type="pres">
      <dgm:prSet presAssocID="{82E46227-4E1B-48D9-ABC6-C0AE7698ECB2}" presName="parentComposite" presStyleCnt="0"/>
      <dgm:spPr/>
    </dgm:pt>
    <dgm:pt modelId="{B7FB0A94-206A-4328-999E-FF5DF41183BC}" type="pres">
      <dgm:prSet presAssocID="{82E46227-4E1B-48D9-ABC6-C0AE7698ECB2}" presName="parent1" presStyleLbl="alignAccFollowNode1" presStyleIdx="0" presStyleCnt="4" custScaleX="123877" custLinFactNeighborX="7358" custLinFactNeighborY="56292">
        <dgm:presLayoutVars>
          <dgm:chMax val="4"/>
        </dgm:presLayoutVars>
      </dgm:prSet>
      <dgm:spPr/>
      <dgm:t>
        <a:bodyPr/>
        <a:lstStyle/>
        <a:p>
          <a:endParaRPr lang="en-US"/>
        </a:p>
      </dgm:t>
    </dgm:pt>
    <dgm:pt modelId="{43EE7A95-B045-4C63-A294-4DEF14FF83EB}" type="pres">
      <dgm:prSet presAssocID="{82E46227-4E1B-48D9-ABC6-C0AE7698ECB2}" presName="parent2" presStyleLbl="alignAccFollowNode1" presStyleIdx="1" presStyleCnt="4" custScaleX="130002" custLinFactNeighborX="10658" custLinFactNeighborY="58119">
        <dgm:presLayoutVars>
          <dgm:chMax val="4"/>
        </dgm:presLayoutVars>
      </dgm:prSet>
      <dgm:spPr/>
      <dgm:t>
        <a:bodyPr/>
        <a:lstStyle/>
        <a:p>
          <a:endParaRPr lang="en-US"/>
        </a:p>
      </dgm:t>
    </dgm:pt>
    <dgm:pt modelId="{7393D965-C46B-454E-A402-DE7B39382482}" type="pres">
      <dgm:prSet presAssocID="{82E46227-4E1B-48D9-ABC6-C0AE7698ECB2}" presName="childrenComposite" presStyleCnt="0"/>
      <dgm:spPr/>
    </dgm:pt>
    <dgm:pt modelId="{0373A9FE-C878-4B30-B779-A7D8DE7F3E21}" type="pres">
      <dgm:prSet presAssocID="{82E46227-4E1B-48D9-ABC6-C0AE7698ECB2}" presName="dummyMaxCanvas_ChildArea" presStyleCnt="0"/>
      <dgm:spPr/>
    </dgm:pt>
    <dgm:pt modelId="{C853D95E-FD0B-4814-8F85-CAC1DFAE037A}" type="pres">
      <dgm:prSet presAssocID="{82E46227-4E1B-48D9-ABC6-C0AE7698ECB2}" presName="fulcrum" presStyleLbl="alignAccFollowNode1" presStyleIdx="2" presStyleCnt="4" custLinFactNeighborX="-7326" custLinFactNeighborY="-7326"/>
      <dgm:spPr>
        <a:solidFill>
          <a:schemeClr val="bg2">
            <a:lumMod val="90000"/>
            <a:alpha val="90000"/>
          </a:schemeClr>
        </a:solidFill>
      </dgm:spPr>
    </dgm:pt>
    <dgm:pt modelId="{9933F535-284E-43ED-92AF-102021110D79}" type="pres">
      <dgm:prSet presAssocID="{82E46227-4E1B-48D9-ABC6-C0AE7698ECB2}" presName="balance_12" presStyleLbl="alignAccFollowNode1" presStyleIdx="3" presStyleCnt="4" custAng="296732" custScaleX="106753" custScaleY="108538">
        <dgm:presLayoutVars>
          <dgm:bulletEnabled val="1"/>
        </dgm:presLayoutVars>
      </dgm:prSet>
      <dgm:spPr/>
    </dgm:pt>
    <dgm:pt modelId="{241A6BB0-1AFF-4ABA-87A2-1E8848D0D31F}" type="pres">
      <dgm:prSet presAssocID="{82E46227-4E1B-48D9-ABC6-C0AE7698ECB2}" presName="right_12_1" presStyleLbl="node1" presStyleIdx="0" presStyleCnt="3" custAng="371877" custScaleX="124147" custScaleY="91742" custLinFactNeighborX="-344" custLinFactNeighborY="9440">
        <dgm:presLayoutVars>
          <dgm:bulletEnabled val="1"/>
        </dgm:presLayoutVars>
      </dgm:prSet>
      <dgm:spPr/>
      <dgm:t>
        <a:bodyPr/>
        <a:lstStyle/>
        <a:p>
          <a:endParaRPr lang="en-US"/>
        </a:p>
      </dgm:t>
    </dgm:pt>
    <dgm:pt modelId="{231CF7C7-B561-447C-91E9-8BE6E5464F3C}" type="pres">
      <dgm:prSet presAssocID="{82E46227-4E1B-48D9-ABC6-C0AE7698ECB2}" presName="right_12_2" presStyleLbl="node1" presStyleIdx="1" presStyleCnt="3" custFlipVert="1" custFlipHor="1" custScaleX="5037" custScaleY="17435" custLinFactX="100000" custLinFactY="99638" custLinFactNeighborX="163825" custLinFactNeighborY="100000">
        <dgm:presLayoutVars>
          <dgm:bulletEnabled val="1"/>
        </dgm:presLayoutVars>
      </dgm:prSet>
      <dgm:spPr/>
      <dgm:t>
        <a:bodyPr/>
        <a:lstStyle/>
        <a:p>
          <a:endParaRPr lang="en-US"/>
        </a:p>
      </dgm:t>
    </dgm:pt>
    <dgm:pt modelId="{58497455-5681-4F05-B7D3-819178A4FDFB}" type="pres">
      <dgm:prSet presAssocID="{82E46227-4E1B-48D9-ABC6-C0AE7698ECB2}" presName="left_12_1" presStyleLbl="node1" presStyleIdx="2" presStyleCnt="3" custAng="328556" custScaleX="123371" custScaleY="89899" custLinFactNeighborX="1023" custLinFactNeighborY="-5512">
        <dgm:presLayoutVars>
          <dgm:bulletEnabled val="1"/>
        </dgm:presLayoutVars>
      </dgm:prSet>
      <dgm:spPr/>
      <dgm:t>
        <a:bodyPr/>
        <a:lstStyle/>
        <a:p>
          <a:endParaRPr lang="en-US"/>
        </a:p>
      </dgm:t>
    </dgm:pt>
  </dgm:ptLst>
  <dgm:cxnLst>
    <dgm:cxn modelId="{33CA4122-BC7A-499A-AD8C-B1EFE5711C77}" type="presOf" srcId="{946F207A-379A-4171-A41B-760E404B701B}" destId="{58497455-5681-4F05-B7D3-819178A4FDFB}" srcOrd="0" destOrd="0" presId="urn:microsoft.com/office/officeart/2005/8/layout/balance1"/>
    <dgm:cxn modelId="{5AABDCDE-DD6D-4831-9BDB-D721789B39DB}" srcId="{0CDBF9B2-71AB-46AD-8509-9A08DB0533B8}" destId="{5C43B4CF-BF25-4701-83B7-397253D289B5}" srcOrd="1" destOrd="0" parTransId="{BDD2F5DA-37DD-4E1D-9107-28DDC185BEE6}" sibTransId="{FBDC6DD3-218B-4403-8530-E3DA5468AD90}"/>
    <dgm:cxn modelId="{094E43C9-6D0F-40DC-9C05-E9CD5C3EF7A8}" type="presOf" srcId="{0CDBF9B2-71AB-46AD-8509-9A08DB0533B8}" destId="{43EE7A95-B045-4C63-A294-4DEF14FF83EB}" srcOrd="0" destOrd="0" presId="urn:microsoft.com/office/officeart/2005/8/layout/balance1"/>
    <dgm:cxn modelId="{259C90E4-94E0-4BCE-A9A0-BC59F882EEAD}" srcId="{82E46227-4E1B-48D9-ABC6-C0AE7698ECB2}" destId="{0CDBF9B2-71AB-46AD-8509-9A08DB0533B8}" srcOrd="1" destOrd="0" parTransId="{A40BA730-E58E-45EA-AD85-CFBFF8F928E1}" sibTransId="{33E7A744-6703-4E3E-AAE1-1CBCA69B35AA}"/>
    <dgm:cxn modelId="{DCB91A32-C8B6-4D63-8E2E-641C4538EAD2}" srcId="{8045946F-9246-43CA-B02A-590659B06F3C}" destId="{946F207A-379A-4171-A41B-760E404B701B}" srcOrd="0" destOrd="0" parTransId="{D527AEBD-D03B-4F86-BC85-02E93EFF2E09}" sibTransId="{68034CD4-C8EB-4D81-87FF-CCF1F1E525C7}"/>
    <dgm:cxn modelId="{65E88E5C-F745-4926-B09B-EA81DC48E3C0}" type="presOf" srcId="{5C43B4CF-BF25-4701-83B7-397253D289B5}" destId="{231CF7C7-B561-447C-91E9-8BE6E5464F3C}" srcOrd="0" destOrd="0" presId="urn:microsoft.com/office/officeart/2005/8/layout/balance1"/>
    <dgm:cxn modelId="{3F24DFDA-0810-47F9-A3C5-9BDE0679852B}" type="presOf" srcId="{82E46227-4E1B-48D9-ABC6-C0AE7698ECB2}" destId="{5C3E4777-81F7-4FE1-B71D-4E15004637B9}" srcOrd="0" destOrd="0" presId="urn:microsoft.com/office/officeart/2005/8/layout/balance1"/>
    <dgm:cxn modelId="{0B2CF980-A02C-42E1-9812-808B1ABC8254}" srcId="{82E46227-4E1B-48D9-ABC6-C0AE7698ECB2}" destId="{8045946F-9246-43CA-B02A-590659B06F3C}" srcOrd="0" destOrd="0" parTransId="{C5A7C52E-1CF2-4F23-84B1-92848A50DC72}" sibTransId="{D04AB5AD-77CD-46BD-A8FE-0D5CA70BB95F}"/>
    <dgm:cxn modelId="{FFF4EBB1-540B-4FAE-B311-D046B405E82F}" srcId="{0CDBF9B2-71AB-46AD-8509-9A08DB0533B8}" destId="{B93BEE3A-6955-4037-AFEE-D0F2492AE68B}" srcOrd="0" destOrd="0" parTransId="{34CF9D80-B8DD-4553-9EB1-9BBA66F487A7}" sibTransId="{F2ABEE91-E7E5-43A1-B941-A4A4BBE7955A}"/>
    <dgm:cxn modelId="{CECE85AD-EB68-4B7C-99E3-2E73F336B646}" type="presOf" srcId="{8045946F-9246-43CA-B02A-590659B06F3C}" destId="{B7FB0A94-206A-4328-999E-FF5DF41183BC}" srcOrd="0" destOrd="0" presId="urn:microsoft.com/office/officeart/2005/8/layout/balance1"/>
    <dgm:cxn modelId="{C802236D-4B87-4CD6-9FC5-F3D3A2CB2829}" type="presOf" srcId="{B93BEE3A-6955-4037-AFEE-D0F2492AE68B}" destId="{241A6BB0-1AFF-4ABA-87A2-1E8848D0D31F}" srcOrd="0" destOrd="0" presId="urn:microsoft.com/office/officeart/2005/8/layout/balance1"/>
    <dgm:cxn modelId="{93D1A62A-A486-4F06-865B-0AFD1A4D29F4}" type="presParOf" srcId="{5C3E4777-81F7-4FE1-B71D-4E15004637B9}" destId="{0FC37BBB-5E42-4B13-B938-78FE9D7CEEA4}" srcOrd="0" destOrd="0" presId="urn:microsoft.com/office/officeart/2005/8/layout/balance1"/>
    <dgm:cxn modelId="{31E6E091-F923-4C88-992B-22A8229A59B6}" type="presParOf" srcId="{5C3E4777-81F7-4FE1-B71D-4E15004637B9}" destId="{41453939-F898-4AD0-B1B7-A3E6AB6DCC2A}" srcOrd="1" destOrd="0" presId="urn:microsoft.com/office/officeart/2005/8/layout/balance1"/>
    <dgm:cxn modelId="{B082308B-A1CE-40DF-968C-F81FB09A7ABC}" type="presParOf" srcId="{41453939-F898-4AD0-B1B7-A3E6AB6DCC2A}" destId="{B7FB0A94-206A-4328-999E-FF5DF41183BC}" srcOrd="0" destOrd="0" presId="urn:microsoft.com/office/officeart/2005/8/layout/balance1"/>
    <dgm:cxn modelId="{70412483-9D48-4157-A47B-D699E3F56779}" type="presParOf" srcId="{41453939-F898-4AD0-B1B7-A3E6AB6DCC2A}" destId="{43EE7A95-B045-4C63-A294-4DEF14FF83EB}" srcOrd="1" destOrd="0" presId="urn:microsoft.com/office/officeart/2005/8/layout/balance1"/>
    <dgm:cxn modelId="{E0B8FE41-A14F-41A5-B1E9-813D908F1CC8}" type="presParOf" srcId="{5C3E4777-81F7-4FE1-B71D-4E15004637B9}" destId="{7393D965-C46B-454E-A402-DE7B39382482}" srcOrd="2" destOrd="0" presId="urn:microsoft.com/office/officeart/2005/8/layout/balance1"/>
    <dgm:cxn modelId="{8A2811BC-B5F6-4DDC-A936-FF7938315569}" type="presParOf" srcId="{7393D965-C46B-454E-A402-DE7B39382482}" destId="{0373A9FE-C878-4B30-B779-A7D8DE7F3E21}" srcOrd="0" destOrd="0" presId="urn:microsoft.com/office/officeart/2005/8/layout/balance1"/>
    <dgm:cxn modelId="{28B3407A-FC72-450B-9240-3D47E194D7BC}" type="presParOf" srcId="{7393D965-C46B-454E-A402-DE7B39382482}" destId="{C853D95E-FD0B-4814-8F85-CAC1DFAE037A}" srcOrd="1" destOrd="0" presId="urn:microsoft.com/office/officeart/2005/8/layout/balance1"/>
    <dgm:cxn modelId="{09025354-5D60-433F-BC34-329C4AC1A7BA}" type="presParOf" srcId="{7393D965-C46B-454E-A402-DE7B39382482}" destId="{9933F535-284E-43ED-92AF-102021110D79}" srcOrd="2" destOrd="0" presId="urn:microsoft.com/office/officeart/2005/8/layout/balance1"/>
    <dgm:cxn modelId="{E387F3EF-D323-447C-855B-8D2AEB02155F}" type="presParOf" srcId="{7393D965-C46B-454E-A402-DE7B39382482}" destId="{241A6BB0-1AFF-4ABA-87A2-1E8848D0D31F}" srcOrd="3" destOrd="0" presId="urn:microsoft.com/office/officeart/2005/8/layout/balance1"/>
    <dgm:cxn modelId="{CF3A351E-9B28-4DA9-9AF2-4A42E456C927}" type="presParOf" srcId="{7393D965-C46B-454E-A402-DE7B39382482}" destId="{231CF7C7-B561-447C-91E9-8BE6E5464F3C}" srcOrd="4" destOrd="0" presId="urn:microsoft.com/office/officeart/2005/8/layout/balance1"/>
    <dgm:cxn modelId="{9A855F82-18E8-4621-AAF2-DB41461843B4}" type="presParOf" srcId="{7393D965-C46B-454E-A402-DE7B39382482}" destId="{58497455-5681-4F05-B7D3-819178A4FDFB}" srcOrd="5" destOrd="0" presId="urn:microsoft.com/office/officeart/2005/8/layout/balance1"/>
  </dgm:cxnLst>
  <dgm:bg>
    <a:pattFill prst="pct50">
      <a:fgClr>
        <a:schemeClr val="bg2"/>
      </a:fgClr>
      <a:bgClr>
        <a:schemeClr val="bg1"/>
      </a:bgClr>
    </a:pattFill>
  </dgm:bg>
  <dgm:whole>
    <a:ln w="9525" cap="flat" cmpd="sng" algn="ctr">
      <a:solidFill>
        <a:schemeClr val="tx1">
          <a:lumMod val="50000"/>
          <a:lumOff val="50000"/>
        </a:schemeClr>
      </a:solidFill>
      <a:prstDash val="solid"/>
      <a:round/>
      <a:headEnd type="none" w="med" len="med"/>
      <a:tailEnd type="none" w="med" len="med"/>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B0A94-206A-4328-999E-FF5DF41183BC}">
      <dsp:nvSpPr>
        <dsp:cNvPr id="0" name=""/>
        <dsp:cNvSpPr/>
      </dsp:nvSpPr>
      <dsp:spPr>
        <a:xfrm>
          <a:off x="2081930" y="270235"/>
          <a:ext cx="1070431" cy="480060"/>
        </a:xfrm>
        <a:prstGeom prst="roundRect">
          <a:avLst>
            <a:gd name="adj" fmla="val 10000"/>
          </a:avLst>
        </a:prstGeom>
        <a:solidFill>
          <a:schemeClr val="bg2">
            <a:lumMod val="9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latin typeface="Times New Roman" panose="02020603050405020304" pitchFamily="18" charset="0"/>
              <a:cs typeface="Times New Roman" panose="02020603050405020304" pitchFamily="18" charset="0"/>
            </a:rPr>
            <a:t>Me mbështetje buxhetore </a:t>
          </a:r>
        </a:p>
      </dsp:txBody>
      <dsp:txXfrm>
        <a:off x="2095990" y="284295"/>
        <a:ext cx="1042311" cy="451940"/>
      </dsp:txXfrm>
    </dsp:sp>
    <dsp:sp modelId="{43EE7A95-B045-4C63-A294-4DEF14FF83EB}">
      <dsp:nvSpPr>
        <dsp:cNvPr id="0" name=""/>
        <dsp:cNvSpPr/>
      </dsp:nvSpPr>
      <dsp:spPr>
        <a:xfrm>
          <a:off x="3332139" y="279006"/>
          <a:ext cx="1123357" cy="480060"/>
        </a:xfrm>
        <a:prstGeom prst="roundRect">
          <a:avLst>
            <a:gd name="adj" fmla="val 10000"/>
          </a:avLst>
        </a:prstGeom>
        <a:solidFill>
          <a:schemeClr val="bg2">
            <a:lumMod val="9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latin typeface="Times New Roman" panose="02020603050405020304" pitchFamily="18" charset="0"/>
              <a:cs typeface="Times New Roman" panose="02020603050405020304" pitchFamily="18" charset="0"/>
            </a:rPr>
            <a:t>Pa mbështetje buxhetore</a:t>
          </a:r>
        </a:p>
      </dsp:txBody>
      <dsp:txXfrm>
        <a:off x="3346199" y="293066"/>
        <a:ext cx="1095237" cy="451940"/>
      </dsp:txXfrm>
    </dsp:sp>
    <dsp:sp modelId="{C853D95E-FD0B-4814-8F85-CAC1DFAE037A}">
      <dsp:nvSpPr>
        <dsp:cNvPr id="0" name=""/>
        <dsp:cNvSpPr/>
      </dsp:nvSpPr>
      <dsp:spPr>
        <a:xfrm>
          <a:off x="2984475" y="2013878"/>
          <a:ext cx="360045" cy="360045"/>
        </a:xfrm>
        <a:prstGeom prst="triangle">
          <a:avLst/>
        </a:prstGeom>
        <a:solidFill>
          <a:schemeClr val="bg2">
            <a:lumMod val="9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933F535-284E-43ED-92AF-102021110D79}">
      <dsp:nvSpPr>
        <dsp:cNvPr id="0" name=""/>
        <dsp:cNvSpPr/>
      </dsp:nvSpPr>
      <dsp:spPr>
        <a:xfrm rot="536732">
          <a:off x="2018160" y="1879520"/>
          <a:ext cx="2345429" cy="16400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41A6BB0-1AFF-4ABA-87A2-1E8848D0D31F}">
      <dsp:nvSpPr>
        <dsp:cNvPr id="0" name=""/>
        <dsp:cNvSpPr/>
      </dsp:nvSpPr>
      <dsp:spPr>
        <a:xfrm rot="611877">
          <a:off x="3275729" y="1380342"/>
          <a:ext cx="1120045" cy="557427"/>
        </a:xfrm>
        <a:prstGeom prst="roundRect">
          <a:avLst/>
        </a:prstGeom>
        <a:solidFill>
          <a:schemeClr val="accent1">
            <a:hueOff val="0"/>
            <a:satOff val="0"/>
            <a:lumOff val="0"/>
            <a:alphaOff val="0"/>
          </a:schemeClr>
        </a:solidFill>
        <a:ln w="25400" cap="flat" cmpd="sng" algn="ctr">
          <a:solidFill>
            <a:schemeClr val="bg2">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0" kern="1200">
              <a:latin typeface="Arial Narrow" panose="020B0606020202030204" pitchFamily="34" charset="0"/>
            </a:rPr>
            <a:t>210 kontrata koncesionare/ PPP</a:t>
          </a:r>
        </a:p>
      </dsp:txBody>
      <dsp:txXfrm>
        <a:off x="3302940" y="1407553"/>
        <a:ext cx="1065623" cy="503005"/>
      </dsp:txXfrm>
    </dsp:sp>
    <dsp:sp modelId="{231CF7C7-B561-447C-91E9-8BE6E5464F3C}">
      <dsp:nvSpPr>
        <dsp:cNvPr id="0" name=""/>
        <dsp:cNvSpPr/>
      </dsp:nvSpPr>
      <dsp:spPr>
        <a:xfrm rot="240000" flipH="1" flipV="1">
          <a:off x="6324624" y="2261933"/>
          <a:ext cx="38765" cy="118109"/>
        </a:xfrm>
        <a:prstGeom prst="roundRect">
          <a:avLst/>
        </a:prstGeom>
        <a:solidFill>
          <a:schemeClr val="bg2"/>
        </a:solidFill>
        <a:ln w="25400" cap="flat" cmpd="sng" algn="ctr">
          <a:solidFill>
            <a:schemeClr val="bg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US" sz="500" kern="1200">
            <a:ln w="0">
              <a:noFill/>
            </a:ln>
            <a:solidFill>
              <a:schemeClr val="bg2">
                <a:alpha val="93000"/>
              </a:schemeClr>
            </a:solidFill>
          </a:endParaRPr>
        </a:p>
      </dsp:txBody>
      <dsp:txXfrm rot="10800000">
        <a:off x="6326516" y="2263825"/>
        <a:ext cx="34981" cy="114325"/>
      </dsp:txXfrm>
    </dsp:sp>
    <dsp:sp modelId="{58497455-5681-4F05-B7D3-819178A4FDFB}">
      <dsp:nvSpPr>
        <dsp:cNvPr id="0" name=""/>
        <dsp:cNvSpPr/>
      </dsp:nvSpPr>
      <dsp:spPr>
        <a:xfrm rot="568556">
          <a:off x="2055497" y="1196733"/>
          <a:ext cx="1113662" cy="545102"/>
        </a:xfrm>
        <a:prstGeom prst="roundRect">
          <a:avLst/>
        </a:prstGeom>
        <a:solidFill>
          <a:schemeClr val="accent1">
            <a:hueOff val="0"/>
            <a:satOff val="0"/>
            <a:lumOff val="0"/>
            <a:alphaOff val="0"/>
          </a:schemeClr>
        </a:solidFill>
        <a:ln w="25400" cap="flat" cmpd="sng" algn="ctr">
          <a:solidFill>
            <a:schemeClr val="bg2">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Narrow" panose="020B0606020202030204" pitchFamily="34" charset="0"/>
            </a:rPr>
            <a:t>14 </a:t>
          </a:r>
          <a:r>
            <a:rPr lang="en-US" sz="1100" kern="1200">
              <a:latin typeface="Arial Narrow" panose="020B0606020202030204" pitchFamily="34" charset="0"/>
              <a:cs typeface="Times New Roman" panose="02020603050405020304" pitchFamily="18" charset="0"/>
            </a:rPr>
            <a:t>kontrata</a:t>
          </a:r>
          <a:r>
            <a:rPr lang="en-US" sz="1100" kern="1200">
              <a:latin typeface="Arial Narrow" panose="020B0606020202030204" pitchFamily="34" charset="0"/>
            </a:rPr>
            <a:t> koncesionare/PPP</a:t>
          </a:r>
        </a:p>
      </dsp:txBody>
      <dsp:txXfrm>
        <a:off x="2082107" y="1223343"/>
        <a:ext cx="1060442" cy="491882"/>
      </dsp:txXfrm>
    </dsp:sp>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0.12003</cdr:x>
      <cdr:y>0.21419</cdr:y>
    </cdr:from>
    <cdr:to>
      <cdr:x>0.20699</cdr:x>
      <cdr:y>0.37391</cdr:y>
    </cdr:to>
    <cdr:sp macro="" textlink="">
      <cdr:nvSpPr>
        <cdr:cNvPr id="2" name="Freeform 1">
          <a:extLst xmlns:a="http://schemas.openxmlformats.org/drawingml/2006/main">
            <a:ext uri="{FF2B5EF4-FFF2-40B4-BE49-F238E27FC236}">
              <a16:creationId xmlns:lc="http://schemas.openxmlformats.org/drawingml/2006/lockedCanvas" xmlns="" xmlns:a16="http://schemas.microsoft.com/office/drawing/2014/main" id="{88F7C794-5F3E-485B-B73F-31D240315B1C}"/>
            </a:ext>
          </a:extLst>
        </cdr:cNvPr>
        <cdr:cNvSpPr>
          <a:spLocks xmlns:a="http://schemas.openxmlformats.org/drawingml/2006/main"/>
        </cdr:cNvSpPr>
      </cdr:nvSpPr>
      <cdr:spPr bwMode="auto">
        <a:xfrm xmlns:a="http://schemas.openxmlformats.org/drawingml/2006/main">
          <a:off x="771730" y="585519"/>
          <a:ext cx="559098" cy="436623"/>
        </a:xfrm>
        <a:custGeom xmlns:a="http://schemas.openxmlformats.org/drawingml/2006/main">
          <a:avLst/>
          <a:gdLst>
            <a:gd name="T0" fmla="*/ 222 w 454"/>
            <a:gd name="T1" fmla="*/ 0 h 454"/>
            <a:gd name="T2" fmla="*/ 176 w 454"/>
            <a:gd name="T3" fmla="*/ 6 h 454"/>
            <a:gd name="T4" fmla="*/ 134 w 454"/>
            <a:gd name="T5" fmla="*/ 20 h 454"/>
            <a:gd name="T6" fmla="*/ 96 w 454"/>
            <a:gd name="T7" fmla="*/ 42 h 454"/>
            <a:gd name="T8" fmla="*/ 62 w 454"/>
            <a:gd name="T9" fmla="*/ 70 h 454"/>
            <a:gd name="T10" fmla="*/ 36 w 454"/>
            <a:gd name="T11" fmla="*/ 106 h 454"/>
            <a:gd name="T12" fmla="*/ 16 w 454"/>
            <a:gd name="T13" fmla="*/ 144 h 454"/>
            <a:gd name="T14" fmla="*/ 4 w 454"/>
            <a:gd name="T15" fmla="*/ 186 h 454"/>
            <a:gd name="T16" fmla="*/ 0 w 454"/>
            <a:gd name="T17" fmla="*/ 232 h 454"/>
            <a:gd name="T18" fmla="*/ 2 w 454"/>
            <a:gd name="T19" fmla="*/ 256 h 454"/>
            <a:gd name="T20" fmla="*/ 12 w 454"/>
            <a:gd name="T21" fmla="*/ 300 h 454"/>
            <a:gd name="T22" fmla="*/ 30 w 454"/>
            <a:gd name="T23" fmla="*/ 340 h 454"/>
            <a:gd name="T24" fmla="*/ 54 w 454"/>
            <a:gd name="T25" fmla="*/ 376 h 454"/>
            <a:gd name="T26" fmla="*/ 86 w 454"/>
            <a:gd name="T27" fmla="*/ 406 h 454"/>
            <a:gd name="T28" fmla="*/ 122 w 454"/>
            <a:gd name="T29" fmla="*/ 430 h 454"/>
            <a:gd name="T30" fmla="*/ 164 w 454"/>
            <a:gd name="T31" fmla="*/ 446 h 454"/>
            <a:gd name="T32" fmla="*/ 208 w 454"/>
            <a:gd name="T33" fmla="*/ 454 h 454"/>
            <a:gd name="T34" fmla="*/ 232 w 454"/>
            <a:gd name="T35" fmla="*/ 454 h 454"/>
            <a:gd name="T36" fmla="*/ 278 w 454"/>
            <a:gd name="T37" fmla="*/ 448 h 454"/>
            <a:gd name="T38" fmla="*/ 320 w 454"/>
            <a:gd name="T39" fmla="*/ 434 h 454"/>
            <a:gd name="T40" fmla="*/ 358 w 454"/>
            <a:gd name="T41" fmla="*/ 412 h 454"/>
            <a:gd name="T42" fmla="*/ 390 w 454"/>
            <a:gd name="T43" fmla="*/ 384 h 454"/>
            <a:gd name="T44" fmla="*/ 418 w 454"/>
            <a:gd name="T45" fmla="*/ 350 h 454"/>
            <a:gd name="T46" fmla="*/ 438 w 454"/>
            <a:gd name="T47" fmla="*/ 312 h 454"/>
            <a:gd name="T48" fmla="*/ 450 w 454"/>
            <a:gd name="T49" fmla="*/ 268 h 454"/>
            <a:gd name="T50" fmla="*/ 454 w 454"/>
            <a:gd name="T51" fmla="*/ 222 h 454"/>
            <a:gd name="T52" fmla="*/ 452 w 454"/>
            <a:gd name="T53" fmla="*/ 200 h 454"/>
            <a:gd name="T54" fmla="*/ 442 w 454"/>
            <a:gd name="T55" fmla="*/ 156 h 454"/>
            <a:gd name="T56" fmla="*/ 424 w 454"/>
            <a:gd name="T57" fmla="*/ 114 h 454"/>
            <a:gd name="T58" fmla="*/ 398 w 454"/>
            <a:gd name="T59" fmla="*/ 80 h 454"/>
            <a:gd name="T60" fmla="*/ 366 w 454"/>
            <a:gd name="T61" fmla="*/ 50 h 454"/>
            <a:gd name="T62" fmla="*/ 330 w 454"/>
            <a:gd name="T63" fmla="*/ 26 h 454"/>
            <a:gd name="T64" fmla="*/ 290 w 454"/>
            <a:gd name="T65" fmla="*/ 10 h 454"/>
            <a:gd name="T66" fmla="*/ 244 w 454"/>
            <a:gd name="T67" fmla="*/ 2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54" h="454">
              <a:moveTo>
                <a:pt x="222" y="0"/>
              </a:moveTo>
              <a:lnTo>
                <a:pt x="222" y="0"/>
              </a:lnTo>
              <a:lnTo>
                <a:pt x="198" y="2"/>
              </a:lnTo>
              <a:lnTo>
                <a:pt x="176" y="6"/>
              </a:lnTo>
              <a:lnTo>
                <a:pt x="154" y="12"/>
              </a:lnTo>
              <a:lnTo>
                <a:pt x="134" y="20"/>
              </a:lnTo>
              <a:lnTo>
                <a:pt x="114" y="30"/>
              </a:lnTo>
              <a:lnTo>
                <a:pt x="96" y="42"/>
              </a:lnTo>
              <a:lnTo>
                <a:pt x="78" y="56"/>
              </a:lnTo>
              <a:lnTo>
                <a:pt x="62" y="70"/>
              </a:lnTo>
              <a:lnTo>
                <a:pt x="48" y="88"/>
              </a:lnTo>
              <a:lnTo>
                <a:pt x="36" y="106"/>
              </a:lnTo>
              <a:lnTo>
                <a:pt x="24" y="124"/>
              </a:lnTo>
              <a:lnTo>
                <a:pt x="16" y="144"/>
              </a:lnTo>
              <a:lnTo>
                <a:pt x="8" y="166"/>
              </a:lnTo>
              <a:lnTo>
                <a:pt x="4" y="186"/>
              </a:lnTo>
              <a:lnTo>
                <a:pt x="0" y="210"/>
              </a:lnTo>
              <a:lnTo>
                <a:pt x="0" y="232"/>
              </a:lnTo>
              <a:lnTo>
                <a:pt x="0" y="232"/>
              </a:lnTo>
              <a:lnTo>
                <a:pt x="2" y="256"/>
              </a:lnTo>
              <a:lnTo>
                <a:pt x="6" y="278"/>
              </a:lnTo>
              <a:lnTo>
                <a:pt x="12" y="300"/>
              </a:lnTo>
              <a:lnTo>
                <a:pt x="20" y="320"/>
              </a:lnTo>
              <a:lnTo>
                <a:pt x="30" y="340"/>
              </a:lnTo>
              <a:lnTo>
                <a:pt x="42" y="358"/>
              </a:lnTo>
              <a:lnTo>
                <a:pt x="54" y="376"/>
              </a:lnTo>
              <a:lnTo>
                <a:pt x="70" y="392"/>
              </a:lnTo>
              <a:lnTo>
                <a:pt x="86" y="406"/>
              </a:lnTo>
              <a:lnTo>
                <a:pt x="104" y="418"/>
              </a:lnTo>
              <a:lnTo>
                <a:pt x="122" y="430"/>
              </a:lnTo>
              <a:lnTo>
                <a:pt x="142" y="438"/>
              </a:lnTo>
              <a:lnTo>
                <a:pt x="164" y="446"/>
              </a:lnTo>
              <a:lnTo>
                <a:pt x="186" y="450"/>
              </a:lnTo>
              <a:lnTo>
                <a:pt x="208" y="454"/>
              </a:lnTo>
              <a:lnTo>
                <a:pt x="232" y="454"/>
              </a:lnTo>
              <a:lnTo>
                <a:pt x="232" y="454"/>
              </a:lnTo>
              <a:lnTo>
                <a:pt x="254" y="452"/>
              </a:lnTo>
              <a:lnTo>
                <a:pt x="278" y="448"/>
              </a:lnTo>
              <a:lnTo>
                <a:pt x="298" y="442"/>
              </a:lnTo>
              <a:lnTo>
                <a:pt x="320" y="434"/>
              </a:lnTo>
              <a:lnTo>
                <a:pt x="340" y="424"/>
              </a:lnTo>
              <a:lnTo>
                <a:pt x="358" y="412"/>
              </a:lnTo>
              <a:lnTo>
                <a:pt x="374" y="400"/>
              </a:lnTo>
              <a:lnTo>
                <a:pt x="390" y="384"/>
              </a:lnTo>
              <a:lnTo>
                <a:pt x="404" y="368"/>
              </a:lnTo>
              <a:lnTo>
                <a:pt x="418" y="350"/>
              </a:lnTo>
              <a:lnTo>
                <a:pt x="428" y="332"/>
              </a:lnTo>
              <a:lnTo>
                <a:pt x="438" y="312"/>
              </a:lnTo>
              <a:lnTo>
                <a:pt x="444" y="290"/>
              </a:lnTo>
              <a:lnTo>
                <a:pt x="450" y="268"/>
              </a:lnTo>
              <a:lnTo>
                <a:pt x="452" y="246"/>
              </a:lnTo>
              <a:lnTo>
                <a:pt x="454" y="222"/>
              </a:lnTo>
              <a:lnTo>
                <a:pt x="454" y="222"/>
              </a:lnTo>
              <a:lnTo>
                <a:pt x="452" y="200"/>
              </a:lnTo>
              <a:lnTo>
                <a:pt x="448" y="176"/>
              </a:lnTo>
              <a:lnTo>
                <a:pt x="442" y="156"/>
              </a:lnTo>
              <a:lnTo>
                <a:pt x="434" y="134"/>
              </a:lnTo>
              <a:lnTo>
                <a:pt x="424" y="114"/>
              </a:lnTo>
              <a:lnTo>
                <a:pt x="412" y="96"/>
              </a:lnTo>
              <a:lnTo>
                <a:pt x="398" y="80"/>
              </a:lnTo>
              <a:lnTo>
                <a:pt x="384" y="64"/>
              </a:lnTo>
              <a:lnTo>
                <a:pt x="366" y="50"/>
              </a:lnTo>
              <a:lnTo>
                <a:pt x="350" y="36"/>
              </a:lnTo>
              <a:lnTo>
                <a:pt x="330" y="26"/>
              </a:lnTo>
              <a:lnTo>
                <a:pt x="310" y="16"/>
              </a:lnTo>
              <a:lnTo>
                <a:pt x="290" y="10"/>
              </a:lnTo>
              <a:lnTo>
                <a:pt x="268" y="4"/>
              </a:lnTo>
              <a:lnTo>
                <a:pt x="244" y="2"/>
              </a:lnTo>
              <a:lnTo>
                <a:pt x="222" y="0"/>
              </a:lnTo>
              <a:close/>
            </a:path>
          </a:pathLst>
        </a:custGeom>
        <a:blipFill xmlns:a="http://schemas.openxmlformats.org/drawingml/2006/main"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a:ln xmlns:a="http://schemas.openxmlformats.org/drawingml/2006/main" w="25400">
          <a:solidFill>
            <a:schemeClr val="accent1"/>
          </a:solidFill>
          <a:round/>
          <a:headEnd/>
          <a:tailEnd/>
        </a:ln>
        <a:extLst xmlns:a="http://schemas.openxmlformats.org/drawingml/2006/main"/>
      </cdr:spPr>
      <cdr:txBody>
        <a:bodyPr xmlns:a="http://schemas.openxmlformats.org/drawingml/2006/main" vert="horz" wrap="square" lIns="91440" tIns="45720" rIns="91440" bIns="45720" numCol="1" anchor="ctr" anchorCtr="0" compatLnSpc="1">
          <a:prstTxWarp prst="textNoShape">
            <a:avLst/>
          </a:prstTxWarp>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en-US" sz="4400" b="1" dirty="0"/>
        </a:p>
      </cdr:txBody>
    </cdr:sp>
  </cdr:relSizeAnchor>
  <cdr:relSizeAnchor xmlns:cdr="http://schemas.openxmlformats.org/drawingml/2006/chartDrawing">
    <cdr:from>
      <cdr:x>0.80133</cdr:x>
      <cdr:y>0.12393</cdr:y>
    </cdr:from>
    <cdr:to>
      <cdr:x>0.88314</cdr:x>
      <cdr:y>0.27143</cdr:y>
    </cdr:to>
    <cdr:sp macro="" textlink="">
      <cdr:nvSpPr>
        <cdr:cNvPr id="3" name="Freeform 2">
          <a:extLst xmlns:a="http://schemas.openxmlformats.org/drawingml/2006/main">
            <a:ext uri="{FF2B5EF4-FFF2-40B4-BE49-F238E27FC236}">
              <a16:creationId xmlns:a16="http://schemas.microsoft.com/office/drawing/2014/main" xmlns="" xmlns:lc="http://schemas.openxmlformats.org/drawingml/2006/lockedCanvas" id="{AEACF7D2-2867-4ECD-9C41-5F6516E85066}"/>
            </a:ext>
          </a:extLst>
        </cdr:cNvPr>
        <cdr:cNvSpPr>
          <a:spLocks xmlns:a="http://schemas.openxmlformats.org/drawingml/2006/main"/>
        </cdr:cNvSpPr>
      </cdr:nvSpPr>
      <cdr:spPr bwMode="auto">
        <a:xfrm xmlns:a="http://schemas.openxmlformats.org/drawingml/2006/main">
          <a:off x="5152030" y="338798"/>
          <a:ext cx="525987" cy="403190"/>
        </a:xfrm>
        <a:custGeom xmlns:a="http://schemas.openxmlformats.org/drawingml/2006/main">
          <a:avLst/>
          <a:gdLst>
            <a:gd name="T0" fmla="*/ 222 w 454"/>
            <a:gd name="T1" fmla="*/ 0 h 454"/>
            <a:gd name="T2" fmla="*/ 176 w 454"/>
            <a:gd name="T3" fmla="*/ 6 h 454"/>
            <a:gd name="T4" fmla="*/ 134 w 454"/>
            <a:gd name="T5" fmla="*/ 20 h 454"/>
            <a:gd name="T6" fmla="*/ 96 w 454"/>
            <a:gd name="T7" fmla="*/ 42 h 454"/>
            <a:gd name="T8" fmla="*/ 64 w 454"/>
            <a:gd name="T9" fmla="*/ 70 h 454"/>
            <a:gd name="T10" fmla="*/ 36 w 454"/>
            <a:gd name="T11" fmla="*/ 104 h 454"/>
            <a:gd name="T12" fmla="*/ 16 w 454"/>
            <a:gd name="T13" fmla="*/ 144 h 454"/>
            <a:gd name="T14" fmla="*/ 4 w 454"/>
            <a:gd name="T15" fmla="*/ 186 h 454"/>
            <a:gd name="T16" fmla="*/ 0 w 454"/>
            <a:gd name="T17" fmla="*/ 232 h 454"/>
            <a:gd name="T18" fmla="*/ 2 w 454"/>
            <a:gd name="T19" fmla="*/ 256 h 454"/>
            <a:gd name="T20" fmla="*/ 12 w 454"/>
            <a:gd name="T21" fmla="*/ 300 h 454"/>
            <a:gd name="T22" fmla="*/ 30 w 454"/>
            <a:gd name="T23" fmla="*/ 340 h 454"/>
            <a:gd name="T24" fmla="*/ 56 w 454"/>
            <a:gd name="T25" fmla="*/ 376 h 454"/>
            <a:gd name="T26" fmla="*/ 88 w 454"/>
            <a:gd name="T27" fmla="*/ 406 h 454"/>
            <a:gd name="T28" fmla="*/ 124 w 454"/>
            <a:gd name="T29" fmla="*/ 428 h 454"/>
            <a:gd name="T30" fmla="*/ 164 w 454"/>
            <a:gd name="T31" fmla="*/ 446 h 454"/>
            <a:gd name="T32" fmla="*/ 210 w 454"/>
            <a:gd name="T33" fmla="*/ 454 h 454"/>
            <a:gd name="T34" fmla="*/ 232 w 454"/>
            <a:gd name="T35" fmla="*/ 454 h 454"/>
            <a:gd name="T36" fmla="*/ 278 w 454"/>
            <a:gd name="T37" fmla="*/ 448 h 454"/>
            <a:gd name="T38" fmla="*/ 320 w 454"/>
            <a:gd name="T39" fmla="*/ 434 h 454"/>
            <a:gd name="T40" fmla="*/ 358 w 454"/>
            <a:gd name="T41" fmla="*/ 412 h 454"/>
            <a:gd name="T42" fmla="*/ 392 w 454"/>
            <a:gd name="T43" fmla="*/ 384 h 454"/>
            <a:gd name="T44" fmla="*/ 418 w 454"/>
            <a:gd name="T45" fmla="*/ 350 h 454"/>
            <a:gd name="T46" fmla="*/ 438 w 454"/>
            <a:gd name="T47" fmla="*/ 310 h 454"/>
            <a:gd name="T48" fmla="*/ 450 w 454"/>
            <a:gd name="T49" fmla="*/ 268 h 454"/>
            <a:gd name="T50" fmla="*/ 454 w 454"/>
            <a:gd name="T51" fmla="*/ 222 h 454"/>
            <a:gd name="T52" fmla="*/ 452 w 454"/>
            <a:gd name="T53" fmla="*/ 198 h 454"/>
            <a:gd name="T54" fmla="*/ 442 w 454"/>
            <a:gd name="T55" fmla="*/ 154 h 454"/>
            <a:gd name="T56" fmla="*/ 424 w 454"/>
            <a:gd name="T57" fmla="*/ 114 h 454"/>
            <a:gd name="T58" fmla="*/ 400 w 454"/>
            <a:gd name="T59" fmla="*/ 78 h 454"/>
            <a:gd name="T60" fmla="*/ 368 w 454"/>
            <a:gd name="T61" fmla="*/ 48 h 454"/>
            <a:gd name="T62" fmla="*/ 332 w 454"/>
            <a:gd name="T63" fmla="*/ 26 h 454"/>
            <a:gd name="T64" fmla="*/ 290 w 454"/>
            <a:gd name="T65" fmla="*/ 8 h 454"/>
            <a:gd name="T66" fmla="*/ 246 w 454"/>
            <a:gd name="T67" fmla="*/ 0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54" h="454">
              <a:moveTo>
                <a:pt x="222" y="0"/>
              </a:moveTo>
              <a:lnTo>
                <a:pt x="222" y="0"/>
              </a:lnTo>
              <a:lnTo>
                <a:pt x="200" y="2"/>
              </a:lnTo>
              <a:lnTo>
                <a:pt x="176" y="6"/>
              </a:lnTo>
              <a:lnTo>
                <a:pt x="156" y="12"/>
              </a:lnTo>
              <a:lnTo>
                <a:pt x="134" y="20"/>
              </a:lnTo>
              <a:lnTo>
                <a:pt x="114" y="30"/>
              </a:lnTo>
              <a:lnTo>
                <a:pt x="96" y="42"/>
              </a:lnTo>
              <a:lnTo>
                <a:pt x="80" y="56"/>
              </a:lnTo>
              <a:lnTo>
                <a:pt x="64" y="70"/>
              </a:lnTo>
              <a:lnTo>
                <a:pt x="50" y="86"/>
              </a:lnTo>
              <a:lnTo>
                <a:pt x="36" y="104"/>
              </a:lnTo>
              <a:lnTo>
                <a:pt x="26" y="124"/>
              </a:lnTo>
              <a:lnTo>
                <a:pt x="16" y="144"/>
              </a:lnTo>
              <a:lnTo>
                <a:pt x="10" y="164"/>
              </a:lnTo>
              <a:lnTo>
                <a:pt x="4" y="186"/>
              </a:lnTo>
              <a:lnTo>
                <a:pt x="2" y="208"/>
              </a:lnTo>
              <a:lnTo>
                <a:pt x="0" y="232"/>
              </a:lnTo>
              <a:lnTo>
                <a:pt x="0" y="232"/>
              </a:lnTo>
              <a:lnTo>
                <a:pt x="2" y="256"/>
              </a:lnTo>
              <a:lnTo>
                <a:pt x="6" y="278"/>
              </a:lnTo>
              <a:lnTo>
                <a:pt x="12" y="300"/>
              </a:lnTo>
              <a:lnTo>
                <a:pt x="20" y="320"/>
              </a:lnTo>
              <a:lnTo>
                <a:pt x="30" y="340"/>
              </a:lnTo>
              <a:lnTo>
                <a:pt x="42" y="358"/>
              </a:lnTo>
              <a:lnTo>
                <a:pt x="56" y="376"/>
              </a:lnTo>
              <a:lnTo>
                <a:pt x="70" y="392"/>
              </a:lnTo>
              <a:lnTo>
                <a:pt x="88" y="406"/>
              </a:lnTo>
              <a:lnTo>
                <a:pt x="104" y="418"/>
              </a:lnTo>
              <a:lnTo>
                <a:pt x="124" y="428"/>
              </a:lnTo>
              <a:lnTo>
                <a:pt x="144" y="438"/>
              </a:lnTo>
              <a:lnTo>
                <a:pt x="164" y="446"/>
              </a:lnTo>
              <a:lnTo>
                <a:pt x="186" y="450"/>
              </a:lnTo>
              <a:lnTo>
                <a:pt x="210" y="454"/>
              </a:lnTo>
              <a:lnTo>
                <a:pt x="232" y="454"/>
              </a:lnTo>
              <a:lnTo>
                <a:pt x="232" y="454"/>
              </a:lnTo>
              <a:lnTo>
                <a:pt x="256" y="452"/>
              </a:lnTo>
              <a:lnTo>
                <a:pt x="278" y="448"/>
              </a:lnTo>
              <a:lnTo>
                <a:pt x="300" y="442"/>
              </a:lnTo>
              <a:lnTo>
                <a:pt x="320" y="434"/>
              </a:lnTo>
              <a:lnTo>
                <a:pt x="340" y="424"/>
              </a:lnTo>
              <a:lnTo>
                <a:pt x="358" y="412"/>
              </a:lnTo>
              <a:lnTo>
                <a:pt x="376" y="398"/>
              </a:lnTo>
              <a:lnTo>
                <a:pt x="392" y="384"/>
              </a:lnTo>
              <a:lnTo>
                <a:pt x="406" y="368"/>
              </a:lnTo>
              <a:lnTo>
                <a:pt x="418" y="350"/>
              </a:lnTo>
              <a:lnTo>
                <a:pt x="430" y="330"/>
              </a:lnTo>
              <a:lnTo>
                <a:pt x="438" y="310"/>
              </a:lnTo>
              <a:lnTo>
                <a:pt x="446" y="290"/>
              </a:lnTo>
              <a:lnTo>
                <a:pt x="450" y="268"/>
              </a:lnTo>
              <a:lnTo>
                <a:pt x="454" y="246"/>
              </a:lnTo>
              <a:lnTo>
                <a:pt x="454" y="222"/>
              </a:lnTo>
              <a:lnTo>
                <a:pt x="454" y="222"/>
              </a:lnTo>
              <a:lnTo>
                <a:pt x="452" y="198"/>
              </a:lnTo>
              <a:lnTo>
                <a:pt x="448" y="176"/>
              </a:lnTo>
              <a:lnTo>
                <a:pt x="442" y="154"/>
              </a:lnTo>
              <a:lnTo>
                <a:pt x="434" y="134"/>
              </a:lnTo>
              <a:lnTo>
                <a:pt x="424" y="114"/>
              </a:lnTo>
              <a:lnTo>
                <a:pt x="412" y="96"/>
              </a:lnTo>
              <a:lnTo>
                <a:pt x="400" y="78"/>
              </a:lnTo>
              <a:lnTo>
                <a:pt x="384" y="64"/>
              </a:lnTo>
              <a:lnTo>
                <a:pt x="368" y="48"/>
              </a:lnTo>
              <a:lnTo>
                <a:pt x="350" y="36"/>
              </a:lnTo>
              <a:lnTo>
                <a:pt x="332" y="26"/>
              </a:lnTo>
              <a:lnTo>
                <a:pt x="310" y="16"/>
              </a:lnTo>
              <a:lnTo>
                <a:pt x="290" y="8"/>
              </a:lnTo>
              <a:lnTo>
                <a:pt x="268" y="4"/>
              </a:lnTo>
              <a:lnTo>
                <a:pt x="246" y="0"/>
              </a:lnTo>
              <a:lnTo>
                <a:pt x="222" y="0"/>
              </a:lnTo>
              <a:close/>
            </a:path>
          </a:pathLst>
        </a:custGeom>
        <a:blipFill xmlns:a="http://schemas.openxmlformats.org/drawingml/2006/main" dpi="0" rotWithShape="1">
          <a:blip xmlns:r="http://schemas.openxmlformats.org/officeDocument/2006/relationships" r:embed="rId2">
            <a:extLst>
              <a:ext uri="{28A0092B-C50C-407E-A947-70E740481C1C}">
                <a14:useLocalDpi xmlns:a14="http://schemas.microsoft.com/office/drawing/2010/main" val="0"/>
              </a:ext>
            </a:extLst>
          </a:blip>
          <a:srcRect/>
          <a:stretch>
            <a:fillRect/>
          </a:stretch>
        </a:blipFill>
        <a:ln xmlns:a="http://schemas.openxmlformats.org/drawingml/2006/main" w="25400">
          <a:solidFill>
            <a:schemeClr val="accent3">
              <a:lumMod val="60000"/>
              <a:lumOff val="40000"/>
            </a:schemeClr>
          </a:solidFill>
          <a:round/>
          <a:headEnd/>
          <a:tailEnd/>
        </a:ln>
        <a:extLst xmlns:a="http://schemas.openxmlformats.org/drawingml/2006/main"/>
      </cdr:spPr>
      <cdr:txBody>
        <a:bodyPr xmlns:a="http://schemas.openxmlformats.org/drawingml/2006/main" vert="horz" wrap="square" lIns="91440" tIns="45720" rIns="91440" bIns="45720" numCol="1" anchor="ctr" anchorCtr="0" compatLnSpc="1">
          <a:prstTxWarp prst="textNoShape">
            <a:avLst/>
          </a:prstTxWarp>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en-US" sz="4400" b="1" dirty="0">
            <a:solidFill>
              <a:schemeClr val="accent3"/>
            </a:solidFill>
          </a:endParaRPr>
        </a:p>
      </cdr:txBody>
    </cdr:sp>
  </cdr:relSizeAnchor>
  <cdr:relSizeAnchor xmlns:cdr="http://schemas.openxmlformats.org/drawingml/2006/chartDrawing">
    <cdr:from>
      <cdr:x>0.91401</cdr:x>
      <cdr:y>0.35725</cdr:y>
    </cdr:from>
    <cdr:to>
      <cdr:x>0.98434</cdr:x>
      <cdr:y>0.48769</cdr:y>
    </cdr:to>
    <cdr:pic>
      <cdr:nvPicPr>
        <cdr:cNvPr id="4" name="Picture 3">
          <a:extLst xmlns:a="http://schemas.openxmlformats.org/drawingml/2006/main">
            <a:ext uri="{FF2B5EF4-FFF2-40B4-BE49-F238E27FC236}">
              <a16:creationId xmlns:r="http://schemas.openxmlformats.org/officeDocument/2006/relationships" xmlns:p="http://schemas.openxmlformats.org/presentationml/2006/main" xmlns:a16="http://schemas.microsoft.com/office/drawing/2014/main" xmlns="" xmlns:lc="http://schemas.openxmlformats.org/drawingml/2006/lockedCanvas" id="{D35C764F-C838-40AD-A3B2-067B88AF0AC7}"/>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3" cstate="print">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876492" y="976615"/>
          <a:ext cx="452178" cy="356580"/>
        </a:xfrm>
        <a:prstGeom xmlns:a="http://schemas.openxmlformats.org/drawingml/2006/main" prst="flowChartConnector">
          <a:avLst/>
        </a:prstGeom>
        <a:ln xmlns:a="http://schemas.openxmlformats.org/drawingml/2006/main" w="25400" cap="rnd">
          <a:solidFill>
            <a:srgbClr val="C00000"/>
          </a:solidFill>
        </a:ln>
        <a:effectLst xmlns:a="http://schemas.openxmlformats.org/drawingml/2006/main">
          <a:outerShdw blurRad="381000" dist="292100" dir="5400000" sx="-80000" sy="-18000" rotWithShape="0">
            <a:srgbClr val="000000">
              <a:alpha val="22000"/>
            </a:srgbClr>
          </a:outerShdw>
        </a:effectLst>
        <a:scene3d xmlns:a="http://schemas.openxmlformats.org/drawingml/2006/main">
          <a:camera prst="orthographicFront"/>
          <a:lightRig rig="contrasting" dir="t">
            <a:rot lat="0" lon="0" rev="3000000"/>
          </a:lightRig>
        </a:scene3d>
        <a:sp3d xmlns:a="http://schemas.openxmlformats.org/drawingml/2006/main" contourW="7620">
          <a:bevelT w="95250" h="31750"/>
          <a:contourClr>
            <a:srgbClr val="333333"/>
          </a:contourClr>
        </a:sp3d>
      </cdr:spPr>
    </cdr:pic>
  </cdr:relSizeAnchor>
  <cdr:relSizeAnchor xmlns:cdr="http://schemas.openxmlformats.org/drawingml/2006/chartDrawing">
    <cdr:from>
      <cdr:x>0.90067</cdr:x>
      <cdr:y>0.57473</cdr:y>
    </cdr:from>
    <cdr:to>
      <cdr:x>0.97638</cdr:x>
      <cdr:y>0.71337</cdr:y>
    </cdr:to>
    <cdr:sp macro="" textlink="">
      <cdr:nvSpPr>
        <cdr:cNvPr id="6" name="Freeform 5">
          <a:extLst xmlns:a="http://schemas.openxmlformats.org/drawingml/2006/main">
            <a:ext uri="{FF2B5EF4-FFF2-40B4-BE49-F238E27FC236}">
              <a16:creationId xmlns:a16="http://schemas.microsoft.com/office/drawing/2014/main" xmlns="" xmlns:lc="http://schemas.openxmlformats.org/drawingml/2006/lockedCanvas" id="{850D4A5F-31FC-4217-95B2-9015D0DB27A8}"/>
            </a:ext>
          </a:extLst>
        </cdr:cNvPr>
        <cdr:cNvSpPr>
          <a:spLocks xmlns:a="http://schemas.openxmlformats.org/drawingml/2006/main"/>
        </cdr:cNvSpPr>
      </cdr:nvSpPr>
      <cdr:spPr bwMode="auto">
        <a:xfrm xmlns:a="http://schemas.openxmlformats.org/drawingml/2006/main">
          <a:off x="5790769" y="1571127"/>
          <a:ext cx="486768" cy="378996"/>
        </a:xfrm>
        <a:custGeom xmlns:a="http://schemas.openxmlformats.org/drawingml/2006/main">
          <a:avLst/>
          <a:gdLst>
            <a:gd name="T0" fmla="*/ 222 w 454"/>
            <a:gd name="T1" fmla="*/ 0 h 454"/>
            <a:gd name="T2" fmla="*/ 176 w 454"/>
            <a:gd name="T3" fmla="*/ 6 h 454"/>
            <a:gd name="T4" fmla="*/ 134 w 454"/>
            <a:gd name="T5" fmla="*/ 20 h 454"/>
            <a:gd name="T6" fmla="*/ 96 w 454"/>
            <a:gd name="T7" fmla="*/ 42 h 454"/>
            <a:gd name="T8" fmla="*/ 62 w 454"/>
            <a:gd name="T9" fmla="*/ 70 h 454"/>
            <a:gd name="T10" fmla="*/ 36 w 454"/>
            <a:gd name="T11" fmla="*/ 104 h 454"/>
            <a:gd name="T12" fmla="*/ 16 w 454"/>
            <a:gd name="T13" fmla="*/ 144 h 454"/>
            <a:gd name="T14" fmla="*/ 4 w 454"/>
            <a:gd name="T15" fmla="*/ 186 h 454"/>
            <a:gd name="T16" fmla="*/ 0 w 454"/>
            <a:gd name="T17" fmla="*/ 232 h 454"/>
            <a:gd name="T18" fmla="*/ 2 w 454"/>
            <a:gd name="T19" fmla="*/ 256 h 454"/>
            <a:gd name="T20" fmla="*/ 12 w 454"/>
            <a:gd name="T21" fmla="*/ 300 h 454"/>
            <a:gd name="T22" fmla="*/ 30 w 454"/>
            <a:gd name="T23" fmla="*/ 340 h 454"/>
            <a:gd name="T24" fmla="*/ 56 w 454"/>
            <a:gd name="T25" fmla="*/ 376 h 454"/>
            <a:gd name="T26" fmla="*/ 86 w 454"/>
            <a:gd name="T27" fmla="*/ 406 h 454"/>
            <a:gd name="T28" fmla="*/ 124 w 454"/>
            <a:gd name="T29" fmla="*/ 428 h 454"/>
            <a:gd name="T30" fmla="*/ 164 w 454"/>
            <a:gd name="T31" fmla="*/ 444 h 454"/>
            <a:gd name="T32" fmla="*/ 208 w 454"/>
            <a:gd name="T33" fmla="*/ 454 h 454"/>
            <a:gd name="T34" fmla="*/ 232 w 454"/>
            <a:gd name="T35" fmla="*/ 454 h 454"/>
            <a:gd name="T36" fmla="*/ 278 w 454"/>
            <a:gd name="T37" fmla="*/ 448 h 454"/>
            <a:gd name="T38" fmla="*/ 320 w 454"/>
            <a:gd name="T39" fmla="*/ 434 h 454"/>
            <a:gd name="T40" fmla="*/ 358 w 454"/>
            <a:gd name="T41" fmla="*/ 412 h 454"/>
            <a:gd name="T42" fmla="*/ 390 w 454"/>
            <a:gd name="T43" fmla="*/ 384 h 454"/>
            <a:gd name="T44" fmla="*/ 418 w 454"/>
            <a:gd name="T45" fmla="*/ 350 h 454"/>
            <a:gd name="T46" fmla="*/ 438 w 454"/>
            <a:gd name="T47" fmla="*/ 310 h 454"/>
            <a:gd name="T48" fmla="*/ 450 w 454"/>
            <a:gd name="T49" fmla="*/ 268 h 454"/>
            <a:gd name="T50" fmla="*/ 454 w 454"/>
            <a:gd name="T51" fmla="*/ 222 h 454"/>
            <a:gd name="T52" fmla="*/ 452 w 454"/>
            <a:gd name="T53" fmla="*/ 198 h 454"/>
            <a:gd name="T54" fmla="*/ 442 w 454"/>
            <a:gd name="T55" fmla="*/ 154 h 454"/>
            <a:gd name="T56" fmla="*/ 424 w 454"/>
            <a:gd name="T57" fmla="*/ 114 h 454"/>
            <a:gd name="T58" fmla="*/ 398 w 454"/>
            <a:gd name="T59" fmla="*/ 78 h 454"/>
            <a:gd name="T60" fmla="*/ 368 w 454"/>
            <a:gd name="T61" fmla="*/ 48 h 454"/>
            <a:gd name="T62" fmla="*/ 330 w 454"/>
            <a:gd name="T63" fmla="*/ 24 h 454"/>
            <a:gd name="T64" fmla="*/ 290 w 454"/>
            <a:gd name="T65" fmla="*/ 8 h 454"/>
            <a:gd name="T66" fmla="*/ 246 w 454"/>
            <a:gd name="T67" fmla="*/ 0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54" h="454">
              <a:moveTo>
                <a:pt x="222" y="0"/>
              </a:moveTo>
              <a:lnTo>
                <a:pt x="222" y="0"/>
              </a:lnTo>
              <a:lnTo>
                <a:pt x="198" y="2"/>
              </a:lnTo>
              <a:lnTo>
                <a:pt x="176" y="6"/>
              </a:lnTo>
              <a:lnTo>
                <a:pt x="154" y="12"/>
              </a:lnTo>
              <a:lnTo>
                <a:pt x="134" y="20"/>
              </a:lnTo>
              <a:lnTo>
                <a:pt x="114" y="30"/>
              </a:lnTo>
              <a:lnTo>
                <a:pt x="96" y="42"/>
              </a:lnTo>
              <a:lnTo>
                <a:pt x="78" y="56"/>
              </a:lnTo>
              <a:lnTo>
                <a:pt x="62" y="70"/>
              </a:lnTo>
              <a:lnTo>
                <a:pt x="48" y="86"/>
              </a:lnTo>
              <a:lnTo>
                <a:pt x="36" y="104"/>
              </a:lnTo>
              <a:lnTo>
                <a:pt x="26" y="124"/>
              </a:lnTo>
              <a:lnTo>
                <a:pt x="16" y="144"/>
              </a:lnTo>
              <a:lnTo>
                <a:pt x="8" y="164"/>
              </a:lnTo>
              <a:lnTo>
                <a:pt x="4" y="186"/>
              </a:lnTo>
              <a:lnTo>
                <a:pt x="0" y="208"/>
              </a:lnTo>
              <a:lnTo>
                <a:pt x="0" y="232"/>
              </a:lnTo>
              <a:lnTo>
                <a:pt x="0" y="232"/>
              </a:lnTo>
              <a:lnTo>
                <a:pt x="2" y="256"/>
              </a:lnTo>
              <a:lnTo>
                <a:pt x="6" y="278"/>
              </a:lnTo>
              <a:lnTo>
                <a:pt x="12" y="300"/>
              </a:lnTo>
              <a:lnTo>
                <a:pt x="20" y="320"/>
              </a:lnTo>
              <a:lnTo>
                <a:pt x="30" y="340"/>
              </a:lnTo>
              <a:lnTo>
                <a:pt x="42" y="358"/>
              </a:lnTo>
              <a:lnTo>
                <a:pt x="56" y="376"/>
              </a:lnTo>
              <a:lnTo>
                <a:pt x="70" y="390"/>
              </a:lnTo>
              <a:lnTo>
                <a:pt x="86" y="406"/>
              </a:lnTo>
              <a:lnTo>
                <a:pt x="104" y="418"/>
              </a:lnTo>
              <a:lnTo>
                <a:pt x="124" y="428"/>
              </a:lnTo>
              <a:lnTo>
                <a:pt x="144" y="438"/>
              </a:lnTo>
              <a:lnTo>
                <a:pt x="164" y="444"/>
              </a:lnTo>
              <a:lnTo>
                <a:pt x="186" y="450"/>
              </a:lnTo>
              <a:lnTo>
                <a:pt x="208" y="454"/>
              </a:lnTo>
              <a:lnTo>
                <a:pt x="232" y="454"/>
              </a:lnTo>
              <a:lnTo>
                <a:pt x="232" y="454"/>
              </a:lnTo>
              <a:lnTo>
                <a:pt x="256" y="452"/>
              </a:lnTo>
              <a:lnTo>
                <a:pt x="278" y="448"/>
              </a:lnTo>
              <a:lnTo>
                <a:pt x="300" y="442"/>
              </a:lnTo>
              <a:lnTo>
                <a:pt x="320" y="434"/>
              </a:lnTo>
              <a:lnTo>
                <a:pt x="340" y="424"/>
              </a:lnTo>
              <a:lnTo>
                <a:pt x="358" y="412"/>
              </a:lnTo>
              <a:lnTo>
                <a:pt x="376" y="398"/>
              </a:lnTo>
              <a:lnTo>
                <a:pt x="390" y="384"/>
              </a:lnTo>
              <a:lnTo>
                <a:pt x="406" y="368"/>
              </a:lnTo>
              <a:lnTo>
                <a:pt x="418" y="350"/>
              </a:lnTo>
              <a:lnTo>
                <a:pt x="428" y="330"/>
              </a:lnTo>
              <a:lnTo>
                <a:pt x="438" y="310"/>
              </a:lnTo>
              <a:lnTo>
                <a:pt x="446" y="290"/>
              </a:lnTo>
              <a:lnTo>
                <a:pt x="450" y="268"/>
              </a:lnTo>
              <a:lnTo>
                <a:pt x="454" y="244"/>
              </a:lnTo>
              <a:lnTo>
                <a:pt x="454" y="222"/>
              </a:lnTo>
              <a:lnTo>
                <a:pt x="454" y="222"/>
              </a:lnTo>
              <a:lnTo>
                <a:pt x="452" y="198"/>
              </a:lnTo>
              <a:lnTo>
                <a:pt x="448" y="176"/>
              </a:lnTo>
              <a:lnTo>
                <a:pt x="442" y="154"/>
              </a:lnTo>
              <a:lnTo>
                <a:pt x="434" y="134"/>
              </a:lnTo>
              <a:lnTo>
                <a:pt x="424" y="114"/>
              </a:lnTo>
              <a:lnTo>
                <a:pt x="412" y="96"/>
              </a:lnTo>
              <a:lnTo>
                <a:pt x="398" y="78"/>
              </a:lnTo>
              <a:lnTo>
                <a:pt x="384" y="62"/>
              </a:lnTo>
              <a:lnTo>
                <a:pt x="368" y="48"/>
              </a:lnTo>
              <a:lnTo>
                <a:pt x="350" y="36"/>
              </a:lnTo>
              <a:lnTo>
                <a:pt x="330" y="24"/>
              </a:lnTo>
              <a:lnTo>
                <a:pt x="310" y="16"/>
              </a:lnTo>
              <a:lnTo>
                <a:pt x="290" y="8"/>
              </a:lnTo>
              <a:lnTo>
                <a:pt x="268" y="4"/>
              </a:lnTo>
              <a:lnTo>
                <a:pt x="246" y="0"/>
              </a:lnTo>
              <a:lnTo>
                <a:pt x="222" y="0"/>
              </a:lnTo>
              <a:close/>
            </a:path>
          </a:pathLst>
        </a:custGeom>
        <a:blipFill xmlns:a="http://schemas.openxmlformats.org/drawingml/2006/main" dpi="0" rotWithShape="1">
          <a:blip xmlns:r="http://schemas.openxmlformats.org/officeDocument/2006/relationships" r:embed="rId4">
            <a:extLst>
              <a:ext uri="{28A0092B-C50C-407E-A947-70E740481C1C}">
                <a14:useLocalDpi xmlns:a14="http://schemas.microsoft.com/office/drawing/2010/main" val="0"/>
              </a:ext>
            </a:extLst>
          </a:blip>
          <a:srcRect/>
          <a:stretch>
            <a:fillRect/>
          </a:stretch>
        </a:blipFill>
        <a:ln xmlns:a="http://schemas.openxmlformats.org/drawingml/2006/main" w="25400">
          <a:solidFill>
            <a:schemeClr val="bg2">
              <a:lumMod val="50000"/>
            </a:schemeClr>
          </a:solidFill>
          <a:round/>
          <a:headEnd/>
          <a:tailEnd/>
        </a:ln>
        <a:extLst xmlns:a="http://schemas.openxmlformats.org/drawingml/2006/main"/>
      </cdr:spPr>
      <cdr:txBody>
        <a:bodyPr xmlns:a="http://schemas.openxmlformats.org/drawingml/2006/main" vert="horz" wrap="square" lIns="91440" tIns="45720" rIns="91440" bIns="45720" numCol="1" anchor="t" anchorCtr="0" compatLnSpc="1">
          <a:prstTxWarp prst="textNoShape">
            <a:avLst/>
          </a:prstTxWarp>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en-US" sz="4400" b="1" dirty="0"/>
        </a:p>
      </cdr:txBody>
    </cdr:sp>
  </cdr:relSizeAnchor>
  <cdr:relSizeAnchor xmlns:cdr="http://schemas.openxmlformats.org/drawingml/2006/chartDrawing">
    <cdr:from>
      <cdr:x>0.7678</cdr:x>
      <cdr:y>0.76004</cdr:y>
    </cdr:from>
    <cdr:to>
      <cdr:x>0.84036</cdr:x>
      <cdr:y>0.89278</cdr:y>
    </cdr:to>
    <cdr:sp macro="" textlink="">
      <cdr:nvSpPr>
        <cdr:cNvPr id="7" name="Freeform 6">
          <a:extLst xmlns:a="http://schemas.openxmlformats.org/drawingml/2006/main">
            <a:ext uri="{FF2B5EF4-FFF2-40B4-BE49-F238E27FC236}">
              <a16:creationId xmlns:a16="http://schemas.microsoft.com/office/drawing/2014/main" xmlns="" xmlns:lc="http://schemas.openxmlformats.org/drawingml/2006/lockedCanvas" id="{0347BCB7-118D-4A6C-A536-A062B377B18F}"/>
            </a:ext>
          </a:extLst>
        </cdr:cNvPr>
        <cdr:cNvSpPr>
          <a:spLocks xmlns:a="http://schemas.openxmlformats.org/drawingml/2006/main"/>
        </cdr:cNvSpPr>
      </cdr:nvSpPr>
      <cdr:spPr bwMode="auto">
        <a:xfrm xmlns:a="http://schemas.openxmlformats.org/drawingml/2006/main">
          <a:off x="4936472" y="2077692"/>
          <a:ext cx="466515" cy="362868"/>
        </a:xfrm>
        <a:custGeom xmlns:a="http://schemas.openxmlformats.org/drawingml/2006/main">
          <a:avLst/>
          <a:gdLst>
            <a:gd name="T0" fmla="*/ 222 w 454"/>
            <a:gd name="T1" fmla="*/ 0 h 454"/>
            <a:gd name="T2" fmla="*/ 176 w 454"/>
            <a:gd name="T3" fmla="*/ 6 h 454"/>
            <a:gd name="T4" fmla="*/ 134 w 454"/>
            <a:gd name="T5" fmla="*/ 20 h 454"/>
            <a:gd name="T6" fmla="*/ 96 w 454"/>
            <a:gd name="T7" fmla="*/ 42 h 454"/>
            <a:gd name="T8" fmla="*/ 62 w 454"/>
            <a:gd name="T9" fmla="*/ 70 h 454"/>
            <a:gd name="T10" fmla="*/ 36 w 454"/>
            <a:gd name="T11" fmla="*/ 104 h 454"/>
            <a:gd name="T12" fmla="*/ 16 w 454"/>
            <a:gd name="T13" fmla="*/ 142 h 454"/>
            <a:gd name="T14" fmla="*/ 4 w 454"/>
            <a:gd name="T15" fmla="*/ 186 h 454"/>
            <a:gd name="T16" fmla="*/ 0 w 454"/>
            <a:gd name="T17" fmla="*/ 232 h 454"/>
            <a:gd name="T18" fmla="*/ 2 w 454"/>
            <a:gd name="T19" fmla="*/ 254 h 454"/>
            <a:gd name="T20" fmla="*/ 12 w 454"/>
            <a:gd name="T21" fmla="*/ 298 h 454"/>
            <a:gd name="T22" fmla="*/ 30 w 454"/>
            <a:gd name="T23" fmla="*/ 340 h 454"/>
            <a:gd name="T24" fmla="*/ 56 w 454"/>
            <a:gd name="T25" fmla="*/ 374 h 454"/>
            <a:gd name="T26" fmla="*/ 86 w 454"/>
            <a:gd name="T27" fmla="*/ 404 h 454"/>
            <a:gd name="T28" fmla="*/ 124 w 454"/>
            <a:gd name="T29" fmla="*/ 428 h 454"/>
            <a:gd name="T30" fmla="*/ 164 w 454"/>
            <a:gd name="T31" fmla="*/ 444 h 454"/>
            <a:gd name="T32" fmla="*/ 208 w 454"/>
            <a:gd name="T33" fmla="*/ 452 h 454"/>
            <a:gd name="T34" fmla="*/ 232 w 454"/>
            <a:gd name="T35" fmla="*/ 454 h 454"/>
            <a:gd name="T36" fmla="*/ 278 w 454"/>
            <a:gd name="T37" fmla="*/ 448 h 454"/>
            <a:gd name="T38" fmla="*/ 320 w 454"/>
            <a:gd name="T39" fmla="*/ 434 h 454"/>
            <a:gd name="T40" fmla="*/ 358 w 454"/>
            <a:gd name="T41" fmla="*/ 412 h 454"/>
            <a:gd name="T42" fmla="*/ 390 w 454"/>
            <a:gd name="T43" fmla="*/ 384 h 454"/>
            <a:gd name="T44" fmla="*/ 418 w 454"/>
            <a:gd name="T45" fmla="*/ 350 h 454"/>
            <a:gd name="T46" fmla="*/ 438 w 454"/>
            <a:gd name="T47" fmla="*/ 310 h 454"/>
            <a:gd name="T48" fmla="*/ 450 w 454"/>
            <a:gd name="T49" fmla="*/ 268 h 454"/>
            <a:gd name="T50" fmla="*/ 454 w 454"/>
            <a:gd name="T51" fmla="*/ 222 h 454"/>
            <a:gd name="T52" fmla="*/ 452 w 454"/>
            <a:gd name="T53" fmla="*/ 198 h 454"/>
            <a:gd name="T54" fmla="*/ 442 w 454"/>
            <a:gd name="T55" fmla="*/ 154 h 454"/>
            <a:gd name="T56" fmla="*/ 424 w 454"/>
            <a:gd name="T57" fmla="*/ 114 h 454"/>
            <a:gd name="T58" fmla="*/ 398 w 454"/>
            <a:gd name="T59" fmla="*/ 78 h 454"/>
            <a:gd name="T60" fmla="*/ 368 w 454"/>
            <a:gd name="T61" fmla="*/ 48 h 454"/>
            <a:gd name="T62" fmla="*/ 330 w 454"/>
            <a:gd name="T63" fmla="*/ 24 h 454"/>
            <a:gd name="T64" fmla="*/ 290 w 454"/>
            <a:gd name="T65" fmla="*/ 8 h 454"/>
            <a:gd name="T66" fmla="*/ 244 w 454"/>
            <a:gd name="T67" fmla="*/ 0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54" h="454">
              <a:moveTo>
                <a:pt x="222" y="0"/>
              </a:moveTo>
              <a:lnTo>
                <a:pt x="222" y="0"/>
              </a:lnTo>
              <a:lnTo>
                <a:pt x="198" y="2"/>
              </a:lnTo>
              <a:lnTo>
                <a:pt x="176" y="6"/>
              </a:lnTo>
              <a:lnTo>
                <a:pt x="154" y="12"/>
              </a:lnTo>
              <a:lnTo>
                <a:pt x="134" y="20"/>
              </a:lnTo>
              <a:lnTo>
                <a:pt x="114" y="30"/>
              </a:lnTo>
              <a:lnTo>
                <a:pt x="96" y="42"/>
              </a:lnTo>
              <a:lnTo>
                <a:pt x="78" y="54"/>
              </a:lnTo>
              <a:lnTo>
                <a:pt x="62" y="70"/>
              </a:lnTo>
              <a:lnTo>
                <a:pt x="48" y="86"/>
              </a:lnTo>
              <a:lnTo>
                <a:pt x="36" y="104"/>
              </a:lnTo>
              <a:lnTo>
                <a:pt x="24" y="122"/>
              </a:lnTo>
              <a:lnTo>
                <a:pt x="16" y="142"/>
              </a:lnTo>
              <a:lnTo>
                <a:pt x="8" y="164"/>
              </a:lnTo>
              <a:lnTo>
                <a:pt x="4" y="186"/>
              </a:lnTo>
              <a:lnTo>
                <a:pt x="0" y="208"/>
              </a:lnTo>
              <a:lnTo>
                <a:pt x="0" y="232"/>
              </a:lnTo>
              <a:lnTo>
                <a:pt x="0" y="232"/>
              </a:lnTo>
              <a:lnTo>
                <a:pt x="2" y="254"/>
              </a:lnTo>
              <a:lnTo>
                <a:pt x="6" y="278"/>
              </a:lnTo>
              <a:lnTo>
                <a:pt x="12" y="298"/>
              </a:lnTo>
              <a:lnTo>
                <a:pt x="20" y="320"/>
              </a:lnTo>
              <a:lnTo>
                <a:pt x="30" y="340"/>
              </a:lnTo>
              <a:lnTo>
                <a:pt x="42" y="358"/>
              </a:lnTo>
              <a:lnTo>
                <a:pt x="56" y="374"/>
              </a:lnTo>
              <a:lnTo>
                <a:pt x="70" y="390"/>
              </a:lnTo>
              <a:lnTo>
                <a:pt x="86" y="404"/>
              </a:lnTo>
              <a:lnTo>
                <a:pt x="104" y="418"/>
              </a:lnTo>
              <a:lnTo>
                <a:pt x="124" y="428"/>
              </a:lnTo>
              <a:lnTo>
                <a:pt x="144" y="438"/>
              </a:lnTo>
              <a:lnTo>
                <a:pt x="164" y="444"/>
              </a:lnTo>
              <a:lnTo>
                <a:pt x="186" y="450"/>
              </a:lnTo>
              <a:lnTo>
                <a:pt x="208" y="452"/>
              </a:lnTo>
              <a:lnTo>
                <a:pt x="232" y="454"/>
              </a:lnTo>
              <a:lnTo>
                <a:pt x="232" y="454"/>
              </a:lnTo>
              <a:lnTo>
                <a:pt x="256" y="452"/>
              </a:lnTo>
              <a:lnTo>
                <a:pt x="278" y="448"/>
              </a:lnTo>
              <a:lnTo>
                <a:pt x="300" y="442"/>
              </a:lnTo>
              <a:lnTo>
                <a:pt x="320" y="434"/>
              </a:lnTo>
              <a:lnTo>
                <a:pt x="340" y="424"/>
              </a:lnTo>
              <a:lnTo>
                <a:pt x="358" y="412"/>
              </a:lnTo>
              <a:lnTo>
                <a:pt x="376" y="398"/>
              </a:lnTo>
              <a:lnTo>
                <a:pt x="390" y="384"/>
              </a:lnTo>
              <a:lnTo>
                <a:pt x="406" y="366"/>
              </a:lnTo>
              <a:lnTo>
                <a:pt x="418" y="350"/>
              </a:lnTo>
              <a:lnTo>
                <a:pt x="428" y="330"/>
              </a:lnTo>
              <a:lnTo>
                <a:pt x="438" y="310"/>
              </a:lnTo>
              <a:lnTo>
                <a:pt x="444" y="290"/>
              </a:lnTo>
              <a:lnTo>
                <a:pt x="450" y="268"/>
              </a:lnTo>
              <a:lnTo>
                <a:pt x="454" y="244"/>
              </a:lnTo>
              <a:lnTo>
                <a:pt x="454" y="222"/>
              </a:lnTo>
              <a:lnTo>
                <a:pt x="454" y="222"/>
              </a:lnTo>
              <a:lnTo>
                <a:pt x="452" y="198"/>
              </a:lnTo>
              <a:lnTo>
                <a:pt x="448" y="176"/>
              </a:lnTo>
              <a:lnTo>
                <a:pt x="442" y="154"/>
              </a:lnTo>
              <a:lnTo>
                <a:pt x="434" y="134"/>
              </a:lnTo>
              <a:lnTo>
                <a:pt x="424" y="114"/>
              </a:lnTo>
              <a:lnTo>
                <a:pt x="412" y="96"/>
              </a:lnTo>
              <a:lnTo>
                <a:pt x="398" y="78"/>
              </a:lnTo>
              <a:lnTo>
                <a:pt x="384" y="62"/>
              </a:lnTo>
              <a:lnTo>
                <a:pt x="368" y="48"/>
              </a:lnTo>
              <a:lnTo>
                <a:pt x="350" y="36"/>
              </a:lnTo>
              <a:lnTo>
                <a:pt x="330" y="24"/>
              </a:lnTo>
              <a:lnTo>
                <a:pt x="310" y="16"/>
              </a:lnTo>
              <a:lnTo>
                <a:pt x="290" y="8"/>
              </a:lnTo>
              <a:lnTo>
                <a:pt x="268" y="4"/>
              </a:lnTo>
              <a:lnTo>
                <a:pt x="244" y="0"/>
              </a:lnTo>
              <a:lnTo>
                <a:pt x="222" y="0"/>
              </a:lnTo>
              <a:close/>
            </a:path>
          </a:pathLst>
        </a:custGeom>
        <a:blipFill xmlns:a="http://schemas.openxmlformats.org/drawingml/2006/main" dpi="0" rotWithShape="1">
          <a:blip xmlns:r="http://schemas.openxmlformats.org/officeDocument/2006/relationships" r:embed="rId5">
            <a:extLst>
              <a:ext uri="{28A0092B-C50C-407E-A947-70E740481C1C}">
                <a14:useLocalDpi xmlns:a14="http://schemas.microsoft.com/office/drawing/2010/main" val="0"/>
              </a:ext>
            </a:extLst>
          </a:blip>
          <a:srcRect/>
          <a:stretch>
            <a:fillRect/>
          </a:stretch>
        </a:blipFill>
        <a:ln xmlns:a="http://schemas.openxmlformats.org/drawingml/2006/main" w="25400">
          <a:solidFill>
            <a:schemeClr val="accent5">
              <a:lumMod val="60000"/>
              <a:lumOff val="40000"/>
            </a:schemeClr>
          </a:solidFill>
          <a:round/>
          <a:headEnd/>
          <a:tailEnd/>
        </a:ln>
        <a:extLst xmlns:a="http://schemas.openxmlformats.org/drawingml/2006/main"/>
      </cdr:spPr>
      <cdr:txBody>
        <a:bodyPr xmlns:a="http://schemas.openxmlformats.org/drawingml/2006/main" vert="horz" wrap="square" lIns="91440" tIns="45720" rIns="91440" bIns="45720" numCol="1" anchor="ctr" anchorCtr="0" compatLnSpc="1">
          <a:prstTxWarp prst="textNoShape">
            <a:avLst/>
          </a:prstTxWarp>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en-US" sz="4400" b="1" dirty="0"/>
        </a:p>
      </cdr:txBody>
    </cdr:sp>
  </cdr:relSizeAnchor>
</c:userShapes>
</file>

<file path=word/drawings/drawing2.xml><?xml version="1.0" encoding="utf-8"?>
<c:userShapes xmlns:c="http://schemas.openxmlformats.org/drawingml/2006/chart">
  <cdr:relSizeAnchor xmlns:cdr="http://schemas.openxmlformats.org/drawingml/2006/chartDrawing">
    <cdr:from>
      <cdr:x>0.06075</cdr:x>
      <cdr:y>0.19965</cdr:y>
    </cdr:from>
    <cdr:to>
      <cdr:x>0.97816</cdr:x>
      <cdr:y>0.20313</cdr:y>
    </cdr:to>
    <cdr:cxnSp macro="">
      <cdr:nvCxnSpPr>
        <cdr:cNvPr id="3" name="Straight Connector 2"/>
        <cdr:cNvCxnSpPr/>
      </cdr:nvCxnSpPr>
      <cdr:spPr>
        <a:xfrm xmlns:a="http://schemas.openxmlformats.org/drawingml/2006/main" flipV="1">
          <a:off x="423864" y="547688"/>
          <a:ext cx="6400800" cy="9525"/>
        </a:xfrm>
        <a:prstGeom xmlns:a="http://schemas.openxmlformats.org/drawingml/2006/main" prst="line">
          <a:avLst/>
        </a:prstGeom>
        <a:ln xmlns:a="http://schemas.openxmlformats.org/drawingml/2006/main" w="19050">
          <a:solidFill>
            <a:srgbClr val="C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0.77611</cdr:x>
      <cdr:y>0.13715</cdr:y>
    </cdr:from>
    <cdr:to>
      <cdr:x>0.90717</cdr:x>
      <cdr:y>0.24826</cdr:y>
    </cdr:to>
    <cdr:sp macro="" textlink="">
      <cdr:nvSpPr>
        <cdr:cNvPr id="6" name="TextBox 5"/>
        <cdr:cNvSpPr txBox="1"/>
      </cdr:nvSpPr>
      <cdr:spPr>
        <a:xfrm xmlns:a="http://schemas.openxmlformats.org/drawingml/2006/main">
          <a:off x="5414964" y="376238"/>
          <a:ext cx="9144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0.67236</cdr:x>
      <cdr:y>0.11285</cdr:y>
    </cdr:from>
    <cdr:to>
      <cdr:x>0.99454</cdr:x>
      <cdr:y>0.18924</cdr:y>
    </cdr:to>
    <cdr:sp macro="" textlink="">
      <cdr:nvSpPr>
        <cdr:cNvPr id="7" name="TextBox 6"/>
        <cdr:cNvSpPr txBox="1"/>
      </cdr:nvSpPr>
      <cdr:spPr>
        <a:xfrm xmlns:a="http://schemas.openxmlformats.org/drawingml/2006/main">
          <a:off x="4691064" y="309563"/>
          <a:ext cx="2247900" cy="209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effectLst/>
              <a:latin typeface="+mn-lt"/>
              <a:ea typeface="+mn-ea"/>
              <a:cs typeface="+mn-cs"/>
            </a:rPr>
            <a:t>Kufiri Maksimal</a:t>
          </a:r>
          <a:r>
            <a:rPr lang="en-US" sz="1000" b="1" baseline="0">
              <a:effectLst/>
              <a:latin typeface="+mn-lt"/>
              <a:ea typeface="+mn-ea"/>
              <a:cs typeface="+mn-cs"/>
            </a:rPr>
            <a:t> i </a:t>
          </a:r>
          <a:r>
            <a:rPr lang="en-US" sz="1000" b="1">
              <a:effectLst/>
              <a:latin typeface="+mn-lt"/>
              <a:ea typeface="+mn-ea"/>
              <a:cs typeface="+mn-cs"/>
            </a:rPr>
            <a:t>Rregulli</a:t>
          </a:r>
          <a:r>
            <a:rPr lang="en-US" sz="1000" b="1" baseline="0">
              <a:effectLst/>
              <a:latin typeface="+mn-lt"/>
              <a:ea typeface="+mn-ea"/>
              <a:cs typeface="+mn-cs"/>
            </a:rPr>
            <a:t>t Fiskal 5%</a:t>
          </a:r>
          <a:endParaRPr lang="en-US" sz="1000" b="1">
            <a:effectLst/>
          </a:endParaRPr>
        </a:p>
      </cdr:txBody>
    </cdr:sp>
  </cdr:relSizeAnchor>
</c:userShape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72304-1D5D-4BC6-A500-4E48FE65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15991</Words>
  <Characters>91155</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Xhoana Agolli</cp:lastModifiedBy>
  <cp:revision>18</cp:revision>
  <cp:lastPrinted>2020-01-30T12:11:00Z</cp:lastPrinted>
  <dcterms:created xsi:type="dcterms:W3CDTF">2020-05-21T13:14:00Z</dcterms:created>
  <dcterms:modified xsi:type="dcterms:W3CDTF">2020-06-05T11:56:00Z</dcterms:modified>
</cp:coreProperties>
</file>