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1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2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3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5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theme/themeOverride4.xml" ContentType="application/vnd.openxmlformats-officedocument.themeOverride+xml"/>
  <Override PartName="/word/charts/chart26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theme/themeOverride5.xml" ContentType="application/vnd.openxmlformats-officedocument.themeOverride+xml"/>
  <Override PartName="/word/charts/chart27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theme/themeOverride6.xml" ContentType="application/vnd.openxmlformats-officedocument.themeOverride+xml"/>
  <Override PartName="/word/charts/chart28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theme/themeOverride7.xml" ContentType="application/vnd.openxmlformats-officedocument.themeOverride+xml"/>
  <Override PartName="/word/charts/chart29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theme/themeOverride8.xml" ContentType="application/vnd.openxmlformats-officedocument.themeOverride+xml"/>
  <Override PartName="/word/charts/chart30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theme/themeOverride9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0735" w:rsidRPr="00F76FE2" w:rsidRDefault="00580735" w:rsidP="00580735">
      <w:pPr>
        <w:tabs>
          <w:tab w:val="left" w:pos="2730"/>
        </w:tabs>
        <w:spacing w:before="100" w:beforeAutospacing="1" w:after="0"/>
        <w:ind w:right="-4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6FE2">
        <w:rPr>
          <w:noProof/>
          <w:lang w:val="en-US"/>
        </w:rPr>
        <w:drawing>
          <wp:anchor distT="0" distB="0" distL="114300" distR="114300" simplePos="0" relativeHeight="251817984" behindDoc="1" locked="0" layoutInCell="1" allowOverlap="1" wp14:anchorId="2A303BE3" wp14:editId="177649A3">
            <wp:simplePos x="0" y="0"/>
            <wp:positionH relativeFrom="margin">
              <wp:posOffset>-445770</wp:posOffset>
            </wp:positionH>
            <wp:positionV relativeFrom="paragraph">
              <wp:posOffset>0</wp:posOffset>
            </wp:positionV>
            <wp:extent cx="6677025" cy="1419225"/>
            <wp:effectExtent l="0" t="0" r="9525" b="9525"/>
            <wp:wrapSquare wrapText="bothSides"/>
            <wp:docPr id="4" name="Picture 4" descr="cid:image001.jpg@01D4C9C9.A12AE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jpg@01D4C9C9.A12AE76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6FE2">
        <w:rPr>
          <w:rFonts w:ascii="Times New Roman" w:eastAsia="Times New Roman" w:hAnsi="Times New Roman" w:cs="Times New Roman"/>
          <w:b/>
          <w:bCs/>
          <w:color w:val="333333"/>
          <w:szCs w:val="32"/>
        </w:rPr>
        <w:t>DREJTORIA E PËRGJITHSHME E BORXHIT PUBLIK DHE BASHKËRENDIMIT TË NDIHMËS SË HUAJ</w:t>
      </w:r>
    </w:p>
    <w:p w:rsidR="00580735" w:rsidRPr="00F76FE2" w:rsidRDefault="00580735" w:rsidP="00580735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right="-46"/>
        <w:rPr>
          <w:rFonts w:ascii="Cambria" w:eastAsia="Batang" w:hAnsi="Cambria" w:cs="Times New Roman"/>
          <w:b/>
          <w:noProof/>
          <w:color w:val="800000"/>
          <w:sz w:val="40"/>
          <w:szCs w:val="40"/>
          <w:lang w:eastAsia="ko-KR"/>
        </w:rPr>
      </w:pPr>
    </w:p>
    <w:p w:rsidR="00A47106" w:rsidRPr="00F76FE2" w:rsidRDefault="00A47106" w:rsidP="00FC2F2F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right="-46"/>
        <w:rPr>
          <w:rFonts w:ascii="Cambria" w:eastAsia="Batang" w:hAnsi="Cambria" w:cs="Times New Roman"/>
          <w:b/>
          <w:noProof/>
          <w:color w:val="800000"/>
          <w:sz w:val="40"/>
          <w:szCs w:val="40"/>
          <w:lang w:eastAsia="ko-KR"/>
        </w:rPr>
      </w:pPr>
    </w:p>
    <w:p w:rsidR="00A47106" w:rsidRPr="00F76FE2" w:rsidRDefault="00A47106" w:rsidP="00FC2F2F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right="-46"/>
        <w:rPr>
          <w:rFonts w:ascii="Cambria" w:eastAsia="Batang" w:hAnsi="Cambria" w:cs="Times New Roman"/>
          <w:b/>
          <w:noProof/>
          <w:color w:val="800000"/>
          <w:sz w:val="40"/>
          <w:szCs w:val="40"/>
          <w:lang w:eastAsia="ko-KR"/>
        </w:rPr>
      </w:pPr>
    </w:p>
    <w:p w:rsidR="00A47106" w:rsidRPr="00F76FE2" w:rsidRDefault="00A47106" w:rsidP="00FC2F2F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right="-46"/>
        <w:rPr>
          <w:rFonts w:ascii="Cambria" w:eastAsia="Batang" w:hAnsi="Cambria" w:cs="Times New Roman"/>
          <w:b/>
          <w:noProof/>
          <w:color w:val="800000"/>
          <w:sz w:val="40"/>
          <w:szCs w:val="40"/>
          <w:lang w:eastAsia="ko-KR"/>
        </w:rPr>
      </w:pPr>
    </w:p>
    <w:p w:rsidR="00A47106" w:rsidRPr="00F76FE2" w:rsidRDefault="00A47106" w:rsidP="00FC2F2F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right="-46"/>
        <w:rPr>
          <w:rFonts w:ascii="Cambria" w:eastAsia="Batang" w:hAnsi="Cambria" w:cs="Times New Roman"/>
          <w:b/>
          <w:noProof/>
          <w:color w:val="800000"/>
          <w:sz w:val="40"/>
          <w:szCs w:val="40"/>
          <w:lang w:eastAsia="ko-KR"/>
        </w:rPr>
      </w:pPr>
    </w:p>
    <w:p w:rsidR="00A47106" w:rsidRPr="00F76FE2" w:rsidRDefault="00A47106" w:rsidP="00FC2F2F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right="-46"/>
        <w:rPr>
          <w:rFonts w:ascii="Cambria" w:eastAsia="Batang" w:hAnsi="Cambria" w:cs="Times New Roman"/>
          <w:b/>
          <w:noProof/>
          <w:color w:val="800000"/>
          <w:sz w:val="40"/>
          <w:szCs w:val="40"/>
          <w:lang w:eastAsia="ko-KR"/>
        </w:rPr>
      </w:pPr>
    </w:p>
    <w:p w:rsidR="00F6252F" w:rsidRPr="00F76FE2" w:rsidRDefault="004B551A" w:rsidP="00FC2F2F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right="-46"/>
        <w:rPr>
          <w:rFonts w:ascii="Cambria" w:eastAsia="Batang" w:hAnsi="Cambria" w:cs="Times New Roman"/>
          <w:b/>
          <w:noProof/>
          <w:color w:val="800000"/>
          <w:sz w:val="40"/>
          <w:szCs w:val="40"/>
          <w:lang w:eastAsia="ko-KR"/>
        </w:rPr>
      </w:pPr>
      <w:r w:rsidRPr="00F76FE2">
        <w:rPr>
          <w:rFonts w:ascii="Cambria" w:eastAsia="Batang" w:hAnsi="Cambria" w:cs="Times New Roman"/>
          <w:b/>
          <w:noProof/>
          <w:color w:val="800000"/>
          <w:sz w:val="40"/>
          <w:szCs w:val="40"/>
          <w:lang w:eastAsia="ko-KR"/>
        </w:rPr>
        <w:t xml:space="preserve">                          </w:t>
      </w:r>
      <w:r w:rsidR="002E0F5E" w:rsidRPr="00F76FE2">
        <w:rPr>
          <w:rFonts w:ascii="Cambria" w:eastAsia="Batang" w:hAnsi="Cambria" w:cs="Times New Roman"/>
          <w:b/>
          <w:noProof/>
          <w:color w:val="800000"/>
          <w:sz w:val="40"/>
          <w:szCs w:val="40"/>
          <w:lang w:eastAsia="ko-KR"/>
        </w:rPr>
        <w:t>___</w:t>
      </w:r>
      <w:r w:rsidR="00F6252F" w:rsidRPr="00F76FE2">
        <w:rPr>
          <w:rFonts w:ascii="Cambria" w:eastAsia="Batang" w:hAnsi="Cambria" w:cs="Times New Roman"/>
          <w:b/>
          <w:noProof/>
          <w:color w:val="800000"/>
          <w:sz w:val="40"/>
          <w:szCs w:val="40"/>
          <w:lang w:eastAsia="ko-KR"/>
        </w:rPr>
        <w:t>______________________</w:t>
      </w:r>
      <w:r w:rsidR="002E0F5E" w:rsidRPr="00F76FE2">
        <w:rPr>
          <w:rFonts w:ascii="Cambria" w:eastAsia="Batang" w:hAnsi="Cambria" w:cs="Times New Roman"/>
          <w:b/>
          <w:noProof/>
          <w:color w:val="800000"/>
          <w:sz w:val="40"/>
          <w:szCs w:val="40"/>
          <w:lang w:eastAsia="ko-KR"/>
        </w:rPr>
        <w:t>_____</w:t>
      </w:r>
    </w:p>
    <w:p w:rsidR="0068427E" w:rsidRPr="00F76FE2" w:rsidRDefault="0068427E" w:rsidP="00FC2F2F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mbria" w:eastAsia="Batang" w:hAnsi="Cambria" w:cs="Times New Roman"/>
          <w:b/>
          <w:noProof/>
          <w:color w:val="800000"/>
          <w:sz w:val="32"/>
          <w:szCs w:val="32"/>
          <w:lang w:eastAsia="ko-KR"/>
        </w:rPr>
      </w:pPr>
    </w:p>
    <w:p w:rsidR="003E7C26" w:rsidRPr="00F76FE2" w:rsidRDefault="003E7C26" w:rsidP="00FC2F2F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mbria" w:eastAsia="Batang" w:hAnsi="Cambria" w:cs="Times New Roman"/>
          <w:b/>
          <w:noProof/>
          <w:sz w:val="40"/>
          <w:szCs w:val="40"/>
          <w:lang w:eastAsia="ko-KR"/>
        </w:rPr>
      </w:pPr>
      <w:r w:rsidRPr="00F76FE2">
        <w:rPr>
          <w:rFonts w:ascii="Cambria" w:eastAsia="Batang" w:hAnsi="Cambria" w:cs="Times New Roman"/>
          <w:b/>
          <w:noProof/>
          <w:sz w:val="40"/>
          <w:szCs w:val="40"/>
          <w:lang w:eastAsia="ko-KR"/>
        </w:rPr>
        <w:t>ANALIZ</w:t>
      </w:r>
      <w:r w:rsidR="0059355B" w:rsidRPr="00F76FE2">
        <w:rPr>
          <w:rFonts w:ascii="Cambria" w:eastAsia="Batang" w:hAnsi="Cambria" w:cs="Times New Roman"/>
          <w:b/>
          <w:noProof/>
          <w:sz w:val="40"/>
          <w:szCs w:val="40"/>
          <w:lang w:eastAsia="ko-KR"/>
        </w:rPr>
        <w:t>A</w:t>
      </w:r>
      <w:r w:rsidRPr="00F76FE2">
        <w:rPr>
          <w:rFonts w:ascii="Cambria" w:eastAsia="Batang" w:hAnsi="Cambria" w:cs="Times New Roman"/>
          <w:b/>
          <w:noProof/>
          <w:sz w:val="40"/>
          <w:szCs w:val="40"/>
          <w:lang w:eastAsia="ko-KR"/>
        </w:rPr>
        <w:t xml:space="preserve"> </w:t>
      </w:r>
    </w:p>
    <w:p w:rsidR="003E7C26" w:rsidRPr="00F76FE2" w:rsidRDefault="003E7C26" w:rsidP="00FC2F2F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mbria" w:eastAsia="Batang" w:hAnsi="Cambria" w:cs="Times New Roman"/>
          <w:b/>
          <w:noProof/>
          <w:sz w:val="40"/>
          <w:szCs w:val="40"/>
          <w:lang w:eastAsia="ko-KR"/>
        </w:rPr>
      </w:pPr>
      <w:r w:rsidRPr="00F76FE2">
        <w:rPr>
          <w:rFonts w:ascii="Cambria" w:eastAsia="Batang" w:hAnsi="Cambria" w:cs="Times New Roman"/>
          <w:b/>
          <w:noProof/>
          <w:sz w:val="40"/>
          <w:szCs w:val="40"/>
          <w:lang w:eastAsia="ko-KR"/>
        </w:rPr>
        <w:t xml:space="preserve">E </w:t>
      </w:r>
    </w:p>
    <w:p w:rsidR="00F6252F" w:rsidRPr="00F76FE2" w:rsidRDefault="003E7C26" w:rsidP="00FC2F2F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mbria" w:eastAsia="Batang" w:hAnsi="Cambria" w:cs="Times New Roman"/>
          <w:b/>
          <w:noProof/>
          <w:sz w:val="40"/>
          <w:szCs w:val="40"/>
          <w:lang w:eastAsia="ko-KR"/>
        </w:rPr>
      </w:pPr>
      <w:r w:rsidRPr="00F76FE2">
        <w:rPr>
          <w:rFonts w:ascii="Cambria" w:eastAsia="Batang" w:hAnsi="Cambria" w:cs="Times New Roman"/>
          <w:b/>
          <w:noProof/>
          <w:sz w:val="40"/>
          <w:szCs w:val="40"/>
          <w:lang w:eastAsia="ko-KR"/>
        </w:rPr>
        <w:t>BORXHIT PUBLIK</w:t>
      </w:r>
    </w:p>
    <w:p w:rsidR="00F6252F" w:rsidRPr="00F76FE2" w:rsidRDefault="00F6252F" w:rsidP="00FC2F2F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mbria" w:eastAsia="Batang" w:hAnsi="Cambria" w:cs="Times New Roman"/>
          <w:b/>
          <w:noProof/>
          <w:sz w:val="40"/>
          <w:szCs w:val="40"/>
          <w:lang w:eastAsia="ko-KR"/>
        </w:rPr>
      </w:pPr>
      <w:r w:rsidRPr="00F76FE2">
        <w:rPr>
          <w:rFonts w:ascii="Cambria" w:eastAsia="Batang" w:hAnsi="Cambria" w:cs="Times New Roman"/>
          <w:b/>
          <w:noProof/>
          <w:color w:val="800000"/>
          <w:sz w:val="40"/>
          <w:szCs w:val="40"/>
          <w:lang w:eastAsia="ko-KR"/>
        </w:rPr>
        <w:t>______________________________</w:t>
      </w:r>
    </w:p>
    <w:p w:rsidR="00F6252F" w:rsidRPr="00F76FE2" w:rsidRDefault="004308D6" w:rsidP="00FC2F2F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ind w:right="-46"/>
        <w:jc w:val="center"/>
        <w:rPr>
          <w:rFonts w:ascii="Cambria" w:eastAsia="Batang" w:hAnsi="Cambria" w:cs="Times New Roman"/>
          <w:b/>
          <w:noProof/>
          <w:color w:val="C00000"/>
          <w:sz w:val="36"/>
          <w:szCs w:val="36"/>
          <w:lang w:eastAsia="ko-KR"/>
        </w:rPr>
      </w:pPr>
      <w:r w:rsidRPr="00F76FE2">
        <w:rPr>
          <w:rFonts w:ascii="Cambria" w:eastAsia="Batang" w:hAnsi="Cambria" w:cs="Times New Roman"/>
          <w:b/>
          <w:noProof/>
          <w:color w:val="C00000"/>
          <w:sz w:val="36"/>
          <w:szCs w:val="36"/>
          <w:lang w:eastAsia="ko-KR"/>
        </w:rPr>
        <w:t>(</w:t>
      </w:r>
      <w:r w:rsidR="00640A13" w:rsidRPr="00F76FE2">
        <w:rPr>
          <w:rFonts w:ascii="Cambria" w:eastAsia="Batang" w:hAnsi="Cambria" w:cs="Times New Roman"/>
          <w:b/>
          <w:noProof/>
          <w:color w:val="C00000"/>
          <w:sz w:val="36"/>
          <w:szCs w:val="36"/>
          <w:lang w:eastAsia="ko-KR"/>
        </w:rPr>
        <w:t>Viti</w:t>
      </w:r>
      <w:r w:rsidR="00175847" w:rsidRPr="00F76FE2">
        <w:rPr>
          <w:rFonts w:ascii="Cambria" w:eastAsia="Batang" w:hAnsi="Cambria" w:cs="Times New Roman"/>
          <w:b/>
          <w:noProof/>
          <w:color w:val="C00000"/>
          <w:sz w:val="36"/>
          <w:szCs w:val="36"/>
          <w:lang w:eastAsia="ko-KR"/>
        </w:rPr>
        <w:t xml:space="preserve"> 2019</w:t>
      </w:r>
      <w:r w:rsidRPr="00F76FE2">
        <w:rPr>
          <w:rFonts w:ascii="Cambria" w:eastAsia="Batang" w:hAnsi="Cambria" w:cs="Times New Roman"/>
          <w:b/>
          <w:noProof/>
          <w:color w:val="C00000"/>
          <w:sz w:val="36"/>
          <w:szCs w:val="36"/>
          <w:lang w:eastAsia="ko-KR"/>
        </w:rPr>
        <w:t>)</w:t>
      </w:r>
    </w:p>
    <w:p w:rsidR="004B551A" w:rsidRPr="00F76FE2" w:rsidRDefault="004B551A" w:rsidP="00FC2F2F">
      <w:pPr>
        <w:tabs>
          <w:tab w:val="left" w:pos="2730"/>
        </w:tabs>
        <w:spacing w:before="100" w:beforeAutospacing="1" w:after="0"/>
        <w:ind w:right="-4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551A" w:rsidRPr="00F76FE2" w:rsidRDefault="004B551A" w:rsidP="00FC2F2F">
      <w:pPr>
        <w:tabs>
          <w:tab w:val="left" w:pos="2730"/>
        </w:tabs>
        <w:spacing w:before="100" w:beforeAutospacing="1" w:after="0"/>
        <w:ind w:right="-4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551A" w:rsidRPr="00F76FE2" w:rsidRDefault="004B551A" w:rsidP="00FC2F2F">
      <w:pPr>
        <w:tabs>
          <w:tab w:val="left" w:pos="2730"/>
        </w:tabs>
        <w:spacing w:before="100" w:beforeAutospacing="1" w:after="0"/>
        <w:ind w:right="-4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7106" w:rsidRPr="00F76FE2" w:rsidRDefault="00A47106" w:rsidP="00FC2F2F">
      <w:pPr>
        <w:spacing w:after="0" w:line="240" w:lineRule="auto"/>
        <w:ind w:right="-46"/>
        <w:jc w:val="center"/>
        <w:rPr>
          <w:rFonts w:ascii="Times New Roman" w:hAnsi="Times New Roman" w:cs="Times New Roman"/>
          <w:b/>
          <w:caps/>
        </w:rPr>
      </w:pPr>
    </w:p>
    <w:p w:rsidR="00F6252F" w:rsidRPr="00F76FE2" w:rsidRDefault="00F6252F" w:rsidP="00FC2F2F">
      <w:pPr>
        <w:ind w:right="-46"/>
        <w:rPr>
          <w:rFonts w:ascii="Times New Roman" w:hAnsi="Times New Roman" w:cs="Times New Roman"/>
          <w:b/>
          <w:sz w:val="24"/>
          <w:szCs w:val="24"/>
        </w:rPr>
      </w:pPr>
    </w:p>
    <w:p w:rsidR="00F6252F" w:rsidRPr="00F76FE2" w:rsidRDefault="00F6252F" w:rsidP="00FC2F2F">
      <w:pPr>
        <w:ind w:right="-46"/>
        <w:rPr>
          <w:rFonts w:ascii="Times New Roman" w:hAnsi="Times New Roman" w:cs="Times New Roman"/>
          <w:b/>
          <w:sz w:val="24"/>
          <w:szCs w:val="24"/>
        </w:rPr>
      </w:pPr>
    </w:p>
    <w:p w:rsidR="00F6252F" w:rsidRPr="00F76FE2" w:rsidRDefault="00F6252F" w:rsidP="00FC2F2F">
      <w:pPr>
        <w:ind w:right="-46"/>
        <w:rPr>
          <w:rFonts w:ascii="Times New Roman" w:hAnsi="Times New Roman" w:cs="Times New Roman"/>
          <w:b/>
          <w:sz w:val="24"/>
          <w:szCs w:val="24"/>
        </w:rPr>
      </w:pPr>
    </w:p>
    <w:p w:rsidR="00F6252F" w:rsidRPr="00F76FE2" w:rsidRDefault="00A345B1" w:rsidP="00A345B1">
      <w:pPr>
        <w:tabs>
          <w:tab w:val="left" w:pos="8205"/>
        </w:tabs>
        <w:ind w:right="-46"/>
        <w:rPr>
          <w:rFonts w:ascii="Times New Roman" w:hAnsi="Times New Roman" w:cs="Times New Roman"/>
          <w:b/>
          <w:sz w:val="24"/>
          <w:szCs w:val="24"/>
        </w:rPr>
      </w:pPr>
      <w:r w:rsidRPr="00F76FE2">
        <w:rPr>
          <w:rFonts w:ascii="Times New Roman" w:hAnsi="Times New Roman" w:cs="Times New Roman"/>
          <w:b/>
          <w:sz w:val="24"/>
          <w:szCs w:val="24"/>
        </w:rPr>
        <w:tab/>
      </w:r>
    </w:p>
    <w:p w:rsidR="00F6252F" w:rsidRPr="00F76FE2" w:rsidRDefault="00F6252F" w:rsidP="00FC2F2F">
      <w:pPr>
        <w:ind w:right="-46"/>
        <w:rPr>
          <w:rFonts w:ascii="Times New Roman" w:hAnsi="Times New Roman" w:cs="Times New Roman"/>
          <w:b/>
          <w:sz w:val="24"/>
          <w:szCs w:val="24"/>
        </w:rPr>
      </w:pPr>
    </w:p>
    <w:p w:rsidR="00F6252F" w:rsidRPr="00F76FE2" w:rsidRDefault="00F6252F" w:rsidP="00FC2F2F">
      <w:pPr>
        <w:ind w:right="-46"/>
        <w:rPr>
          <w:rFonts w:ascii="Times New Roman" w:hAnsi="Times New Roman" w:cs="Times New Roman"/>
          <w:b/>
          <w:sz w:val="24"/>
          <w:szCs w:val="24"/>
        </w:rPr>
      </w:pPr>
    </w:p>
    <w:p w:rsidR="00F6252F" w:rsidRPr="00F76FE2" w:rsidRDefault="00F6252F" w:rsidP="00FC2F2F">
      <w:pPr>
        <w:ind w:right="-46"/>
        <w:rPr>
          <w:rFonts w:ascii="Times New Roman" w:hAnsi="Times New Roman" w:cs="Times New Roman"/>
          <w:b/>
          <w:sz w:val="24"/>
          <w:szCs w:val="24"/>
        </w:rPr>
      </w:pPr>
    </w:p>
    <w:p w:rsidR="00A47106" w:rsidRPr="00F76FE2" w:rsidRDefault="00A47106" w:rsidP="00FC2F2F">
      <w:pPr>
        <w:ind w:right="-46"/>
        <w:rPr>
          <w:rFonts w:ascii="Times New Roman" w:hAnsi="Times New Roman" w:cs="Times New Roman"/>
          <w:b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sq-AL"/>
        </w:rPr>
        <w:id w:val="-1731071290"/>
        <w:docPartObj>
          <w:docPartGallery w:val="Table of Contents"/>
          <w:docPartUnique/>
        </w:docPartObj>
      </w:sdtPr>
      <w:sdtEndPr>
        <w:rPr>
          <w:rFonts w:eastAsia="MS Mincho"/>
          <w:b/>
          <w:bCs/>
          <w:noProof/>
          <w:sz w:val="24"/>
          <w:szCs w:val="24"/>
        </w:rPr>
      </w:sdtEndPr>
      <w:sdtContent>
        <w:p w:rsidR="001F3412" w:rsidRPr="00F76FE2" w:rsidRDefault="001F3412" w:rsidP="00FC2F2F">
          <w:pPr>
            <w:pStyle w:val="TOCHeading"/>
            <w:ind w:right="-46"/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val="sq-AL"/>
            </w:rPr>
          </w:pPr>
        </w:p>
        <w:p w:rsidR="00762F38" w:rsidRPr="00F76FE2" w:rsidRDefault="00506686" w:rsidP="00FC2F2F">
          <w:pPr>
            <w:pStyle w:val="TOCHeading"/>
            <w:ind w:right="-46"/>
            <w:jc w:val="center"/>
            <w:rPr>
              <w:rFonts w:ascii="Cambria" w:hAnsi="Cambria"/>
              <w:b/>
              <w:color w:val="C00000"/>
              <w:sz w:val="24"/>
            </w:rPr>
          </w:pPr>
          <w:r w:rsidRPr="00F76FE2">
            <w:rPr>
              <w:rFonts w:ascii="Cambria" w:hAnsi="Cambria"/>
              <w:b/>
              <w:color w:val="C00000"/>
              <w:sz w:val="24"/>
            </w:rPr>
            <w:t>P</w:t>
          </w:r>
          <w:r w:rsidR="00D7649A" w:rsidRPr="00F76FE2">
            <w:rPr>
              <w:rFonts w:ascii="Cambria" w:hAnsi="Cambria"/>
              <w:b/>
              <w:color w:val="C00000"/>
              <w:sz w:val="24"/>
            </w:rPr>
            <w:t>Ë</w:t>
          </w:r>
          <w:r w:rsidRPr="00F76FE2">
            <w:rPr>
              <w:rFonts w:ascii="Cambria" w:hAnsi="Cambria"/>
              <w:b/>
              <w:color w:val="C00000"/>
              <w:sz w:val="24"/>
            </w:rPr>
            <w:t>RMBAJTJ</w:t>
          </w:r>
          <w:r w:rsidR="00AD5C99" w:rsidRPr="00F76FE2">
            <w:rPr>
              <w:rFonts w:ascii="Cambria" w:hAnsi="Cambria"/>
              <w:b/>
              <w:color w:val="C00000"/>
              <w:sz w:val="24"/>
            </w:rPr>
            <w:t>E</w:t>
          </w:r>
        </w:p>
        <w:p w:rsidR="003B3BBB" w:rsidRPr="00F76FE2" w:rsidRDefault="003B3BBB" w:rsidP="00FC2F2F">
          <w:pPr>
            <w:ind w:right="-46"/>
            <w:rPr>
              <w:rFonts w:ascii="Cambria" w:hAnsi="Cambria"/>
              <w:lang w:val="en-US"/>
            </w:rPr>
          </w:pPr>
        </w:p>
        <w:p w:rsidR="003C1892" w:rsidRPr="00F76FE2" w:rsidRDefault="00762F38" w:rsidP="00513848">
          <w:pPr>
            <w:pStyle w:val="TOC1"/>
          </w:pPr>
          <w:r w:rsidRPr="00F76FE2">
            <w:t xml:space="preserve">           </w:t>
          </w:r>
          <w:r w:rsidR="00506686" w:rsidRPr="00F76FE2">
            <w:fldChar w:fldCharType="begin"/>
          </w:r>
          <w:r w:rsidR="00506686" w:rsidRPr="00F76FE2">
            <w:instrText xml:space="preserve"> TOC \o "1-3" \h \z \u </w:instrText>
          </w:r>
          <w:r w:rsidR="00506686" w:rsidRPr="00F76FE2">
            <w:fldChar w:fldCharType="separate"/>
          </w:r>
        </w:p>
        <w:p w:rsidR="003C1892" w:rsidRPr="00F76FE2" w:rsidRDefault="00592690">
          <w:pPr>
            <w:pStyle w:val="TOC1"/>
            <w:rPr>
              <w:rFonts w:asciiTheme="minorHAnsi" w:eastAsiaTheme="minorEastAsia" w:hAnsiTheme="minorHAnsi"/>
              <w:b w:val="0"/>
              <w:lang w:val="en-US"/>
            </w:rPr>
          </w:pPr>
          <w:hyperlink w:anchor="_Toc34645060" w:history="1">
            <w:r w:rsidR="003C1892" w:rsidRPr="00F76FE2">
              <w:rPr>
                <w:rStyle w:val="Hyperlink"/>
              </w:rPr>
              <w:t>PËRMBLEDHJE</w:t>
            </w:r>
            <w:r w:rsidR="003C1892" w:rsidRPr="00F76FE2">
              <w:rPr>
                <w:webHidden/>
              </w:rPr>
              <w:tab/>
            </w:r>
            <w:r w:rsidR="003C1892" w:rsidRPr="00F76FE2">
              <w:rPr>
                <w:webHidden/>
              </w:rPr>
              <w:fldChar w:fldCharType="begin"/>
            </w:r>
            <w:r w:rsidR="003C1892" w:rsidRPr="00F76FE2">
              <w:rPr>
                <w:webHidden/>
              </w:rPr>
              <w:instrText xml:space="preserve"> PAGEREF _Toc34645060 \h </w:instrText>
            </w:r>
            <w:r w:rsidR="003C1892" w:rsidRPr="00F76FE2">
              <w:rPr>
                <w:webHidden/>
              </w:rPr>
            </w:r>
            <w:r w:rsidR="003C1892" w:rsidRPr="00F76FE2">
              <w:rPr>
                <w:webHidden/>
              </w:rPr>
              <w:fldChar w:fldCharType="separate"/>
            </w:r>
            <w:r w:rsidR="007F4851">
              <w:rPr>
                <w:webHidden/>
              </w:rPr>
              <w:t>2</w:t>
            </w:r>
            <w:r w:rsidR="003C1892" w:rsidRPr="00F76FE2">
              <w:rPr>
                <w:webHidden/>
              </w:rPr>
              <w:fldChar w:fldCharType="end"/>
            </w:r>
          </w:hyperlink>
        </w:p>
        <w:p w:rsidR="003C1892" w:rsidRPr="00F76FE2" w:rsidRDefault="00592690">
          <w:pPr>
            <w:pStyle w:val="TOC1"/>
            <w:rPr>
              <w:rFonts w:asciiTheme="minorHAnsi" w:eastAsiaTheme="minorEastAsia" w:hAnsiTheme="minorHAnsi"/>
              <w:b w:val="0"/>
              <w:lang w:val="en-US"/>
            </w:rPr>
          </w:pPr>
          <w:hyperlink w:anchor="_Toc34645061" w:history="1">
            <w:r w:rsidR="003C1892" w:rsidRPr="00F76FE2">
              <w:rPr>
                <w:rStyle w:val="Hyperlink"/>
              </w:rPr>
              <w:t>1.</w:t>
            </w:r>
            <w:r w:rsidR="003C1892" w:rsidRPr="00F76FE2">
              <w:rPr>
                <w:rFonts w:asciiTheme="minorHAnsi" w:eastAsiaTheme="minorEastAsia" w:hAnsiTheme="minorHAnsi"/>
                <w:b w:val="0"/>
                <w:lang w:val="en-US"/>
              </w:rPr>
              <w:tab/>
            </w:r>
            <w:r w:rsidR="003C1892" w:rsidRPr="00F76FE2">
              <w:rPr>
                <w:rStyle w:val="Hyperlink"/>
              </w:rPr>
              <w:t>Ecuria e Borxhit Publik</w:t>
            </w:r>
            <w:r w:rsidR="003C1892" w:rsidRPr="00F76FE2">
              <w:rPr>
                <w:webHidden/>
              </w:rPr>
              <w:tab/>
            </w:r>
            <w:r w:rsidR="003C1892" w:rsidRPr="00F76FE2">
              <w:rPr>
                <w:webHidden/>
              </w:rPr>
              <w:fldChar w:fldCharType="begin"/>
            </w:r>
            <w:r w:rsidR="003C1892" w:rsidRPr="00F76FE2">
              <w:rPr>
                <w:webHidden/>
              </w:rPr>
              <w:instrText xml:space="preserve"> PAGEREF _Toc34645061 \h </w:instrText>
            </w:r>
            <w:r w:rsidR="003C1892" w:rsidRPr="00F76FE2">
              <w:rPr>
                <w:webHidden/>
              </w:rPr>
            </w:r>
            <w:r w:rsidR="003C1892" w:rsidRPr="00F76FE2">
              <w:rPr>
                <w:webHidden/>
              </w:rPr>
              <w:fldChar w:fldCharType="separate"/>
            </w:r>
            <w:r w:rsidR="007F4851">
              <w:rPr>
                <w:webHidden/>
              </w:rPr>
              <w:t>4</w:t>
            </w:r>
            <w:r w:rsidR="003C1892" w:rsidRPr="00F76FE2">
              <w:rPr>
                <w:webHidden/>
              </w:rPr>
              <w:fldChar w:fldCharType="end"/>
            </w:r>
          </w:hyperlink>
        </w:p>
        <w:p w:rsidR="003C1892" w:rsidRPr="00F76FE2" w:rsidRDefault="00592690">
          <w:pPr>
            <w:pStyle w:val="TOC1"/>
            <w:rPr>
              <w:rFonts w:asciiTheme="minorHAnsi" w:eastAsiaTheme="minorEastAsia" w:hAnsiTheme="minorHAnsi"/>
              <w:b w:val="0"/>
              <w:lang w:val="en-US"/>
            </w:rPr>
          </w:pPr>
          <w:hyperlink w:anchor="_Toc34645062" w:history="1">
            <w:r w:rsidR="003C1892" w:rsidRPr="00F76FE2">
              <w:rPr>
                <w:rStyle w:val="Hyperlink"/>
              </w:rPr>
              <w:t>2.</w:t>
            </w:r>
            <w:r w:rsidR="003C1892" w:rsidRPr="00F76FE2">
              <w:rPr>
                <w:rFonts w:asciiTheme="minorHAnsi" w:eastAsiaTheme="minorEastAsia" w:hAnsiTheme="minorHAnsi"/>
                <w:b w:val="0"/>
                <w:lang w:val="en-US"/>
              </w:rPr>
              <w:tab/>
            </w:r>
            <w:r w:rsidR="003C1892" w:rsidRPr="00F76FE2">
              <w:rPr>
                <w:rStyle w:val="Hyperlink"/>
              </w:rPr>
              <w:t>Borxhi Shtetëror</w:t>
            </w:r>
            <w:r w:rsidR="003C1892" w:rsidRPr="00F76FE2">
              <w:rPr>
                <w:webHidden/>
              </w:rPr>
              <w:tab/>
            </w:r>
            <w:r w:rsidR="003C1892" w:rsidRPr="00F76FE2">
              <w:rPr>
                <w:webHidden/>
              </w:rPr>
              <w:fldChar w:fldCharType="begin"/>
            </w:r>
            <w:r w:rsidR="003C1892" w:rsidRPr="00F76FE2">
              <w:rPr>
                <w:webHidden/>
              </w:rPr>
              <w:instrText xml:space="preserve"> PAGEREF _Toc34645062 \h </w:instrText>
            </w:r>
            <w:r w:rsidR="003C1892" w:rsidRPr="00F76FE2">
              <w:rPr>
                <w:webHidden/>
              </w:rPr>
            </w:r>
            <w:r w:rsidR="003C1892" w:rsidRPr="00F76FE2">
              <w:rPr>
                <w:webHidden/>
              </w:rPr>
              <w:fldChar w:fldCharType="separate"/>
            </w:r>
            <w:r w:rsidR="007F4851">
              <w:rPr>
                <w:webHidden/>
              </w:rPr>
              <w:t>5</w:t>
            </w:r>
            <w:r w:rsidR="003C1892" w:rsidRPr="00F76FE2">
              <w:rPr>
                <w:webHidden/>
              </w:rPr>
              <w:fldChar w:fldCharType="end"/>
            </w:r>
          </w:hyperlink>
        </w:p>
        <w:p w:rsidR="003C1892" w:rsidRPr="00F76FE2" w:rsidRDefault="00592690">
          <w:pPr>
            <w:pStyle w:val="TOC1"/>
            <w:rPr>
              <w:rFonts w:asciiTheme="minorHAnsi" w:eastAsiaTheme="minorEastAsia" w:hAnsiTheme="minorHAnsi"/>
              <w:b w:val="0"/>
              <w:lang w:val="en-US"/>
            </w:rPr>
          </w:pPr>
          <w:hyperlink w:anchor="_Toc34645063" w:history="1">
            <w:r w:rsidR="003C1892" w:rsidRPr="00F76FE2">
              <w:rPr>
                <w:rStyle w:val="Hyperlink"/>
              </w:rPr>
              <w:t>3.</w:t>
            </w:r>
            <w:r w:rsidR="003C1892" w:rsidRPr="00F76FE2">
              <w:rPr>
                <w:rFonts w:asciiTheme="minorHAnsi" w:eastAsiaTheme="minorEastAsia" w:hAnsiTheme="minorHAnsi"/>
                <w:b w:val="0"/>
                <w:lang w:val="en-US"/>
              </w:rPr>
              <w:tab/>
            </w:r>
            <w:r w:rsidR="003C1892" w:rsidRPr="00F76FE2">
              <w:rPr>
                <w:rStyle w:val="Hyperlink"/>
              </w:rPr>
              <w:t>Borxhi Shtetëror i Garantuar</w:t>
            </w:r>
            <w:r w:rsidR="003C1892" w:rsidRPr="00F76FE2">
              <w:rPr>
                <w:webHidden/>
              </w:rPr>
              <w:tab/>
            </w:r>
            <w:r w:rsidR="003C1892" w:rsidRPr="00F76FE2">
              <w:rPr>
                <w:webHidden/>
              </w:rPr>
              <w:fldChar w:fldCharType="begin"/>
            </w:r>
            <w:r w:rsidR="003C1892" w:rsidRPr="00F76FE2">
              <w:rPr>
                <w:webHidden/>
              </w:rPr>
              <w:instrText xml:space="preserve"> PAGEREF _Toc34645063 \h </w:instrText>
            </w:r>
            <w:r w:rsidR="003C1892" w:rsidRPr="00F76FE2">
              <w:rPr>
                <w:webHidden/>
              </w:rPr>
            </w:r>
            <w:r w:rsidR="003C1892" w:rsidRPr="00F76FE2">
              <w:rPr>
                <w:webHidden/>
              </w:rPr>
              <w:fldChar w:fldCharType="separate"/>
            </w:r>
            <w:r w:rsidR="007F4851">
              <w:rPr>
                <w:webHidden/>
              </w:rPr>
              <w:t>7</w:t>
            </w:r>
            <w:r w:rsidR="003C1892" w:rsidRPr="00F76FE2">
              <w:rPr>
                <w:webHidden/>
              </w:rPr>
              <w:fldChar w:fldCharType="end"/>
            </w:r>
          </w:hyperlink>
        </w:p>
        <w:p w:rsidR="003C1892" w:rsidRPr="00F76FE2" w:rsidRDefault="00592690">
          <w:pPr>
            <w:pStyle w:val="TOC1"/>
            <w:rPr>
              <w:rFonts w:asciiTheme="minorHAnsi" w:eastAsiaTheme="minorEastAsia" w:hAnsiTheme="minorHAnsi"/>
              <w:b w:val="0"/>
              <w:lang w:val="en-US"/>
            </w:rPr>
          </w:pPr>
          <w:hyperlink w:anchor="_Toc34645064" w:history="1">
            <w:r w:rsidR="003C1892" w:rsidRPr="00F76FE2">
              <w:rPr>
                <w:rStyle w:val="Hyperlink"/>
              </w:rPr>
              <w:t>4.</w:t>
            </w:r>
            <w:r w:rsidR="003C1892" w:rsidRPr="00F76FE2">
              <w:rPr>
                <w:rFonts w:asciiTheme="minorHAnsi" w:eastAsiaTheme="minorEastAsia" w:hAnsiTheme="minorHAnsi"/>
                <w:b w:val="0"/>
                <w:lang w:val="en-US"/>
              </w:rPr>
              <w:tab/>
            </w:r>
            <w:r w:rsidR="003C1892" w:rsidRPr="00F76FE2">
              <w:rPr>
                <w:rStyle w:val="Hyperlink"/>
              </w:rPr>
              <w:t>Huamarrja</w:t>
            </w:r>
            <w:r w:rsidR="003C1892" w:rsidRPr="00F76FE2">
              <w:rPr>
                <w:webHidden/>
              </w:rPr>
              <w:tab/>
            </w:r>
            <w:r w:rsidR="003C1892" w:rsidRPr="00F76FE2">
              <w:rPr>
                <w:webHidden/>
              </w:rPr>
              <w:fldChar w:fldCharType="begin"/>
            </w:r>
            <w:r w:rsidR="003C1892" w:rsidRPr="00F76FE2">
              <w:rPr>
                <w:webHidden/>
              </w:rPr>
              <w:instrText xml:space="preserve"> PAGEREF _Toc34645064 \h </w:instrText>
            </w:r>
            <w:r w:rsidR="003C1892" w:rsidRPr="00F76FE2">
              <w:rPr>
                <w:webHidden/>
              </w:rPr>
            </w:r>
            <w:r w:rsidR="003C1892" w:rsidRPr="00F76FE2">
              <w:rPr>
                <w:webHidden/>
              </w:rPr>
              <w:fldChar w:fldCharType="separate"/>
            </w:r>
            <w:r w:rsidR="007F4851">
              <w:rPr>
                <w:webHidden/>
              </w:rPr>
              <w:t>8</w:t>
            </w:r>
            <w:r w:rsidR="003C1892" w:rsidRPr="00F76FE2">
              <w:rPr>
                <w:webHidden/>
              </w:rPr>
              <w:fldChar w:fldCharType="end"/>
            </w:r>
          </w:hyperlink>
        </w:p>
        <w:p w:rsidR="003C1892" w:rsidRPr="00F76FE2" w:rsidRDefault="00592690">
          <w:pPr>
            <w:pStyle w:val="TOC2"/>
            <w:rPr>
              <w:rFonts w:eastAsiaTheme="minorEastAsia"/>
              <w:noProof/>
              <w:lang w:val="en-US"/>
            </w:rPr>
          </w:pPr>
          <w:hyperlink w:anchor="_Toc34645065" w:history="1">
            <w:r w:rsidR="003C1892" w:rsidRPr="00F76FE2">
              <w:rPr>
                <w:rStyle w:val="Hyperlink"/>
                <w:rFonts w:ascii="Cambria" w:hAnsi="Cambria"/>
                <w:noProof/>
              </w:rPr>
              <w:t>4.1.</w:t>
            </w:r>
            <w:r w:rsidR="003C1892" w:rsidRPr="00F76FE2">
              <w:rPr>
                <w:rFonts w:eastAsiaTheme="minorEastAsia"/>
                <w:noProof/>
                <w:lang w:val="en-US"/>
              </w:rPr>
              <w:tab/>
            </w:r>
            <w:r w:rsidR="003C1892" w:rsidRPr="00F76FE2">
              <w:rPr>
                <w:rStyle w:val="Hyperlink"/>
                <w:rFonts w:ascii="Cambria" w:hAnsi="Cambria"/>
                <w:noProof/>
              </w:rPr>
              <w:t>Huamarrja e Brendshme</w:t>
            </w:r>
            <w:r w:rsidR="003C1892" w:rsidRPr="00F76FE2">
              <w:rPr>
                <w:noProof/>
                <w:webHidden/>
              </w:rPr>
              <w:tab/>
            </w:r>
            <w:r w:rsidR="003C1892" w:rsidRPr="00F76FE2">
              <w:rPr>
                <w:noProof/>
                <w:webHidden/>
              </w:rPr>
              <w:fldChar w:fldCharType="begin"/>
            </w:r>
            <w:r w:rsidR="003C1892" w:rsidRPr="00F76FE2">
              <w:rPr>
                <w:noProof/>
                <w:webHidden/>
              </w:rPr>
              <w:instrText xml:space="preserve"> PAGEREF _Toc34645065 \h </w:instrText>
            </w:r>
            <w:r w:rsidR="003C1892" w:rsidRPr="00F76FE2">
              <w:rPr>
                <w:noProof/>
                <w:webHidden/>
              </w:rPr>
            </w:r>
            <w:r w:rsidR="003C1892" w:rsidRPr="00F76FE2">
              <w:rPr>
                <w:noProof/>
                <w:webHidden/>
              </w:rPr>
              <w:fldChar w:fldCharType="separate"/>
            </w:r>
            <w:r w:rsidR="007F4851">
              <w:rPr>
                <w:noProof/>
                <w:webHidden/>
              </w:rPr>
              <w:t>8</w:t>
            </w:r>
            <w:r w:rsidR="003C1892" w:rsidRPr="00F76FE2">
              <w:rPr>
                <w:noProof/>
                <w:webHidden/>
              </w:rPr>
              <w:fldChar w:fldCharType="end"/>
            </w:r>
          </w:hyperlink>
        </w:p>
        <w:p w:rsidR="003C1892" w:rsidRPr="00F76FE2" w:rsidRDefault="00592690">
          <w:pPr>
            <w:pStyle w:val="TOC2"/>
            <w:rPr>
              <w:rFonts w:eastAsiaTheme="minorEastAsia"/>
              <w:noProof/>
              <w:lang w:val="en-US"/>
            </w:rPr>
          </w:pPr>
          <w:hyperlink w:anchor="_Toc34645066" w:history="1">
            <w:r w:rsidR="003C1892" w:rsidRPr="00F76FE2">
              <w:rPr>
                <w:rStyle w:val="Hyperlink"/>
                <w:rFonts w:ascii="Cambria" w:hAnsi="Cambria"/>
                <w:noProof/>
              </w:rPr>
              <w:t>4.2.</w:t>
            </w:r>
            <w:r w:rsidR="003C1892" w:rsidRPr="00F76FE2">
              <w:rPr>
                <w:rFonts w:eastAsiaTheme="minorEastAsia"/>
                <w:noProof/>
                <w:lang w:val="en-US"/>
              </w:rPr>
              <w:tab/>
            </w:r>
            <w:r w:rsidR="003C1892" w:rsidRPr="00F76FE2">
              <w:rPr>
                <w:rStyle w:val="Hyperlink"/>
                <w:rFonts w:ascii="Cambria" w:hAnsi="Cambria"/>
                <w:noProof/>
              </w:rPr>
              <w:t>Huamarrja e Huaj</w:t>
            </w:r>
            <w:r w:rsidR="003C1892" w:rsidRPr="00F76FE2">
              <w:rPr>
                <w:noProof/>
                <w:webHidden/>
              </w:rPr>
              <w:tab/>
            </w:r>
            <w:r w:rsidR="003C1892" w:rsidRPr="00F76FE2">
              <w:rPr>
                <w:noProof/>
                <w:webHidden/>
              </w:rPr>
              <w:fldChar w:fldCharType="begin"/>
            </w:r>
            <w:r w:rsidR="003C1892" w:rsidRPr="00F76FE2">
              <w:rPr>
                <w:noProof/>
                <w:webHidden/>
              </w:rPr>
              <w:instrText xml:space="preserve"> PAGEREF _Toc34645066 \h </w:instrText>
            </w:r>
            <w:r w:rsidR="003C1892" w:rsidRPr="00F76FE2">
              <w:rPr>
                <w:noProof/>
                <w:webHidden/>
              </w:rPr>
            </w:r>
            <w:r w:rsidR="003C1892" w:rsidRPr="00F76FE2">
              <w:rPr>
                <w:noProof/>
                <w:webHidden/>
              </w:rPr>
              <w:fldChar w:fldCharType="separate"/>
            </w:r>
            <w:r w:rsidR="007F4851">
              <w:rPr>
                <w:noProof/>
                <w:webHidden/>
              </w:rPr>
              <w:t>9</w:t>
            </w:r>
            <w:r w:rsidR="003C1892" w:rsidRPr="00F76FE2">
              <w:rPr>
                <w:noProof/>
                <w:webHidden/>
              </w:rPr>
              <w:fldChar w:fldCharType="end"/>
            </w:r>
          </w:hyperlink>
        </w:p>
        <w:p w:rsidR="003C1892" w:rsidRPr="00F76FE2" w:rsidRDefault="00592690">
          <w:pPr>
            <w:pStyle w:val="TOC1"/>
            <w:rPr>
              <w:rFonts w:asciiTheme="minorHAnsi" w:eastAsiaTheme="minorEastAsia" w:hAnsiTheme="minorHAnsi"/>
              <w:b w:val="0"/>
              <w:lang w:val="en-US"/>
            </w:rPr>
          </w:pPr>
          <w:hyperlink w:anchor="_Toc34645067" w:history="1">
            <w:r w:rsidR="003C1892" w:rsidRPr="00F76FE2">
              <w:rPr>
                <w:rStyle w:val="Hyperlink"/>
              </w:rPr>
              <w:t>5.</w:t>
            </w:r>
            <w:r w:rsidR="003C1892" w:rsidRPr="00F76FE2">
              <w:rPr>
                <w:rFonts w:asciiTheme="minorHAnsi" w:eastAsiaTheme="minorEastAsia" w:hAnsiTheme="minorHAnsi"/>
                <w:b w:val="0"/>
                <w:lang w:val="en-US"/>
              </w:rPr>
              <w:tab/>
            </w:r>
            <w:r w:rsidR="003C1892" w:rsidRPr="00F76FE2">
              <w:rPr>
                <w:rStyle w:val="Hyperlink"/>
              </w:rPr>
              <w:t>Kosto dhe Risqet</w:t>
            </w:r>
            <w:r w:rsidR="003C1892" w:rsidRPr="00F76FE2">
              <w:rPr>
                <w:webHidden/>
              </w:rPr>
              <w:tab/>
            </w:r>
            <w:r w:rsidR="003C1892" w:rsidRPr="00F76FE2">
              <w:rPr>
                <w:webHidden/>
              </w:rPr>
              <w:fldChar w:fldCharType="begin"/>
            </w:r>
            <w:r w:rsidR="003C1892" w:rsidRPr="00F76FE2">
              <w:rPr>
                <w:webHidden/>
              </w:rPr>
              <w:instrText xml:space="preserve"> PAGEREF _Toc34645067 \h </w:instrText>
            </w:r>
            <w:r w:rsidR="003C1892" w:rsidRPr="00F76FE2">
              <w:rPr>
                <w:webHidden/>
              </w:rPr>
            </w:r>
            <w:r w:rsidR="003C1892" w:rsidRPr="00F76FE2">
              <w:rPr>
                <w:webHidden/>
              </w:rPr>
              <w:fldChar w:fldCharType="separate"/>
            </w:r>
            <w:r w:rsidR="007F4851">
              <w:rPr>
                <w:webHidden/>
              </w:rPr>
              <w:t>10</w:t>
            </w:r>
            <w:r w:rsidR="003C1892" w:rsidRPr="00F76FE2">
              <w:rPr>
                <w:webHidden/>
              </w:rPr>
              <w:fldChar w:fldCharType="end"/>
            </w:r>
          </w:hyperlink>
        </w:p>
        <w:p w:rsidR="003C1892" w:rsidRPr="00F76FE2" w:rsidRDefault="00592690">
          <w:pPr>
            <w:pStyle w:val="TOC2"/>
            <w:rPr>
              <w:rFonts w:eastAsiaTheme="minorEastAsia"/>
              <w:noProof/>
              <w:lang w:val="en-US"/>
            </w:rPr>
          </w:pPr>
          <w:hyperlink w:anchor="_Toc34645068" w:history="1">
            <w:r w:rsidR="003C1892" w:rsidRPr="00F76FE2">
              <w:rPr>
                <w:rStyle w:val="Hyperlink"/>
                <w:rFonts w:ascii="Cambria" w:hAnsi="Cambria"/>
                <w:noProof/>
              </w:rPr>
              <w:t>5.1.</w:t>
            </w:r>
            <w:r w:rsidR="003C1892" w:rsidRPr="00F76FE2">
              <w:rPr>
                <w:rFonts w:eastAsiaTheme="minorEastAsia"/>
                <w:noProof/>
                <w:lang w:val="en-US"/>
              </w:rPr>
              <w:tab/>
            </w:r>
            <w:r w:rsidR="003C1892" w:rsidRPr="00F76FE2">
              <w:rPr>
                <w:rStyle w:val="Hyperlink"/>
                <w:rFonts w:ascii="Cambria" w:hAnsi="Cambria"/>
                <w:noProof/>
              </w:rPr>
              <w:t>Kosto</w:t>
            </w:r>
            <w:r w:rsidR="003C1892" w:rsidRPr="00F76FE2">
              <w:rPr>
                <w:noProof/>
                <w:webHidden/>
              </w:rPr>
              <w:tab/>
            </w:r>
            <w:r w:rsidR="003C1892" w:rsidRPr="00F76FE2">
              <w:rPr>
                <w:noProof/>
                <w:webHidden/>
              </w:rPr>
              <w:fldChar w:fldCharType="begin"/>
            </w:r>
            <w:r w:rsidR="003C1892" w:rsidRPr="00F76FE2">
              <w:rPr>
                <w:noProof/>
                <w:webHidden/>
              </w:rPr>
              <w:instrText xml:space="preserve"> PAGEREF _Toc34645068 \h </w:instrText>
            </w:r>
            <w:r w:rsidR="003C1892" w:rsidRPr="00F76FE2">
              <w:rPr>
                <w:noProof/>
                <w:webHidden/>
              </w:rPr>
            </w:r>
            <w:r w:rsidR="003C1892" w:rsidRPr="00F76FE2">
              <w:rPr>
                <w:noProof/>
                <w:webHidden/>
              </w:rPr>
              <w:fldChar w:fldCharType="separate"/>
            </w:r>
            <w:r w:rsidR="007F4851">
              <w:rPr>
                <w:noProof/>
                <w:webHidden/>
              </w:rPr>
              <w:t>10</w:t>
            </w:r>
            <w:r w:rsidR="003C1892" w:rsidRPr="00F76FE2">
              <w:rPr>
                <w:noProof/>
                <w:webHidden/>
              </w:rPr>
              <w:fldChar w:fldCharType="end"/>
            </w:r>
          </w:hyperlink>
        </w:p>
        <w:p w:rsidR="003C1892" w:rsidRPr="00F76FE2" w:rsidRDefault="00592690">
          <w:pPr>
            <w:pStyle w:val="TOC2"/>
            <w:rPr>
              <w:rFonts w:eastAsiaTheme="minorEastAsia"/>
              <w:noProof/>
              <w:lang w:val="en-US"/>
            </w:rPr>
          </w:pPr>
          <w:hyperlink w:anchor="_Toc34645069" w:history="1">
            <w:r w:rsidR="003C1892" w:rsidRPr="00F76FE2">
              <w:rPr>
                <w:rStyle w:val="Hyperlink"/>
                <w:rFonts w:ascii="Cambria" w:hAnsi="Cambria"/>
                <w:noProof/>
              </w:rPr>
              <w:t>5.2.</w:t>
            </w:r>
            <w:r w:rsidR="003C1892" w:rsidRPr="00F76FE2">
              <w:rPr>
                <w:rFonts w:eastAsiaTheme="minorEastAsia"/>
                <w:noProof/>
                <w:lang w:val="en-US"/>
              </w:rPr>
              <w:tab/>
            </w:r>
            <w:r w:rsidR="003C1892" w:rsidRPr="00F76FE2">
              <w:rPr>
                <w:rStyle w:val="Hyperlink"/>
                <w:rFonts w:ascii="Cambria" w:hAnsi="Cambria"/>
                <w:noProof/>
              </w:rPr>
              <w:t>Risqet</w:t>
            </w:r>
            <w:r w:rsidR="003C1892" w:rsidRPr="00F76FE2">
              <w:rPr>
                <w:noProof/>
                <w:webHidden/>
              </w:rPr>
              <w:tab/>
            </w:r>
            <w:r w:rsidR="003C1892" w:rsidRPr="00F76FE2">
              <w:rPr>
                <w:noProof/>
                <w:webHidden/>
              </w:rPr>
              <w:fldChar w:fldCharType="begin"/>
            </w:r>
            <w:r w:rsidR="003C1892" w:rsidRPr="00F76FE2">
              <w:rPr>
                <w:noProof/>
                <w:webHidden/>
              </w:rPr>
              <w:instrText xml:space="preserve"> PAGEREF _Toc34645069 \h </w:instrText>
            </w:r>
            <w:r w:rsidR="003C1892" w:rsidRPr="00F76FE2">
              <w:rPr>
                <w:noProof/>
                <w:webHidden/>
              </w:rPr>
            </w:r>
            <w:r w:rsidR="003C1892" w:rsidRPr="00F76FE2">
              <w:rPr>
                <w:noProof/>
                <w:webHidden/>
              </w:rPr>
              <w:fldChar w:fldCharType="separate"/>
            </w:r>
            <w:r w:rsidR="007F4851">
              <w:rPr>
                <w:noProof/>
                <w:webHidden/>
              </w:rPr>
              <w:t>11</w:t>
            </w:r>
            <w:r w:rsidR="003C1892" w:rsidRPr="00F76FE2">
              <w:rPr>
                <w:noProof/>
                <w:webHidden/>
              </w:rPr>
              <w:fldChar w:fldCharType="end"/>
            </w:r>
          </w:hyperlink>
        </w:p>
        <w:p w:rsidR="003C1892" w:rsidRPr="00F76FE2" w:rsidRDefault="00592690">
          <w:pPr>
            <w:pStyle w:val="TOC1"/>
            <w:rPr>
              <w:rFonts w:asciiTheme="minorHAnsi" w:eastAsiaTheme="minorEastAsia" w:hAnsiTheme="minorHAnsi"/>
              <w:b w:val="0"/>
              <w:lang w:val="en-US"/>
            </w:rPr>
          </w:pPr>
          <w:hyperlink w:anchor="_Toc34645070" w:history="1">
            <w:r w:rsidR="003C1892" w:rsidRPr="00F76FE2">
              <w:rPr>
                <w:rStyle w:val="Hyperlink"/>
              </w:rPr>
              <w:t>6.</w:t>
            </w:r>
            <w:r w:rsidR="003C1892" w:rsidRPr="00F76FE2">
              <w:rPr>
                <w:rFonts w:asciiTheme="minorHAnsi" w:eastAsiaTheme="minorEastAsia" w:hAnsiTheme="minorHAnsi"/>
                <w:b w:val="0"/>
                <w:lang w:val="en-US"/>
              </w:rPr>
              <w:tab/>
            </w:r>
            <w:r w:rsidR="003C1892" w:rsidRPr="00F76FE2">
              <w:rPr>
                <w:rStyle w:val="Hyperlink"/>
              </w:rPr>
              <w:t>Zhvillimet e Tregut Primar të Titujve Shtetërorë</w:t>
            </w:r>
            <w:r w:rsidR="003C1892" w:rsidRPr="00F76FE2">
              <w:rPr>
                <w:webHidden/>
              </w:rPr>
              <w:tab/>
            </w:r>
            <w:r w:rsidR="003C1892" w:rsidRPr="00F76FE2">
              <w:rPr>
                <w:webHidden/>
              </w:rPr>
              <w:fldChar w:fldCharType="begin"/>
            </w:r>
            <w:r w:rsidR="003C1892" w:rsidRPr="00F76FE2">
              <w:rPr>
                <w:webHidden/>
              </w:rPr>
              <w:instrText xml:space="preserve"> PAGEREF _Toc34645070 \h </w:instrText>
            </w:r>
            <w:r w:rsidR="003C1892" w:rsidRPr="00F76FE2">
              <w:rPr>
                <w:webHidden/>
              </w:rPr>
            </w:r>
            <w:r w:rsidR="003C1892" w:rsidRPr="00F76FE2">
              <w:rPr>
                <w:webHidden/>
              </w:rPr>
              <w:fldChar w:fldCharType="separate"/>
            </w:r>
            <w:r w:rsidR="007F4851">
              <w:rPr>
                <w:webHidden/>
              </w:rPr>
              <w:t>13</w:t>
            </w:r>
            <w:r w:rsidR="003C1892" w:rsidRPr="00F76FE2">
              <w:rPr>
                <w:webHidden/>
              </w:rPr>
              <w:fldChar w:fldCharType="end"/>
            </w:r>
          </w:hyperlink>
        </w:p>
        <w:p w:rsidR="003C1892" w:rsidRPr="00F76FE2" w:rsidRDefault="00592690">
          <w:pPr>
            <w:pStyle w:val="TOC2"/>
            <w:rPr>
              <w:rFonts w:eastAsiaTheme="minorEastAsia"/>
              <w:noProof/>
              <w:lang w:val="en-US"/>
            </w:rPr>
          </w:pPr>
          <w:hyperlink w:anchor="_Toc34645071" w:history="1">
            <w:r w:rsidR="003C1892" w:rsidRPr="00F76FE2">
              <w:rPr>
                <w:rStyle w:val="Hyperlink"/>
                <w:rFonts w:ascii="Cambria" w:hAnsi="Cambria"/>
                <w:noProof/>
              </w:rPr>
              <w:t>6.1.</w:t>
            </w:r>
            <w:r w:rsidR="003C1892" w:rsidRPr="00F76FE2">
              <w:rPr>
                <w:rFonts w:eastAsiaTheme="minorEastAsia"/>
                <w:noProof/>
                <w:lang w:val="en-US"/>
              </w:rPr>
              <w:tab/>
            </w:r>
            <w:r w:rsidR="003C1892" w:rsidRPr="00F76FE2">
              <w:rPr>
                <w:rStyle w:val="Hyperlink"/>
                <w:rFonts w:ascii="Cambria" w:hAnsi="Cambria"/>
                <w:noProof/>
              </w:rPr>
              <w:t>Ecuria e ankandeve dhe kërkesa për titujt shtetërorë</w:t>
            </w:r>
            <w:r w:rsidR="003C1892" w:rsidRPr="00F76FE2">
              <w:rPr>
                <w:noProof/>
                <w:webHidden/>
              </w:rPr>
              <w:tab/>
            </w:r>
            <w:r w:rsidR="003C1892" w:rsidRPr="00F76FE2">
              <w:rPr>
                <w:noProof/>
                <w:webHidden/>
              </w:rPr>
              <w:fldChar w:fldCharType="begin"/>
            </w:r>
            <w:r w:rsidR="003C1892" w:rsidRPr="00F76FE2">
              <w:rPr>
                <w:noProof/>
                <w:webHidden/>
              </w:rPr>
              <w:instrText xml:space="preserve"> PAGEREF _Toc34645071 \h </w:instrText>
            </w:r>
            <w:r w:rsidR="003C1892" w:rsidRPr="00F76FE2">
              <w:rPr>
                <w:noProof/>
                <w:webHidden/>
              </w:rPr>
            </w:r>
            <w:r w:rsidR="003C1892" w:rsidRPr="00F76FE2">
              <w:rPr>
                <w:noProof/>
                <w:webHidden/>
              </w:rPr>
              <w:fldChar w:fldCharType="separate"/>
            </w:r>
            <w:r w:rsidR="007F4851">
              <w:rPr>
                <w:noProof/>
                <w:webHidden/>
              </w:rPr>
              <w:t>13</w:t>
            </w:r>
            <w:r w:rsidR="003C1892" w:rsidRPr="00F76FE2">
              <w:rPr>
                <w:noProof/>
                <w:webHidden/>
              </w:rPr>
              <w:fldChar w:fldCharType="end"/>
            </w:r>
          </w:hyperlink>
        </w:p>
        <w:p w:rsidR="003C1892" w:rsidRPr="00F76FE2" w:rsidRDefault="00592690">
          <w:pPr>
            <w:pStyle w:val="TOC2"/>
            <w:rPr>
              <w:rFonts w:eastAsiaTheme="minorEastAsia"/>
              <w:noProof/>
              <w:lang w:val="en-US"/>
            </w:rPr>
          </w:pPr>
          <w:hyperlink w:anchor="_Toc34645072" w:history="1">
            <w:r w:rsidR="003C1892" w:rsidRPr="00F76FE2">
              <w:rPr>
                <w:rStyle w:val="Hyperlink"/>
                <w:rFonts w:ascii="Cambria" w:hAnsi="Cambria"/>
                <w:noProof/>
              </w:rPr>
              <w:t>6.2.</w:t>
            </w:r>
            <w:r w:rsidR="003C1892" w:rsidRPr="00F76FE2">
              <w:rPr>
                <w:rFonts w:eastAsiaTheme="minorEastAsia"/>
                <w:noProof/>
                <w:lang w:val="en-US"/>
              </w:rPr>
              <w:tab/>
            </w:r>
            <w:r w:rsidR="003C1892" w:rsidRPr="00F76FE2">
              <w:rPr>
                <w:rStyle w:val="Hyperlink"/>
                <w:rFonts w:ascii="Cambria" w:hAnsi="Cambria"/>
                <w:noProof/>
              </w:rPr>
              <w:t>Ecuria e normave të interesit</w:t>
            </w:r>
            <w:r w:rsidR="003C1892" w:rsidRPr="00F76FE2">
              <w:rPr>
                <w:noProof/>
                <w:webHidden/>
              </w:rPr>
              <w:tab/>
            </w:r>
            <w:r w:rsidR="003C1892" w:rsidRPr="00F76FE2">
              <w:rPr>
                <w:noProof/>
                <w:webHidden/>
              </w:rPr>
              <w:fldChar w:fldCharType="begin"/>
            </w:r>
            <w:r w:rsidR="003C1892" w:rsidRPr="00F76FE2">
              <w:rPr>
                <w:noProof/>
                <w:webHidden/>
              </w:rPr>
              <w:instrText xml:space="preserve"> PAGEREF _Toc34645072 \h </w:instrText>
            </w:r>
            <w:r w:rsidR="003C1892" w:rsidRPr="00F76FE2">
              <w:rPr>
                <w:noProof/>
                <w:webHidden/>
              </w:rPr>
            </w:r>
            <w:r w:rsidR="003C1892" w:rsidRPr="00F76FE2">
              <w:rPr>
                <w:noProof/>
                <w:webHidden/>
              </w:rPr>
              <w:fldChar w:fldCharType="separate"/>
            </w:r>
            <w:r w:rsidR="007F4851">
              <w:rPr>
                <w:noProof/>
                <w:webHidden/>
              </w:rPr>
              <w:t>14</w:t>
            </w:r>
            <w:r w:rsidR="003C1892" w:rsidRPr="00F76FE2">
              <w:rPr>
                <w:noProof/>
                <w:webHidden/>
              </w:rPr>
              <w:fldChar w:fldCharType="end"/>
            </w:r>
          </w:hyperlink>
        </w:p>
        <w:p w:rsidR="003C1892" w:rsidRPr="00F76FE2" w:rsidRDefault="00592690">
          <w:pPr>
            <w:pStyle w:val="TOC1"/>
            <w:rPr>
              <w:rFonts w:asciiTheme="minorHAnsi" w:eastAsiaTheme="minorEastAsia" w:hAnsiTheme="minorHAnsi"/>
              <w:b w:val="0"/>
              <w:lang w:val="en-US"/>
            </w:rPr>
          </w:pPr>
          <w:hyperlink w:anchor="_Toc34645073" w:history="1">
            <w:r w:rsidR="003C1892" w:rsidRPr="00F76FE2">
              <w:rPr>
                <w:rStyle w:val="Hyperlink"/>
                <w:rFonts w:eastAsia="Times New Roman" w:cstheme="majorBidi"/>
              </w:rPr>
              <w:t>ANEKSI I</w:t>
            </w:r>
            <w:r w:rsidR="0077198B" w:rsidRPr="00F76FE2">
              <w:rPr>
                <w:rStyle w:val="Hyperlink"/>
                <w:rFonts w:eastAsia="Times New Roman" w:cstheme="majorBidi"/>
              </w:rPr>
              <w:t xml:space="preserve">    (Akronime dhe Fjalor Shpjegues)</w:t>
            </w:r>
            <w:r w:rsidR="003C1892" w:rsidRPr="00F76FE2">
              <w:rPr>
                <w:webHidden/>
              </w:rPr>
              <w:tab/>
            </w:r>
            <w:r w:rsidR="003C1892" w:rsidRPr="00F76FE2">
              <w:rPr>
                <w:webHidden/>
              </w:rPr>
              <w:fldChar w:fldCharType="begin"/>
            </w:r>
            <w:r w:rsidR="003C1892" w:rsidRPr="00F76FE2">
              <w:rPr>
                <w:webHidden/>
              </w:rPr>
              <w:instrText xml:space="preserve"> PAGEREF _Toc34645073 \h </w:instrText>
            </w:r>
            <w:r w:rsidR="003C1892" w:rsidRPr="00F76FE2">
              <w:rPr>
                <w:webHidden/>
              </w:rPr>
            </w:r>
            <w:r w:rsidR="003C1892" w:rsidRPr="00F76FE2">
              <w:rPr>
                <w:webHidden/>
              </w:rPr>
              <w:fldChar w:fldCharType="separate"/>
            </w:r>
            <w:r w:rsidR="007F4851">
              <w:rPr>
                <w:webHidden/>
              </w:rPr>
              <w:t>16</w:t>
            </w:r>
            <w:r w:rsidR="003C1892" w:rsidRPr="00F76FE2">
              <w:rPr>
                <w:webHidden/>
              </w:rPr>
              <w:fldChar w:fldCharType="end"/>
            </w:r>
          </w:hyperlink>
        </w:p>
        <w:p w:rsidR="003C1892" w:rsidRPr="00F76FE2" w:rsidRDefault="00592690">
          <w:pPr>
            <w:pStyle w:val="TOC1"/>
            <w:rPr>
              <w:rFonts w:asciiTheme="minorHAnsi" w:eastAsiaTheme="minorEastAsia" w:hAnsiTheme="minorHAnsi"/>
              <w:b w:val="0"/>
              <w:lang w:val="en-US"/>
            </w:rPr>
          </w:pPr>
          <w:hyperlink w:anchor="_Toc34645075" w:history="1">
            <w:r w:rsidR="003C1892" w:rsidRPr="00F76FE2">
              <w:rPr>
                <w:rStyle w:val="Hyperlink"/>
                <w:rFonts w:eastAsia="Times New Roman" w:cstheme="majorBidi"/>
              </w:rPr>
              <w:t>ANEKSI II</w:t>
            </w:r>
            <w:r w:rsidR="0077198B" w:rsidRPr="00F76FE2">
              <w:rPr>
                <w:rStyle w:val="Hyperlink"/>
                <w:rFonts w:eastAsia="Times New Roman" w:cstheme="majorBidi"/>
              </w:rPr>
              <w:t xml:space="preserve">  (Të Dhëna </w:t>
            </w:r>
            <w:r w:rsidR="000F3D66" w:rsidRPr="00F76FE2">
              <w:rPr>
                <w:rStyle w:val="Hyperlink"/>
                <w:rFonts w:eastAsia="Times New Roman" w:cstheme="majorBidi"/>
              </w:rPr>
              <w:t>Shtesë</w:t>
            </w:r>
            <w:r w:rsidR="0077198B" w:rsidRPr="00F76FE2">
              <w:rPr>
                <w:rStyle w:val="Hyperlink"/>
                <w:rFonts w:eastAsia="Times New Roman" w:cstheme="majorBidi"/>
              </w:rPr>
              <w:t>)</w:t>
            </w:r>
            <w:r w:rsidR="003C1892" w:rsidRPr="00F76FE2">
              <w:rPr>
                <w:webHidden/>
              </w:rPr>
              <w:tab/>
            </w:r>
            <w:r w:rsidR="003C1892" w:rsidRPr="00F76FE2">
              <w:rPr>
                <w:webHidden/>
              </w:rPr>
              <w:fldChar w:fldCharType="begin"/>
            </w:r>
            <w:r w:rsidR="003C1892" w:rsidRPr="00F76FE2">
              <w:rPr>
                <w:webHidden/>
              </w:rPr>
              <w:instrText xml:space="preserve"> PAGEREF _Toc34645075 \h </w:instrText>
            </w:r>
            <w:r w:rsidR="003C1892" w:rsidRPr="00F76FE2">
              <w:rPr>
                <w:webHidden/>
              </w:rPr>
            </w:r>
            <w:r w:rsidR="003C1892" w:rsidRPr="00F76FE2">
              <w:rPr>
                <w:webHidden/>
              </w:rPr>
              <w:fldChar w:fldCharType="separate"/>
            </w:r>
            <w:r w:rsidR="007F4851">
              <w:rPr>
                <w:webHidden/>
              </w:rPr>
              <w:t>20</w:t>
            </w:r>
            <w:r w:rsidR="003C1892" w:rsidRPr="00F76FE2">
              <w:rPr>
                <w:webHidden/>
              </w:rPr>
              <w:fldChar w:fldCharType="end"/>
            </w:r>
          </w:hyperlink>
        </w:p>
        <w:p w:rsidR="00506686" w:rsidRPr="00F76FE2" w:rsidRDefault="00506686" w:rsidP="00FC2F2F">
          <w:pPr>
            <w:ind w:right="-46"/>
            <w:rPr>
              <w:sz w:val="24"/>
              <w:szCs w:val="24"/>
            </w:rPr>
          </w:pPr>
          <w:r w:rsidRPr="00F76FE2">
            <w:rPr>
              <w:rFonts w:ascii="Cambria" w:hAnsi="Cambria" w:cs="Times New Roman"/>
              <w:b/>
              <w:bCs/>
              <w:noProof/>
              <w:sz w:val="20"/>
              <w:szCs w:val="20"/>
            </w:rPr>
            <w:fldChar w:fldCharType="end"/>
          </w:r>
        </w:p>
      </w:sdtContent>
    </w:sdt>
    <w:p w:rsidR="00F6252F" w:rsidRPr="00F76FE2" w:rsidRDefault="00F6252F" w:rsidP="00FC2F2F">
      <w:pPr>
        <w:ind w:right="-46"/>
        <w:rPr>
          <w:rFonts w:ascii="Times New Roman" w:hAnsi="Times New Roman" w:cs="Times New Roman"/>
          <w:b/>
          <w:sz w:val="24"/>
          <w:szCs w:val="24"/>
        </w:rPr>
      </w:pPr>
    </w:p>
    <w:p w:rsidR="00F6252F" w:rsidRPr="00F76FE2" w:rsidRDefault="00F6252F" w:rsidP="00FC2F2F">
      <w:pPr>
        <w:ind w:right="-46"/>
        <w:rPr>
          <w:rFonts w:ascii="Times New Roman" w:hAnsi="Times New Roman" w:cs="Times New Roman"/>
          <w:b/>
          <w:sz w:val="24"/>
          <w:szCs w:val="24"/>
        </w:rPr>
      </w:pPr>
    </w:p>
    <w:p w:rsidR="00F6252F" w:rsidRPr="00F76FE2" w:rsidRDefault="00F6252F" w:rsidP="00FC2F2F">
      <w:pPr>
        <w:ind w:right="-46"/>
        <w:rPr>
          <w:rFonts w:ascii="Times New Roman" w:hAnsi="Times New Roman" w:cs="Times New Roman"/>
          <w:b/>
          <w:sz w:val="24"/>
          <w:szCs w:val="24"/>
        </w:rPr>
      </w:pPr>
    </w:p>
    <w:p w:rsidR="00F6252F" w:rsidRPr="00F76FE2" w:rsidRDefault="00F6252F" w:rsidP="00FC2F2F">
      <w:pPr>
        <w:ind w:right="-46"/>
        <w:rPr>
          <w:rFonts w:ascii="Times New Roman" w:hAnsi="Times New Roman" w:cs="Times New Roman"/>
          <w:b/>
          <w:sz w:val="24"/>
          <w:szCs w:val="24"/>
        </w:rPr>
      </w:pPr>
    </w:p>
    <w:p w:rsidR="00F6252F" w:rsidRPr="00F76FE2" w:rsidRDefault="00F6252F" w:rsidP="00FC2F2F">
      <w:pPr>
        <w:ind w:right="-46"/>
        <w:rPr>
          <w:rFonts w:ascii="Times New Roman" w:hAnsi="Times New Roman" w:cs="Times New Roman"/>
          <w:b/>
          <w:sz w:val="24"/>
          <w:szCs w:val="24"/>
        </w:rPr>
      </w:pPr>
    </w:p>
    <w:p w:rsidR="00F6252F" w:rsidRPr="00F76FE2" w:rsidRDefault="00F6252F" w:rsidP="00FC2F2F">
      <w:pPr>
        <w:ind w:right="-46"/>
        <w:rPr>
          <w:rFonts w:ascii="Times New Roman" w:hAnsi="Times New Roman" w:cs="Times New Roman"/>
          <w:b/>
          <w:sz w:val="24"/>
          <w:szCs w:val="24"/>
        </w:rPr>
      </w:pPr>
    </w:p>
    <w:p w:rsidR="00F6252F" w:rsidRPr="00F76FE2" w:rsidRDefault="00F6252F" w:rsidP="00FC2F2F">
      <w:pPr>
        <w:ind w:right="-46"/>
        <w:rPr>
          <w:rFonts w:ascii="Times New Roman" w:hAnsi="Times New Roman" w:cs="Times New Roman"/>
          <w:b/>
          <w:sz w:val="24"/>
          <w:szCs w:val="24"/>
        </w:rPr>
      </w:pPr>
    </w:p>
    <w:p w:rsidR="00F6252F" w:rsidRPr="00F76FE2" w:rsidRDefault="00F6252F" w:rsidP="00FC2F2F">
      <w:pPr>
        <w:ind w:right="-46"/>
        <w:rPr>
          <w:rFonts w:ascii="Times New Roman" w:hAnsi="Times New Roman" w:cs="Times New Roman"/>
          <w:b/>
          <w:sz w:val="24"/>
          <w:szCs w:val="24"/>
        </w:rPr>
      </w:pPr>
    </w:p>
    <w:p w:rsidR="00F6252F" w:rsidRPr="00F76FE2" w:rsidRDefault="00F6252F" w:rsidP="00FC2F2F">
      <w:pPr>
        <w:ind w:right="-46"/>
        <w:rPr>
          <w:rFonts w:ascii="Times New Roman" w:hAnsi="Times New Roman" w:cs="Times New Roman"/>
          <w:b/>
          <w:sz w:val="24"/>
          <w:szCs w:val="24"/>
        </w:rPr>
      </w:pPr>
    </w:p>
    <w:p w:rsidR="00326334" w:rsidRPr="00F76FE2" w:rsidRDefault="00326334" w:rsidP="00FC2F2F">
      <w:pPr>
        <w:ind w:right="-46"/>
        <w:rPr>
          <w:rFonts w:ascii="Times New Roman" w:hAnsi="Times New Roman" w:cs="Times New Roman"/>
          <w:b/>
          <w:sz w:val="24"/>
          <w:szCs w:val="24"/>
        </w:rPr>
      </w:pPr>
    </w:p>
    <w:p w:rsidR="00326334" w:rsidRPr="00F76FE2" w:rsidRDefault="00326334" w:rsidP="00FC2F2F">
      <w:pPr>
        <w:ind w:right="-46"/>
        <w:rPr>
          <w:rFonts w:ascii="Times New Roman" w:hAnsi="Times New Roman" w:cs="Times New Roman"/>
          <w:b/>
          <w:sz w:val="24"/>
          <w:szCs w:val="24"/>
        </w:rPr>
      </w:pPr>
    </w:p>
    <w:p w:rsidR="00E340A0" w:rsidRPr="00F76FE2" w:rsidRDefault="00E340A0" w:rsidP="00FC2F2F">
      <w:pPr>
        <w:ind w:right="-46"/>
        <w:rPr>
          <w:rFonts w:ascii="Times New Roman" w:hAnsi="Times New Roman" w:cs="Times New Roman"/>
          <w:b/>
          <w:sz w:val="24"/>
          <w:szCs w:val="24"/>
        </w:rPr>
      </w:pPr>
    </w:p>
    <w:p w:rsidR="003E7CEF" w:rsidRPr="00F76FE2" w:rsidRDefault="003E7CEF" w:rsidP="00FC2F2F">
      <w:pPr>
        <w:ind w:right="-46"/>
      </w:pPr>
    </w:p>
    <w:p w:rsidR="00F6252F" w:rsidRPr="00F76FE2" w:rsidRDefault="00492B91" w:rsidP="00FC2F2F">
      <w:pPr>
        <w:pStyle w:val="Heading1"/>
        <w:spacing w:before="0"/>
        <w:ind w:right="-46"/>
        <w:jc w:val="center"/>
        <w:rPr>
          <w:rFonts w:ascii="Cambria" w:hAnsi="Cambria"/>
          <w:sz w:val="24"/>
        </w:rPr>
      </w:pPr>
      <w:bookmarkStart w:id="0" w:name="_Toc34645060"/>
      <w:r w:rsidRPr="00F76FE2">
        <w:rPr>
          <w:rFonts w:ascii="Cambria" w:hAnsi="Cambria"/>
          <w:sz w:val="24"/>
        </w:rPr>
        <w:lastRenderedPageBreak/>
        <w:t>PËRMBLEDHJE</w:t>
      </w:r>
      <w:bookmarkEnd w:id="0"/>
    </w:p>
    <w:p w:rsidR="00B633CB" w:rsidRPr="00F76FE2" w:rsidRDefault="00B633CB" w:rsidP="00FC2F2F">
      <w:pPr>
        <w:shd w:val="clear" w:color="auto" w:fill="FFFFFF"/>
        <w:tabs>
          <w:tab w:val="left" w:pos="8647"/>
          <w:tab w:val="left" w:pos="8789"/>
        </w:tabs>
        <w:spacing w:after="0" w:line="276" w:lineRule="auto"/>
        <w:ind w:right="-46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ja-JP"/>
        </w:rPr>
      </w:pPr>
    </w:p>
    <w:p w:rsidR="00640A13" w:rsidRPr="00F76FE2" w:rsidRDefault="00640A13" w:rsidP="00B92540">
      <w:pPr>
        <w:shd w:val="clear" w:color="auto" w:fill="FFFFFF"/>
        <w:tabs>
          <w:tab w:val="left" w:pos="8647"/>
          <w:tab w:val="left" w:pos="8789"/>
        </w:tabs>
        <w:spacing w:after="0" w:line="276" w:lineRule="auto"/>
        <w:ind w:right="-46"/>
        <w:jc w:val="both"/>
        <w:rPr>
          <w:rFonts w:ascii="Times New Roman" w:eastAsia="Calibri" w:hAnsi="Times New Roman" w:cs="Times New Roman"/>
          <w:i/>
          <w:noProof/>
          <w:sz w:val="24"/>
          <w:szCs w:val="24"/>
          <w:lang w:eastAsia="ja-JP"/>
        </w:rPr>
      </w:pPr>
      <w:r w:rsidRPr="00F76FE2"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  <w:t xml:space="preserve">Borxhi publik vitit 2019 përgjithësisht u karakterizua nga një ecuri pozitive, duke qenë në përputhje me objektivat makro-fiskale, buxhetin e planifikuar për vitin 2019 dhe objektivat e Strategjisë Afatmesme të Menaxhimit të Borxhit </w:t>
      </w:r>
      <w:r w:rsidRPr="00F76FE2">
        <w:rPr>
          <w:rFonts w:ascii="Times New Roman" w:eastAsia="Calibri" w:hAnsi="Times New Roman" w:cs="Times New Roman"/>
          <w:i/>
          <w:noProof/>
          <w:sz w:val="24"/>
          <w:szCs w:val="24"/>
          <w:lang w:eastAsia="ja-JP"/>
        </w:rPr>
        <w:t>(SAMB).</w:t>
      </w:r>
    </w:p>
    <w:p w:rsidR="00640A13" w:rsidRPr="00F76FE2" w:rsidRDefault="00640A13" w:rsidP="00B92540">
      <w:pPr>
        <w:shd w:val="clear" w:color="auto" w:fill="FFFFFF"/>
        <w:tabs>
          <w:tab w:val="left" w:pos="8647"/>
          <w:tab w:val="left" w:pos="8789"/>
        </w:tabs>
        <w:spacing w:after="0" w:line="276" w:lineRule="auto"/>
        <w:ind w:right="-46"/>
        <w:jc w:val="both"/>
        <w:rPr>
          <w:rFonts w:ascii="Times New Roman" w:eastAsia="Calibri" w:hAnsi="Times New Roman" w:cs="Times New Roman"/>
          <w:i/>
          <w:noProof/>
          <w:sz w:val="20"/>
          <w:szCs w:val="24"/>
          <w:lang w:eastAsia="ja-JP"/>
        </w:rPr>
      </w:pPr>
    </w:p>
    <w:p w:rsidR="00640A13" w:rsidRPr="00F76FE2" w:rsidRDefault="00640A13" w:rsidP="00B92540">
      <w:pPr>
        <w:shd w:val="clear" w:color="auto" w:fill="FFFFFF"/>
        <w:tabs>
          <w:tab w:val="left" w:pos="8647"/>
          <w:tab w:val="left" w:pos="8789"/>
        </w:tabs>
        <w:spacing w:after="0" w:line="276" w:lineRule="auto"/>
        <w:ind w:right="-46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</w:pPr>
      <w:r w:rsidRPr="00F76FE2"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  <w:t>Në përputhje me objektivat makro-fiskale, niveli i borxhit publik në raport me PBB</w:t>
      </w:r>
      <w:r w:rsidRPr="00F76FE2">
        <w:rPr>
          <w:rStyle w:val="FootnoteReference"/>
          <w:rFonts w:ascii="Times New Roman" w:eastAsia="Calibri" w:hAnsi="Times New Roman" w:cs="Times New Roman"/>
          <w:noProof/>
          <w:sz w:val="24"/>
          <w:szCs w:val="24"/>
          <w:lang w:eastAsia="ja-JP"/>
        </w:rPr>
        <w:footnoteReference w:id="1"/>
      </w:r>
      <w:r w:rsidRPr="00F76FE2"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  <w:t xml:space="preserve"> për të katërtin vit radhazi u vlerësua me rënie</w:t>
      </w:r>
      <w:r w:rsidRPr="00F76FE2">
        <w:rPr>
          <w:rFonts w:ascii="Times New Roman" w:eastAsia="Calibri" w:hAnsi="Times New Roman" w:cs="Times New Roman"/>
          <w:i/>
          <w:iCs/>
          <w:noProof/>
          <w:sz w:val="24"/>
          <w:szCs w:val="24"/>
          <w:lang w:eastAsia="ja-JP"/>
        </w:rPr>
        <w:t xml:space="preserve">. </w:t>
      </w:r>
      <w:r w:rsidRPr="00F76FE2"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  <w:t>Vlerësimet paraprake sinjalizojnë një rënie të borxhit publik në raport me PBB me rreth 2.0 pikë përqindje.</w:t>
      </w:r>
    </w:p>
    <w:p w:rsidR="00640A13" w:rsidRPr="00F76FE2" w:rsidRDefault="00640A13" w:rsidP="00B92540">
      <w:pPr>
        <w:shd w:val="clear" w:color="auto" w:fill="FFFFFF"/>
        <w:tabs>
          <w:tab w:val="left" w:pos="8647"/>
          <w:tab w:val="left" w:pos="8789"/>
        </w:tabs>
        <w:spacing w:after="0" w:line="276" w:lineRule="auto"/>
        <w:ind w:right="-46"/>
        <w:jc w:val="both"/>
        <w:rPr>
          <w:rFonts w:ascii="Times New Roman" w:eastAsia="Calibri" w:hAnsi="Times New Roman" w:cs="Times New Roman"/>
          <w:noProof/>
          <w:sz w:val="20"/>
          <w:szCs w:val="24"/>
          <w:lang w:eastAsia="ja-JP"/>
        </w:rPr>
      </w:pPr>
    </w:p>
    <w:p w:rsidR="00640A13" w:rsidRPr="00F76FE2" w:rsidRDefault="00640A13" w:rsidP="00B92540">
      <w:pPr>
        <w:shd w:val="clear" w:color="auto" w:fill="FFFFFF"/>
        <w:tabs>
          <w:tab w:val="left" w:pos="8647"/>
          <w:tab w:val="left" w:pos="8789"/>
        </w:tabs>
        <w:spacing w:after="0" w:line="276" w:lineRule="auto"/>
        <w:ind w:right="-46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</w:pPr>
      <w:r w:rsidRPr="00F76FE2"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  <w:t>Në linjë me nevojat buxhetore u realizua me sukses huamarrja, e cila mundësoi rifinancimin e borxhit ekzistues dhe financimin e pjessh</w:t>
      </w:r>
      <w:r w:rsidR="00A70F29" w:rsidRPr="00F76FE2"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  <w:t>ë</w:t>
      </w:r>
      <w:r w:rsidRPr="00F76FE2"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  <w:t>m t</w:t>
      </w:r>
      <w:r w:rsidR="00A70F29" w:rsidRPr="00F76FE2"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  <w:t>ë</w:t>
      </w:r>
      <w:r w:rsidRPr="00F76FE2"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  <w:t xml:space="preserve"> deficitit buxhetor të planifikuar për vitin 2019. Huamarrja u realizua nëpërmjet burimeve të brendshme dhe burimeve të huaja, përkatësisht në nivelin 73.2% dhe 118.8% të planit vjetor</w:t>
      </w:r>
      <w:r w:rsidRPr="00F76FE2">
        <w:rPr>
          <w:rStyle w:val="FootnoteReference"/>
          <w:rFonts w:ascii="Times New Roman" w:eastAsia="Calibri" w:hAnsi="Times New Roman" w:cs="Times New Roman"/>
          <w:noProof/>
          <w:sz w:val="24"/>
          <w:szCs w:val="24"/>
          <w:lang w:eastAsia="ja-JP"/>
        </w:rPr>
        <w:footnoteReference w:id="2"/>
      </w:r>
      <w:r w:rsidRPr="00F76FE2"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  <w:t xml:space="preserve">. </w:t>
      </w:r>
    </w:p>
    <w:p w:rsidR="00640A13" w:rsidRPr="00F76FE2" w:rsidRDefault="00640A13" w:rsidP="00B92540">
      <w:pPr>
        <w:shd w:val="clear" w:color="auto" w:fill="FFFFFF"/>
        <w:tabs>
          <w:tab w:val="left" w:pos="8647"/>
          <w:tab w:val="left" w:pos="8789"/>
        </w:tabs>
        <w:spacing w:after="0" w:line="276" w:lineRule="auto"/>
        <w:ind w:right="-46"/>
        <w:jc w:val="both"/>
        <w:rPr>
          <w:rFonts w:ascii="Times New Roman" w:eastAsia="Calibri" w:hAnsi="Times New Roman" w:cs="Times New Roman"/>
          <w:noProof/>
          <w:sz w:val="20"/>
          <w:szCs w:val="24"/>
          <w:lang w:eastAsia="ja-JP"/>
        </w:rPr>
      </w:pPr>
    </w:p>
    <w:p w:rsidR="00640A13" w:rsidRPr="00F76FE2" w:rsidRDefault="00640A13" w:rsidP="00B92540">
      <w:pPr>
        <w:shd w:val="clear" w:color="auto" w:fill="FFFFFF"/>
        <w:tabs>
          <w:tab w:val="left" w:pos="8647"/>
          <w:tab w:val="left" w:pos="8789"/>
        </w:tabs>
        <w:spacing w:after="0" w:line="276" w:lineRule="auto"/>
        <w:ind w:right="-46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</w:pPr>
      <w:r w:rsidRPr="00F76FE2"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  <w:t xml:space="preserve">Në përputhje me objektivat e Strategjisë Afatmesme të Menaxhimit të Borxhit, gjatë vitit 2019 u menaxhua reduktimi i mëtejshëm </w:t>
      </w:r>
      <w:r w:rsidR="002F40DB"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  <w:t>i</w:t>
      </w:r>
      <w:r w:rsidRPr="00F76FE2"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  <w:t xml:space="preserve"> ekspozimit ndaj risqeve të borxhit të brendshëm në raport me kostot, si edhe u vijua me aktivitete në drejtim të zhvillimit të tregut të titujve shtetërorë.</w:t>
      </w:r>
    </w:p>
    <w:p w:rsidR="00640A13" w:rsidRPr="00F76FE2" w:rsidRDefault="00640A13" w:rsidP="00B92540">
      <w:pPr>
        <w:shd w:val="clear" w:color="auto" w:fill="FFFFFF"/>
        <w:tabs>
          <w:tab w:val="left" w:pos="8647"/>
          <w:tab w:val="left" w:pos="8789"/>
        </w:tabs>
        <w:spacing w:after="0" w:line="276" w:lineRule="auto"/>
        <w:ind w:right="-46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</w:pPr>
      <w:r w:rsidRPr="00F76FE2"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  <w:t>Në portofolin e borxhit të brendshëm është ulur pesha e borxhit që maturohet brenda një viti dhe pesha e titujve me norma interesi të ndryshueshme, duke mundësuar reduktimin e ekspozimit ndaj riskut të rifinancimit dhe atij të normave të interesit.</w:t>
      </w:r>
    </w:p>
    <w:p w:rsidR="00640A13" w:rsidRPr="00F76FE2" w:rsidRDefault="00640A13" w:rsidP="00B92540">
      <w:pPr>
        <w:tabs>
          <w:tab w:val="left" w:pos="8647"/>
          <w:tab w:val="left" w:pos="8789"/>
        </w:tabs>
        <w:spacing w:after="0" w:line="276" w:lineRule="auto"/>
        <w:ind w:right="-46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</w:pPr>
      <w:r w:rsidRPr="00F76FE2"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  <w:t xml:space="preserve">Kosto mesatare e portofolit të borxhit ka vijuar të ulet edhe përgjatë këtij viti, kryesisht ndikuar nga rënia e mëtejshme e normave të interesit në tregun e brendshëm të titujve shtetërorë. </w:t>
      </w:r>
    </w:p>
    <w:p w:rsidR="00640A13" w:rsidRPr="00F76FE2" w:rsidRDefault="00640A13" w:rsidP="00B92540">
      <w:pPr>
        <w:tabs>
          <w:tab w:val="left" w:pos="8647"/>
          <w:tab w:val="left" w:pos="8789"/>
        </w:tabs>
        <w:spacing w:after="0" w:line="276" w:lineRule="auto"/>
        <w:ind w:right="-46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</w:pPr>
      <w:r w:rsidRPr="00F76FE2"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  <w:t xml:space="preserve">Në vazhdim të angazhimit të ndërmarrë në lidhje me përmirësimin e mëtejshëm të tregut primar dhe zhvillimin e tregut sekondar të titujve shtetërorë, përgjatë vitit 2019 është vijuar me praktikat që kontribuojnë në krijimin e madhësive referencë dhe konsolidimin e kurbës së </w:t>
      </w:r>
      <w:r w:rsidRPr="00F76FE2">
        <w:rPr>
          <w:rFonts w:ascii="Times New Roman" w:eastAsia="Calibri" w:hAnsi="Times New Roman" w:cs="Times New Roman"/>
          <w:i/>
          <w:noProof/>
          <w:sz w:val="24"/>
          <w:szCs w:val="24"/>
          <w:lang w:eastAsia="ja-JP"/>
        </w:rPr>
        <w:t>yield-it</w:t>
      </w:r>
      <w:r w:rsidRPr="00F76FE2"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  <w:t xml:space="preserve"> në segmentin e titujve shtetërorë afatmesëm dhe afatgjatë. Në këtë drejtim vlen të përmendet vijimi me Projektin Pilot për emetimin e obligacionit 5 vjeçar referencë dhe shtrirja e këtij projekti edhe tek obligacioni 3 vjeçar.</w:t>
      </w:r>
    </w:p>
    <w:p w:rsidR="00640A13" w:rsidRPr="00F76FE2" w:rsidRDefault="00640A13" w:rsidP="00B92540">
      <w:pPr>
        <w:tabs>
          <w:tab w:val="left" w:pos="8647"/>
          <w:tab w:val="left" w:pos="8789"/>
        </w:tabs>
        <w:spacing w:after="0" w:line="276" w:lineRule="auto"/>
        <w:ind w:right="-46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</w:pPr>
    </w:p>
    <w:p w:rsidR="00640A13" w:rsidRPr="00F76FE2" w:rsidRDefault="00640A13" w:rsidP="00B92540">
      <w:pPr>
        <w:tabs>
          <w:tab w:val="left" w:pos="8647"/>
          <w:tab w:val="left" w:pos="8789"/>
        </w:tabs>
        <w:spacing w:after="0" w:line="276" w:lineRule="auto"/>
        <w:ind w:right="-46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ja-JP"/>
        </w:rPr>
      </w:pPr>
      <w:r w:rsidRPr="00F76FE2">
        <w:rPr>
          <w:rFonts w:ascii="Times New Roman" w:hAnsi="Times New Roman" w:cs="Times New Roman"/>
          <w:noProof/>
          <w:sz w:val="24"/>
          <w:szCs w:val="23"/>
        </w:rPr>
        <w:t>Për sa i përket zhvillimeve në tregun primar, kërkesa për tituj shtetërorë, megjithëse mbetet ende jo shumë e diversifikuar dhe e bazuar kryesisht tek sektori bankar, gjatë vitit 2019 ka qenë e kënaqshme dhe ka mbuluar plotësisht nevojat e qeverisë për huamarrje të brendshme.</w:t>
      </w:r>
    </w:p>
    <w:p w:rsidR="00640A13" w:rsidRPr="00F76FE2" w:rsidRDefault="00640A13" w:rsidP="00B92540">
      <w:pPr>
        <w:shd w:val="clear" w:color="auto" w:fill="FFFFFF"/>
        <w:tabs>
          <w:tab w:val="left" w:pos="8647"/>
          <w:tab w:val="left" w:pos="8789"/>
        </w:tabs>
        <w:spacing w:after="0" w:line="276" w:lineRule="auto"/>
        <w:ind w:right="-46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</w:pPr>
      <w:r w:rsidRPr="00F76FE2"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  <w:t xml:space="preserve">Gjatë vitit 2020 dhe në vijim, menaxhimi i borxhit do të ketë në fokus përmirësimin e mëtejshëm të strukturës së borxhit </w:t>
      </w:r>
      <w:r w:rsidRPr="00F76FE2">
        <w:rPr>
          <w:rFonts w:ascii="Times New Roman" w:eastAsia="Calibri" w:hAnsi="Times New Roman" w:cs="Times New Roman"/>
          <w:i/>
          <w:noProof/>
          <w:sz w:val="24"/>
          <w:szCs w:val="24"/>
          <w:lang w:eastAsia="ja-JP"/>
        </w:rPr>
        <w:t>(kryesisht strukturën e portofolit të borxhit të brendshëm)</w:t>
      </w:r>
      <w:r w:rsidRPr="00F76FE2"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  <w:t xml:space="preserve"> në drejtim të uljes së ekspozimit ndaj risqeve, si edhe mbajtjes nën kontroll të kostove. </w:t>
      </w:r>
    </w:p>
    <w:p w:rsidR="00640A13" w:rsidRPr="00F76FE2" w:rsidRDefault="00640A13" w:rsidP="00B92540">
      <w:pPr>
        <w:shd w:val="clear" w:color="auto" w:fill="FFFFFF"/>
        <w:tabs>
          <w:tab w:val="left" w:pos="8647"/>
          <w:tab w:val="left" w:pos="8789"/>
        </w:tabs>
        <w:spacing w:after="0" w:line="276" w:lineRule="auto"/>
        <w:ind w:right="-46"/>
        <w:jc w:val="both"/>
        <w:rPr>
          <w:rFonts w:ascii="Times New Roman" w:eastAsia="SimSun" w:hAnsi="Times New Roman" w:cs="Times New Roman"/>
          <w:noProof/>
          <w:sz w:val="24"/>
          <w:szCs w:val="24"/>
        </w:rPr>
      </w:pPr>
      <w:r w:rsidRPr="00F76FE2">
        <w:rPr>
          <w:rFonts w:ascii="Times New Roman" w:eastAsia="SimSun" w:hAnsi="Times New Roman" w:cs="Times New Roman"/>
          <w:noProof/>
          <w:sz w:val="24"/>
          <w:szCs w:val="24"/>
        </w:rPr>
        <w:t xml:space="preserve">Në tregun e brendshëm, nëpërmjet titujve afatshkurtër kryesisht do të synohet rifinancimi i titujve ekzistues, si dhe menaxhimi i nevojave për likuiditet. Ndërkohë, nëpërmjet titujve afatgjatë do të synohet të realizohet huamarrja e re e planifikuar. </w:t>
      </w:r>
    </w:p>
    <w:p w:rsidR="00640A13" w:rsidRPr="00F76FE2" w:rsidRDefault="00640A13" w:rsidP="00B92540">
      <w:pPr>
        <w:shd w:val="clear" w:color="auto" w:fill="FFFFFF"/>
        <w:tabs>
          <w:tab w:val="left" w:pos="8647"/>
          <w:tab w:val="left" w:pos="8789"/>
        </w:tabs>
        <w:spacing w:after="0" w:line="276" w:lineRule="auto"/>
        <w:ind w:right="-46"/>
        <w:jc w:val="both"/>
        <w:rPr>
          <w:rFonts w:ascii="Times New Roman" w:eastAsia="SimSun" w:hAnsi="Times New Roman" w:cs="Times New Roman"/>
          <w:noProof/>
          <w:sz w:val="24"/>
          <w:szCs w:val="24"/>
        </w:rPr>
      </w:pPr>
    </w:p>
    <w:p w:rsidR="00640A13" w:rsidRPr="00F76FE2" w:rsidRDefault="004B7B88" w:rsidP="00B92540">
      <w:pPr>
        <w:shd w:val="clear" w:color="auto" w:fill="FFFFFF"/>
        <w:tabs>
          <w:tab w:val="left" w:pos="8647"/>
          <w:tab w:val="left" w:pos="8789"/>
        </w:tabs>
        <w:spacing w:after="0" w:line="276" w:lineRule="auto"/>
        <w:ind w:right="-46"/>
        <w:jc w:val="both"/>
        <w:rPr>
          <w:rFonts w:ascii="Times New Roman" w:eastAsia="SimSun" w:hAnsi="Times New Roman" w:cs="Times New Roman"/>
          <w:noProof/>
          <w:sz w:val="24"/>
          <w:szCs w:val="24"/>
        </w:rPr>
      </w:pPr>
      <w:bookmarkStart w:id="1" w:name="_GoBack"/>
      <w:r>
        <w:rPr>
          <w:rFonts w:ascii="Times New Roman" w:eastAsia="SimSun" w:hAnsi="Times New Roman" w:cs="Times New Roman"/>
          <w:noProof/>
          <w:sz w:val="24"/>
          <w:szCs w:val="24"/>
        </w:rPr>
        <w:lastRenderedPageBreak/>
        <w:t>Huamarrja nëpërmjet buri</w:t>
      </w:r>
      <w:r w:rsidR="00640A13" w:rsidRPr="00F76FE2">
        <w:rPr>
          <w:rFonts w:ascii="Times New Roman" w:eastAsia="SimSun" w:hAnsi="Times New Roman" w:cs="Times New Roman"/>
          <w:noProof/>
          <w:sz w:val="24"/>
          <w:szCs w:val="24"/>
        </w:rPr>
        <w:t>meve të huaja do të shërbejë si plotësues i burimeve të brendshme, duke kontribuar në uljen e presionit për hua në tregun e brendshëm, optimizimin e kostos së borxhit, si edhe sigurimin e pjesshëm të flukseve valutore të nevojshme për të shërbyer detyrimet e borxhit në valutë.</w:t>
      </w:r>
    </w:p>
    <w:p w:rsidR="00640A13" w:rsidRPr="00F76FE2" w:rsidRDefault="00640A13" w:rsidP="00B92540">
      <w:pPr>
        <w:shd w:val="clear" w:color="auto" w:fill="FFFFFF"/>
        <w:tabs>
          <w:tab w:val="left" w:pos="8647"/>
          <w:tab w:val="left" w:pos="8789"/>
        </w:tabs>
        <w:spacing w:after="0" w:line="276" w:lineRule="auto"/>
        <w:ind w:right="-46"/>
        <w:jc w:val="both"/>
        <w:rPr>
          <w:rFonts w:ascii="Times New Roman" w:eastAsia="SimSun" w:hAnsi="Times New Roman" w:cs="Times New Roman"/>
          <w:noProof/>
          <w:sz w:val="24"/>
          <w:szCs w:val="24"/>
        </w:rPr>
      </w:pPr>
      <w:r w:rsidRPr="00F76FE2">
        <w:rPr>
          <w:rFonts w:ascii="Times New Roman" w:eastAsia="SimSun" w:hAnsi="Times New Roman" w:cs="Times New Roman"/>
          <w:noProof/>
          <w:sz w:val="24"/>
          <w:szCs w:val="24"/>
        </w:rPr>
        <w:t>Burimet kryesore të huamarrjes së huaj do të jenë huatë me terma të buta ose pjesërisht të buta, cilat do të financojnë projektet ekzistuese dhe projektet e reja të konsideruara si prioritare nga qeveria, si edhe huatë në formën e mbështetjes buxhetore të akorduara nga institucionet financiare ndërkombëtare për të mbështetur reformat dhe politikat zhvillimore të vendit</w:t>
      </w:r>
      <w:r w:rsidRPr="00F76FE2">
        <w:rPr>
          <w:rFonts w:ascii="Times New Roman" w:eastAsia="SimSun" w:hAnsi="Times New Roman" w:cs="Times New Roman"/>
          <w:i/>
          <w:noProof/>
          <w:sz w:val="24"/>
          <w:szCs w:val="24"/>
        </w:rPr>
        <w:t>.</w:t>
      </w:r>
      <w:r w:rsidRPr="00F76FE2">
        <w:rPr>
          <w:rFonts w:ascii="Times New Roman" w:eastAsia="SimSun" w:hAnsi="Times New Roman" w:cs="Times New Roman"/>
          <w:noProof/>
          <w:sz w:val="24"/>
          <w:szCs w:val="24"/>
        </w:rPr>
        <w:t xml:space="preserve"> Gjithashtu, edhe humarrja nëpërmjet instrumenteve të huasë nga burime private (p.sh. Eurobond) është planifikuar dhe do të shërbejë kryesisht për rifinancimin e instrumenteve që maturohen dhe menaxhim të detyrimeve të borxhit.</w:t>
      </w:r>
    </w:p>
    <w:bookmarkEnd w:id="1"/>
    <w:p w:rsidR="00640A13" w:rsidRPr="00F76FE2" w:rsidRDefault="00640A13" w:rsidP="00B92540">
      <w:pPr>
        <w:shd w:val="clear" w:color="auto" w:fill="FFFFFF"/>
        <w:tabs>
          <w:tab w:val="left" w:pos="8647"/>
          <w:tab w:val="left" w:pos="9072"/>
        </w:tabs>
        <w:spacing w:after="0" w:line="276" w:lineRule="auto"/>
        <w:ind w:right="-46"/>
        <w:jc w:val="both"/>
        <w:rPr>
          <w:rFonts w:ascii="Times New Roman" w:eastAsia="SimSun" w:hAnsi="Times New Roman" w:cs="Times New Roman"/>
          <w:noProof/>
          <w:sz w:val="24"/>
          <w:szCs w:val="12"/>
        </w:rPr>
      </w:pPr>
    </w:p>
    <w:p w:rsidR="00390B72" w:rsidRPr="00F76FE2" w:rsidRDefault="00390B72" w:rsidP="00FC2F2F">
      <w:pPr>
        <w:shd w:val="clear" w:color="auto" w:fill="FFFFFF"/>
        <w:tabs>
          <w:tab w:val="left" w:pos="8647"/>
          <w:tab w:val="left" w:pos="8789"/>
        </w:tabs>
        <w:spacing w:after="0" w:line="276" w:lineRule="auto"/>
        <w:ind w:right="-46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</w:pPr>
    </w:p>
    <w:p w:rsidR="00390B72" w:rsidRPr="00F76FE2" w:rsidRDefault="00390B72" w:rsidP="00FC2F2F">
      <w:pPr>
        <w:shd w:val="clear" w:color="auto" w:fill="FFFFFF"/>
        <w:tabs>
          <w:tab w:val="left" w:pos="8647"/>
          <w:tab w:val="left" w:pos="8789"/>
        </w:tabs>
        <w:spacing w:after="0" w:line="276" w:lineRule="auto"/>
        <w:ind w:right="-46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</w:pPr>
    </w:p>
    <w:p w:rsidR="00390B72" w:rsidRPr="00F76FE2" w:rsidRDefault="00390B72" w:rsidP="00FC2F2F">
      <w:pPr>
        <w:shd w:val="clear" w:color="auto" w:fill="FFFFFF"/>
        <w:tabs>
          <w:tab w:val="left" w:pos="8647"/>
          <w:tab w:val="left" w:pos="8789"/>
        </w:tabs>
        <w:spacing w:after="0" w:line="276" w:lineRule="auto"/>
        <w:ind w:right="-46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</w:pPr>
    </w:p>
    <w:p w:rsidR="00390B72" w:rsidRPr="00F76FE2" w:rsidRDefault="00390B72" w:rsidP="00FC2F2F">
      <w:pPr>
        <w:shd w:val="clear" w:color="auto" w:fill="FFFFFF"/>
        <w:tabs>
          <w:tab w:val="left" w:pos="8647"/>
          <w:tab w:val="left" w:pos="8789"/>
        </w:tabs>
        <w:spacing w:after="0" w:line="276" w:lineRule="auto"/>
        <w:ind w:right="-46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</w:pPr>
    </w:p>
    <w:p w:rsidR="00390B72" w:rsidRPr="00F76FE2" w:rsidRDefault="00390B72" w:rsidP="00FC2F2F">
      <w:pPr>
        <w:shd w:val="clear" w:color="auto" w:fill="FFFFFF"/>
        <w:tabs>
          <w:tab w:val="left" w:pos="8647"/>
          <w:tab w:val="left" w:pos="8789"/>
        </w:tabs>
        <w:spacing w:after="0" w:line="276" w:lineRule="auto"/>
        <w:ind w:right="-46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</w:pPr>
    </w:p>
    <w:p w:rsidR="00390B72" w:rsidRPr="00F76FE2" w:rsidRDefault="00390B72" w:rsidP="00FC2F2F">
      <w:pPr>
        <w:shd w:val="clear" w:color="auto" w:fill="FFFFFF"/>
        <w:tabs>
          <w:tab w:val="left" w:pos="8647"/>
          <w:tab w:val="left" w:pos="8789"/>
        </w:tabs>
        <w:spacing w:after="0" w:line="276" w:lineRule="auto"/>
        <w:ind w:right="-46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</w:pPr>
    </w:p>
    <w:p w:rsidR="00390B72" w:rsidRPr="00F76FE2" w:rsidRDefault="00390B72" w:rsidP="00FC2F2F">
      <w:pPr>
        <w:shd w:val="clear" w:color="auto" w:fill="FFFFFF"/>
        <w:tabs>
          <w:tab w:val="left" w:pos="8647"/>
          <w:tab w:val="left" w:pos="8789"/>
        </w:tabs>
        <w:spacing w:after="0" w:line="276" w:lineRule="auto"/>
        <w:ind w:right="-46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</w:pPr>
    </w:p>
    <w:p w:rsidR="00390B72" w:rsidRPr="00F76FE2" w:rsidRDefault="00390B72" w:rsidP="00FC2F2F">
      <w:pPr>
        <w:shd w:val="clear" w:color="auto" w:fill="FFFFFF"/>
        <w:tabs>
          <w:tab w:val="left" w:pos="8647"/>
          <w:tab w:val="left" w:pos="8789"/>
        </w:tabs>
        <w:spacing w:after="0" w:line="276" w:lineRule="auto"/>
        <w:ind w:right="-46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</w:pPr>
    </w:p>
    <w:p w:rsidR="00390B72" w:rsidRPr="00F76FE2" w:rsidRDefault="00390B72" w:rsidP="00FC2F2F">
      <w:pPr>
        <w:shd w:val="clear" w:color="auto" w:fill="FFFFFF"/>
        <w:tabs>
          <w:tab w:val="left" w:pos="8647"/>
          <w:tab w:val="left" w:pos="8789"/>
        </w:tabs>
        <w:spacing w:after="0" w:line="276" w:lineRule="auto"/>
        <w:ind w:right="-46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</w:pPr>
    </w:p>
    <w:p w:rsidR="00390B72" w:rsidRPr="00F76FE2" w:rsidRDefault="00390B72" w:rsidP="00FC2F2F">
      <w:pPr>
        <w:shd w:val="clear" w:color="auto" w:fill="FFFFFF"/>
        <w:tabs>
          <w:tab w:val="left" w:pos="8647"/>
          <w:tab w:val="left" w:pos="8789"/>
        </w:tabs>
        <w:spacing w:after="0" w:line="276" w:lineRule="auto"/>
        <w:ind w:right="-46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</w:pPr>
    </w:p>
    <w:p w:rsidR="00390B72" w:rsidRPr="00F76FE2" w:rsidRDefault="00390B72" w:rsidP="00FC2F2F">
      <w:pPr>
        <w:shd w:val="clear" w:color="auto" w:fill="FFFFFF"/>
        <w:tabs>
          <w:tab w:val="left" w:pos="8647"/>
          <w:tab w:val="left" w:pos="8789"/>
        </w:tabs>
        <w:spacing w:after="0" w:line="276" w:lineRule="auto"/>
        <w:ind w:right="-46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</w:pPr>
    </w:p>
    <w:p w:rsidR="00390B72" w:rsidRPr="00F76FE2" w:rsidRDefault="00390B72" w:rsidP="00FC2F2F">
      <w:pPr>
        <w:shd w:val="clear" w:color="auto" w:fill="FFFFFF"/>
        <w:tabs>
          <w:tab w:val="left" w:pos="8647"/>
          <w:tab w:val="left" w:pos="8789"/>
        </w:tabs>
        <w:spacing w:after="0" w:line="276" w:lineRule="auto"/>
        <w:ind w:right="-46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</w:pPr>
    </w:p>
    <w:p w:rsidR="00390B72" w:rsidRPr="00F76FE2" w:rsidRDefault="00390B72" w:rsidP="00FC2F2F">
      <w:pPr>
        <w:shd w:val="clear" w:color="auto" w:fill="FFFFFF"/>
        <w:tabs>
          <w:tab w:val="left" w:pos="8647"/>
          <w:tab w:val="left" w:pos="8789"/>
        </w:tabs>
        <w:spacing w:after="0" w:line="276" w:lineRule="auto"/>
        <w:ind w:right="-46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</w:pPr>
    </w:p>
    <w:p w:rsidR="00390B72" w:rsidRPr="00F76FE2" w:rsidRDefault="00390B72" w:rsidP="00FC2F2F">
      <w:pPr>
        <w:shd w:val="clear" w:color="auto" w:fill="FFFFFF"/>
        <w:tabs>
          <w:tab w:val="left" w:pos="8647"/>
          <w:tab w:val="left" w:pos="8789"/>
        </w:tabs>
        <w:spacing w:after="0" w:line="276" w:lineRule="auto"/>
        <w:ind w:right="-46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</w:pPr>
    </w:p>
    <w:p w:rsidR="00390B72" w:rsidRPr="00F76FE2" w:rsidRDefault="00390B72" w:rsidP="00FC2F2F">
      <w:pPr>
        <w:shd w:val="clear" w:color="auto" w:fill="FFFFFF"/>
        <w:tabs>
          <w:tab w:val="left" w:pos="8647"/>
          <w:tab w:val="left" w:pos="8789"/>
        </w:tabs>
        <w:spacing w:after="0" w:line="276" w:lineRule="auto"/>
        <w:ind w:right="-46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</w:pPr>
    </w:p>
    <w:p w:rsidR="00390B72" w:rsidRPr="00F76FE2" w:rsidRDefault="00390B72" w:rsidP="00FC2F2F">
      <w:pPr>
        <w:shd w:val="clear" w:color="auto" w:fill="FFFFFF"/>
        <w:tabs>
          <w:tab w:val="left" w:pos="8647"/>
          <w:tab w:val="left" w:pos="8789"/>
        </w:tabs>
        <w:spacing w:after="0" w:line="276" w:lineRule="auto"/>
        <w:ind w:right="-46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</w:pPr>
    </w:p>
    <w:p w:rsidR="00390B72" w:rsidRPr="00F76FE2" w:rsidRDefault="00390B72" w:rsidP="00FC2F2F">
      <w:pPr>
        <w:shd w:val="clear" w:color="auto" w:fill="FFFFFF"/>
        <w:tabs>
          <w:tab w:val="left" w:pos="8647"/>
          <w:tab w:val="left" w:pos="8789"/>
        </w:tabs>
        <w:spacing w:after="0" w:line="276" w:lineRule="auto"/>
        <w:ind w:right="-46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</w:pPr>
    </w:p>
    <w:p w:rsidR="00390B72" w:rsidRPr="00F76FE2" w:rsidRDefault="00390B72" w:rsidP="00FC2F2F">
      <w:pPr>
        <w:shd w:val="clear" w:color="auto" w:fill="FFFFFF"/>
        <w:tabs>
          <w:tab w:val="left" w:pos="8647"/>
          <w:tab w:val="left" w:pos="8789"/>
        </w:tabs>
        <w:spacing w:after="0" w:line="276" w:lineRule="auto"/>
        <w:ind w:right="-46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</w:pPr>
    </w:p>
    <w:p w:rsidR="00390B72" w:rsidRPr="00F76FE2" w:rsidRDefault="00390B72" w:rsidP="00FC2F2F">
      <w:pPr>
        <w:shd w:val="clear" w:color="auto" w:fill="FFFFFF"/>
        <w:tabs>
          <w:tab w:val="left" w:pos="8647"/>
          <w:tab w:val="left" w:pos="8789"/>
        </w:tabs>
        <w:spacing w:after="0" w:line="276" w:lineRule="auto"/>
        <w:ind w:right="-46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</w:pPr>
    </w:p>
    <w:p w:rsidR="00390B72" w:rsidRPr="00F76FE2" w:rsidRDefault="00390B72" w:rsidP="00FC2F2F">
      <w:pPr>
        <w:shd w:val="clear" w:color="auto" w:fill="FFFFFF"/>
        <w:tabs>
          <w:tab w:val="left" w:pos="8647"/>
          <w:tab w:val="left" w:pos="8789"/>
        </w:tabs>
        <w:spacing w:after="0" w:line="276" w:lineRule="auto"/>
        <w:ind w:right="-46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</w:pPr>
    </w:p>
    <w:p w:rsidR="00390B72" w:rsidRPr="00F76FE2" w:rsidRDefault="00390B72" w:rsidP="00FC2F2F">
      <w:pPr>
        <w:shd w:val="clear" w:color="auto" w:fill="FFFFFF"/>
        <w:tabs>
          <w:tab w:val="left" w:pos="8647"/>
          <w:tab w:val="left" w:pos="8789"/>
        </w:tabs>
        <w:spacing w:after="0" w:line="276" w:lineRule="auto"/>
        <w:ind w:right="-46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</w:pPr>
    </w:p>
    <w:p w:rsidR="00390B72" w:rsidRPr="00F76FE2" w:rsidRDefault="00390B72" w:rsidP="00FC2F2F">
      <w:pPr>
        <w:shd w:val="clear" w:color="auto" w:fill="FFFFFF"/>
        <w:tabs>
          <w:tab w:val="left" w:pos="8647"/>
          <w:tab w:val="left" w:pos="8789"/>
        </w:tabs>
        <w:spacing w:after="0" w:line="276" w:lineRule="auto"/>
        <w:ind w:right="-46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</w:pPr>
    </w:p>
    <w:p w:rsidR="00543729" w:rsidRPr="00F76FE2" w:rsidRDefault="00543729" w:rsidP="00FC2F2F">
      <w:pPr>
        <w:shd w:val="clear" w:color="auto" w:fill="FFFFFF"/>
        <w:tabs>
          <w:tab w:val="left" w:pos="8647"/>
          <w:tab w:val="left" w:pos="9072"/>
        </w:tabs>
        <w:spacing w:after="0" w:line="276" w:lineRule="auto"/>
        <w:ind w:right="-46"/>
        <w:jc w:val="both"/>
        <w:rPr>
          <w:rFonts w:ascii="Times New Roman" w:eastAsia="SimSun" w:hAnsi="Times New Roman" w:cs="Times New Roman"/>
          <w:noProof/>
          <w:sz w:val="24"/>
          <w:szCs w:val="12"/>
        </w:rPr>
      </w:pPr>
    </w:p>
    <w:p w:rsidR="00640A13" w:rsidRPr="00F76FE2" w:rsidRDefault="00640A13" w:rsidP="00FC2F2F">
      <w:pPr>
        <w:shd w:val="clear" w:color="auto" w:fill="FFFFFF"/>
        <w:tabs>
          <w:tab w:val="left" w:pos="8647"/>
          <w:tab w:val="left" w:pos="9072"/>
        </w:tabs>
        <w:spacing w:after="0" w:line="276" w:lineRule="auto"/>
        <w:ind w:right="-46"/>
        <w:jc w:val="both"/>
        <w:rPr>
          <w:rFonts w:ascii="Times New Roman" w:eastAsia="SimSun" w:hAnsi="Times New Roman" w:cs="Times New Roman"/>
          <w:noProof/>
          <w:sz w:val="24"/>
          <w:szCs w:val="12"/>
        </w:rPr>
      </w:pPr>
    </w:p>
    <w:p w:rsidR="00640A13" w:rsidRPr="00F76FE2" w:rsidRDefault="00640A13" w:rsidP="00FC2F2F">
      <w:pPr>
        <w:shd w:val="clear" w:color="auto" w:fill="FFFFFF"/>
        <w:tabs>
          <w:tab w:val="left" w:pos="8647"/>
          <w:tab w:val="left" w:pos="9072"/>
        </w:tabs>
        <w:spacing w:after="0" w:line="276" w:lineRule="auto"/>
        <w:ind w:right="-46"/>
        <w:jc w:val="both"/>
        <w:rPr>
          <w:rFonts w:ascii="Times New Roman" w:eastAsia="SimSun" w:hAnsi="Times New Roman" w:cs="Times New Roman"/>
          <w:noProof/>
          <w:sz w:val="24"/>
          <w:szCs w:val="12"/>
        </w:rPr>
      </w:pPr>
    </w:p>
    <w:p w:rsidR="00640A13" w:rsidRPr="00F76FE2" w:rsidRDefault="00640A13" w:rsidP="00FC2F2F">
      <w:pPr>
        <w:shd w:val="clear" w:color="auto" w:fill="FFFFFF"/>
        <w:tabs>
          <w:tab w:val="left" w:pos="8647"/>
          <w:tab w:val="left" w:pos="9072"/>
        </w:tabs>
        <w:spacing w:after="0" w:line="276" w:lineRule="auto"/>
        <w:ind w:right="-46"/>
        <w:jc w:val="both"/>
        <w:rPr>
          <w:rFonts w:ascii="Times New Roman" w:eastAsia="SimSun" w:hAnsi="Times New Roman" w:cs="Times New Roman"/>
          <w:noProof/>
          <w:sz w:val="24"/>
          <w:szCs w:val="12"/>
        </w:rPr>
      </w:pPr>
    </w:p>
    <w:p w:rsidR="00640A13" w:rsidRPr="00F76FE2" w:rsidRDefault="00640A13" w:rsidP="00FC2F2F">
      <w:pPr>
        <w:shd w:val="clear" w:color="auto" w:fill="FFFFFF"/>
        <w:tabs>
          <w:tab w:val="left" w:pos="8647"/>
          <w:tab w:val="left" w:pos="9072"/>
        </w:tabs>
        <w:spacing w:after="0" w:line="276" w:lineRule="auto"/>
        <w:ind w:right="-46"/>
        <w:jc w:val="both"/>
        <w:rPr>
          <w:rFonts w:ascii="Times New Roman" w:eastAsia="SimSun" w:hAnsi="Times New Roman" w:cs="Times New Roman"/>
          <w:noProof/>
          <w:sz w:val="24"/>
          <w:szCs w:val="12"/>
        </w:rPr>
      </w:pPr>
    </w:p>
    <w:p w:rsidR="004F7AA9" w:rsidRPr="00F76FE2" w:rsidRDefault="003C1892" w:rsidP="00E93B2E">
      <w:pPr>
        <w:pStyle w:val="Heading1"/>
        <w:numPr>
          <w:ilvl w:val="0"/>
          <w:numId w:val="5"/>
        </w:numPr>
        <w:spacing w:before="0" w:after="240" w:line="276" w:lineRule="auto"/>
        <w:ind w:left="426" w:right="-46" w:hanging="426"/>
        <w:jc w:val="both"/>
        <w:rPr>
          <w:rFonts w:ascii="Cambria" w:hAnsi="Cambria"/>
          <w:sz w:val="24"/>
          <w:szCs w:val="24"/>
        </w:rPr>
      </w:pPr>
      <w:bookmarkStart w:id="2" w:name="_Toc34645061"/>
      <w:r w:rsidRPr="00F76FE2">
        <w:rPr>
          <w:rFonts w:ascii="Cambria" w:hAnsi="Cambria"/>
          <w:sz w:val="24"/>
          <w:szCs w:val="24"/>
        </w:rPr>
        <w:lastRenderedPageBreak/>
        <w:t>Ecuria e Borxhit</w:t>
      </w:r>
      <w:r w:rsidR="00463C40" w:rsidRPr="00F76FE2">
        <w:rPr>
          <w:rFonts w:ascii="Cambria" w:hAnsi="Cambria"/>
          <w:sz w:val="24"/>
          <w:szCs w:val="24"/>
        </w:rPr>
        <w:t xml:space="preserve"> Publik</w:t>
      </w:r>
      <w:bookmarkEnd w:id="2"/>
    </w:p>
    <w:p w:rsidR="00640A13" w:rsidRPr="00F76FE2" w:rsidRDefault="00640A13" w:rsidP="00B92540">
      <w:pPr>
        <w:tabs>
          <w:tab w:val="left" w:pos="0"/>
        </w:tabs>
        <w:spacing w:line="276" w:lineRule="auto"/>
        <w:ind w:right="-46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76FE2">
        <w:rPr>
          <w:rFonts w:ascii="Times New Roman" w:hAnsi="Times New Roman" w:cs="Times New Roman"/>
          <w:noProof/>
          <w:sz w:val="24"/>
          <w:szCs w:val="24"/>
        </w:rPr>
        <w:t>Në fund të vitit 2019, borxhi publik u vlerësua në nivelin 1,112.6 miliard Lekë ose 65.9% e PBB</w:t>
      </w:r>
      <w:r w:rsidRPr="00F76FE2"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3"/>
      </w:r>
      <w:r w:rsidRPr="00F76FE2">
        <w:rPr>
          <w:rFonts w:ascii="Times New Roman" w:hAnsi="Times New Roman" w:cs="Times New Roman"/>
          <w:noProof/>
          <w:sz w:val="24"/>
          <w:szCs w:val="24"/>
        </w:rPr>
        <w:t>. Krahasuar me fundin e vitit të kaluar, niveli i borxhit publik në raport me PBB ka shënuar një rënie prej 2.0 pikë përqindje, duke vazhduar të qëndrojë në trajektoren rënëse, e cila ka nisur që prej vitit 2016. Faktorët kryesorë që kanë ndikuar në uljen e nivelit të borxhit në raport me PBB kanë qenë konsolidimi fiskal dhe mbiçmimi i monedhës vendase në raport me monedhat e tjera të portofolit të borxhit.</w:t>
      </w:r>
    </w:p>
    <w:p w:rsidR="00640A13" w:rsidRPr="00F76FE2" w:rsidRDefault="00640A13" w:rsidP="00B92540">
      <w:pPr>
        <w:pStyle w:val="ListParagraph"/>
        <w:spacing w:after="0" w:line="276" w:lineRule="auto"/>
        <w:ind w:left="0" w:right="-188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F76FE2">
        <w:rPr>
          <w:rFonts w:ascii="Cambria" w:hAnsi="Cambria" w:cs="Times New Roman"/>
          <w:b/>
          <w:noProof/>
          <w:sz w:val="20"/>
          <w:szCs w:val="20"/>
        </w:rPr>
        <w:t xml:space="preserve">Paraqitje Grafike 1 (a): </w:t>
      </w:r>
      <w:r w:rsidRPr="00F76FE2">
        <w:rPr>
          <w:rFonts w:ascii="Cambria" w:hAnsi="Cambria" w:cs="Times New Roman"/>
          <w:i/>
          <w:noProof/>
          <w:sz w:val="20"/>
          <w:szCs w:val="20"/>
        </w:rPr>
        <w:t>Borxhi publik në vlerë absolute dhe relative ndaj PBB (2015–2019)</w:t>
      </w:r>
    </w:p>
    <w:p w:rsidR="00640A13" w:rsidRPr="00F76FE2" w:rsidRDefault="00640A13" w:rsidP="00B92540">
      <w:pPr>
        <w:pStyle w:val="ListParagraph"/>
        <w:spacing w:after="0" w:line="276" w:lineRule="auto"/>
        <w:ind w:left="0" w:right="-188"/>
        <w:rPr>
          <w:rFonts w:ascii="Times New Roman" w:hAnsi="Times New Roman" w:cs="Times New Roman"/>
          <w:noProof/>
          <w:sz w:val="24"/>
          <w:szCs w:val="24"/>
        </w:rPr>
      </w:pPr>
      <w:r w:rsidRPr="00F76FE2">
        <w:rPr>
          <w:noProof/>
          <w:lang w:val="en-US"/>
        </w:rPr>
        <w:drawing>
          <wp:inline distT="0" distB="0" distL="0" distR="0" wp14:anchorId="07CBB692" wp14:editId="2665BF62">
            <wp:extent cx="5731510" cy="1924050"/>
            <wp:effectExtent l="0" t="0" r="2540" b="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40A13" w:rsidRPr="00F76FE2" w:rsidRDefault="00640A13" w:rsidP="00B92540">
      <w:pPr>
        <w:pStyle w:val="ListParagraph"/>
        <w:spacing w:after="0" w:line="276" w:lineRule="auto"/>
        <w:ind w:left="0" w:right="-188"/>
        <w:jc w:val="center"/>
        <w:rPr>
          <w:i/>
          <w:noProof/>
          <w:lang w:eastAsia="sq-AL"/>
        </w:rPr>
      </w:pPr>
      <w:r w:rsidRPr="00F76FE2">
        <w:rPr>
          <w:rFonts w:ascii="Cambria" w:hAnsi="Cambria" w:cs="Times New Roman"/>
          <w:b/>
          <w:noProof/>
          <w:sz w:val="20"/>
          <w:szCs w:val="20"/>
        </w:rPr>
        <w:t xml:space="preserve">Burimi: </w:t>
      </w:r>
      <w:r w:rsidRPr="00F76FE2">
        <w:rPr>
          <w:rFonts w:ascii="Cambria" w:hAnsi="Cambria" w:cs="Times New Roman"/>
          <w:i/>
          <w:noProof/>
          <w:sz w:val="20"/>
          <w:szCs w:val="20"/>
        </w:rPr>
        <w:t>Ministria e Financave dhe Ekonomisë (2020)</w:t>
      </w:r>
    </w:p>
    <w:p w:rsidR="00640A13" w:rsidRPr="00F76FE2" w:rsidRDefault="00640A13" w:rsidP="00B92540">
      <w:pPr>
        <w:pStyle w:val="ListParagraph"/>
        <w:spacing w:after="0" w:line="276" w:lineRule="auto"/>
        <w:ind w:left="0" w:right="-188"/>
        <w:rPr>
          <w:i/>
          <w:noProof/>
          <w:sz w:val="20"/>
          <w:szCs w:val="20"/>
          <w:lang w:eastAsia="sq-AL"/>
        </w:rPr>
      </w:pPr>
    </w:p>
    <w:p w:rsidR="00640A13" w:rsidRPr="00F76FE2" w:rsidRDefault="00640A13" w:rsidP="00B92540">
      <w:pPr>
        <w:pStyle w:val="ListParagraph"/>
        <w:spacing w:after="0" w:line="276" w:lineRule="auto"/>
        <w:ind w:left="0" w:right="-46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76FE2">
        <w:rPr>
          <w:rFonts w:ascii="Times New Roman" w:hAnsi="Times New Roman" w:cs="Times New Roman"/>
          <w:noProof/>
          <w:sz w:val="24"/>
          <w:szCs w:val="24"/>
        </w:rPr>
        <w:t xml:space="preserve">Niveli i borxhit të brendshëm dhe atij të jashtëm në raport me totalin e borxhit publik janë përkatësisht rreth 54% dhe 46%, duke ruajtur pothuajse të njëjtat raporte me fundin e vitit të kaluar, si edhe duke qenë në linjë me objektivat e vendosura në SAMB në kuadër të menaxhimit të riskut të kursit të këmbimit </w:t>
      </w:r>
      <w:r w:rsidRPr="00F76FE2">
        <w:rPr>
          <w:rFonts w:ascii="Times New Roman" w:hAnsi="Times New Roman" w:cs="Times New Roman"/>
          <w:i/>
          <w:noProof/>
          <w:sz w:val="24"/>
          <w:szCs w:val="24"/>
        </w:rPr>
        <w:t>(Ref. Aneksi II, Tabela 1.1).</w:t>
      </w:r>
      <w:r w:rsidRPr="00F76FE2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640A13" w:rsidRPr="00F76FE2" w:rsidRDefault="00640A13" w:rsidP="00B92540">
      <w:pPr>
        <w:pStyle w:val="ListParagraph"/>
        <w:spacing w:after="0" w:line="276" w:lineRule="auto"/>
        <w:ind w:left="0" w:right="-46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640A13" w:rsidRPr="00F76FE2" w:rsidRDefault="00640A13" w:rsidP="00B92540">
      <w:pPr>
        <w:pStyle w:val="ListParagraph"/>
        <w:ind w:left="0" w:right="-46"/>
        <w:jc w:val="both"/>
      </w:pPr>
      <w:r w:rsidRPr="00F76FE2">
        <w:rPr>
          <w:rFonts w:ascii="Times New Roman" w:hAnsi="Times New Roman" w:cs="Times New Roman"/>
          <w:noProof/>
          <w:sz w:val="24"/>
          <w:szCs w:val="24"/>
        </w:rPr>
        <w:t>Për sa i përket kompozimit të portofolit të borxhit publik sipas instrumenteve, më shumë se 60% t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 xml:space="preserve"> peshës vazhdojnë ta mbajnë instrumentet e tregtueshme </w:t>
      </w:r>
      <w:r w:rsidRPr="00F76FE2">
        <w:rPr>
          <w:rFonts w:ascii="Times New Roman" w:hAnsi="Times New Roman" w:cs="Times New Roman"/>
          <w:i/>
          <w:noProof/>
          <w:sz w:val="24"/>
          <w:szCs w:val="24"/>
        </w:rPr>
        <w:t>(bono thesari, obligacione, eurobond),</w:t>
      </w:r>
      <w:r w:rsidRPr="00F76FE2">
        <w:rPr>
          <w:rFonts w:ascii="Times New Roman" w:hAnsi="Times New Roman" w:cs="Times New Roman"/>
          <w:noProof/>
          <w:sz w:val="24"/>
          <w:szCs w:val="24"/>
        </w:rPr>
        <w:t xml:space="preserve"> ndjekur nga huatë e huaja me destinacion financimin e projekteve dhe huatë në formën e mbështetjes buxhetore.</w:t>
      </w:r>
    </w:p>
    <w:p w:rsidR="00640A13" w:rsidRPr="00F76FE2" w:rsidRDefault="00640A13" w:rsidP="00B92540">
      <w:pPr>
        <w:spacing w:after="0" w:line="276" w:lineRule="auto"/>
        <w:ind w:right="-188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F76FE2">
        <w:rPr>
          <w:rFonts w:ascii="Cambria" w:hAnsi="Cambria" w:cs="Times New Roman"/>
          <w:b/>
          <w:noProof/>
          <w:sz w:val="20"/>
          <w:szCs w:val="20"/>
        </w:rPr>
        <w:t xml:space="preserve">Paraqitje Grafike 1 (b): </w:t>
      </w:r>
      <w:r w:rsidRPr="00F76FE2">
        <w:rPr>
          <w:rFonts w:ascii="Cambria" w:hAnsi="Cambria" w:cs="Times New Roman"/>
          <w:i/>
          <w:noProof/>
          <w:sz w:val="20"/>
          <w:szCs w:val="20"/>
        </w:rPr>
        <w:t>Përbërja e borxhit publik  sipas instrumenteve (2015–2019)</w:t>
      </w:r>
    </w:p>
    <w:p w:rsidR="00640A13" w:rsidRPr="00F76FE2" w:rsidRDefault="00640A13" w:rsidP="00BC5BC9">
      <w:pPr>
        <w:spacing w:after="0" w:line="276" w:lineRule="auto"/>
        <w:ind w:right="-188"/>
        <w:rPr>
          <w:rFonts w:ascii="Cambria" w:hAnsi="Cambria" w:cs="Times New Roman"/>
          <w:b/>
          <w:noProof/>
          <w:sz w:val="20"/>
          <w:szCs w:val="20"/>
        </w:rPr>
      </w:pPr>
      <w:r w:rsidRPr="00F76FE2">
        <w:rPr>
          <w:noProof/>
          <w:lang w:val="en-US"/>
        </w:rPr>
        <w:drawing>
          <wp:inline distT="0" distB="0" distL="0" distR="0" wp14:anchorId="0A4A5012" wp14:editId="2953AE87">
            <wp:extent cx="5745192" cy="1914525"/>
            <wp:effectExtent l="0" t="0" r="8255" b="952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40A13" w:rsidRPr="00F76FE2" w:rsidRDefault="00640A13" w:rsidP="00B92540">
      <w:pPr>
        <w:spacing w:after="0" w:line="276" w:lineRule="auto"/>
        <w:ind w:right="-188"/>
        <w:jc w:val="center"/>
        <w:rPr>
          <w:rFonts w:ascii="Cambria" w:hAnsi="Cambria" w:cs="Times New Roman"/>
          <w:i/>
          <w:noProof/>
          <w:sz w:val="20"/>
          <w:szCs w:val="20"/>
        </w:rPr>
      </w:pPr>
      <w:r w:rsidRPr="00F76FE2">
        <w:rPr>
          <w:rFonts w:ascii="Cambria" w:hAnsi="Cambria" w:cs="Times New Roman"/>
          <w:b/>
          <w:noProof/>
          <w:sz w:val="20"/>
          <w:szCs w:val="20"/>
        </w:rPr>
        <w:t xml:space="preserve">Burimi: </w:t>
      </w:r>
      <w:r w:rsidRPr="00F76FE2">
        <w:rPr>
          <w:rFonts w:ascii="Cambria" w:hAnsi="Cambria" w:cs="Times New Roman"/>
          <w:i/>
          <w:noProof/>
          <w:sz w:val="20"/>
          <w:szCs w:val="20"/>
        </w:rPr>
        <w:t>Ministria e Financave dhe Ekonomisë (2020)</w:t>
      </w:r>
    </w:p>
    <w:p w:rsidR="0017729B" w:rsidRPr="00F76FE2" w:rsidRDefault="00640A13" w:rsidP="00B92540">
      <w:pPr>
        <w:spacing w:after="0" w:line="276" w:lineRule="auto"/>
        <w:ind w:right="-46"/>
        <w:jc w:val="both"/>
        <w:rPr>
          <w:rFonts w:ascii="Times New Roman" w:hAnsi="Times New Roman" w:cs="Times New Roman"/>
          <w:sz w:val="20"/>
          <w:szCs w:val="20"/>
        </w:rPr>
      </w:pPr>
      <w:r w:rsidRPr="00F76FE2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Borxhi i pushtetit lokal vazhdon të qëndrojë në nivele të ulëta </w:t>
      </w:r>
      <w:r w:rsidRPr="00F76FE2">
        <w:rPr>
          <w:rFonts w:ascii="Times New Roman" w:hAnsi="Times New Roman" w:cs="Times New Roman"/>
          <w:i/>
          <w:noProof/>
          <w:sz w:val="24"/>
          <w:szCs w:val="24"/>
        </w:rPr>
        <w:t>(rreth 581.7 milion Lekë ose 0.05% e totalit të borxhit publik)</w:t>
      </w:r>
      <w:r w:rsidRPr="00F76FE2">
        <w:rPr>
          <w:rFonts w:ascii="Times New Roman" w:hAnsi="Times New Roman" w:cs="Times New Roman"/>
          <w:noProof/>
          <w:sz w:val="24"/>
          <w:szCs w:val="24"/>
        </w:rPr>
        <w:t>, kryesisht për shkak të kapaciteteve të ulëta që kanë njësitë e qeverisjes vendore për të akumuluar borxh t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 xml:space="preserve"> ri. Gjatë vitit 2019 nuk ka pasur asnjë kërkesë nga njësitë e qeverisjes vendore për huamarrje të re.</w:t>
      </w:r>
    </w:p>
    <w:p w:rsidR="00EE07CF" w:rsidRPr="00F76FE2" w:rsidRDefault="00EE07CF" w:rsidP="00B92540">
      <w:pPr>
        <w:spacing w:after="0" w:line="276" w:lineRule="auto"/>
        <w:ind w:right="-188"/>
        <w:jc w:val="both"/>
        <w:rPr>
          <w:rFonts w:ascii="Times New Roman" w:hAnsi="Times New Roman" w:cs="Times New Roman"/>
          <w:sz w:val="24"/>
          <w:szCs w:val="24"/>
        </w:rPr>
      </w:pPr>
    </w:p>
    <w:p w:rsidR="00640A13" w:rsidRPr="00F76FE2" w:rsidRDefault="003C1892" w:rsidP="00B92540">
      <w:pPr>
        <w:pStyle w:val="Heading1"/>
        <w:numPr>
          <w:ilvl w:val="0"/>
          <w:numId w:val="5"/>
        </w:numPr>
        <w:tabs>
          <w:tab w:val="left" w:pos="851"/>
        </w:tabs>
        <w:spacing w:before="0" w:after="240" w:line="276" w:lineRule="auto"/>
        <w:ind w:left="426" w:right="-188" w:hanging="426"/>
        <w:jc w:val="both"/>
        <w:rPr>
          <w:rFonts w:ascii="Cambria" w:hAnsi="Cambria"/>
          <w:sz w:val="24"/>
          <w:szCs w:val="24"/>
        </w:rPr>
      </w:pPr>
      <w:bookmarkStart w:id="3" w:name="_Toc34645062"/>
      <w:r w:rsidRPr="00F76FE2">
        <w:rPr>
          <w:rFonts w:ascii="Cambria" w:hAnsi="Cambria"/>
          <w:sz w:val="24"/>
          <w:szCs w:val="24"/>
        </w:rPr>
        <w:t>Borxhi</w:t>
      </w:r>
      <w:r w:rsidR="00E2745C" w:rsidRPr="00F76FE2">
        <w:rPr>
          <w:rFonts w:ascii="Cambria" w:hAnsi="Cambria"/>
          <w:sz w:val="24"/>
          <w:szCs w:val="24"/>
        </w:rPr>
        <w:t xml:space="preserve"> Shtet</w:t>
      </w:r>
      <w:r w:rsidR="00D7649A" w:rsidRPr="00F76FE2">
        <w:rPr>
          <w:rFonts w:ascii="Cambria" w:hAnsi="Cambria"/>
          <w:sz w:val="24"/>
          <w:szCs w:val="24"/>
        </w:rPr>
        <w:t>ë</w:t>
      </w:r>
      <w:r w:rsidR="00E2745C" w:rsidRPr="00F76FE2">
        <w:rPr>
          <w:rFonts w:ascii="Cambria" w:hAnsi="Cambria"/>
          <w:sz w:val="24"/>
          <w:szCs w:val="24"/>
        </w:rPr>
        <w:t>ror</w:t>
      </w:r>
      <w:bookmarkEnd w:id="3"/>
    </w:p>
    <w:p w:rsidR="00640A13" w:rsidRPr="00F76FE2" w:rsidRDefault="00640A13" w:rsidP="00B92540">
      <w:pPr>
        <w:tabs>
          <w:tab w:val="left" w:pos="9000"/>
        </w:tabs>
        <w:spacing w:after="0" w:line="276" w:lineRule="auto"/>
        <w:ind w:right="-46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76FE2">
        <w:rPr>
          <w:rFonts w:ascii="Times New Roman" w:hAnsi="Times New Roman" w:cs="Times New Roman"/>
          <w:noProof/>
          <w:sz w:val="24"/>
          <w:szCs w:val="24"/>
        </w:rPr>
        <w:t>Gjatë vitit 2019 portofoli i borxhit shtetëror vazhdon të dominohet mbi 50% nga titujt shtetërorë të tregtuar</w:t>
      </w:r>
      <w:r w:rsidRPr="00F76FE2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F76FE2">
        <w:rPr>
          <w:rFonts w:ascii="Times New Roman" w:hAnsi="Times New Roman" w:cs="Times New Roman"/>
          <w:noProof/>
          <w:sz w:val="24"/>
          <w:szCs w:val="24"/>
        </w:rPr>
        <w:t>në tregun vendas, në përputhje me objektivat strategjikë.</w:t>
      </w:r>
    </w:p>
    <w:p w:rsidR="00640A13" w:rsidRPr="00F76FE2" w:rsidRDefault="00640A13" w:rsidP="00B92540">
      <w:pPr>
        <w:pStyle w:val="ListParagraph"/>
        <w:tabs>
          <w:tab w:val="left" w:pos="9000"/>
        </w:tabs>
        <w:spacing w:after="0" w:line="276" w:lineRule="auto"/>
        <w:ind w:right="-188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640A13" w:rsidRPr="00F76FE2" w:rsidRDefault="00640A13" w:rsidP="00B92540">
      <w:pPr>
        <w:spacing w:after="0" w:line="276" w:lineRule="auto"/>
        <w:ind w:left="-1418" w:right="-188" w:firstLine="1418"/>
        <w:jc w:val="center"/>
        <w:rPr>
          <w:rFonts w:ascii="Cambria" w:hAnsi="Cambria" w:cs="Times New Roman"/>
          <w:noProof/>
          <w:sz w:val="24"/>
          <w:szCs w:val="24"/>
        </w:rPr>
      </w:pPr>
      <w:r w:rsidRPr="00F76FE2">
        <w:rPr>
          <w:rFonts w:ascii="Cambria" w:hAnsi="Cambria" w:cs="Times New Roman"/>
          <w:b/>
          <w:noProof/>
          <w:sz w:val="20"/>
          <w:szCs w:val="20"/>
        </w:rPr>
        <w:t xml:space="preserve">Paraqitje Grafike 2 (a): </w:t>
      </w:r>
      <w:r w:rsidRPr="00F76FE2">
        <w:rPr>
          <w:rFonts w:ascii="Cambria" w:hAnsi="Cambria" w:cs="Times New Roman"/>
          <w:i/>
          <w:noProof/>
          <w:sz w:val="20"/>
          <w:szCs w:val="20"/>
        </w:rPr>
        <w:t>Kompozimi i portofolit të borxhit shtetëror sipas instrumenteve (2015–2019)</w:t>
      </w:r>
    </w:p>
    <w:p w:rsidR="00640A13" w:rsidRPr="00F76FE2" w:rsidRDefault="00640A13" w:rsidP="00BC5BC9">
      <w:pPr>
        <w:spacing w:after="0" w:line="276" w:lineRule="auto"/>
        <w:ind w:right="-188"/>
        <w:rPr>
          <w:rFonts w:ascii="Cambria" w:hAnsi="Cambria" w:cs="Times New Roman"/>
          <w:b/>
          <w:noProof/>
          <w:sz w:val="20"/>
          <w:szCs w:val="20"/>
        </w:rPr>
      </w:pPr>
      <w:r w:rsidRPr="00F76FE2">
        <w:rPr>
          <w:noProof/>
          <w:lang w:val="en-US"/>
        </w:rPr>
        <w:drawing>
          <wp:inline distT="0" distB="0" distL="0" distR="0" wp14:anchorId="5BF2B4F3" wp14:editId="46BBCD27">
            <wp:extent cx="5736566" cy="1925955"/>
            <wp:effectExtent l="0" t="0" r="17145" b="17145"/>
            <wp:docPr id="60" name="Chart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40A13" w:rsidRPr="00F76FE2" w:rsidRDefault="00640A13" w:rsidP="00B92540">
      <w:pPr>
        <w:spacing w:after="0" w:line="276" w:lineRule="auto"/>
        <w:ind w:right="-188"/>
        <w:jc w:val="center"/>
        <w:rPr>
          <w:rFonts w:ascii="Cambria" w:hAnsi="Cambria" w:cs="Times New Roman"/>
          <w:i/>
          <w:noProof/>
          <w:sz w:val="20"/>
          <w:szCs w:val="20"/>
        </w:rPr>
      </w:pPr>
      <w:r w:rsidRPr="00F76FE2">
        <w:rPr>
          <w:rFonts w:ascii="Cambria" w:hAnsi="Cambria" w:cs="Times New Roman"/>
          <w:b/>
          <w:noProof/>
          <w:sz w:val="20"/>
          <w:szCs w:val="20"/>
        </w:rPr>
        <w:t>Burimi:</w:t>
      </w:r>
      <w:r w:rsidRPr="00F76FE2">
        <w:rPr>
          <w:rFonts w:ascii="Cambria" w:hAnsi="Cambria" w:cs="Times New Roman"/>
          <w:i/>
          <w:noProof/>
          <w:sz w:val="20"/>
          <w:szCs w:val="20"/>
        </w:rPr>
        <w:t xml:space="preserve"> Ministria e Financave dhe Ekonomisë (2020)</w:t>
      </w:r>
    </w:p>
    <w:p w:rsidR="00640A13" w:rsidRPr="00F76FE2" w:rsidRDefault="00640A13" w:rsidP="00B92540">
      <w:pPr>
        <w:pStyle w:val="ListParagraph"/>
        <w:spacing w:after="0" w:line="276" w:lineRule="auto"/>
        <w:ind w:right="-188"/>
        <w:rPr>
          <w:rFonts w:ascii="Cambria" w:hAnsi="Cambria" w:cs="Times New Roman"/>
          <w:noProof/>
          <w:sz w:val="20"/>
          <w:szCs w:val="20"/>
        </w:rPr>
      </w:pPr>
    </w:p>
    <w:p w:rsidR="00640A13" w:rsidRPr="00F76FE2" w:rsidRDefault="00640A13" w:rsidP="00BC5BC9">
      <w:pPr>
        <w:spacing w:after="0" w:line="276" w:lineRule="auto"/>
        <w:ind w:right="-46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76FE2">
        <w:rPr>
          <w:rFonts w:ascii="Times New Roman" w:hAnsi="Times New Roman" w:cs="Times New Roman"/>
          <w:noProof/>
          <w:sz w:val="24"/>
          <w:szCs w:val="24"/>
        </w:rPr>
        <w:t xml:space="preserve">Në portofolin e  borxhit të brendshëm shtetëror, gjatë vitit 2019, ashtu si edhe gjatë vitit paraardhës, në përputhje me politikat menaxhuese për uljen e ekspozimit ndaj risqeve, ka vazhduar tendenca e rritjes së peshës së titujve afatgjatë </w:t>
      </w:r>
      <w:r w:rsidRPr="00F76FE2">
        <w:rPr>
          <w:rFonts w:ascii="Times New Roman" w:hAnsi="Times New Roman" w:cs="Times New Roman"/>
          <w:i/>
          <w:noProof/>
          <w:sz w:val="24"/>
          <w:szCs w:val="24"/>
        </w:rPr>
        <w:t>(kryesisht të titujve me afat maturimi mbi 5 vite)</w:t>
      </w:r>
      <w:r w:rsidRPr="00F76FE2">
        <w:rPr>
          <w:rFonts w:ascii="Times New Roman" w:hAnsi="Times New Roman" w:cs="Times New Roman"/>
          <w:noProof/>
          <w:sz w:val="24"/>
          <w:szCs w:val="24"/>
        </w:rPr>
        <w:t>. Gjithashtu, pesha e titujve me norma interesi të ndryshueshme është reduktuar, pasi edhe gjatë këtij viti nuk ka pasur emetime të titujve me norma interesi të ndryshueshme, në përputhje me objektivat për reduktimin e riskut të normave të interesit dhe shmangien e fragmentimit të kërkesës.</w:t>
      </w:r>
    </w:p>
    <w:p w:rsidR="00640A13" w:rsidRPr="00F76FE2" w:rsidRDefault="00640A13" w:rsidP="00B92540">
      <w:pPr>
        <w:spacing w:after="0" w:line="276" w:lineRule="auto"/>
        <w:ind w:right="-188"/>
        <w:rPr>
          <w:rFonts w:ascii="Cambria" w:hAnsi="Cambria" w:cs="Times New Roman"/>
          <w:b/>
          <w:noProof/>
          <w:sz w:val="20"/>
          <w:szCs w:val="20"/>
        </w:rPr>
      </w:pPr>
    </w:p>
    <w:p w:rsidR="00640A13" w:rsidRPr="00F76FE2" w:rsidRDefault="00640A13" w:rsidP="00B92540">
      <w:pPr>
        <w:spacing w:after="0" w:line="276" w:lineRule="auto"/>
        <w:ind w:left="2127" w:right="-188" w:hanging="2127"/>
        <w:rPr>
          <w:rFonts w:ascii="Cambria" w:hAnsi="Cambria" w:cs="Times New Roman"/>
          <w:i/>
          <w:noProof/>
          <w:sz w:val="20"/>
          <w:szCs w:val="20"/>
        </w:rPr>
      </w:pPr>
      <w:r w:rsidRPr="00F76FE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9D5894E" wp14:editId="44676834">
                <wp:simplePos x="0" y="0"/>
                <wp:positionH relativeFrom="margin">
                  <wp:align>left</wp:align>
                </wp:positionH>
                <wp:positionV relativeFrom="paragraph">
                  <wp:posOffset>337820</wp:posOffset>
                </wp:positionV>
                <wp:extent cx="5735955" cy="2028825"/>
                <wp:effectExtent l="0" t="0" r="17145" b="2857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5955" cy="2028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7B55DC" id="Rectangle 52" o:spid="_x0000_s1026" style="position:absolute;margin-left:0;margin-top:26.6pt;width:451.65pt;height:159.75pt;z-index:251844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" filled="f" strokecolor="#bfbfbf [2412]" strokeweight=".5pt">
                <w10:wrap anchorx="margin"/>
              </v:rect>
            </w:pict>
          </mc:Fallback>
        </mc:AlternateContent>
      </w:r>
      <w:r w:rsidRPr="00F76FE2">
        <w:rPr>
          <w:rFonts w:ascii="Cambria" w:hAnsi="Cambria" w:cs="Times New Roman"/>
          <w:b/>
          <w:noProof/>
          <w:sz w:val="20"/>
          <w:szCs w:val="20"/>
        </w:rPr>
        <w:t xml:space="preserve">Paraqitje Grafike 2 (b): </w:t>
      </w:r>
      <w:r w:rsidRPr="00F76FE2">
        <w:rPr>
          <w:rFonts w:ascii="Cambria" w:hAnsi="Cambria" w:cs="Times New Roman"/>
          <w:i/>
          <w:noProof/>
          <w:sz w:val="20"/>
          <w:szCs w:val="20"/>
        </w:rPr>
        <w:t>Kompozimi i borxhit të brendshëm shtetëror sipas maturitetit të titujve dhe tipit të interesit (2015–2019)</w:t>
      </w:r>
    </w:p>
    <w:p w:rsidR="00640A13" w:rsidRPr="00F76FE2" w:rsidRDefault="00640A13" w:rsidP="00B92540">
      <w:pPr>
        <w:spacing w:after="0" w:line="276" w:lineRule="auto"/>
        <w:ind w:right="-188"/>
        <w:jc w:val="both"/>
        <w:rPr>
          <w:rFonts w:ascii="Cambria" w:hAnsi="Cambria" w:cs="Times New Roman"/>
          <w:b/>
          <w:noProof/>
          <w:sz w:val="20"/>
          <w:szCs w:val="20"/>
        </w:rPr>
      </w:pPr>
      <w:r w:rsidRPr="00F76FE2">
        <w:rPr>
          <w:noProof/>
          <w:lang w:val="en-US"/>
        </w:rPr>
        <w:drawing>
          <wp:inline distT="0" distB="0" distL="0" distR="0" wp14:anchorId="24D2EC30" wp14:editId="0307E919">
            <wp:extent cx="2941608" cy="2009775"/>
            <wp:effectExtent l="0" t="0" r="0" b="0"/>
            <wp:docPr id="61" name="Chart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Pr="00F76FE2">
        <w:rPr>
          <w:noProof/>
          <w:lang w:val="en-US"/>
        </w:rPr>
        <w:drawing>
          <wp:inline distT="0" distB="0" distL="0" distR="0" wp14:anchorId="20BEE1A2" wp14:editId="61860E57">
            <wp:extent cx="2777597" cy="1991995"/>
            <wp:effectExtent l="0" t="0" r="3810" b="8255"/>
            <wp:docPr id="62" name="Chart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40A13" w:rsidRPr="00F76FE2" w:rsidRDefault="00640A13" w:rsidP="00B92540">
      <w:pPr>
        <w:spacing w:after="0" w:line="276" w:lineRule="auto"/>
        <w:ind w:right="-188"/>
        <w:jc w:val="center"/>
        <w:rPr>
          <w:rFonts w:ascii="Cambria" w:hAnsi="Cambria" w:cs="Times New Roman"/>
          <w:i/>
          <w:noProof/>
          <w:sz w:val="20"/>
          <w:szCs w:val="20"/>
        </w:rPr>
      </w:pPr>
      <w:r w:rsidRPr="00F76FE2">
        <w:rPr>
          <w:rFonts w:ascii="Cambria" w:hAnsi="Cambria" w:cs="Times New Roman"/>
          <w:b/>
          <w:noProof/>
          <w:sz w:val="20"/>
          <w:szCs w:val="20"/>
        </w:rPr>
        <w:t>Burimi:</w:t>
      </w:r>
      <w:r w:rsidRPr="00F76FE2">
        <w:rPr>
          <w:rFonts w:ascii="Cambria" w:hAnsi="Cambria" w:cs="Times New Roman"/>
          <w:i/>
          <w:noProof/>
          <w:sz w:val="20"/>
          <w:szCs w:val="20"/>
        </w:rPr>
        <w:t xml:space="preserve"> Ministria e Financave dhe Ekonomisë (2020)</w:t>
      </w:r>
    </w:p>
    <w:p w:rsidR="00640A13" w:rsidRPr="00F76FE2" w:rsidRDefault="00640A13" w:rsidP="00B92540">
      <w:pPr>
        <w:spacing w:after="0" w:line="276" w:lineRule="auto"/>
        <w:ind w:right="-188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40A13" w:rsidRPr="00F76FE2" w:rsidRDefault="00640A13" w:rsidP="00BC5BC9">
      <w:pPr>
        <w:spacing w:after="0" w:line="276" w:lineRule="auto"/>
        <w:ind w:right="-46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76FE2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Në portofolin e borxhit të jashtëm, mbi 50% të peshës e mban borxhi me normë interesi fikse. Ndërkohë, për sa i përket kompozimit sipas instrumenteve, pavarësisht diversifikimit të portofolit drejt instrumenteve të tregtueshme </w:t>
      </w:r>
      <w:r w:rsidRPr="00F76FE2">
        <w:rPr>
          <w:rFonts w:ascii="Times New Roman" w:hAnsi="Times New Roman" w:cs="Times New Roman"/>
          <w:i/>
          <w:noProof/>
          <w:sz w:val="24"/>
          <w:szCs w:val="24"/>
        </w:rPr>
        <w:t>(Eurobond-i)</w:t>
      </w:r>
      <w:r w:rsidRPr="00F76FE2">
        <w:rPr>
          <w:rFonts w:ascii="Times New Roman" w:hAnsi="Times New Roman" w:cs="Times New Roman"/>
          <w:noProof/>
          <w:sz w:val="24"/>
          <w:szCs w:val="24"/>
        </w:rPr>
        <w:t xml:space="preserve">, peshën më të madhe vazhdojnë ta mbajnë kreditë me burim kreditorët dypalësh dhe shumëpalësh me destinacion financimin e projekteve me natyrë zhvillimore. </w:t>
      </w:r>
    </w:p>
    <w:p w:rsidR="00640A13" w:rsidRPr="00F76FE2" w:rsidRDefault="00640A13" w:rsidP="00B92540">
      <w:pPr>
        <w:spacing w:after="0" w:line="276" w:lineRule="auto"/>
        <w:ind w:right="-188"/>
        <w:rPr>
          <w:rFonts w:ascii="Cambria" w:hAnsi="Cambria" w:cs="Times New Roman"/>
          <w:b/>
          <w:noProof/>
          <w:sz w:val="20"/>
          <w:szCs w:val="20"/>
        </w:rPr>
      </w:pPr>
    </w:p>
    <w:p w:rsidR="00640A13" w:rsidRPr="00F76FE2" w:rsidRDefault="00640A13" w:rsidP="00B92540">
      <w:pPr>
        <w:spacing w:after="0" w:line="240" w:lineRule="auto"/>
        <w:ind w:left="2127" w:right="-188" w:hanging="2127"/>
        <w:rPr>
          <w:rFonts w:ascii="Cambria" w:hAnsi="Cambria" w:cs="Times New Roman"/>
          <w:i/>
          <w:noProof/>
          <w:sz w:val="20"/>
          <w:szCs w:val="20"/>
        </w:rPr>
      </w:pPr>
      <w:r w:rsidRPr="00F76FE2">
        <w:rPr>
          <w:rFonts w:ascii="Cambria" w:hAnsi="Cambria" w:cs="Times New Roman"/>
          <w:b/>
          <w:noProof/>
          <w:sz w:val="20"/>
          <w:szCs w:val="20"/>
        </w:rPr>
        <w:t xml:space="preserve"> Paraqitje Grafike 2 (c):</w:t>
      </w:r>
      <w:r w:rsidRPr="00F76FE2">
        <w:rPr>
          <w:rFonts w:ascii="Cambria" w:hAnsi="Cambria" w:cs="Times New Roman"/>
          <w:noProof/>
          <w:sz w:val="20"/>
          <w:szCs w:val="20"/>
        </w:rPr>
        <w:t xml:space="preserve"> </w:t>
      </w:r>
      <w:r w:rsidRPr="00F76FE2">
        <w:rPr>
          <w:rFonts w:ascii="Cambria" w:hAnsi="Cambria" w:cs="Times New Roman"/>
          <w:i/>
          <w:noProof/>
          <w:sz w:val="20"/>
          <w:szCs w:val="20"/>
        </w:rPr>
        <w:t>Kompozimi i borxhit të jashtëm shtetëror sipas tipit të instrumenteve dhe tipit të interesit (2015–2019)</w:t>
      </w:r>
    </w:p>
    <w:p w:rsidR="00640A13" w:rsidRPr="00F76FE2" w:rsidRDefault="00640A13" w:rsidP="00B92540">
      <w:pPr>
        <w:spacing w:after="0" w:line="240" w:lineRule="auto"/>
        <w:ind w:right="-188"/>
        <w:rPr>
          <w:rFonts w:ascii="Cambria" w:hAnsi="Cambria" w:cs="Times New Roman"/>
          <w:b/>
          <w:noProof/>
          <w:sz w:val="20"/>
          <w:szCs w:val="20"/>
        </w:rPr>
      </w:pPr>
      <w:r w:rsidRPr="00F76FE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55DC629" wp14:editId="21662429">
                <wp:simplePos x="0" y="0"/>
                <wp:positionH relativeFrom="margin">
                  <wp:align>left</wp:align>
                </wp:positionH>
                <wp:positionV relativeFrom="paragraph">
                  <wp:posOffset>11850</wp:posOffset>
                </wp:positionV>
                <wp:extent cx="5745192" cy="2216989"/>
                <wp:effectExtent l="0" t="0" r="27305" b="1206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5192" cy="221698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0BA89" id="Rectangle 53" o:spid="_x0000_s1026" style="position:absolute;margin-left:0;margin-top:.95pt;width:452.4pt;height:174.55pt;z-index:251845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" filled="f" strokecolor="#bfbfbf [2412]" strokeweight=".5pt">
                <w10:wrap anchorx="margin"/>
              </v:rect>
            </w:pict>
          </mc:Fallback>
        </mc:AlternateContent>
      </w:r>
      <w:r w:rsidRPr="00F76FE2">
        <w:rPr>
          <w:noProof/>
          <w:lang w:val="en-US"/>
        </w:rPr>
        <w:drawing>
          <wp:inline distT="0" distB="0" distL="0" distR="0" wp14:anchorId="61353BBA" wp14:editId="750F992F">
            <wp:extent cx="2872105" cy="2251494"/>
            <wp:effectExtent l="0" t="0" r="4445" b="0"/>
            <wp:docPr id="63" name="Chart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Pr="00F76FE2">
        <w:rPr>
          <w:noProof/>
          <w:lang w:val="en-US"/>
        </w:rPr>
        <w:drawing>
          <wp:inline distT="0" distB="0" distL="0" distR="0" wp14:anchorId="29562EB5" wp14:editId="35143C3F">
            <wp:extent cx="2838450" cy="2216988"/>
            <wp:effectExtent l="0" t="0" r="0" b="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40A13" w:rsidRPr="00F76FE2" w:rsidRDefault="00640A13" w:rsidP="00B92540">
      <w:pPr>
        <w:spacing w:after="0" w:line="240" w:lineRule="auto"/>
        <w:ind w:right="-188"/>
        <w:jc w:val="center"/>
        <w:rPr>
          <w:rFonts w:ascii="Cambria" w:hAnsi="Cambria" w:cs="Times New Roman"/>
          <w:i/>
          <w:noProof/>
          <w:sz w:val="20"/>
          <w:szCs w:val="20"/>
        </w:rPr>
      </w:pPr>
      <w:r w:rsidRPr="00F76FE2">
        <w:rPr>
          <w:rFonts w:ascii="Cambria" w:hAnsi="Cambria" w:cs="Times New Roman"/>
          <w:b/>
          <w:noProof/>
          <w:sz w:val="20"/>
          <w:szCs w:val="20"/>
        </w:rPr>
        <w:t xml:space="preserve">Burimi: </w:t>
      </w:r>
      <w:r w:rsidRPr="00F76FE2">
        <w:rPr>
          <w:rFonts w:ascii="Cambria" w:hAnsi="Cambria" w:cs="Times New Roman"/>
          <w:i/>
          <w:noProof/>
          <w:sz w:val="20"/>
          <w:szCs w:val="20"/>
        </w:rPr>
        <w:t>Ministria e Financave dhe Ekonomisë (2020)</w:t>
      </w:r>
    </w:p>
    <w:p w:rsidR="00640A13" w:rsidRPr="00F76FE2" w:rsidRDefault="00640A13" w:rsidP="00B92540">
      <w:pPr>
        <w:spacing w:after="0" w:line="240" w:lineRule="auto"/>
        <w:ind w:right="-188"/>
        <w:jc w:val="center"/>
        <w:rPr>
          <w:noProof/>
          <w:sz w:val="20"/>
        </w:rPr>
      </w:pPr>
    </w:p>
    <w:p w:rsidR="00640A13" w:rsidRPr="00F76FE2" w:rsidRDefault="00640A13" w:rsidP="00BC5BC9">
      <w:pPr>
        <w:shd w:val="clear" w:color="auto" w:fill="FFFFFF" w:themeFill="background1"/>
        <w:spacing w:after="0" w:line="276" w:lineRule="auto"/>
        <w:ind w:right="-46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76FE2">
        <w:rPr>
          <w:rFonts w:ascii="Times New Roman" w:hAnsi="Times New Roman" w:cs="Times New Roman"/>
          <w:noProof/>
          <w:sz w:val="24"/>
          <w:szCs w:val="24"/>
        </w:rPr>
        <w:t>Përbërja e borxhit shtetëror sipas valutave në fund të vitit 2019 paraqitet pothuajse e njëjtë me atë të vitit të kaluar. Pjesën më të madhe të portofolit të borxhit shtetëror e zë valuta vendase me 54.</w:t>
      </w:r>
      <w:r w:rsidR="003F5CF1">
        <w:rPr>
          <w:rFonts w:ascii="Times New Roman" w:hAnsi="Times New Roman" w:cs="Times New Roman"/>
          <w:noProof/>
          <w:sz w:val="24"/>
          <w:szCs w:val="24"/>
        </w:rPr>
        <w:t>4</w:t>
      </w:r>
      <w:r w:rsidRPr="00F76FE2">
        <w:rPr>
          <w:rFonts w:ascii="Times New Roman" w:hAnsi="Times New Roman" w:cs="Times New Roman"/>
          <w:noProof/>
          <w:sz w:val="24"/>
          <w:szCs w:val="24"/>
        </w:rPr>
        <w:t xml:space="preserve">% të totalit, ndjekur nga valuta EUR me 30.2% dhe USD me 10.3%. </w:t>
      </w:r>
    </w:p>
    <w:p w:rsidR="00640A13" w:rsidRPr="00F76FE2" w:rsidRDefault="00640A13" w:rsidP="00BC5BC9">
      <w:pPr>
        <w:shd w:val="clear" w:color="auto" w:fill="FFFFFF" w:themeFill="background1"/>
        <w:spacing w:after="0" w:line="276" w:lineRule="auto"/>
        <w:ind w:right="-46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76FE2">
        <w:rPr>
          <w:rFonts w:ascii="Times New Roman" w:hAnsi="Times New Roman" w:cs="Times New Roman"/>
          <w:noProof/>
          <w:sz w:val="24"/>
          <w:szCs w:val="24"/>
        </w:rPr>
        <w:t xml:space="preserve">Portofoli i borxhit të brendshëm në dallim nga viti i kaluar përbëhet tërësisht nga valuta  vendase, pasi gjatë vitit 2019 nuk janë emetuar tituj në valutë të huaj, në përputhje me politikat menaxhuese për të kufizuar ekspozimin e portofolit të borxhit ndaj riskut të kursit të këmbimit. Ndërkohë, portofoli i borxhit të jashtëm kompozohet tërësisht nga valuta të huaja, ku mbizotëron me 66.2% valuta EUR, e ndjekur nga USD me 22.6%. </w:t>
      </w:r>
    </w:p>
    <w:p w:rsidR="00640A13" w:rsidRPr="00F76FE2" w:rsidRDefault="00640A13" w:rsidP="00B92540">
      <w:pPr>
        <w:spacing w:after="0" w:line="276" w:lineRule="auto"/>
        <w:ind w:right="-188"/>
        <w:jc w:val="both"/>
        <w:rPr>
          <w:rFonts w:ascii="Times New Roman" w:hAnsi="Times New Roman" w:cs="Times New Roman"/>
          <w:b/>
          <w:noProof/>
          <w:sz w:val="16"/>
          <w:szCs w:val="20"/>
        </w:rPr>
      </w:pPr>
    </w:p>
    <w:p w:rsidR="00640A13" w:rsidRPr="00F76FE2" w:rsidRDefault="00640A13" w:rsidP="00B92540">
      <w:pPr>
        <w:spacing w:after="0" w:line="276" w:lineRule="auto"/>
        <w:ind w:right="-188"/>
        <w:jc w:val="center"/>
        <w:rPr>
          <w:rFonts w:ascii="Cambria" w:hAnsi="Cambria" w:cs="Times New Roman"/>
          <w:noProof/>
          <w:sz w:val="20"/>
          <w:szCs w:val="20"/>
        </w:rPr>
      </w:pPr>
      <w:r w:rsidRPr="00F76FE2">
        <w:rPr>
          <w:rFonts w:ascii="Cambria" w:hAnsi="Cambria" w:cs="Times New Roman"/>
          <w:noProof/>
          <w:sz w:val="16"/>
          <w:szCs w:val="16"/>
          <w:lang w:val="en-US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8F548CE" wp14:editId="6C632B99">
                <wp:simplePos x="0" y="0"/>
                <wp:positionH relativeFrom="margin">
                  <wp:align>left</wp:align>
                </wp:positionH>
                <wp:positionV relativeFrom="paragraph">
                  <wp:posOffset>168023</wp:posOffset>
                </wp:positionV>
                <wp:extent cx="5744845" cy="2570672"/>
                <wp:effectExtent l="0" t="0" r="27305" b="2032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4845" cy="2570672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3201E1" id="Rectangle 55" o:spid="_x0000_s1026" style="position:absolute;margin-left:0;margin-top:13.25pt;width:452.35pt;height:202.4pt;z-index:251846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" filled="f" strokecolor="#d9d9d9" strokeweight=".5pt">
                <w10:wrap anchorx="margin"/>
              </v:rect>
            </w:pict>
          </mc:Fallback>
        </mc:AlternateContent>
      </w:r>
      <w:r w:rsidRPr="00F76FE2">
        <w:rPr>
          <w:rFonts w:ascii="Cambria" w:hAnsi="Cambria" w:cs="Times New Roman"/>
          <w:b/>
          <w:noProof/>
          <w:sz w:val="20"/>
          <w:szCs w:val="20"/>
        </w:rPr>
        <w:t>Paraqitje Grafike 2 (d):</w:t>
      </w:r>
      <w:r w:rsidRPr="00F76FE2">
        <w:rPr>
          <w:rFonts w:ascii="Cambria" w:hAnsi="Cambria" w:cs="Times New Roman"/>
          <w:noProof/>
          <w:sz w:val="20"/>
          <w:szCs w:val="20"/>
        </w:rPr>
        <w:t xml:space="preserve"> </w:t>
      </w:r>
      <w:r w:rsidRPr="00F76FE2">
        <w:rPr>
          <w:rFonts w:ascii="Cambria" w:hAnsi="Cambria" w:cs="Times New Roman"/>
          <w:i/>
          <w:noProof/>
          <w:sz w:val="20"/>
          <w:szCs w:val="20"/>
        </w:rPr>
        <w:t>Kompozimi i borxhit  shtetëror sipas valutës (2019)</w:t>
      </w:r>
    </w:p>
    <w:p w:rsidR="00640A13" w:rsidRPr="00F76FE2" w:rsidRDefault="00640A13" w:rsidP="00B92540">
      <w:pPr>
        <w:spacing w:after="0" w:line="276" w:lineRule="auto"/>
        <w:ind w:right="-188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76FE2">
        <w:rPr>
          <w:noProof/>
          <w:lang w:val="en-US"/>
        </w:rPr>
        <w:drawing>
          <wp:anchor distT="0" distB="0" distL="114300" distR="114300" simplePos="0" relativeHeight="251850752" behindDoc="1" locked="0" layoutInCell="1" allowOverlap="1" wp14:anchorId="0BB1DA12" wp14:editId="53FB5DAE">
            <wp:simplePos x="0" y="0"/>
            <wp:positionH relativeFrom="column">
              <wp:posOffset>3620770</wp:posOffset>
            </wp:positionH>
            <wp:positionV relativeFrom="paragraph">
              <wp:posOffset>12065</wp:posOffset>
            </wp:positionV>
            <wp:extent cx="1975485" cy="1224915"/>
            <wp:effectExtent l="0" t="0" r="0" b="0"/>
            <wp:wrapTight wrapText="bothSides">
              <wp:wrapPolygon edited="0">
                <wp:start x="6249" y="336"/>
                <wp:lineTo x="6457" y="6383"/>
                <wp:lineTo x="5624" y="10078"/>
                <wp:lineTo x="5416" y="12093"/>
                <wp:lineTo x="6249" y="17132"/>
                <wp:lineTo x="6249" y="17804"/>
                <wp:lineTo x="8748" y="21163"/>
                <wp:lineTo x="9165" y="21163"/>
                <wp:lineTo x="14372" y="21163"/>
                <wp:lineTo x="14789" y="21163"/>
                <wp:lineTo x="17288" y="17132"/>
                <wp:lineTo x="18122" y="11757"/>
                <wp:lineTo x="17288" y="7054"/>
                <wp:lineTo x="17288" y="5039"/>
                <wp:lineTo x="15830" y="1008"/>
                <wp:lineTo x="15205" y="336"/>
                <wp:lineTo x="6249" y="336"/>
              </wp:wrapPolygon>
            </wp:wrapTight>
            <wp:docPr id="50" name="Chart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0A13" w:rsidRPr="00F76FE2" w:rsidRDefault="00640A13" w:rsidP="00B92540">
      <w:pPr>
        <w:spacing w:after="0" w:line="276" w:lineRule="auto"/>
        <w:ind w:right="-188"/>
        <w:jc w:val="both"/>
        <w:rPr>
          <w:rFonts w:ascii="Cambria" w:hAnsi="Cambria" w:cs="Times New Roman"/>
          <w:b/>
          <w:noProof/>
          <w:sz w:val="20"/>
          <w:szCs w:val="20"/>
        </w:rPr>
      </w:pPr>
      <w:r w:rsidRPr="00F76FE2">
        <w:rPr>
          <w:noProof/>
          <w:lang w:val="en-US"/>
        </w:rPr>
        <w:drawing>
          <wp:anchor distT="0" distB="0" distL="114300" distR="114300" simplePos="0" relativeHeight="251849728" behindDoc="1" locked="0" layoutInCell="1" allowOverlap="1" wp14:anchorId="5A9F0BCA" wp14:editId="3B731AFE">
            <wp:simplePos x="0" y="0"/>
            <wp:positionH relativeFrom="column">
              <wp:posOffset>68580</wp:posOffset>
            </wp:positionH>
            <wp:positionV relativeFrom="paragraph">
              <wp:posOffset>8890</wp:posOffset>
            </wp:positionV>
            <wp:extent cx="3674745" cy="2336800"/>
            <wp:effectExtent l="0" t="0" r="0" b="0"/>
            <wp:wrapTight wrapText="bothSides">
              <wp:wrapPolygon edited="0">
                <wp:start x="4815" y="176"/>
                <wp:lineTo x="4815" y="1761"/>
                <wp:lineTo x="5711" y="3346"/>
                <wp:lineTo x="3807" y="5811"/>
                <wp:lineTo x="3135" y="8980"/>
                <wp:lineTo x="3023" y="11798"/>
                <wp:lineTo x="3807" y="14615"/>
                <wp:lineTo x="3807" y="15143"/>
                <wp:lineTo x="6159" y="17433"/>
                <wp:lineTo x="6607" y="17433"/>
                <wp:lineTo x="11309" y="20250"/>
                <wp:lineTo x="11421" y="20778"/>
                <wp:lineTo x="20044" y="21130"/>
                <wp:lineTo x="20715" y="21130"/>
                <wp:lineTo x="21387" y="20778"/>
                <wp:lineTo x="21387" y="20250"/>
                <wp:lineTo x="9518" y="17433"/>
                <wp:lineTo x="11645" y="15143"/>
                <wp:lineTo x="12429" y="11798"/>
                <wp:lineTo x="12541" y="8980"/>
                <wp:lineTo x="11981" y="7043"/>
                <wp:lineTo x="11757" y="5811"/>
                <wp:lineTo x="9966" y="3874"/>
                <wp:lineTo x="9070" y="3346"/>
                <wp:lineTo x="9742" y="1409"/>
                <wp:lineTo x="9742" y="528"/>
                <wp:lineTo x="8958" y="176"/>
                <wp:lineTo x="4815" y="176"/>
              </wp:wrapPolygon>
            </wp:wrapTight>
            <wp:docPr id="64" name="Chart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0A13" w:rsidRPr="00F76FE2" w:rsidRDefault="00640A13" w:rsidP="00B92540">
      <w:pPr>
        <w:tabs>
          <w:tab w:val="left" w:pos="914"/>
        </w:tabs>
        <w:spacing w:after="0" w:line="276" w:lineRule="auto"/>
        <w:ind w:right="-188"/>
        <w:jc w:val="both"/>
        <w:rPr>
          <w:rFonts w:ascii="Cambria" w:hAnsi="Cambria" w:cs="Times New Roman"/>
          <w:b/>
          <w:noProof/>
          <w:sz w:val="20"/>
          <w:szCs w:val="20"/>
        </w:rPr>
      </w:pPr>
      <w:r w:rsidRPr="00F76FE2">
        <w:rPr>
          <w:rFonts w:ascii="Calibri" w:eastAsia="Times New Roman" w:hAnsi="Calibri" w:cs="Times New Roman"/>
          <w:noProof/>
          <w:color w:val="000000"/>
          <w:lang w:eastAsia="sq-AL"/>
        </w:rPr>
        <w:t xml:space="preserve"> </w:t>
      </w:r>
    </w:p>
    <w:p w:rsidR="00640A13" w:rsidRPr="00F76FE2" w:rsidRDefault="00640A13" w:rsidP="00B92540">
      <w:pPr>
        <w:tabs>
          <w:tab w:val="left" w:pos="914"/>
        </w:tabs>
        <w:spacing w:after="0" w:line="276" w:lineRule="auto"/>
        <w:ind w:right="-188"/>
        <w:jc w:val="both"/>
        <w:rPr>
          <w:rFonts w:ascii="Cambria" w:hAnsi="Cambria" w:cs="Times New Roman"/>
          <w:b/>
          <w:noProof/>
          <w:sz w:val="20"/>
          <w:szCs w:val="20"/>
        </w:rPr>
      </w:pPr>
      <w:r w:rsidRPr="00F76FE2">
        <w:rPr>
          <w:rFonts w:ascii="Calibri" w:eastAsia="Times New Roman" w:hAnsi="Calibri" w:cs="Times New Roman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8695618" wp14:editId="6C18A83D">
                <wp:simplePos x="0" y="0"/>
                <wp:positionH relativeFrom="column">
                  <wp:posOffset>2208362</wp:posOffset>
                </wp:positionH>
                <wp:positionV relativeFrom="paragraph">
                  <wp:posOffset>132259</wp:posOffset>
                </wp:positionV>
                <wp:extent cx="1940944" cy="658387"/>
                <wp:effectExtent l="0" t="38100" r="59690" b="2794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40944" cy="658387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8FF3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6" o:spid="_x0000_s1026" type="#_x0000_t32" style="position:absolute;margin-left:173.9pt;margin-top:10.4pt;width:152.85pt;height:51.85pt;flip:y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" strokecolor="windowText" strokeweight=".5pt">
                <v:stroke endarrow="block" joinstyle="miter"/>
              </v:shape>
            </w:pict>
          </mc:Fallback>
        </mc:AlternateContent>
      </w:r>
    </w:p>
    <w:p w:rsidR="00640A13" w:rsidRPr="00F76FE2" w:rsidRDefault="00640A13" w:rsidP="00B92540">
      <w:pPr>
        <w:tabs>
          <w:tab w:val="left" w:pos="914"/>
        </w:tabs>
        <w:spacing w:after="0" w:line="276" w:lineRule="auto"/>
        <w:ind w:right="-188"/>
        <w:jc w:val="both"/>
        <w:rPr>
          <w:rFonts w:ascii="Cambria" w:hAnsi="Cambria" w:cs="Times New Roman"/>
          <w:b/>
          <w:noProof/>
          <w:sz w:val="20"/>
          <w:szCs w:val="20"/>
        </w:rPr>
      </w:pPr>
    </w:p>
    <w:p w:rsidR="00640A13" w:rsidRPr="00F76FE2" w:rsidRDefault="00640A13" w:rsidP="00B92540">
      <w:pPr>
        <w:tabs>
          <w:tab w:val="left" w:pos="914"/>
        </w:tabs>
        <w:spacing w:after="0" w:line="276" w:lineRule="auto"/>
        <w:ind w:right="-188"/>
        <w:jc w:val="both"/>
        <w:rPr>
          <w:rFonts w:ascii="Cambria" w:hAnsi="Cambria" w:cs="Times New Roman"/>
          <w:b/>
          <w:noProof/>
          <w:sz w:val="20"/>
          <w:szCs w:val="20"/>
        </w:rPr>
      </w:pPr>
    </w:p>
    <w:p w:rsidR="00640A13" w:rsidRPr="00F76FE2" w:rsidRDefault="00640A13" w:rsidP="00B92540">
      <w:pPr>
        <w:tabs>
          <w:tab w:val="left" w:pos="914"/>
        </w:tabs>
        <w:spacing w:after="0" w:line="276" w:lineRule="auto"/>
        <w:ind w:right="-188"/>
        <w:jc w:val="both"/>
        <w:rPr>
          <w:rFonts w:ascii="Cambria" w:hAnsi="Cambria" w:cs="Times New Roman"/>
          <w:b/>
          <w:noProof/>
          <w:sz w:val="20"/>
          <w:szCs w:val="20"/>
        </w:rPr>
      </w:pPr>
    </w:p>
    <w:p w:rsidR="00640A13" w:rsidRPr="00F76FE2" w:rsidRDefault="008D2DDB" w:rsidP="00B92540">
      <w:pPr>
        <w:tabs>
          <w:tab w:val="left" w:pos="914"/>
        </w:tabs>
        <w:spacing w:after="0" w:line="276" w:lineRule="auto"/>
        <w:ind w:right="-188"/>
        <w:jc w:val="both"/>
        <w:rPr>
          <w:rFonts w:ascii="Cambria" w:hAnsi="Cambria" w:cs="Times New Roman"/>
          <w:b/>
          <w:noProof/>
          <w:sz w:val="20"/>
          <w:szCs w:val="20"/>
        </w:rPr>
      </w:pPr>
      <w:r w:rsidRPr="00F76FE2">
        <w:rPr>
          <w:noProof/>
          <w:lang w:val="en-US"/>
        </w:rPr>
        <w:drawing>
          <wp:anchor distT="0" distB="0" distL="114300" distR="114300" simplePos="0" relativeHeight="251851776" behindDoc="1" locked="0" layoutInCell="1" allowOverlap="1" wp14:anchorId="08617FC3" wp14:editId="697EC0B9">
            <wp:simplePos x="0" y="0"/>
            <wp:positionH relativeFrom="column">
              <wp:posOffset>3552825</wp:posOffset>
            </wp:positionH>
            <wp:positionV relativeFrom="paragraph">
              <wp:posOffset>8255</wp:posOffset>
            </wp:positionV>
            <wp:extent cx="2139950" cy="1310640"/>
            <wp:effectExtent l="0" t="0" r="0" b="3810"/>
            <wp:wrapTight wrapText="bothSides">
              <wp:wrapPolygon edited="0">
                <wp:start x="7499" y="628"/>
                <wp:lineTo x="6922" y="4709"/>
                <wp:lineTo x="6730" y="8477"/>
                <wp:lineTo x="5961" y="11302"/>
                <wp:lineTo x="6345" y="16953"/>
                <wp:lineTo x="8845" y="21035"/>
                <wp:lineTo x="9230" y="21349"/>
                <wp:lineTo x="14614" y="21349"/>
                <wp:lineTo x="14998" y="21035"/>
                <wp:lineTo x="17306" y="16953"/>
                <wp:lineTo x="17882" y="11302"/>
                <wp:lineTo x="16729" y="7849"/>
                <wp:lineTo x="16344" y="4709"/>
                <wp:lineTo x="14998" y="1570"/>
                <wp:lineTo x="14229" y="628"/>
                <wp:lineTo x="7499" y="628"/>
              </wp:wrapPolygon>
            </wp:wrapTight>
            <wp:docPr id="65" name="Chart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A13" w:rsidRPr="00F76FE2">
        <w:rPr>
          <w:rFonts w:ascii="Calibri" w:eastAsia="Times New Roman" w:hAnsi="Calibri" w:cs="Times New Roman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8FB1DFB" wp14:editId="1D802A2B">
                <wp:simplePos x="0" y="0"/>
                <wp:positionH relativeFrom="column">
                  <wp:posOffset>2208267</wp:posOffset>
                </wp:positionH>
                <wp:positionV relativeFrom="paragraph">
                  <wp:posOffset>111448</wp:posOffset>
                </wp:positionV>
                <wp:extent cx="1958196" cy="612476"/>
                <wp:effectExtent l="0" t="0" r="80645" b="73660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8196" cy="61247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A0E2C" id="Straight Arrow Connector 57" o:spid="_x0000_s1026" type="#_x0000_t32" style="position:absolute;margin-left:173.9pt;margin-top:8.8pt;width:154.2pt;height:48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" strokecolor="windowText" strokeweight=".5pt">
                <v:stroke endarrow="block" joinstyle="miter"/>
              </v:shape>
            </w:pict>
          </mc:Fallback>
        </mc:AlternateContent>
      </w:r>
    </w:p>
    <w:p w:rsidR="00640A13" w:rsidRPr="00F76FE2" w:rsidRDefault="00640A13" w:rsidP="00B92540">
      <w:pPr>
        <w:tabs>
          <w:tab w:val="left" w:pos="914"/>
        </w:tabs>
        <w:spacing w:after="0" w:line="276" w:lineRule="auto"/>
        <w:ind w:right="-188"/>
        <w:jc w:val="both"/>
        <w:rPr>
          <w:rFonts w:ascii="Cambria" w:hAnsi="Cambria" w:cs="Times New Roman"/>
          <w:b/>
          <w:noProof/>
          <w:sz w:val="20"/>
          <w:szCs w:val="20"/>
        </w:rPr>
      </w:pPr>
    </w:p>
    <w:p w:rsidR="00640A13" w:rsidRPr="00F76FE2" w:rsidRDefault="00640A13" w:rsidP="00B92540">
      <w:pPr>
        <w:tabs>
          <w:tab w:val="left" w:pos="914"/>
        </w:tabs>
        <w:spacing w:after="0" w:line="276" w:lineRule="auto"/>
        <w:ind w:right="-188"/>
        <w:jc w:val="both"/>
        <w:rPr>
          <w:rFonts w:ascii="Cambria" w:hAnsi="Cambria" w:cs="Times New Roman"/>
          <w:b/>
          <w:noProof/>
          <w:sz w:val="20"/>
          <w:szCs w:val="20"/>
        </w:rPr>
      </w:pPr>
    </w:p>
    <w:p w:rsidR="00640A13" w:rsidRPr="00F76FE2" w:rsidRDefault="00640A13" w:rsidP="00B92540">
      <w:pPr>
        <w:tabs>
          <w:tab w:val="left" w:pos="914"/>
        </w:tabs>
        <w:spacing w:after="0" w:line="276" w:lineRule="auto"/>
        <w:ind w:right="-188"/>
        <w:jc w:val="both"/>
        <w:rPr>
          <w:rFonts w:ascii="Cambria" w:hAnsi="Cambria" w:cs="Times New Roman"/>
          <w:b/>
          <w:noProof/>
          <w:sz w:val="20"/>
          <w:szCs w:val="20"/>
        </w:rPr>
      </w:pPr>
      <w:r w:rsidRPr="00F76FE2">
        <w:rPr>
          <w:rFonts w:ascii="Cambria" w:hAnsi="Cambria" w:cs="Times New Roman"/>
          <w:b/>
          <w:noProof/>
          <w:sz w:val="20"/>
          <w:szCs w:val="20"/>
        </w:rPr>
        <w:tab/>
      </w:r>
    </w:p>
    <w:p w:rsidR="00640A13" w:rsidRPr="00F76FE2" w:rsidRDefault="00640A13" w:rsidP="00B92540">
      <w:pPr>
        <w:tabs>
          <w:tab w:val="left" w:pos="914"/>
        </w:tabs>
        <w:spacing w:after="0" w:line="276" w:lineRule="auto"/>
        <w:ind w:right="-188"/>
        <w:jc w:val="both"/>
        <w:rPr>
          <w:rFonts w:ascii="Cambria" w:hAnsi="Cambria" w:cs="Times New Roman"/>
          <w:b/>
          <w:noProof/>
          <w:sz w:val="20"/>
          <w:szCs w:val="20"/>
        </w:rPr>
      </w:pPr>
    </w:p>
    <w:p w:rsidR="00640A13" w:rsidRPr="00F76FE2" w:rsidRDefault="00640A13" w:rsidP="00B92540">
      <w:pPr>
        <w:tabs>
          <w:tab w:val="left" w:pos="914"/>
        </w:tabs>
        <w:spacing w:after="0" w:line="276" w:lineRule="auto"/>
        <w:ind w:right="-188"/>
        <w:jc w:val="both"/>
        <w:rPr>
          <w:rFonts w:ascii="Cambria" w:hAnsi="Cambria" w:cs="Times New Roman"/>
          <w:b/>
          <w:noProof/>
          <w:sz w:val="20"/>
          <w:szCs w:val="20"/>
        </w:rPr>
      </w:pPr>
    </w:p>
    <w:p w:rsidR="00640A13" w:rsidRPr="00F76FE2" w:rsidRDefault="00640A13" w:rsidP="00B92540">
      <w:pPr>
        <w:tabs>
          <w:tab w:val="left" w:pos="914"/>
        </w:tabs>
        <w:spacing w:after="0" w:line="276" w:lineRule="auto"/>
        <w:ind w:right="-188"/>
        <w:jc w:val="both"/>
        <w:rPr>
          <w:rFonts w:ascii="Cambria" w:hAnsi="Cambria" w:cs="Times New Roman"/>
          <w:b/>
          <w:noProof/>
          <w:sz w:val="20"/>
          <w:szCs w:val="20"/>
        </w:rPr>
      </w:pPr>
    </w:p>
    <w:p w:rsidR="00640A13" w:rsidRPr="00F76FE2" w:rsidRDefault="00640A13" w:rsidP="00B92540">
      <w:pPr>
        <w:tabs>
          <w:tab w:val="left" w:pos="914"/>
        </w:tabs>
        <w:spacing w:after="0" w:line="276" w:lineRule="auto"/>
        <w:ind w:right="-188"/>
        <w:jc w:val="both"/>
        <w:rPr>
          <w:rFonts w:ascii="Cambria" w:hAnsi="Cambria" w:cs="Times New Roman"/>
          <w:b/>
          <w:noProof/>
          <w:sz w:val="20"/>
          <w:szCs w:val="20"/>
        </w:rPr>
      </w:pPr>
    </w:p>
    <w:p w:rsidR="00640A13" w:rsidRPr="00F76FE2" w:rsidRDefault="00640A13" w:rsidP="00B92540">
      <w:pPr>
        <w:tabs>
          <w:tab w:val="left" w:pos="914"/>
        </w:tabs>
        <w:spacing w:after="0" w:line="276" w:lineRule="auto"/>
        <w:ind w:right="-188"/>
        <w:jc w:val="center"/>
        <w:rPr>
          <w:rFonts w:ascii="Cambria" w:hAnsi="Cambria" w:cs="Times New Roman"/>
          <w:i/>
          <w:noProof/>
          <w:sz w:val="20"/>
          <w:szCs w:val="20"/>
        </w:rPr>
      </w:pPr>
      <w:r w:rsidRPr="00F76FE2">
        <w:rPr>
          <w:rFonts w:ascii="Cambria" w:hAnsi="Cambria" w:cs="Times New Roman"/>
          <w:b/>
          <w:noProof/>
          <w:sz w:val="20"/>
          <w:szCs w:val="20"/>
        </w:rPr>
        <w:t xml:space="preserve">Burimi: </w:t>
      </w:r>
      <w:r w:rsidRPr="00F76FE2">
        <w:rPr>
          <w:rFonts w:ascii="Cambria" w:hAnsi="Cambria" w:cs="Times New Roman"/>
          <w:i/>
          <w:noProof/>
          <w:sz w:val="20"/>
          <w:szCs w:val="20"/>
        </w:rPr>
        <w:t>Ministria e Financave dhe Ekonomisë (2020)</w:t>
      </w:r>
    </w:p>
    <w:p w:rsidR="00AA203D" w:rsidRPr="00F76FE2" w:rsidRDefault="003C1892" w:rsidP="00B92540">
      <w:pPr>
        <w:pStyle w:val="Heading1"/>
        <w:numPr>
          <w:ilvl w:val="0"/>
          <w:numId w:val="5"/>
        </w:numPr>
        <w:tabs>
          <w:tab w:val="left" w:pos="851"/>
        </w:tabs>
        <w:spacing w:before="0" w:after="240" w:line="276" w:lineRule="auto"/>
        <w:ind w:left="426" w:right="-188" w:hanging="426"/>
        <w:jc w:val="both"/>
        <w:rPr>
          <w:rFonts w:ascii="Cambria" w:hAnsi="Cambria"/>
          <w:sz w:val="24"/>
          <w:szCs w:val="24"/>
        </w:rPr>
      </w:pPr>
      <w:bookmarkStart w:id="4" w:name="_Toc483994729"/>
      <w:bookmarkStart w:id="5" w:name="_Toc491860988"/>
      <w:bookmarkStart w:id="6" w:name="_Toc491954301"/>
      <w:bookmarkStart w:id="7" w:name="_Toc34645063"/>
      <w:r w:rsidRPr="00F76FE2">
        <w:rPr>
          <w:rFonts w:ascii="Cambria" w:hAnsi="Cambria"/>
          <w:sz w:val="24"/>
          <w:szCs w:val="24"/>
        </w:rPr>
        <w:lastRenderedPageBreak/>
        <w:t>Borxhi Shtetëror</w:t>
      </w:r>
      <w:r w:rsidR="00470B7D" w:rsidRPr="00F76FE2">
        <w:rPr>
          <w:rFonts w:ascii="Cambria" w:hAnsi="Cambria"/>
          <w:sz w:val="24"/>
          <w:szCs w:val="24"/>
        </w:rPr>
        <w:t xml:space="preserve"> </w:t>
      </w:r>
      <w:r w:rsidRPr="00F76FE2">
        <w:rPr>
          <w:rFonts w:ascii="Cambria" w:hAnsi="Cambria"/>
          <w:sz w:val="24"/>
          <w:szCs w:val="24"/>
        </w:rPr>
        <w:t>i</w:t>
      </w:r>
      <w:r w:rsidR="00470B7D" w:rsidRPr="00F76FE2">
        <w:rPr>
          <w:rFonts w:ascii="Cambria" w:hAnsi="Cambria"/>
          <w:sz w:val="24"/>
          <w:szCs w:val="24"/>
        </w:rPr>
        <w:t xml:space="preserve"> </w:t>
      </w:r>
      <w:hyperlink w:anchor="_Toc480457956" w:history="1">
        <w:r w:rsidR="00470B7D" w:rsidRPr="00F76FE2">
          <w:rPr>
            <w:rFonts w:ascii="Cambria" w:hAnsi="Cambria"/>
            <w:sz w:val="24"/>
            <w:szCs w:val="24"/>
          </w:rPr>
          <w:t>Garan</w:t>
        </w:r>
      </w:hyperlink>
      <w:bookmarkEnd w:id="4"/>
      <w:r w:rsidR="00470B7D" w:rsidRPr="00F76FE2">
        <w:rPr>
          <w:rFonts w:ascii="Cambria" w:hAnsi="Cambria"/>
          <w:sz w:val="24"/>
          <w:szCs w:val="24"/>
        </w:rPr>
        <w:t>tuar</w:t>
      </w:r>
      <w:bookmarkEnd w:id="5"/>
      <w:bookmarkEnd w:id="6"/>
      <w:bookmarkEnd w:id="7"/>
    </w:p>
    <w:p w:rsidR="00AA203D" w:rsidRPr="00F76FE2" w:rsidRDefault="00AA203D" w:rsidP="00BC5BC9">
      <w:pPr>
        <w:spacing w:after="0" w:line="276" w:lineRule="auto"/>
        <w:ind w:right="-46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8" w:name="_Toc9249203"/>
      <w:r w:rsidRPr="00F76FE2">
        <w:rPr>
          <w:rFonts w:ascii="Times New Roman" w:hAnsi="Times New Roman" w:cs="Times New Roman"/>
          <w:noProof/>
          <w:sz w:val="24"/>
          <w:szCs w:val="24"/>
        </w:rPr>
        <w:t xml:space="preserve">Në fund të vitit 2019, portofoli i borxhit të garantuar vlerësohet në 41.9 miliard Lekë </w:t>
      </w:r>
      <w:r w:rsidRPr="00F76FE2">
        <w:rPr>
          <w:rFonts w:ascii="Times New Roman" w:hAnsi="Times New Roman" w:cs="Times New Roman"/>
          <w:i/>
          <w:noProof/>
          <w:sz w:val="24"/>
          <w:szCs w:val="24"/>
        </w:rPr>
        <w:t>(2.5% e PBB)</w:t>
      </w:r>
      <w:r w:rsidRPr="00F76FE2">
        <w:rPr>
          <w:rFonts w:ascii="Times New Roman" w:hAnsi="Times New Roman" w:cs="Times New Roman"/>
          <w:noProof/>
          <w:sz w:val="24"/>
          <w:szCs w:val="24"/>
        </w:rPr>
        <w:t xml:space="preserve"> ose 3.8% e portofolit të borxhit të qeverisjes qendrore </w:t>
      </w:r>
      <w:r w:rsidRPr="00F76FE2">
        <w:rPr>
          <w:rFonts w:ascii="Times New Roman" w:hAnsi="Times New Roman" w:cs="Times New Roman"/>
          <w:i/>
          <w:noProof/>
          <w:sz w:val="24"/>
          <w:szCs w:val="24"/>
        </w:rPr>
        <w:t>(Ref. Aneksi II, Tabela 1.2)</w:t>
      </w:r>
      <w:r w:rsidRPr="00F76FE2">
        <w:rPr>
          <w:rFonts w:ascii="Times New Roman" w:hAnsi="Times New Roman" w:cs="Times New Roman"/>
          <w:noProof/>
          <w:sz w:val="24"/>
          <w:szCs w:val="24"/>
        </w:rPr>
        <w:t>. Krahasuar me fundin e vitit të kaluar, borxhi i garantuar është reduktuar në vlerë absolute me rreth 2.8 miliard Lekë, pasi nuk ka patur emetime t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 xml:space="preserve"> reja t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 xml:space="preserve"> garancive</w:t>
      </w:r>
      <w:bookmarkEnd w:id="8"/>
      <w:r w:rsidRPr="00F76FE2">
        <w:rPr>
          <w:rFonts w:ascii="Times New Roman" w:hAnsi="Times New Roman" w:cs="Times New Roman"/>
          <w:noProof/>
          <w:sz w:val="24"/>
          <w:szCs w:val="24"/>
        </w:rPr>
        <w:t xml:space="preserve"> qeveritare edhe p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>rgjat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 xml:space="preserve"> vitit 2019.</w:t>
      </w:r>
    </w:p>
    <w:p w:rsidR="00AA203D" w:rsidRPr="00F76FE2" w:rsidRDefault="00AA203D" w:rsidP="00BC5BC9">
      <w:pPr>
        <w:tabs>
          <w:tab w:val="left" w:pos="270"/>
        </w:tabs>
        <w:spacing w:after="0" w:line="276" w:lineRule="auto"/>
        <w:ind w:right="-46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AA203D" w:rsidRPr="00F76FE2" w:rsidRDefault="00AA203D" w:rsidP="00BC5BC9">
      <w:pPr>
        <w:tabs>
          <w:tab w:val="left" w:pos="270"/>
        </w:tabs>
        <w:spacing w:after="0" w:line="276" w:lineRule="auto"/>
        <w:ind w:right="-46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76FE2">
        <w:rPr>
          <w:rFonts w:ascii="Times New Roman" w:hAnsi="Times New Roman" w:cs="Times New Roman"/>
          <w:noProof/>
          <w:sz w:val="24"/>
          <w:szCs w:val="24"/>
        </w:rPr>
        <w:t>Për sa i përket kompozimit sipas rezidencës së kreditorit, garancitë e brendshme ndër vite kanë pasur një tendencë rritëse, ndërkohë që janë reduktuar ndjeshëm gjatë vitit 2018, si rezultat i bërjes efektive të marrëveshjes së huasë me BERZH për projektin “Shqipëria: Plani i Ristrukturimit të KESH”</w:t>
      </w:r>
      <w:r w:rsidRPr="00F76FE2"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4"/>
      </w:r>
      <w:r w:rsidRPr="00F76FE2">
        <w:rPr>
          <w:rFonts w:ascii="Times New Roman" w:hAnsi="Times New Roman" w:cs="Times New Roman"/>
          <w:noProof/>
          <w:sz w:val="24"/>
          <w:szCs w:val="24"/>
        </w:rPr>
        <w:t>. Gjatë vitit 2019, ashtu si edhe gjatë vitit pararadhës, peshën më të madhe e mbajnë garancitë e l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>shuara n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 xml:space="preserve"> favor t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 xml:space="preserve"> kreditor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>ve t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 xml:space="preserve"> huaj. </w:t>
      </w:r>
    </w:p>
    <w:p w:rsidR="00AA203D" w:rsidRPr="00F76FE2" w:rsidRDefault="00AA203D" w:rsidP="00B92540">
      <w:pPr>
        <w:pStyle w:val="ListParagraph"/>
        <w:tabs>
          <w:tab w:val="left" w:pos="270"/>
        </w:tabs>
        <w:spacing w:after="0" w:line="276" w:lineRule="auto"/>
        <w:ind w:right="-188"/>
        <w:rPr>
          <w:rFonts w:ascii="Cambria" w:hAnsi="Cambria" w:cs="Times New Roman"/>
          <w:b/>
          <w:noProof/>
          <w:sz w:val="20"/>
          <w:szCs w:val="20"/>
        </w:rPr>
      </w:pPr>
    </w:p>
    <w:p w:rsidR="00AA203D" w:rsidRPr="00F76FE2" w:rsidRDefault="00AA203D" w:rsidP="00B92540">
      <w:pPr>
        <w:tabs>
          <w:tab w:val="left" w:pos="270"/>
        </w:tabs>
        <w:spacing w:after="0" w:line="276" w:lineRule="auto"/>
        <w:ind w:right="-188"/>
        <w:jc w:val="center"/>
        <w:rPr>
          <w:rFonts w:ascii="Cambria" w:hAnsi="Cambria" w:cs="Times New Roman"/>
          <w:i/>
          <w:noProof/>
          <w:sz w:val="20"/>
          <w:szCs w:val="20"/>
        </w:rPr>
      </w:pPr>
      <w:r w:rsidRPr="00F76FE2">
        <w:rPr>
          <w:rFonts w:ascii="Cambria" w:hAnsi="Cambria" w:cs="Times New Roman"/>
          <w:b/>
          <w:noProof/>
          <w:sz w:val="20"/>
          <w:szCs w:val="20"/>
        </w:rPr>
        <w:t>Paraqitje Grafike 3 (a):</w:t>
      </w:r>
      <w:r w:rsidRPr="00F76FE2">
        <w:rPr>
          <w:rFonts w:ascii="Cambria" w:hAnsi="Cambria" w:cs="Times New Roman"/>
          <w:noProof/>
          <w:sz w:val="20"/>
          <w:szCs w:val="20"/>
        </w:rPr>
        <w:t xml:space="preserve"> </w:t>
      </w:r>
      <w:r w:rsidRPr="00F76FE2">
        <w:rPr>
          <w:rFonts w:ascii="Cambria" w:hAnsi="Cambria" w:cs="Times New Roman"/>
          <w:i/>
          <w:noProof/>
          <w:sz w:val="20"/>
          <w:szCs w:val="20"/>
        </w:rPr>
        <w:t>Portofoli i borxhit t</w:t>
      </w:r>
      <w:r w:rsidR="00A70F29" w:rsidRPr="00F76FE2">
        <w:rPr>
          <w:rFonts w:ascii="Cambria" w:hAnsi="Cambria" w:cs="Times New Roman"/>
          <w:i/>
          <w:noProof/>
          <w:sz w:val="20"/>
          <w:szCs w:val="20"/>
        </w:rPr>
        <w:t>ë</w:t>
      </w:r>
      <w:r w:rsidRPr="00F76FE2">
        <w:rPr>
          <w:rFonts w:ascii="Cambria" w:hAnsi="Cambria" w:cs="Times New Roman"/>
          <w:i/>
          <w:noProof/>
          <w:sz w:val="20"/>
          <w:szCs w:val="20"/>
        </w:rPr>
        <w:t xml:space="preserve"> garantuar sipas rezidenc</w:t>
      </w:r>
      <w:r w:rsidR="00A70F29" w:rsidRPr="00F76FE2">
        <w:rPr>
          <w:rFonts w:ascii="Cambria" w:hAnsi="Cambria" w:cs="Times New Roman"/>
          <w:i/>
          <w:noProof/>
          <w:sz w:val="20"/>
          <w:szCs w:val="20"/>
        </w:rPr>
        <w:t>ë</w:t>
      </w:r>
      <w:r w:rsidRPr="00F76FE2">
        <w:rPr>
          <w:rFonts w:ascii="Cambria" w:hAnsi="Cambria" w:cs="Times New Roman"/>
          <w:i/>
          <w:noProof/>
          <w:sz w:val="20"/>
          <w:szCs w:val="20"/>
        </w:rPr>
        <w:t>s s</w:t>
      </w:r>
      <w:r w:rsidR="00A70F29" w:rsidRPr="00F76FE2">
        <w:rPr>
          <w:rFonts w:ascii="Cambria" w:hAnsi="Cambria" w:cs="Times New Roman"/>
          <w:i/>
          <w:noProof/>
          <w:sz w:val="20"/>
          <w:szCs w:val="20"/>
        </w:rPr>
        <w:t>ë</w:t>
      </w:r>
      <w:r w:rsidRPr="00F76FE2">
        <w:rPr>
          <w:rFonts w:ascii="Cambria" w:hAnsi="Cambria" w:cs="Times New Roman"/>
          <w:i/>
          <w:noProof/>
          <w:sz w:val="20"/>
          <w:szCs w:val="20"/>
        </w:rPr>
        <w:t xml:space="preserve"> kreditorit (2015–2019</w:t>
      </w:r>
      <w:r w:rsidRPr="00F76FE2">
        <w:rPr>
          <w:rFonts w:ascii="Times New Roman" w:hAnsi="Times New Roman" w:cs="Times New Roman"/>
          <w:i/>
          <w:noProof/>
          <w:sz w:val="20"/>
          <w:szCs w:val="20"/>
        </w:rPr>
        <w:t>)</w:t>
      </w:r>
    </w:p>
    <w:p w:rsidR="00AA203D" w:rsidRPr="00F76FE2" w:rsidRDefault="00AA203D" w:rsidP="00BC5BC9">
      <w:pPr>
        <w:tabs>
          <w:tab w:val="left" w:pos="914"/>
        </w:tabs>
        <w:spacing w:after="0" w:line="276" w:lineRule="auto"/>
        <w:ind w:right="-188"/>
        <w:rPr>
          <w:rFonts w:ascii="Cambria" w:hAnsi="Cambria" w:cs="Times New Roman"/>
          <w:b/>
          <w:noProof/>
          <w:sz w:val="20"/>
          <w:szCs w:val="20"/>
        </w:rPr>
      </w:pPr>
      <w:r w:rsidRPr="00F76FE2">
        <w:rPr>
          <w:noProof/>
          <w:lang w:val="en-US"/>
        </w:rPr>
        <w:drawing>
          <wp:inline distT="0" distB="0" distL="0" distR="0" wp14:anchorId="26EBA633" wp14:editId="360CD6F2">
            <wp:extent cx="5744845" cy="1975449"/>
            <wp:effectExtent l="0" t="0" r="8255" b="6350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AA203D" w:rsidRPr="00F76FE2" w:rsidRDefault="00AA203D" w:rsidP="00B92540">
      <w:pPr>
        <w:tabs>
          <w:tab w:val="left" w:pos="914"/>
        </w:tabs>
        <w:spacing w:after="0" w:line="276" w:lineRule="auto"/>
        <w:ind w:right="-188"/>
        <w:jc w:val="center"/>
        <w:rPr>
          <w:rFonts w:ascii="Cambria" w:hAnsi="Cambria" w:cs="Times New Roman"/>
          <w:i/>
          <w:noProof/>
          <w:sz w:val="20"/>
          <w:szCs w:val="20"/>
        </w:rPr>
      </w:pPr>
      <w:r w:rsidRPr="00F76FE2">
        <w:rPr>
          <w:rFonts w:ascii="Cambria" w:hAnsi="Cambria" w:cs="Times New Roman"/>
          <w:b/>
          <w:noProof/>
          <w:sz w:val="20"/>
          <w:szCs w:val="20"/>
        </w:rPr>
        <w:t xml:space="preserve">Burimi: </w:t>
      </w:r>
      <w:r w:rsidRPr="00F76FE2">
        <w:rPr>
          <w:rFonts w:ascii="Cambria" w:hAnsi="Cambria" w:cs="Times New Roman"/>
          <w:i/>
          <w:noProof/>
          <w:sz w:val="20"/>
          <w:szCs w:val="20"/>
        </w:rPr>
        <w:t>Ministria e Financave dhe Ekonomisë (2020)</w:t>
      </w:r>
    </w:p>
    <w:p w:rsidR="00AA203D" w:rsidRPr="00F76FE2" w:rsidRDefault="00AA203D" w:rsidP="00B92540">
      <w:pPr>
        <w:pStyle w:val="ListParagraph"/>
        <w:tabs>
          <w:tab w:val="left" w:pos="914"/>
        </w:tabs>
        <w:spacing w:after="0" w:line="276" w:lineRule="auto"/>
        <w:ind w:right="-188"/>
        <w:rPr>
          <w:rFonts w:ascii="Times New Roman" w:hAnsi="Times New Roman" w:cs="Times New Roman"/>
          <w:i/>
          <w:noProof/>
          <w:sz w:val="20"/>
          <w:szCs w:val="20"/>
        </w:rPr>
      </w:pPr>
    </w:p>
    <w:p w:rsidR="00AA203D" w:rsidRPr="00F76FE2" w:rsidRDefault="00AA203D" w:rsidP="00BC5BC9">
      <w:pPr>
        <w:tabs>
          <w:tab w:val="left" w:pos="270"/>
        </w:tabs>
        <w:spacing w:after="0" w:line="276" w:lineRule="auto"/>
        <w:ind w:right="-46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76FE2">
        <w:rPr>
          <w:rFonts w:ascii="Times New Roman" w:hAnsi="Times New Roman" w:cs="Times New Roman"/>
          <w:noProof/>
          <w:sz w:val="24"/>
          <w:szCs w:val="24"/>
        </w:rPr>
        <w:t>Më shumë se 80% e totalit të garancive shtetërore vazhdojnë t’i përkasin sektorit të energjisë, duke reflektuar politikat e qeverisë në drejtim të mbështetjes së sektorit të energjisë, n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 xml:space="preserve"> kuad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>r t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 xml:space="preserve"> përmirësimit t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 xml:space="preserve"> performancës financiare dhe rritjes së efiçencës.</w:t>
      </w:r>
    </w:p>
    <w:p w:rsidR="00AA203D" w:rsidRPr="00F76FE2" w:rsidRDefault="00AA203D" w:rsidP="00B92540">
      <w:pPr>
        <w:tabs>
          <w:tab w:val="left" w:pos="270"/>
        </w:tabs>
        <w:spacing w:after="0" w:line="276" w:lineRule="auto"/>
        <w:ind w:right="-188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AA203D" w:rsidRPr="00F76FE2" w:rsidRDefault="00AA203D" w:rsidP="00B92540">
      <w:pPr>
        <w:spacing w:after="0" w:line="276" w:lineRule="auto"/>
        <w:ind w:right="-188"/>
        <w:jc w:val="center"/>
        <w:rPr>
          <w:rFonts w:ascii="Cambria" w:eastAsia="Calibri" w:hAnsi="Cambria" w:cs="Times New Roman"/>
          <w:i/>
          <w:noProof/>
          <w:sz w:val="20"/>
          <w:szCs w:val="20"/>
        </w:rPr>
      </w:pPr>
      <w:r w:rsidRPr="00F76FE2">
        <w:rPr>
          <w:rFonts w:ascii="Cambria" w:eastAsia="Calibri" w:hAnsi="Cambria" w:cs="Times New Roman"/>
          <w:b/>
          <w:noProof/>
          <w:sz w:val="20"/>
          <w:szCs w:val="20"/>
        </w:rPr>
        <w:t>Paraqitje Grafike 3 (b):</w:t>
      </w:r>
      <w:r w:rsidRPr="00F76FE2">
        <w:rPr>
          <w:rFonts w:ascii="Cambria" w:eastAsia="Batang" w:hAnsi="Cambria" w:cs="Times New Roman"/>
          <w:b/>
          <w:noProof/>
        </w:rPr>
        <w:t xml:space="preserve"> </w:t>
      </w:r>
      <w:r w:rsidRPr="00F76FE2">
        <w:rPr>
          <w:rFonts w:ascii="Cambria" w:eastAsia="Calibri" w:hAnsi="Cambria" w:cs="Times New Roman"/>
          <w:i/>
          <w:noProof/>
          <w:sz w:val="20"/>
          <w:szCs w:val="20"/>
        </w:rPr>
        <w:t>Garancitë shtetërore sipas sektorëve ekonomikë (2015</w:t>
      </w:r>
      <w:r w:rsidRPr="00F76FE2">
        <w:rPr>
          <w:rFonts w:ascii="Cambria" w:hAnsi="Cambria" w:cs="Times New Roman"/>
          <w:i/>
          <w:noProof/>
          <w:sz w:val="20"/>
          <w:szCs w:val="20"/>
        </w:rPr>
        <w:t>–</w:t>
      </w:r>
      <w:r w:rsidRPr="00F76FE2">
        <w:rPr>
          <w:rFonts w:ascii="Cambria" w:eastAsia="Calibri" w:hAnsi="Cambria" w:cs="Times New Roman"/>
          <w:i/>
          <w:noProof/>
          <w:sz w:val="20"/>
          <w:szCs w:val="20"/>
        </w:rPr>
        <w:t>2019)</w:t>
      </w:r>
    </w:p>
    <w:p w:rsidR="00AA203D" w:rsidRPr="00F76FE2" w:rsidRDefault="00AA203D" w:rsidP="00BC5BC9">
      <w:pPr>
        <w:spacing w:after="0" w:line="276" w:lineRule="auto"/>
        <w:ind w:right="-188"/>
        <w:rPr>
          <w:rFonts w:ascii="Cambria" w:eastAsia="Batang" w:hAnsi="Cambria" w:cs="Times New Roman"/>
          <w:noProof/>
        </w:rPr>
      </w:pPr>
      <w:r w:rsidRPr="00F76FE2">
        <w:rPr>
          <w:noProof/>
          <w:lang w:val="en-US"/>
        </w:rPr>
        <w:drawing>
          <wp:inline distT="0" distB="0" distL="0" distR="0" wp14:anchorId="5BEB8550" wp14:editId="5E0A5955">
            <wp:extent cx="5731510" cy="2047875"/>
            <wp:effectExtent l="0" t="0" r="2540" b="9525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A203D" w:rsidRPr="00F76FE2" w:rsidRDefault="00AA203D" w:rsidP="00B92540">
      <w:pPr>
        <w:spacing w:after="0" w:line="276" w:lineRule="auto"/>
        <w:ind w:right="-188"/>
        <w:jc w:val="center"/>
        <w:rPr>
          <w:rFonts w:ascii="Cambria" w:hAnsi="Cambria" w:cs="Times New Roman"/>
          <w:i/>
          <w:noProof/>
          <w:sz w:val="20"/>
          <w:szCs w:val="20"/>
        </w:rPr>
      </w:pPr>
      <w:r w:rsidRPr="00F76FE2">
        <w:rPr>
          <w:rFonts w:ascii="Cambria" w:hAnsi="Cambria" w:cs="Times New Roman"/>
          <w:b/>
          <w:noProof/>
          <w:sz w:val="20"/>
          <w:szCs w:val="20"/>
        </w:rPr>
        <w:t xml:space="preserve">Burimi: </w:t>
      </w:r>
      <w:r w:rsidRPr="00F76FE2">
        <w:rPr>
          <w:rFonts w:ascii="Cambria" w:hAnsi="Cambria" w:cs="Times New Roman"/>
          <w:i/>
          <w:noProof/>
          <w:sz w:val="20"/>
          <w:szCs w:val="20"/>
        </w:rPr>
        <w:t>Ministria e Financave dhe Ekonomisë (2020)</w:t>
      </w:r>
    </w:p>
    <w:p w:rsidR="00785F2A" w:rsidRPr="00F76FE2" w:rsidRDefault="00B1244A" w:rsidP="00B92540">
      <w:pPr>
        <w:pStyle w:val="Heading1"/>
        <w:numPr>
          <w:ilvl w:val="0"/>
          <w:numId w:val="5"/>
        </w:numPr>
        <w:spacing w:before="0" w:after="240" w:line="276" w:lineRule="auto"/>
        <w:ind w:left="426" w:right="-188" w:hanging="426"/>
        <w:jc w:val="both"/>
        <w:rPr>
          <w:rFonts w:ascii="Cambria" w:hAnsi="Cambria"/>
          <w:sz w:val="24"/>
          <w:szCs w:val="24"/>
        </w:rPr>
      </w:pPr>
      <w:bookmarkStart w:id="9" w:name="_Toc34645064"/>
      <w:r w:rsidRPr="00F76FE2">
        <w:rPr>
          <w:rFonts w:ascii="Cambria" w:hAnsi="Cambria"/>
          <w:sz w:val="24"/>
          <w:szCs w:val="24"/>
        </w:rPr>
        <w:lastRenderedPageBreak/>
        <w:t>Huamarrj</w:t>
      </w:r>
      <w:r w:rsidR="003C1892" w:rsidRPr="00F76FE2">
        <w:rPr>
          <w:rFonts w:ascii="Cambria" w:hAnsi="Cambria"/>
          <w:sz w:val="24"/>
          <w:szCs w:val="24"/>
        </w:rPr>
        <w:t>a</w:t>
      </w:r>
      <w:bookmarkEnd w:id="9"/>
    </w:p>
    <w:p w:rsidR="00AA203D" w:rsidRPr="00F76FE2" w:rsidRDefault="00AA203D" w:rsidP="00BC5BC9">
      <w:pPr>
        <w:pStyle w:val="ListParagraph"/>
        <w:tabs>
          <w:tab w:val="left" w:pos="8789"/>
        </w:tabs>
        <w:spacing w:after="0" w:line="276" w:lineRule="auto"/>
        <w:ind w:left="0" w:right="-46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76FE2">
        <w:rPr>
          <w:rFonts w:ascii="Times New Roman" w:hAnsi="Times New Roman" w:cs="Times New Roman"/>
          <w:noProof/>
          <w:sz w:val="24"/>
          <w:szCs w:val="24"/>
        </w:rPr>
        <w:t>Huamarrja gjat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 xml:space="preserve"> vitit 2019 u realizua n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 xml:space="preserve"> linj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 xml:space="preserve"> me nevojat buxhetore dhe n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 xml:space="preserve"> p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>rputhje me objektivat strategjik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 xml:space="preserve"> p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>r ruajtjen e q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>ndrueshm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>ris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 xml:space="preserve"> s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 xml:space="preserve"> raporteve nd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>rmjet kostot dhe risqeve. N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>p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>rmjet huamarrjes u mund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>sua rifinancimi i borxhit ekzistues dhe financimin e pjessh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 xml:space="preserve">m i deficitit buxhetor të planifikuar për vitin 2019. </w:t>
      </w:r>
    </w:p>
    <w:p w:rsidR="00AA203D" w:rsidRPr="00F76FE2" w:rsidRDefault="00AA203D" w:rsidP="00BC5BC9">
      <w:pPr>
        <w:pStyle w:val="ListParagraph"/>
        <w:tabs>
          <w:tab w:val="left" w:pos="8789"/>
        </w:tabs>
        <w:spacing w:after="0" w:line="276" w:lineRule="auto"/>
        <w:ind w:left="0" w:right="-46"/>
        <w:jc w:val="both"/>
        <w:rPr>
          <w:rFonts w:ascii="Times New Roman" w:hAnsi="Times New Roman" w:cs="Times New Roman"/>
          <w:noProof/>
          <w:sz w:val="20"/>
          <w:szCs w:val="24"/>
        </w:rPr>
      </w:pPr>
    </w:p>
    <w:p w:rsidR="00AA203D" w:rsidRPr="00F76FE2" w:rsidRDefault="00AA203D" w:rsidP="00BC5BC9">
      <w:pPr>
        <w:pStyle w:val="ListParagraph"/>
        <w:tabs>
          <w:tab w:val="left" w:pos="8789"/>
        </w:tabs>
        <w:spacing w:after="0" w:line="276" w:lineRule="auto"/>
        <w:ind w:left="0" w:right="-46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76FE2">
        <w:rPr>
          <w:rFonts w:ascii="Times New Roman" w:hAnsi="Times New Roman" w:cs="Times New Roman"/>
          <w:noProof/>
          <w:sz w:val="24"/>
          <w:szCs w:val="24"/>
        </w:rPr>
        <w:t>Huamarrja n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 xml:space="preserve"> terma bruto u realizua në vler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 xml:space="preserve">n </w:t>
      </w:r>
      <w:r w:rsidR="00D457CF">
        <w:rPr>
          <w:rFonts w:ascii="Times New Roman" w:hAnsi="Times New Roman" w:cs="Times New Roman"/>
          <w:noProof/>
          <w:sz w:val="24"/>
          <w:szCs w:val="24"/>
        </w:rPr>
        <w:t>322.6</w:t>
      </w:r>
      <w:r w:rsidRPr="00F76FE2">
        <w:rPr>
          <w:rFonts w:ascii="Times New Roman" w:hAnsi="Times New Roman" w:cs="Times New Roman"/>
          <w:noProof/>
          <w:sz w:val="24"/>
          <w:szCs w:val="24"/>
        </w:rPr>
        <w:t xml:space="preserve"> miliard Lek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>, nga t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 xml:space="preserve"> cilat </w:t>
      </w:r>
      <w:r w:rsidR="00D457CF">
        <w:rPr>
          <w:rFonts w:ascii="Times New Roman" w:hAnsi="Times New Roman" w:cs="Times New Roman"/>
          <w:noProof/>
          <w:sz w:val="24"/>
          <w:szCs w:val="24"/>
        </w:rPr>
        <w:t>93.4</w:t>
      </w:r>
      <w:r w:rsidRPr="00F76FE2">
        <w:rPr>
          <w:rFonts w:ascii="Times New Roman" w:hAnsi="Times New Roman" w:cs="Times New Roman"/>
          <w:noProof/>
          <w:sz w:val="24"/>
          <w:szCs w:val="24"/>
        </w:rPr>
        <w:t>% (ose 301.2 miliard Lek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>) u financuan n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>p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>rmjet burimeve t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 xml:space="preserve"> brendshme dhe </w:t>
      </w:r>
      <w:r w:rsidR="00D457CF">
        <w:rPr>
          <w:rFonts w:ascii="Times New Roman" w:hAnsi="Times New Roman" w:cs="Times New Roman"/>
          <w:noProof/>
          <w:sz w:val="24"/>
          <w:szCs w:val="24"/>
        </w:rPr>
        <w:t>6.6</w:t>
      </w:r>
      <w:r w:rsidRPr="00F76FE2">
        <w:rPr>
          <w:rFonts w:ascii="Times New Roman" w:hAnsi="Times New Roman" w:cs="Times New Roman"/>
          <w:noProof/>
          <w:sz w:val="24"/>
          <w:szCs w:val="24"/>
        </w:rPr>
        <w:t xml:space="preserve">% (ose </w:t>
      </w:r>
      <w:r w:rsidR="00D457CF">
        <w:rPr>
          <w:rFonts w:ascii="Times New Roman" w:hAnsi="Times New Roman" w:cs="Times New Roman"/>
          <w:noProof/>
          <w:sz w:val="24"/>
          <w:szCs w:val="24"/>
        </w:rPr>
        <w:t>21.4</w:t>
      </w:r>
      <w:r w:rsidRPr="00F76FE2">
        <w:rPr>
          <w:rFonts w:ascii="Times New Roman" w:hAnsi="Times New Roman" w:cs="Times New Roman"/>
          <w:noProof/>
          <w:sz w:val="24"/>
          <w:szCs w:val="24"/>
        </w:rPr>
        <w:t xml:space="preserve"> miliard Lek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>) n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>prmjet burimeve t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 xml:space="preserve"> huaja. Rreth 313.0 miliard Lekë shërbyen për rifinancimin e borxhit ekzistues, ndërsa pjesa tjetër për mbulimin e pjessh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>m t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 xml:space="preserve"> deficitit buxhetor, pasi nj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 xml:space="preserve"> pjes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 xml:space="preserve"> e deficitit u financua n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>p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>rmjet gjendjes s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 xml:space="preserve"> likuiditetit t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 xml:space="preserve"> trash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>guar nga viti paraardh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>s.</w:t>
      </w:r>
    </w:p>
    <w:p w:rsidR="00AA203D" w:rsidRPr="00F76FE2" w:rsidRDefault="00AA203D" w:rsidP="00BC5BC9">
      <w:pPr>
        <w:pStyle w:val="ListParagraph"/>
        <w:tabs>
          <w:tab w:val="left" w:pos="8789"/>
        </w:tabs>
        <w:spacing w:after="0" w:line="276" w:lineRule="auto"/>
        <w:ind w:left="0" w:right="-46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76FE2">
        <w:rPr>
          <w:rFonts w:ascii="Times New Roman" w:hAnsi="Times New Roman" w:cs="Times New Roman"/>
          <w:noProof/>
          <w:sz w:val="24"/>
          <w:szCs w:val="24"/>
        </w:rPr>
        <w:t>Huamarrja në raport me PBB, si edhe n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 xml:space="preserve"> raport me të ardhurat tatimore gjatë vitit 2019 kanë shënuar një rënie përkatësisht me </w:t>
      </w:r>
      <w:r w:rsidR="00D457CF">
        <w:rPr>
          <w:rFonts w:ascii="Times New Roman" w:hAnsi="Times New Roman" w:cs="Times New Roman"/>
          <w:noProof/>
          <w:sz w:val="24"/>
          <w:szCs w:val="24"/>
        </w:rPr>
        <w:t>4.5</w:t>
      </w:r>
      <w:r w:rsidRPr="00F76FE2">
        <w:rPr>
          <w:rFonts w:ascii="Times New Roman" w:hAnsi="Times New Roman" w:cs="Times New Roman"/>
          <w:noProof/>
          <w:sz w:val="24"/>
          <w:szCs w:val="24"/>
        </w:rPr>
        <w:t xml:space="preserve"> pp dhe 1</w:t>
      </w:r>
      <w:r w:rsidR="00D457CF">
        <w:rPr>
          <w:rFonts w:ascii="Times New Roman" w:hAnsi="Times New Roman" w:cs="Times New Roman"/>
          <w:noProof/>
          <w:sz w:val="24"/>
          <w:szCs w:val="24"/>
        </w:rPr>
        <w:t>6</w:t>
      </w:r>
      <w:r w:rsidRPr="00F76FE2">
        <w:rPr>
          <w:rFonts w:ascii="Times New Roman" w:hAnsi="Times New Roman" w:cs="Times New Roman"/>
          <w:noProof/>
          <w:sz w:val="24"/>
          <w:szCs w:val="24"/>
        </w:rPr>
        <w:t>.</w:t>
      </w:r>
      <w:r w:rsidR="00D457CF">
        <w:rPr>
          <w:rFonts w:ascii="Times New Roman" w:hAnsi="Times New Roman" w:cs="Times New Roman"/>
          <w:noProof/>
          <w:sz w:val="24"/>
          <w:szCs w:val="24"/>
        </w:rPr>
        <w:t>1</w:t>
      </w:r>
      <w:r w:rsidRPr="00F76FE2">
        <w:rPr>
          <w:rFonts w:ascii="Times New Roman" w:hAnsi="Times New Roman" w:cs="Times New Roman"/>
          <w:noProof/>
          <w:sz w:val="24"/>
          <w:szCs w:val="24"/>
        </w:rPr>
        <w:t xml:space="preserve"> pp, duke reflektuar një reduktim në riskun fiskal dhe p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>rmir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>sim n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 xml:space="preserve"> kapacitetin e shlyerjes s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 xml:space="preserve"> detyrimeve q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 xml:space="preserve"> burojn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 xml:space="preserve"> nga borxhi.</w:t>
      </w:r>
    </w:p>
    <w:p w:rsidR="00AA203D" w:rsidRPr="00F76FE2" w:rsidRDefault="00AA203D" w:rsidP="00B92540">
      <w:pPr>
        <w:pStyle w:val="ListParagraph"/>
        <w:tabs>
          <w:tab w:val="left" w:pos="8789"/>
        </w:tabs>
        <w:spacing w:after="0" w:line="276" w:lineRule="auto"/>
        <w:ind w:left="0" w:right="-188"/>
        <w:jc w:val="both"/>
        <w:rPr>
          <w:rFonts w:ascii="Times New Roman" w:hAnsi="Times New Roman" w:cs="Times New Roman"/>
          <w:noProof/>
          <w:sz w:val="20"/>
          <w:szCs w:val="24"/>
        </w:rPr>
      </w:pPr>
    </w:p>
    <w:p w:rsidR="00AA203D" w:rsidRPr="00F76FE2" w:rsidRDefault="00AA203D" w:rsidP="00B92540">
      <w:pPr>
        <w:spacing w:after="0" w:line="276" w:lineRule="auto"/>
        <w:ind w:left="2268" w:right="-188" w:hanging="2268"/>
        <w:rPr>
          <w:rFonts w:ascii="Cambria" w:eastAsia="Calibri" w:hAnsi="Cambria" w:cs="Times New Roman"/>
          <w:i/>
          <w:noProof/>
          <w:sz w:val="20"/>
          <w:szCs w:val="20"/>
        </w:rPr>
      </w:pPr>
      <w:r w:rsidRPr="00F76FE2">
        <w:rPr>
          <w:rFonts w:ascii="Cambria" w:eastAsia="Calibri" w:hAnsi="Cambria" w:cs="Times New Roman"/>
          <w:b/>
          <w:noProof/>
          <w:sz w:val="20"/>
          <w:szCs w:val="20"/>
        </w:rPr>
        <w:t xml:space="preserve">    Paraqitje Grafike 4 (a): </w:t>
      </w:r>
      <w:r w:rsidRPr="00F76FE2">
        <w:rPr>
          <w:rFonts w:ascii="Cambria" w:eastAsia="Calibri" w:hAnsi="Cambria" w:cs="Times New Roman"/>
          <w:i/>
          <w:noProof/>
          <w:sz w:val="20"/>
          <w:szCs w:val="20"/>
        </w:rPr>
        <w:t>Huamarrja bruto në vlerë absolute dhe n</w:t>
      </w:r>
      <w:r w:rsidR="00A70F29" w:rsidRPr="00F76FE2">
        <w:rPr>
          <w:rFonts w:ascii="Cambria" w:eastAsia="Calibri" w:hAnsi="Cambria" w:cs="Times New Roman"/>
          <w:i/>
          <w:noProof/>
          <w:sz w:val="20"/>
          <w:szCs w:val="20"/>
        </w:rPr>
        <w:t>ë</w:t>
      </w:r>
      <w:r w:rsidRPr="00F76FE2">
        <w:rPr>
          <w:rFonts w:ascii="Cambria" w:eastAsia="Calibri" w:hAnsi="Cambria" w:cs="Times New Roman"/>
          <w:i/>
          <w:noProof/>
          <w:sz w:val="20"/>
          <w:szCs w:val="20"/>
        </w:rPr>
        <w:t xml:space="preserve"> raport me të ardhurat tatimore</w:t>
      </w:r>
      <w:r w:rsidRPr="00F76FE2">
        <w:rPr>
          <w:rFonts w:ascii="Segoe UI Symbol" w:hAnsi="Segoe UI Symbol" w:cs="Times New Roman"/>
          <w:i/>
          <w:noProof/>
          <w:sz w:val="20"/>
          <w:szCs w:val="20"/>
          <w:lang w:eastAsia="ja-JP"/>
        </w:rPr>
        <w:t xml:space="preserve"> </w:t>
      </w:r>
      <w:r w:rsidRPr="00F76FE2">
        <w:rPr>
          <w:rFonts w:ascii="Cambria" w:eastAsia="Calibri" w:hAnsi="Cambria" w:cs="Times New Roman"/>
          <w:i/>
          <w:noProof/>
          <w:sz w:val="20"/>
          <w:szCs w:val="20"/>
        </w:rPr>
        <w:t>dhe PBB (2015–2019)</w:t>
      </w:r>
    </w:p>
    <w:p w:rsidR="00AA203D" w:rsidRPr="00F76FE2" w:rsidRDefault="00AA203D" w:rsidP="00BC5BC9">
      <w:pPr>
        <w:pStyle w:val="ListParagraph"/>
        <w:tabs>
          <w:tab w:val="left" w:pos="8789"/>
        </w:tabs>
        <w:spacing w:after="0" w:line="276" w:lineRule="auto"/>
        <w:ind w:left="0" w:right="-188"/>
        <w:rPr>
          <w:rFonts w:ascii="Times New Roman" w:hAnsi="Times New Roman" w:cs="Times New Roman"/>
          <w:noProof/>
          <w:sz w:val="24"/>
          <w:szCs w:val="24"/>
        </w:rPr>
      </w:pPr>
      <w:r w:rsidRPr="00F76FE2">
        <w:rPr>
          <w:noProof/>
          <w:lang w:val="en-US"/>
        </w:rPr>
        <w:drawing>
          <wp:inline distT="0" distB="0" distL="0" distR="0" wp14:anchorId="3A25DA15" wp14:editId="6F660447">
            <wp:extent cx="5736566" cy="1983740"/>
            <wp:effectExtent l="0" t="0" r="17145" b="16510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AA203D" w:rsidRPr="00F76FE2" w:rsidRDefault="00AA203D" w:rsidP="00B92540">
      <w:pPr>
        <w:tabs>
          <w:tab w:val="left" w:pos="2229"/>
          <w:tab w:val="center" w:pos="4536"/>
        </w:tabs>
        <w:spacing w:after="0" w:line="276" w:lineRule="auto"/>
        <w:ind w:right="-188"/>
        <w:jc w:val="center"/>
        <w:rPr>
          <w:rFonts w:ascii="Cambria" w:hAnsi="Cambria" w:cs="Times New Roman"/>
          <w:i/>
          <w:noProof/>
          <w:sz w:val="20"/>
          <w:szCs w:val="20"/>
        </w:rPr>
      </w:pPr>
      <w:r w:rsidRPr="00F76FE2">
        <w:rPr>
          <w:rFonts w:ascii="Cambria" w:hAnsi="Cambria" w:cs="Times New Roman"/>
          <w:b/>
          <w:noProof/>
          <w:sz w:val="20"/>
          <w:szCs w:val="20"/>
        </w:rPr>
        <w:t xml:space="preserve">Burimi: </w:t>
      </w:r>
      <w:r w:rsidRPr="00F76FE2">
        <w:rPr>
          <w:rFonts w:ascii="Cambria" w:hAnsi="Cambria" w:cs="Times New Roman"/>
          <w:i/>
          <w:noProof/>
          <w:sz w:val="20"/>
          <w:szCs w:val="20"/>
        </w:rPr>
        <w:t>Ministria e Financave dhe Ekonomisë (2020)</w:t>
      </w:r>
    </w:p>
    <w:p w:rsidR="00AA203D" w:rsidRPr="00F76FE2" w:rsidRDefault="00AA203D" w:rsidP="00B92540">
      <w:pPr>
        <w:pStyle w:val="ListParagraph"/>
        <w:tabs>
          <w:tab w:val="left" w:pos="8789"/>
        </w:tabs>
        <w:spacing w:after="0" w:line="276" w:lineRule="auto"/>
        <w:ind w:left="0" w:right="-188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AA203D" w:rsidRPr="00F76FE2" w:rsidRDefault="00AA203D" w:rsidP="00B92540">
      <w:pPr>
        <w:pStyle w:val="Heading2"/>
        <w:numPr>
          <w:ilvl w:val="1"/>
          <w:numId w:val="5"/>
        </w:numPr>
        <w:spacing w:before="0" w:after="240" w:line="276" w:lineRule="auto"/>
        <w:ind w:left="0" w:right="-188" w:firstLine="0"/>
        <w:jc w:val="both"/>
        <w:rPr>
          <w:rFonts w:ascii="Cambria" w:hAnsi="Cambria"/>
          <w:noProof/>
          <w:szCs w:val="24"/>
        </w:rPr>
      </w:pPr>
      <w:bookmarkStart w:id="10" w:name="_Toc34645065"/>
      <w:r w:rsidRPr="00F76FE2">
        <w:rPr>
          <w:rFonts w:ascii="Cambria" w:hAnsi="Cambria"/>
          <w:noProof/>
          <w:szCs w:val="24"/>
        </w:rPr>
        <w:t>Huamarrja e Brendshme</w:t>
      </w:r>
      <w:bookmarkEnd w:id="10"/>
    </w:p>
    <w:p w:rsidR="00AA203D" w:rsidRPr="00F76FE2" w:rsidRDefault="00AA203D" w:rsidP="00BC5BC9">
      <w:pPr>
        <w:tabs>
          <w:tab w:val="left" w:pos="1182"/>
        </w:tabs>
        <w:spacing w:after="0" w:line="276" w:lineRule="auto"/>
        <w:ind w:right="-46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76FE2">
        <w:rPr>
          <w:rFonts w:ascii="Times New Roman" w:hAnsi="Times New Roman" w:cs="Times New Roman"/>
          <w:noProof/>
          <w:sz w:val="24"/>
          <w:szCs w:val="24"/>
        </w:rPr>
        <w:t>Gjatë vitit 2019, Ministria e Financave dhe Ekonomisë ka emetuar në tregun e brendshëm tituj shtetërorë në vlerën 301.2 miliard Lekë, nga të cilat 197.7 miliard Lekë n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>p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>rmjet titujve afatshkurtër dhe 103.5 miliard Lekë n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>p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>rmjet titujve afatgjatë. Rreth 94% e huamarrjes së brendshme ka shërbyer për rifinancimin e titujve ekzistues dhe pjesa tjetër për t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 xml:space="preserve"> sh</w:t>
      </w:r>
      <w:r w:rsidR="00A70F29" w:rsidRPr="00F76FE2">
        <w:rPr>
          <w:rFonts w:ascii="Times New Roman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4"/>
        </w:rPr>
        <w:t>rbyer nevojat buxhetore.</w:t>
      </w:r>
    </w:p>
    <w:p w:rsidR="00AA203D" w:rsidRPr="00F76FE2" w:rsidRDefault="00AA203D" w:rsidP="00B92540">
      <w:pPr>
        <w:tabs>
          <w:tab w:val="left" w:pos="1182"/>
        </w:tabs>
        <w:spacing w:after="0" w:line="276" w:lineRule="auto"/>
        <w:ind w:right="-188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AA203D" w:rsidRPr="00F76FE2" w:rsidRDefault="00AA203D" w:rsidP="00B92540">
      <w:pPr>
        <w:tabs>
          <w:tab w:val="left" w:pos="1182"/>
        </w:tabs>
        <w:spacing w:after="0" w:line="276" w:lineRule="auto"/>
        <w:ind w:right="-188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AA203D" w:rsidRPr="00F76FE2" w:rsidRDefault="00AA203D" w:rsidP="00B92540">
      <w:pPr>
        <w:tabs>
          <w:tab w:val="left" w:pos="1182"/>
        </w:tabs>
        <w:spacing w:after="0" w:line="276" w:lineRule="auto"/>
        <w:ind w:right="-188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AA203D" w:rsidRPr="00F76FE2" w:rsidRDefault="00AA203D" w:rsidP="00B92540">
      <w:pPr>
        <w:tabs>
          <w:tab w:val="left" w:pos="1182"/>
        </w:tabs>
        <w:spacing w:after="0" w:line="276" w:lineRule="auto"/>
        <w:ind w:right="-188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AA203D" w:rsidRPr="00F76FE2" w:rsidRDefault="00AA203D" w:rsidP="00B92540">
      <w:pPr>
        <w:tabs>
          <w:tab w:val="left" w:pos="1182"/>
        </w:tabs>
        <w:spacing w:after="0" w:line="276" w:lineRule="auto"/>
        <w:ind w:right="-188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AA203D" w:rsidRPr="00F76FE2" w:rsidRDefault="00AA203D" w:rsidP="00B92540">
      <w:pPr>
        <w:tabs>
          <w:tab w:val="left" w:pos="1182"/>
        </w:tabs>
        <w:spacing w:after="0" w:line="276" w:lineRule="auto"/>
        <w:ind w:right="-188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AA203D" w:rsidRPr="00F76FE2" w:rsidRDefault="00AA203D" w:rsidP="00B92540">
      <w:pPr>
        <w:tabs>
          <w:tab w:val="left" w:pos="1182"/>
        </w:tabs>
        <w:spacing w:after="0" w:line="276" w:lineRule="auto"/>
        <w:ind w:right="-188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AA203D" w:rsidRPr="00F76FE2" w:rsidRDefault="00AA203D" w:rsidP="00B92540">
      <w:pPr>
        <w:tabs>
          <w:tab w:val="left" w:pos="1182"/>
        </w:tabs>
        <w:spacing w:after="0" w:line="276" w:lineRule="auto"/>
        <w:ind w:right="-188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8F2F19" w:rsidRPr="00F76FE2" w:rsidRDefault="008F2F19" w:rsidP="00B92540">
      <w:pPr>
        <w:tabs>
          <w:tab w:val="left" w:pos="1182"/>
        </w:tabs>
        <w:spacing w:after="0" w:line="276" w:lineRule="auto"/>
        <w:ind w:right="-188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AA203D" w:rsidRPr="00F76FE2" w:rsidRDefault="00AA203D" w:rsidP="00B92540">
      <w:pPr>
        <w:tabs>
          <w:tab w:val="left" w:pos="1182"/>
        </w:tabs>
        <w:spacing w:after="0" w:line="276" w:lineRule="auto"/>
        <w:ind w:right="-188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AA203D" w:rsidRPr="00F76FE2" w:rsidRDefault="00AA203D" w:rsidP="00B92540">
      <w:pPr>
        <w:spacing w:after="0" w:line="240" w:lineRule="auto"/>
        <w:ind w:right="-188"/>
        <w:jc w:val="center"/>
        <w:rPr>
          <w:rFonts w:ascii="Cambria" w:eastAsia="Times New Roman" w:hAnsi="Cambria"/>
          <w:noProof/>
          <w:sz w:val="32"/>
          <w:szCs w:val="20"/>
        </w:rPr>
      </w:pPr>
      <w:r w:rsidRPr="00F76FE2">
        <w:rPr>
          <w:rFonts w:ascii="Cambria" w:hAnsi="Cambria" w:cs="Times New Roman"/>
          <w:b/>
          <w:noProof/>
          <w:sz w:val="20"/>
          <w:szCs w:val="20"/>
        </w:rPr>
        <w:lastRenderedPageBreak/>
        <w:t xml:space="preserve">Tabela 4.1(a): </w:t>
      </w:r>
      <w:r w:rsidRPr="00F76FE2">
        <w:rPr>
          <w:rFonts w:ascii="Cambria" w:eastAsia="Times New Roman" w:hAnsi="Cambria"/>
          <w:i/>
          <w:noProof/>
          <w:sz w:val="20"/>
          <w:szCs w:val="20"/>
        </w:rPr>
        <w:t>Huamarrja e brendshme (2019)</w:t>
      </w:r>
      <w:r w:rsidRPr="00F76FE2">
        <w:rPr>
          <w:rFonts w:ascii="Cambria" w:eastAsia="Times New Roman" w:hAnsi="Cambria"/>
          <w:noProof/>
          <w:sz w:val="32"/>
          <w:szCs w:val="20"/>
        </w:rPr>
        <w:t xml:space="preserve"> </w:t>
      </w:r>
    </w:p>
    <w:p w:rsidR="00AA203D" w:rsidRPr="00F76FE2" w:rsidRDefault="00AA203D" w:rsidP="00BC5BC9">
      <w:pPr>
        <w:spacing w:after="0" w:line="240" w:lineRule="auto"/>
        <w:ind w:right="-188"/>
        <w:rPr>
          <w:rFonts w:ascii="Cambria" w:eastAsia="Times New Roman" w:hAnsi="Cambria"/>
          <w:noProof/>
          <w:sz w:val="32"/>
          <w:szCs w:val="20"/>
        </w:rPr>
      </w:pPr>
      <w:r w:rsidRPr="00F76FE2">
        <w:rPr>
          <w:noProof/>
          <w:lang w:val="en-US"/>
        </w:rPr>
        <w:drawing>
          <wp:inline distT="0" distB="0" distL="0" distR="0" wp14:anchorId="0F615B0B" wp14:editId="5D822E99">
            <wp:extent cx="5779698" cy="23431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124" cy="234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03D" w:rsidRPr="00F76FE2" w:rsidRDefault="00AA203D" w:rsidP="00B92540">
      <w:pPr>
        <w:spacing w:after="0" w:line="240" w:lineRule="auto"/>
        <w:ind w:right="-188"/>
        <w:jc w:val="center"/>
        <w:rPr>
          <w:rFonts w:eastAsia="Times New Roman"/>
          <w:noProof/>
          <w:sz w:val="18"/>
          <w:szCs w:val="18"/>
        </w:rPr>
      </w:pPr>
      <w:r w:rsidRPr="00F76FE2">
        <w:rPr>
          <w:rFonts w:ascii="Cambria" w:hAnsi="Cambria" w:cs="Times New Roman"/>
          <w:b/>
          <w:noProof/>
          <w:sz w:val="20"/>
          <w:szCs w:val="20"/>
        </w:rPr>
        <w:t xml:space="preserve">Burimi: </w:t>
      </w:r>
      <w:r w:rsidRPr="00F76FE2">
        <w:rPr>
          <w:rFonts w:ascii="Cambria" w:hAnsi="Cambria" w:cs="Times New Roman"/>
          <w:i/>
          <w:noProof/>
          <w:sz w:val="20"/>
          <w:szCs w:val="20"/>
        </w:rPr>
        <w:t>Ministria e Financave dhe Ekonomisë (2020)</w:t>
      </w:r>
    </w:p>
    <w:p w:rsidR="00AA203D" w:rsidRPr="00F76FE2" w:rsidRDefault="00AA203D" w:rsidP="00B92540">
      <w:pPr>
        <w:tabs>
          <w:tab w:val="left" w:pos="1182"/>
        </w:tabs>
        <w:spacing w:after="0" w:line="276" w:lineRule="auto"/>
        <w:ind w:right="-188"/>
        <w:jc w:val="both"/>
        <w:rPr>
          <w:rFonts w:ascii="Cambria" w:hAnsi="Cambria" w:cs="Times New Roman"/>
          <w:i/>
          <w:noProof/>
          <w:sz w:val="20"/>
          <w:szCs w:val="20"/>
        </w:rPr>
      </w:pPr>
    </w:p>
    <w:p w:rsidR="00AA203D" w:rsidRPr="00F76FE2" w:rsidRDefault="00AA203D" w:rsidP="00BC5BC9">
      <w:pPr>
        <w:tabs>
          <w:tab w:val="left" w:pos="1182"/>
        </w:tabs>
        <w:spacing w:after="0" w:line="276" w:lineRule="auto"/>
        <w:ind w:right="-46"/>
        <w:jc w:val="both"/>
        <w:rPr>
          <w:rFonts w:ascii="Times New Roman" w:hAnsi="Times New Roman" w:cs="Times New Roman"/>
          <w:noProof/>
          <w:sz w:val="24"/>
          <w:szCs w:val="20"/>
          <w:lang w:val="en-US"/>
        </w:rPr>
      </w:pPr>
      <w:r w:rsidRPr="00F76FE2">
        <w:rPr>
          <w:rFonts w:ascii="Times New Roman" w:hAnsi="Times New Roman" w:cs="Times New Roman"/>
          <w:noProof/>
          <w:sz w:val="24"/>
          <w:szCs w:val="20"/>
          <w:lang w:val="en-US"/>
        </w:rPr>
        <w:t>Huamarrja nëpërmjet titujve afatshkurtër ka shërbyer për të realizuar rifinancimin e këtyre titujve, ndërkohë që huamarrja e re është siguruar t</w:t>
      </w:r>
      <w:r w:rsidR="00A70F29" w:rsidRPr="00F76FE2">
        <w:rPr>
          <w:rFonts w:ascii="Times New Roman" w:hAnsi="Times New Roman" w:cs="Times New Roman"/>
          <w:noProof/>
          <w:sz w:val="24"/>
          <w:szCs w:val="20"/>
          <w:lang w:val="en-US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0"/>
          <w:lang w:val="en-US"/>
        </w:rPr>
        <w:t>r</w:t>
      </w:r>
      <w:r w:rsidR="00A70F29" w:rsidRPr="00F76FE2">
        <w:rPr>
          <w:rFonts w:ascii="Times New Roman" w:hAnsi="Times New Roman" w:cs="Times New Roman"/>
          <w:noProof/>
          <w:sz w:val="24"/>
          <w:szCs w:val="20"/>
          <w:lang w:val="en-US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0"/>
          <w:lang w:val="en-US"/>
        </w:rPr>
        <w:t>sisht nëpërmjet titujve afatgjatë, duke qenë në linjë me objektivat për reduktimin e riskut të rifinancimit. Në po të njëjtën linjë, gjatë vitit 2019, krahasuar me vitin paraardhës, nevoja për huamarrje të brendshme është reduktuar me rreth 1.8 miliard Lekë.</w:t>
      </w:r>
    </w:p>
    <w:p w:rsidR="00AA203D" w:rsidRPr="00F76FE2" w:rsidRDefault="00AA203D" w:rsidP="00B92540">
      <w:pPr>
        <w:tabs>
          <w:tab w:val="left" w:pos="1182"/>
        </w:tabs>
        <w:spacing w:after="0" w:line="276" w:lineRule="auto"/>
        <w:ind w:right="-188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AA203D" w:rsidRPr="00F76FE2" w:rsidRDefault="00AA203D" w:rsidP="00B92540">
      <w:pPr>
        <w:tabs>
          <w:tab w:val="left" w:pos="1182"/>
        </w:tabs>
        <w:spacing w:after="0" w:line="276" w:lineRule="auto"/>
        <w:ind w:right="-188"/>
        <w:jc w:val="center"/>
        <w:rPr>
          <w:rFonts w:ascii="Times New Roman" w:hAnsi="Times New Roman" w:cs="Times New Roman"/>
          <w:noProof/>
          <w:sz w:val="24"/>
          <w:szCs w:val="20"/>
        </w:rPr>
      </w:pPr>
      <w:r w:rsidRPr="00F76FE2">
        <w:rPr>
          <w:rFonts w:ascii="Cambria" w:eastAsia="Calibri" w:hAnsi="Cambria" w:cs="Times New Roman"/>
          <w:b/>
          <w:noProof/>
          <w:sz w:val="20"/>
          <w:szCs w:val="20"/>
        </w:rPr>
        <w:t>Paraqitje Grafike 4.1:</w:t>
      </w:r>
      <w:r w:rsidRPr="00F76FE2">
        <w:rPr>
          <w:rFonts w:eastAsia="Batang"/>
          <w:b/>
          <w:noProof/>
        </w:rPr>
        <w:t xml:space="preserve"> </w:t>
      </w:r>
      <w:r w:rsidRPr="00F76FE2">
        <w:rPr>
          <w:rFonts w:ascii="Cambria" w:eastAsia="Calibri" w:hAnsi="Cambria" w:cs="Times New Roman"/>
          <w:i/>
          <w:noProof/>
          <w:sz w:val="20"/>
          <w:szCs w:val="20"/>
        </w:rPr>
        <w:t>Huamarrja e brendshme n</w:t>
      </w:r>
      <w:r w:rsidR="00A70F29" w:rsidRPr="00F76FE2">
        <w:rPr>
          <w:rFonts w:ascii="Cambria" w:eastAsia="Calibri" w:hAnsi="Cambria" w:cs="Times New Roman"/>
          <w:i/>
          <w:noProof/>
          <w:sz w:val="20"/>
          <w:szCs w:val="20"/>
        </w:rPr>
        <w:t>ë</w:t>
      </w:r>
      <w:r w:rsidRPr="00F76FE2">
        <w:rPr>
          <w:rFonts w:ascii="Cambria" w:eastAsia="Calibri" w:hAnsi="Cambria" w:cs="Times New Roman"/>
          <w:i/>
          <w:noProof/>
          <w:sz w:val="20"/>
          <w:szCs w:val="20"/>
        </w:rPr>
        <w:t xml:space="preserve"> terma neto sipas titujve shtet</w:t>
      </w:r>
      <w:r w:rsidR="00A70F29" w:rsidRPr="00F76FE2">
        <w:rPr>
          <w:rFonts w:ascii="Cambria" w:eastAsia="Calibri" w:hAnsi="Cambria" w:cs="Times New Roman"/>
          <w:i/>
          <w:noProof/>
          <w:sz w:val="20"/>
          <w:szCs w:val="20"/>
        </w:rPr>
        <w:t>ë</w:t>
      </w:r>
      <w:r w:rsidRPr="00F76FE2">
        <w:rPr>
          <w:rFonts w:ascii="Cambria" w:eastAsia="Calibri" w:hAnsi="Cambria" w:cs="Times New Roman"/>
          <w:i/>
          <w:noProof/>
          <w:sz w:val="20"/>
          <w:szCs w:val="20"/>
        </w:rPr>
        <w:t>ror</w:t>
      </w:r>
      <w:r w:rsidR="00A70F29" w:rsidRPr="00F76FE2">
        <w:rPr>
          <w:rFonts w:ascii="Cambria" w:eastAsia="Calibri" w:hAnsi="Cambria" w:cs="Times New Roman"/>
          <w:i/>
          <w:noProof/>
          <w:sz w:val="20"/>
          <w:szCs w:val="20"/>
        </w:rPr>
        <w:t>ë</w:t>
      </w:r>
      <w:r w:rsidRPr="00F76FE2">
        <w:rPr>
          <w:rFonts w:ascii="Cambria" w:eastAsia="Calibri" w:hAnsi="Cambria" w:cs="Times New Roman"/>
          <w:i/>
          <w:noProof/>
          <w:sz w:val="20"/>
          <w:szCs w:val="20"/>
        </w:rPr>
        <w:t xml:space="preserve"> (2019)</w:t>
      </w:r>
    </w:p>
    <w:p w:rsidR="00AA203D" w:rsidRPr="00F76FE2" w:rsidRDefault="00AA203D" w:rsidP="00BC5BC9">
      <w:pPr>
        <w:tabs>
          <w:tab w:val="left" w:pos="1182"/>
        </w:tabs>
        <w:spacing w:after="0" w:line="276" w:lineRule="auto"/>
        <w:ind w:right="-188"/>
        <w:rPr>
          <w:rFonts w:ascii="Cambria" w:hAnsi="Cambria" w:cs="Times New Roman"/>
          <w:b/>
          <w:noProof/>
          <w:sz w:val="20"/>
          <w:szCs w:val="20"/>
        </w:rPr>
      </w:pPr>
      <w:r w:rsidRPr="00F76FE2">
        <w:rPr>
          <w:noProof/>
          <w:lang w:val="en-US"/>
        </w:rPr>
        <w:drawing>
          <wp:inline distT="0" distB="0" distL="0" distR="0" wp14:anchorId="6CCE11BA" wp14:editId="2CB68F5C">
            <wp:extent cx="5753819" cy="1837055"/>
            <wp:effectExtent l="0" t="0" r="18415" b="10795"/>
            <wp:docPr id="67" name="Chart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AA203D" w:rsidRPr="00F76FE2" w:rsidRDefault="00AA203D" w:rsidP="00B92540">
      <w:pPr>
        <w:tabs>
          <w:tab w:val="left" w:pos="1182"/>
        </w:tabs>
        <w:spacing w:after="0" w:line="276" w:lineRule="auto"/>
        <w:ind w:right="-188"/>
        <w:jc w:val="center"/>
        <w:rPr>
          <w:rFonts w:ascii="Cambria" w:hAnsi="Cambria" w:cs="Times New Roman"/>
          <w:i/>
          <w:noProof/>
          <w:sz w:val="20"/>
          <w:szCs w:val="20"/>
        </w:rPr>
      </w:pPr>
      <w:r w:rsidRPr="00F76FE2">
        <w:rPr>
          <w:rFonts w:ascii="Cambria" w:hAnsi="Cambria" w:cs="Times New Roman"/>
          <w:b/>
          <w:noProof/>
          <w:sz w:val="20"/>
          <w:szCs w:val="20"/>
        </w:rPr>
        <w:t xml:space="preserve">Burimi: </w:t>
      </w:r>
      <w:r w:rsidRPr="00F76FE2">
        <w:rPr>
          <w:rFonts w:ascii="Cambria" w:hAnsi="Cambria" w:cs="Times New Roman"/>
          <w:i/>
          <w:noProof/>
          <w:sz w:val="20"/>
          <w:szCs w:val="20"/>
        </w:rPr>
        <w:t>Ministria e Financave dhe Ekonomisë (2020)</w:t>
      </w:r>
    </w:p>
    <w:p w:rsidR="00AA203D" w:rsidRPr="00F76FE2" w:rsidRDefault="00AA203D" w:rsidP="00B92540">
      <w:pPr>
        <w:tabs>
          <w:tab w:val="left" w:pos="1182"/>
        </w:tabs>
        <w:spacing w:after="0" w:line="276" w:lineRule="auto"/>
        <w:ind w:right="-188"/>
        <w:jc w:val="both"/>
        <w:rPr>
          <w:rFonts w:ascii="Times New Roman" w:eastAsia="Calibri" w:hAnsi="Times New Roman" w:cs="Times New Roman"/>
          <w:noProof/>
          <w:sz w:val="20"/>
          <w:szCs w:val="20"/>
        </w:rPr>
      </w:pPr>
    </w:p>
    <w:p w:rsidR="00AA203D" w:rsidRPr="00F76FE2" w:rsidRDefault="00AA203D" w:rsidP="00B92540">
      <w:pPr>
        <w:pStyle w:val="Heading2"/>
        <w:numPr>
          <w:ilvl w:val="1"/>
          <w:numId w:val="5"/>
        </w:numPr>
        <w:spacing w:before="0" w:after="240" w:line="276" w:lineRule="auto"/>
        <w:ind w:left="0" w:right="-188" w:firstLine="0"/>
        <w:jc w:val="both"/>
        <w:rPr>
          <w:rFonts w:ascii="Cambria" w:hAnsi="Cambria"/>
          <w:noProof/>
        </w:rPr>
      </w:pPr>
      <w:bookmarkStart w:id="11" w:name="_Toc34645066"/>
      <w:r w:rsidRPr="00F76FE2">
        <w:rPr>
          <w:rFonts w:ascii="Cambria" w:hAnsi="Cambria"/>
          <w:noProof/>
        </w:rPr>
        <w:t>Huamarrja e Huaj</w:t>
      </w:r>
      <w:bookmarkEnd w:id="11"/>
    </w:p>
    <w:p w:rsidR="00AA203D" w:rsidRPr="00F76FE2" w:rsidRDefault="00AA203D" w:rsidP="00BC5BC9">
      <w:pPr>
        <w:spacing w:after="0" w:line="276" w:lineRule="auto"/>
        <w:ind w:right="-46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F76FE2">
        <w:rPr>
          <w:rFonts w:ascii="Times New Roman" w:eastAsia="Calibri" w:hAnsi="Times New Roman" w:cs="Times New Roman"/>
          <w:noProof/>
          <w:sz w:val="24"/>
          <w:szCs w:val="24"/>
        </w:rPr>
        <w:t xml:space="preserve">Gjatë vitit 2019 huamarrja e huaj u realizua në nivelin 21.4 miliard Lekë. Krahasuar me vitin e kaluar, huamarrja e huaj </w:t>
      </w:r>
      <w:r w:rsidR="00A70F29" w:rsidRPr="00F76FE2">
        <w:rPr>
          <w:rFonts w:ascii="Times New Roman" w:eastAsia="Calibri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eastAsia="Calibri" w:hAnsi="Times New Roman" w:cs="Times New Roman"/>
          <w:noProof/>
          <w:sz w:val="24"/>
          <w:szCs w:val="24"/>
        </w:rPr>
        <w:t>sht</w:t>
      </w:r>
      <w:r w:rsidR="00A70F29" w:rsidRPr="00F76FE2">
        <w:rPr>
          <w:rFonts w:ascii="Times New Roman" w:eastAsia="Calibri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eastAsia="Calibri" w:hAnsi="Times New Roman" w:cs="Times New Roman"/>
          <w:noProof/>
          <w:sz w:val="24"/>
          <w:szCs w:val="24"/>
        </w:rPr>
        <w:t xml:space="preserve"> rreth 61 miliard Lek</w:t>
      </w:r>
      <w:r w:rsidR="00A70F29" w:rsidRPr="00F76FE2">
        <w:rPr>
          <w:rFonts w:ascii="Times New Roman" w:eastAsia="Calibri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eastAsia="Calibri" w:hAnsi="Times New Roman" w:cs="Times New Roman"/>
          <w:noProof/>
          <w:sz w:val="24"/>
          <w:szCs w:val="24"/>
        </w:rPr>
        <w:t xml:space="preserve"> m</w:t>
      </w:r>
      <w:r w:rsidR="00A70F29" w:rsidRPr="00F76FE2">
        <w:rPr>
          <w:rFonts w:ascii="Times New Roman" w:eastAsia="Calibri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eastAsia="Calibri" w:hAnsi="Times New Roman" w:cs="Times New Roman"/>
          <w:noProof/>
          <w:sz w:val="24"/>
          <w:szCs w:val="24"/>
        </w:rPr>
        <w:t xml:space="preserve"> e ul</w:t>
      </w:r>
      <w:r w:rsidR="00A70F29" w:rsidRPr="00F76FE2">
        <w:rPr>
          <w:rFonts w:ascii="Times New Roman" w:eastAsia="Calibri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eastAsia="Calibri" w:hAnsi="Times New Roman" w:cs="Times New Roman"/>
          <w:noProof/>
          <w:sz w:val="24"/>
          <w:szCs w:val="24"/>
        </w:rPr>
        <w:t>t, p</w:t>
      </w:r>
      <w:r w:rsidR="00A70F29" w:rsidRPr="00F76FE2">
        <w:rPr>
          <w:rFonts w:ascii="Times New Roman" w:eastAsia="Calibri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eastAsia="Calibri" w:hAnsi="Times New Roman" w:cs="Times New Roman"/>
          <w:noProof/>
          <w:sz w:val="24"/>
          <w:szCs w:val="24"/>
        </w:rPr>
        <w:t>r shkak t</w:t>
      </w:r>
      <w:r w:rsidR="00A70F29" w:rsidRPr="00F76FE2">
        <w:rPr>
          <w:rFonts w:ascii="Times New Roman" w:eastAsia="Calibri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eastAsia="Calibri" w:hAnsi="Times New Roman" w:cs="Times New Roman"/>
          <w:noProof/>
          <w:sz w:val="24"/>
          <w:szCs w:val="24"/>
        </w:rPr>
        <w:t xml:space="preserve"> emetimit t</w:t>
      </w:r>
      <w:r w:rsidR="00A70F29" w:rsidRPr="00F76FE2">
        <w:rPr>
          <w:rFonts w:ascii="Times New Roman" w:eastAsia="Calibri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eastAsia="Calibri" w:hAnsi="Times New Roman" w:cs="Times New Roman"/>
          <w:noProof/>
          <w:sz w:val="24"/>
          <w:szCs w:val="24"/>
        </w:rPr>
        <w:t xml:space="preserve"> Eurobond-it n</w:t>
      </w:r>
      <w:r w:rsidR="00A70F29" w:rsidRPr="00F76FE2">
        <w:rPr>
          <w:rFonts w:ascii="Times New Roman" w:eastAsia="Calibri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eastAsia="Calibri" w:hAnsi="Times New Roman" w:cs="Times New Roman"/>
          <w:noProof/>
          <w:sz w:val="24"/>
          <w:szCs w:val="24"/>
        </w:rPr>
        <w:t xml:space="preserve"> vitin 2018, i cili mund</w:t>
      </w:r>
      <w:r w:rsidR="00A70F29" w:rsidRPr="00F76FE2">
        <w:rPr>
          <w:rFonts w:ascii="Times New Roman" w:eastAsia="Calibri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eastAsia="Calibri" w:hAnsi="Times New Roman" w:cs="Times New Roman"/>
          <w:noProof/>
          <w:sz w:val="24"/>
          <w:szCs w:val="24"/>
        </w:rPr>
        <w:t>soi menaxhimin e detyrimeve t</w:t>
      </w:r>
      <w:r w:rsidR="00A70F29" w:rsidRPr="00F76FE2">
        <w:rPr>
          <w:rFonts w:ascii="Times New Roman" w:eastAsia="Calibri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eastAsia="Calibri" w:hAnsi="Times New Roman" w:cs="Times New Roman"/>
          <w:noProof/>
          <w:sz w:val="24"/>
          <w:szCs w:val="24"/>
        </w:rPr>
        <w:t xml:space="preserve"> borxhit n</w:t>
      </w:r>
      <w:r w:rsidR="00A70F29" w:rsidRPr="00F76FE2">
        <w:rPr>
          <w:rFonts w:ascii="Times New Roman" w:eastAsia="Calibri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eastAsia="Calibri" w:hAnsi="Times New Roman" w:cs="Times New Roman"/>
          <w:noProof/>
          <w:sz w:val="24"/>
          <w:szCs w:val="24"/>
        </w:rPr>
        <w:t xml:space="preserve"> periudh</w:t>
      </w:r>
      <w:r w:rsidR="00A70F29" w:rsidRPr="00F76FE2">
        <w:rPr>
          <w:rFonts w:ascii="Times New Roman" w:eastAsia="Calibri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eastAsia="Calibri" w:hAnsi="Times New Roman" w:cs="Times New Roman"/>
          <w:noProof/>
          <w:sz w:val="24"/>
          <w:szCs w:val="24"/>
        </w:rPr>
        <w:t>n afatmesme dhe financoi pjes</w:t>
      </w:r>
      <w:r w:rsidR="00A70F29" w:rsidRPr="00F76FE2">
        <w:rPr>
          <w:rFonts w:ascii="Times New Roman" w:eastAsia="Calibri" w:hAnsi="Times New Roman" w:cs="Times New Roman"/>
          <w:noProof/>
          <w:sz w:val="24"/>
          <w:szCs w:val="24"/>
        </w:rPr>
        <w:t>ë</w:t>
      </w:r>
      <w:r w:rsidRPr="00F76FE2">
        <w:rPr>
          <w:rFonts w:ascii="Times New Roman" w:eastAsia="Calibri" w:hAnsi="Times New Roman" w:cs="Times New Roman"/>
          <w:noProof/>
          <w:sz w:val="24"/>
          <w:szCs w:val="24"/>
        </w:rPr>
        <w:t xml:space="preserve">risht buxhetin e vitit 2019.  </w:t>
      </w:r>
    </w:p>
    <w:p w:rsidR="00AA203D" w:rsidRPr="00F76FE2" w:rsidRDefault="00AA203D" w:rsidP="00BC5BC9">
      <w:pPr>
        <w:spacing w:after="0" w:line="276" w:lineRule="auto"/>
        <w:ind w:right="-46"/>
        <w:jc w:val="both"/>
        <w:rPr>
          <w:rFonts w:ascii="Times New Roman" w:eastAsia="Calibri" w:hAnsi="Times New Roman" w:cs="Times New Roman"/>
          <w:noProof/>
          <w:sz w:val="24"/>
          <w:szCs w:val="24"/>
          <w:lang w:val="en-US"/>
        </w:rPr>
      </w:pPr>
      <w:r w:rsidRPr="00F76FE2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>Nd</w:t>
      </w:r>
      <w:r w:rsidR="00A70F29" w:rsidRPr="00F76FE2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>ë</w:t>
      </w:r>
      <w:r w:rsidRPr="00F76FE2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>rkoh</w:t>
      </w:r>
      <w:r w:rsidR="00A70F29" w:rsidRPr="00F76FE2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>ë</w:t>
      </w:r>
      <w:r w:rsidRPr="00F76FE2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>, për sa i përket huamarrjes nëpërmjet burimeve dypal</w:t>
      </w:r>
      <w:r w:rsidR="00A70F29" w:rsidRPr="00F76FE2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>ë</w:t>
      </w:r>
      <w:r w:rsidRPr="00F76FE2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>she dhe shum</w:t>
      </w:r>
      <w:r w:rsidR="00A70F29" w:rsidRPr="00F76FE2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>ë</w:t>
      </w:r>
      <w:r w:rsidRPr="00F76FE2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>pal</w:t>
      </w:r>
      <w:r w:rsidR="00A70F29" w:rsidRPr="00F76FE2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>ë</w:t>
      </w:r>
      <w:r w:rsidRPr="00F76FE2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>she v</w:t>
      </w:r>
      <w:r w:rsidR="00A70F29" w:rsidRPr="00F76FE2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>ë</w:t>
      </w:r>
      <w:r w:rsidRPr="00F76FE2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>rehet nj</w:t>
      </w:r>
      <w:r w:rsidR="00A70F29" w:rsidRPr="00F76FE2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>ë</w:t>
      </w:r>
      <w:r w:rsidRPr="00F76FE2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 xml:space="preserve"> rritje e moderuar  gjat</w:t>
      </w:r>
      <w:r w:rsidR="00A70F29" w:rsidRPr="00F76FE2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>ë</w:t>
      </w:r>
      <w:r w:rsidRPr="00F76FE2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 xml:space="preserve"> vitit 2019, ndikuar kryesisht nga niveli m</w:t>
      </w:r>
      <w:r w:rsidR="00A70F29" w:rsidRPr="00F76FE2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>ë</w:t>
      </w:r>
      <w:r w:rsidRPr="00F76FE2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 xml:space="preserve"> i lart</w:t>
      </w:r>
      <w:r w:rsidR="00A70F29" w:rsidRPr="00F76FE2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>ë</w:t>
      </w:r>
      <w:r w:rsidRPr="00F76FE2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 xml:space="preserve"> i disbursimeve t</w:t>
      </w:r>
      <w:r w:rsidR="00A70F29" w:rsidRPr="00F76FE2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>ë</w:t>
      </w:r>
      <w:r w:rsidRPr="00F76FE2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 xml:space="preserve"> huave q</w:t>
      </w:r>
      <w:r w:rsidR="00A70F29" w:rsidRPr="00F76FE2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>ë</w:t>
      </w:r>
      <w:r w:rsidRPr="00F76FE2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 xml:space="preserve"> financojn</w:t>
      </w:r>
      <w:r w:rsidR="00A70F29" w:rsidRPr="00F76FE2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>ë</w:t>
      </w:r>
      <w:r w:rsidRPr="00F76FE2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 xml:space="preserve"> projektet.</w:t>
      </w:r>
    </w:p>
    <w:p w:rsidR="00AA203D" w:rsidRPr="00F76FE2" w:rsidRDefault="00AA203D" w:rsidP="00B92540">
      <w:pPr>
        <w:tabs>
          <w:tab w:val="left" w:pos="1182"/>
        </w:tabs>
        <w:spacing w:after="0" w:line="276" w:lineRule="auto"/>
        <w:ind w:right="-188"/>
        <w:rPr>
          <w:rFonts w:ascii="Times New Roman" w:eastAsia="Calibri" w:hAnsi="Times New Roman" w:cs="Times New Roman"/>
          <w:noProof/>
          <w:sz w:val="20"/>
          <w:szCs w:val="20"/>
        </w:rPr>
      </w:pPr>
    </w:p>
    <w:p w:rsidR="00A70F29" w:rsidRPr="00F76FE2" w:rsidRDefault="00A70F29" w:rsidP="00B92540">
      <w:pPr>
        <w:tabs>
          <w:tab w:val="left" w:pos="1182"/>
        </w:tabs>
        <w:spacing w:after="0" w:line="276" w:lineRule="auto"/>
        <w:ind w:right="-188"/>
        <w:jc w:val="center"/>
        <w:rPr>
          <w:rFonts w:ascii="Times New Roman" w:eastAsia="Calibri" w:hAnsi="Times New Roman" w:cs="Times New Roman"/>
          <w:noProof/>
          <w:sz w:val="20"/>
          <w:szCs w:val="20"/>
        </w:rPr>
      </w:pPr>
    </w:p>
    <w:p w:rsidR="00AA203D" w:rsidRPr="00F76FE2" w:rsidRDefault="00AA203D" w:rsidP="00BC5BC9">
      <w:pPr>
        <w:tabs>
          <w:tab w:val="left" w:pos="1182"/>
        </w:tabs>
        <w:spacing w:after="0" w:line="276" w:lineRule="auto"/>
        <w:ind w:right="-188"/>
        <w:rPr>
          <w:rFonts w:ascii="Times New Roman" w:eastAsia="Calibri" w:hAnsi="Times New Roman" w:cs="Times New Roman"/>
          <w:noProof/>
          <w:sz w:val="20"/>
          <w:szCs w:val="20"/>
        </w:rPr>
      </w:pPr>
    </w:p>
    <w:p w:rsidR="008F2F19" w:rsidRPr="00F76FE2" w:rsidRDefault="008F2F19" w:rsidP="00BC5BC9">
      <w:pPr>
        <w:tabs>
          <w:tab w:val="left" w:pos="1182"/>
        </w:tabs>
        <w:spacing w:after="0" w:line="276" w:lineRule="auto"/>
        <w:ind w:right="-188"/>
        <w:rPr>
          <w:rFonts w:ascii="Times New Roman" w:eastAsia="Calibri" w:hAnsi="Times New Roman" w:cs="Times New Roman"/>
          <w:noProof/>
          <w:sz w:val="20"/>
          <w:szCs w:val="20"/>
        </w:rPr>
      </w:pPr>
    </w:p>
    <w:p w:rsidR="00AA203D" w:rsidRPr="00F76FE2" w:rsidRDefault="00AA203D" w:rsidP="00B92540">
      <w:pPr>
        <w:tabs>
          <w:tab w:val="left" w:pos="1182"/>
        </w:tabs>
        <w:spacing w:after="0" w:line="276" w:lineRule="auto"/>
        <w:ind w:right="-188"/>
        <w:jc w:val="center"/>
        <w:rPr>
          <w:rFonts w:ascii="Cambria" w:hAnsi="Cambria" w:cs="Times New Roman"/>
          <w:i/>
          <w:noProof/>
          <w:sz w:val="20"/>
          <w:szCs w:val="20"/>
        </w:rPr>
      </w:pPr>
      <w:r w:rsidRPr="00F76FE2">
        <w:rPr>
          <w:rFonts w:ascii="Cambria" w:hAnsi="Cambria" w:cs="Times New Roman"/>
          <w:b/>
          <w:noProof/>
          <w:sz w:val="20"/>
          <w:szCs w:val="20"/>
        </w:rPr>
        <w:lastRenderedPageBreak/>
        <w:t xml:space="preserve">Tabela 4.2 (a): </w:t>
      </w:r>
      <w:r w:rsidRPr="00F76FE2">
        <w:rPr>
          <w:rFonts w:ascii="Cambria" w:hAnsi="Cambria" w:cs="Times New Roman"/>
          <w:i/>
          <w:noProof/>
          <w:sz w:val="20"/>
          <w:szCs w:val="20"/>
        </w:rPr>
        <w:t xml:space="preserve">Huamarrja e huaj në terma bruto </w:t>
      </w:r>
      <w:r w:rsidRPr="00F76FE2">
        <w:rPr>
          <w:rFonts w:ascii="Cambria" w:eastAsia="Calibri" w:hAnsi="Cambria" w:cs="Times New Roman"/>
          <w:i/>
          <w:noProof/>
          <w:sz w:val="20"/>
          <w:szCs w:val="20"/>
        </w:rPr>
        <w:t>(2018- 2019)</w:t>
      </w:r>
    </w:p>
    <w:p w:rsidR="00AA203D" w:rsidRPr="00F76FE2" w:rsidRDefault="00AA203D" w:rsidP="00BC5BC9">
      <w:pPr>
        <w:tabs>
          <w:tab w:val="left" w:pos="1182"/>
        </w:tabs>
        <w:spacing w:after="0" w:line="276" w:lineRule="auto"/>
        <w:ind w:right="-188"/>
        <w:rPr>
          <w:rFonts w:ascii="Cambria" w:hAnsi="Cambria" w:cs="Times New Roman"/>
          <w:i/>
          <w:noProof/>
          <w:sz w:val="20"/>
          <w:szCs w:val="20"/>
        </w:rPr>
      </w:pPr>
      <w:r w:rsidRPr="00F76FE2">
        <w:rPr>
          <w:noProof/>
          <w:lang w:val="en-US"/>
        </w:rPr>
        <w:drawing>
          <wp:inline distT="0" distB="0" distL="0" distR="0" wp14:anchorId="44C44FBC" wp14:editId="75C46F0B">
            <wp:extent cx="5753819" cy="206184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954" cy="206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6FE2">
        <w:rPr>
          <w:rFonts w:ascii="Cambria" w:hAnsi="Cambria" w:cs="Times New Roman"/>
          <w:b/>
          <w:noProof/>
          <w:sz w:val="20"/>
          <w:szCs w:val="20"/>
        </w:rPr>
        <w:t xml:space="preserve">Burimi: </w:t>
      </w:r>
      <w:r w:rsidRPr="00F76FE2">
        <w:rPr>
          <w:rFonts w:ascii="Cambria" w:hAnsi="Cambria" w:cs="Times New Roman"/>
          <w:i/>
          <w:noProof/>
          <w:sz w:val="20"/>
          <w:szCs w:val="20"/>
        </w:rPr>
        <w:t>Ministria e Financave dhe Ekonomisë (2020)</w:t>
      </w:r>
    </w:p>
    <w:p w:rsidR="00113426" w:rsidRPr="00F76FE2" w:rsidRDefault="00113426" w:rsidP="00B92540">
      <w:pPr>
        <w:tabs>
          <w:tab w:val="left" w:pos="1719"/>
        </w:tabs>
        <w:spacing w:after="0" w:line="276" w:lineRule="auto"/>
        <w:ind w:right="-188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A8332E" w:rsidRPr="00F76FE2" w:rsidRDefault="00556DBE" w:rsidP="00B92540">
      <w:pPr>
        <w:pStyle w:val="Heading1"/>
        <w:numPr>
          <w:ilvl w:val="0"/>
          <w:numId w:val="5"/>
        </w:numPr>
        <w:spacing w:before="0" w:after="240" w:line="276" w:lineRule="auto"/>
        <w:ind w:left="426" w:right="-188" w:hanging="426"/>
        <w:jc w:val="both"/>
        <w:rPr>
          <w:rFonts w:ascii="Cambria" w:hAnsi="Cambria"/>
          <w:color w:val="C00000"/>
          <w:sz w:val="24"/>
          <w:szCs w:val="24"/>
        </w:rPr>
      </w:pPr>
      <w:bookmarkStart w:id="12" w:name="_Toc34645067"/>
      <w:r w:rsidRPr="00F76FE2">
        <w:rPr>
          <w:rFonts w:ascii="Cambria" w:hAnsi="Cambria"/>
          <w:color w:val="C00000"/>
          <w:sz w:val="24"/>
          <w:szCs w:val="24"/>
        </w:rPr>
        <w:t>Kosto</w:t>
      </w:r>
      <w:r w:rsidR="00B1244A" w:rsidRPr="00F76FE2">
        <w:rPr>
          <w:rFonts w:ascii="Cambria" w:hAnsi="Cambria"/>
          <w:color w:val="C00000"/>
          <w:sz w:val="24"/>
          <w:szCs w:val="24"/>
        </w:rPr>
        <w:t xml:space="preserve"> dhe Risqet</w:t>
      </w:r>
      <w:bookmarkEnd w:id="12"/>
    </w:p>
    <w:p w:rsidR="00372E7D" w:rsidRPr="00F76FE2" w:rsidRDefault="00372E7D" w:rsidP="00BC5BC9">
      <w:pPr>
        <w:pStyle w:val="Default"/>
        <w:spacing w:line="276" w:lineRule="auto"/>
        <w:ind w:right="-46"/>
        <w:jc w:val="both"/>
        <w:rPr>
          <w:rFonts w:ascii="Times New Roman" w:eastAsia="Calibri" w:hAnsi="Times New Roman" w:cs="Times New Roman"/>
          <w:noProof/>
          <w:color w:val="auto"/>
          <w:lang w:val="en-US"/>
        </w:rPr>
      </w:pPr>
      <w:r w:rsidRPr="00F76FE2">
        <w:rPr>
          <w:rFonts w:ascii="Times New Roman" w:eastAsia="Calibri" w:hAnsi="Times New Roman" w:cs="Times New Roman"/>
          <w:noProof/>
          <w:color w:val="auto"/>
          <w:lang w:val="en-US"/>
        </w:rPr>
        <w:t>Gjatë vitit 2019, menaxhimi i borxhit ka mund</w:t>
      </w:r>
      <w:r w:rsidR="00A70F29" w:rsidRPr="00F76FE2">
        <w:rPr>
          <w:rFonts w:ascii="Times New Roman" w:eastAsia="Calibri" w:hAnsi="Times New Roman" w:cs="Times New Roman"/>
          <w:noProof/>
          <w:color w:val="auto"/>
          <w:lang w:val="en-US"/>
        </w:rPr>
        <w:t>ë</w:t>
      </w:r>
      <w:r w:rsidRPr="00F76FE2">
        <w:rPr>
          <w:rFonts w:ascii="Times New Roman" w:eastAsia="Calibri" w:hAnsi="Times New Roman" w:cs="Times New Roman"/>
          <w:noProof/>
          <w:color w:val="auto"/>
          <w:lang w:val="en-US"/>
        </w:rPr>
        <w:t>suar reduktimin e m</w:t>
      </w:r>
      <w:r w:rsidR="00A70F29" w:rsidRPr="00F76FE2">
        <w:rPr>
          <w:rFonts w:ascii="Times New Roman" w:eastAsia="Calibri" w:hAnsi="Times New Roman" w:cs="Times New Roman"/>
          <w:noProof/>
          <w:color w:val="auto"/>
          <w:lang w:val="en-US"/>
        </w:rPr>
        <w:t>ë</w:t>
      </w:r>
      <w:r w:rsidRPr="00F76FE2">
        <w:rPr>
          <w:rFonts w:ascii="Times New Roman" w:eastAsia="Calibri" w:hAnsi="Times New Roman" w:cs="Times New Roman"/>
          <w:noProof/>
          <w:color w:val="auto"/>
          <w:lang w:val="en-US"/>
        </w:rPr>
        <w:t>tejsh</w:t>
      </w:r>
      <w:r w:rsidR="00A70F29" w:rsidRPr="00F76FE2">
        <w:rPr>
          <w:rFonts w:ascii="Times New Roman" w:eastAsia="Calibri" w:hAnsi="Times New Roman" w:cs="Times New Roman"/>
          <w:noProof/>
          <w:color w:val="auto"/>
          <w:lang w:val="en-US"/>
        </w:rPr>
        <w:t>ë</w:t>
      </w:r>
      <w:r w:rsidRPr="00F76FE2">
        <w:rPr>
          <w:rFonts w:ascii="Times New Roman" w:eastAsia="Calibri" w:hAnsi="Times New Roman" w:cs="Times New Roman"/>
          <w:noProof/>
          <w:color w:val="auto"/>
          <w:lang w:val="en-US"/>
        </w:rPr>
        <w:t>m t</w:t>
      </w:r>
      <w:r w:rsidR="00A70F29" w:rsidRPr="00F76FE2">
        <w:rPr>
          <w:rFonts w:ascii="Times New Roman" w:eastAsia="Calibri" w:hAnsi="Times New Roman" w:cs="Times New Roman"/>
          <w:noProof/>
          <w:color w:val="auto"/>
          <w:lang w:val="en-US"/>
        </w:rPr>
        <w:t>ë</w:t>
      </w:r>
      <w:r w:rsidRPr="00F76FE2">
        <w:rPr>
          <w:rFonts w:ascii="Times New Roman" w:eastAsia="Calibri" w:hAnsi="Times New Roman" w:cs="Times New Roman"/>
          <w:noProof/>
          <w:color w:val="auto"/>
          <w:lang w:val="en-US"/>
        </w:rPr>
        <w:t xml:space="preserve"> ekspozimit ndaj risqeve duke mbajtur koston nën kontroll. Struktura e borxhit është përmirësuar, kryesisht në aspektin e reduktimit të ekspozimit ndaj riskut të rifinancimit dhe riskut të normave të interesit. Përmirësimi i raportit ndërmjet kostos dhe risqeve ka ardhur jo vetëm si rezultat i mirëmenaxhimit në përputhje me objektivat strategjikë, por edhe si rezultat i kushteve të favorshme të tregjeve dhe faktorëve makroekonomikë të vendit, të tillë si: </w:t>
      </w:r>
    </w:p>
    <w:p w:rsidR="00372E7D" w:rsidRPr="00F76FE2" w:rsidRDefault="00372E7D" w:rsidP="00BC5BC9">
      <w:pPr>
        <w:pStyle w:val="Default"/>
        <w:spacing w:line="276" w:lineRule="auto"/>
        <w:ind w:right="-46"/>
        <w:jc w:val="both"/>
        <w:rPr>
          <w:rFonts w:ascii="Times New Roman" w:hAnsi="Times New Roman" w:cs="Times New Roman"/>
          <w:noProof/>
          <w:sz w:val="20"/>
        </w:rPr>
      </w:pPr>
    </w:p>
    <w:p w:rsidR="00372E7D" w:rsidRPr="00F76FE2" w:rsidRDefault="00372E7D" w:rsidP="00BC5BC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85" w:line="276" w:lineRule="auto"/>
        <w:ind w:left="426" w:right="-46" w:hanging="426"/>
        <w:jc w:val="both"/>
        <w:rPr>
          <w:rFonts w:ascii="Times New Roman" w:hAnsi="Times New Roman" w:cs="Times New Roman"/>
          <w:noProof/>
          <w:color w:val="000000"/>
          <w:sz w:val="24"/>
          <w:szCs w:val="24"/>
        </w:rPr>
      </w:pPr>
      <w:r w:rsidRPr="00F76FE2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Normat e ulta të interesit në tregun e brendshëm dhe atë të huaj, si rezultat i politikave monetare lehtësuese të bankave qendrore; </w:t>
      </w:r>
    </w:p>
    <w:p w:rsidR="00372E7D" w:rsidRPr="00F76FE2" w:rsidRDefault="00372E7D" w:rsidP="00BC5BC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85" w:line="276" w:lineRule="auto"/>
        <w:ind w:left="426" w:right="-46" w:hanging="426"/>
        <w:jc w:val="both"/>
        <w:rPr>
          <w:rFonts w:ascii="Times New Roman" w:hAnsi="Times New Roman" w:cs="Times New Roman"/>
          <w:noProof/>
          <w:color w:val="000000"/>
          <w:sz w:val="24"/>
          <w:szCs w:val="24"/>
        </w:rPr>
      </w:pPr>
      <w:r w:rsidRPr="00F76FE2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Disponueshmëria në nivele të konsiderueshme e burimeve të huaja të financimit me </w:t>
      </w:r>
      <w:r w:rsidR="00B37B16" w:rsidRPr="00F76FE2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terma </w:t>
      </w:r>
      <w:r w:rsidRPr="00F76FE2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koncesionale; </w:t>
      </w:r>
    </w:p>
    <w:p w:rsidR="00372E7D" w:rsidRPr="00F76FE2" w:rsidRDefault="00372E7D" w:rsidP="00BC5BC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85" w:line="276" w:lineRule="auto"/>
        <w:ind w:left="426" w:right="-46" w:hanging="426"/>
        <w:jc w:val="both"/>
        <w:rPr>
          <w:rFonts w:ascii="Times New Roman" w:hAnsi="Times New Roman" w:cs="Times New Roman"/>
          <w:noProof/>
          <w:color w:val="000000"/>
          <w:sz w:val="24"/>
          <w:szCs w:val="24"/>
        </w:rPr>
      </w:pPr>
      <w:r w:rsidRPr="00F76FE2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Kërkesa e kënaqshme për titujt shtetërorë afatgjatë me norma interesi fikse; </w:t>
      </w:r>
    </w:p>
    <w:p w:rsidR="00372E7D" w:rsidRPr="00F76FE2" w:rsidRDefault="00372E7D" w:rsidP="00BC5BC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85" w:line="276" w:lineRule="auto"/>
        <w:ind w:left="426" w:right="-46" w:hanging="426"/>
        <w:jc w:val="both"/>
        <w:rPr>
          <w:rFonts w:ascii="Times New Roman" w:hAnsi="Times New Roman" w:cs="Times New Roman"/>
          <w:noProof/>
          <w:color w:val="000000"/>
          <w:sz w:val="24"/>
          <w:szCs w:val="24"/>
        </w:rPr>
      </w:pPr>
      <w:r w:rsidRPr="00F76FE2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Mbiçmimi i monedhës vendase në raport me monedhën EUR. </w:t>
      </w:r>
    </w:p>
    <w:p w:rsidR="00372E7D" w:rsidRPr="00F76FE2" w:rsidRDefault="00372E7D" w:rsidP="00BC5BC9">
      <w:pPr>
        <w:pStyle w:val="ListParagraph"/>
        <w:autoSpaceDE w:val="0"/>
        <w:autoSpaceDN w:val="0"/>
        <w:adjustRightInd w:val="0"/>
        <w:spacing w:after="0" w:line="276" w:lineRule="auto"/>
        <w:ind w:left="425" w:right="-46"/>
        <w:jc w:val="both"/>
        <w:rPr>
          <w:rFonts w:ascii="Times New Roman" w:hAnsi="Times New Roman" w:cs="Times New Roman"/>
          <w:noProof/>
          <w:color w:val="000000"/>
          <w:sz w:val="20"/>
          <w:szCs w:val="24"/>
        </w:rPr>
      </w:pPr>
    </w:p>
    <w:p w:rsidR="00372E7D" w:rsidRPr="00F76FE2" w:rsidRDefault="00372E7D" w:rsidP="00BC5BC9">
      <w:pPr>
        <w:pStyle w:val="Heading2"/>
        <w:numPr>
          <w:ilvl w:val="1"/>
          <w:numId w:val="5"/>
        </w:numPr>
        <w:spacing w:before="0" w:after="240" w:line="276" w:lineRule="auto"/>
        <w:ind w:left="567" w:right="-46" w:hanging="567"/>
        <w:jc w:val="both"/>
        <w:rPr>
          <w:rFonts w:ascii="Cambria" w:hAnsi="Cambria"/>
          <w:noProof/>
          <w:color w:val="auto"/>
        </w:rPr>
      </w:pPr>
      <w:bookmarkStart w:id="13" w:name="_Toc34645068"/>
      <w:r w:rsidRPr="00F76FE2">
        <w:rPr>
          <w:rFonts w:ascii="Cambria" w:hAnsi="Cambria"/>
          <w:noProof/>
          <w:color w:val="auto"/>
        </w:rPr>
        <w:t>Kosto</w:t>
      </w:r>
      <w:bookmarkEnd w:id="13"/>
    </w:p>
    <w:p w:rsidR="00372E7D" w:rsidRPr="00F76FE2" w:rsidRDefault="00372E7D" w:rsidP="00BC5BC9">
      <w:pPr>
        <w:autoSpaceDE w:val="0"/>
        <w:autoSpaceDN w:val="0"/>
        <w:adjustRightInd w:val="0"/>
        <w:spacing w:after="0" w:line="276" w:lineRule="auto"/>
        <w:ind w:right="-46"/>
        <w:jc w:val="both"/>
        <w:rPr>
          <w:rFonts w:ascii="Times New Roman" w:hAnsi="Times New Roman" w:cs="Times New Roman"/>
          <w:noProof/>
          <w:color w:val="000000"/>
          <w:sz w:val="24"/>
          <w:szCs w:val="23"/>
        </w:rPr>
      </w:pPr>
      <w:r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 xml:space="preserve">Kosto për njësi </w:t>
      </w:r>
      <w:r w:rsidR="00604392"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>e portofolit t</w:t>
      </w:r>
      <w:r w:rsidR="00A70F29"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>ë</w:t>
      </w:r>
      <w:r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 xml:space="preserve"> borxhit shtet</w:t>
      </w:r>
      <w:r w:rsidR="00A70F29"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>ë</w:t>
      </w:r>
      <w:r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>ror ka vazhduar të ule</w:t>
      </w:r>
      <w:r w:rsidR="00604392"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>t</w:t>
      </w:r>
      <w:r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 xml:space="preserve"> edhe përgjatë vitit 201</w:t>
      </w:r>
      <w:r w:rsidR="00604392"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>9</w:t>
      </w:r>
      <w:r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>, kryesisht si rezultat i normave të interesit n</w:t>
      </w:r>
      <w:r w:rsidR="00A70F29"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>ë</w:t>
      </w:r>
      <w:r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 xml:space="preserve"> nivele ende të ulëta, shoq</w:t>
      </w:r>
      <w:r w:rsidR="00A70F29"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>ë</w:t>
      </w:r>
      <w:r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 xml:space="preserve">ruar me rifinancimin e borxhit që maturohet </w:t>
      </w:r>
      <w:r w:rsidRPr="00F76FE2">
        <w:rPr>
          <w:rFonts w:ascii="Times New Roman" w:hAnsi="Times New Roman" w:cs="Times New Roman"/>
          <w:i/>
          <w:noProof/>
          <w:color w:val="000000"/>
          <w:sz w:val="24"/>
          <w:szCs w:val="23"/>
        </w:rPr>
        <w:t>(kryesisht atij afatgjat</w:t>
      </w:r>
      <w:r w:rsidR="00A70F29" w:rsidRPr="00F76FE2">
        <w:rPr>
          <w:rFonts w:ascii="Times New Roman" w:hAnsi="Times New Roman" w:cs="Times New Roman"/>
          <w:i/>
          <w:noProof/>
          <w:color w:val="000000"/>
          <w:sz w:val="24"/>
          <w:szCs w:val="23"/>
        </w:rPr>
        <w:t>ë</w:t>
      </w:r>
      <w:r w:rsidRPr="00F76FE2">
        <w:rPr>
          <w:rFonts w:ascii="Times New Roman" w:hAnsi="Times New Roman" w:cs="Times New Roman"/>
          <w:i/>
          <w:noProof/>
          <w:color w:val="000000"/>
          <w:sz w:val="24"/>
          <w:szCs w:val="23"/>
        </w:rPr>
        <w:t>)</w:t>
      </w:r>
      <w:r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 xml:space="preserve"> me borxh më pak të kushtueshëm. </w:t>
      </w:r>
    </w:p>
    <w:p w:rsidR="00372E7D" w:rsidRPr="00F76FE2" w:rsidRDefault="00372E7D" w:rsidP="00BC5BC9">
      <w:pPr>
        <w:autoSpaceDE w:val="0"/>
        <w:autoSpaceDN w:val="0"/>
        <w:adjustRightInd w:val="0"/>
        <w:spacing w:after="0" w:line="276" w:lineRule="auto"/>
        <w:ind w:right="-46"/>
        <w:jc w:val="both"/>
        <w:rPr>
          <w:rFonts w:ascii="Times New Roman" w:hAnsi="Times New Roman" w:cs="Times New Roman"/>
          <w:noProof/>
          <w:color w:val="000000"/>
          <w:sz w:val="24"/>
          <w:szCs w:val="23"/>
        </w:rPr>
      </w:pPr>
      <w:r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 xml:space="preserve">Vlen për t’u përmendur reduktimi i kostos për njësi në portofolin e borxhit të brendshëm shtetëror, megjithëse është rritur pesha e borxhit afatgjatë, gjë e cila reflekton përmirësimin e mëtjeshëm të raportit ndërmjet kostos dhe risqeve. </w:t>
      </w:r>
    </w:p>
    <w:p w:rsidR="00B37B16" w:rsidRPr="00F76FE2" w:rsidRDefault="00372E7D" w:rsidP="00BC5BC9">
      <w:pPr>
        <w:tabs>
          <w:tab w:val="left" w:pos="1182"/>
        </w:tabs>
        <w:spacing w:after="0" w:line="276" w:lineRule="auto"/>
        <w:ind w:right="-46"/>
        <w:jc w:val="both"/>
        <w:rPr>
          <w:rFonts w:ascii="Times New Roman" w:hAnsi="Times New Roman" w:cs="Times New Roman"/>
          <w:noProof/>
          <w:color w:val="000000"/>
          <w:sz w:val="24"/>
          <w:szCs w:val="23"/>
        </w:rPr>
      </w:pPr>
      <w:r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>Kosto p</w:t>
      </w:r>
      <w:r w:rsidR="00A70F29"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>ë</w:t>
      </w:r>
      <w:r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>r nj</w:t>
      </w:r>
      <w:r w:rsidR="00A70F29"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>ë</w:t>
      </w:r>
      <w:r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>si e portofolit t</w:t>
      </w:r>
      <w:r w:rsidR="00A70F29"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>ë</w:t>
      </w:r>
      <w:r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 xml:space="preserve"> borxhit t</w:t>
      </w:r>
      <w:r w:rsidR="00A70F29"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>ë</w:t>
      </w:r>
      <w:r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 xml:space="preserve"> jasht</w:t>
      </w:r>
      <w:r w:rsidR="00A70F29"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>ë</w:t>
      </w:r>
      <w:r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>m ka p</w:t>
      </w:r>
      <w:r w:rsidR="00A70F29"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>ë</w:t>
      </w:r>
      <w:r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>suar rritje,</w:t>
      </w:r>
      <w:r w:rsidR="00604392"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 xml:space="preserve"> kryesis</w:t>
      </w:r>
      <w:r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>ht t</w:t>
      </w:r>
      <w:r w:rsidR="00A70F29"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>ë</w:t>
      </w:r>
      <w:r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 xml:space="preserve"> ndikuar nga </w:t>
      </w:r>
      <w:r w:rsidR="00604392"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>rritja e pesh</w:t>
      </w:r>
      <w:r w:rsidR="00A70F29"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>ë</w:t>
      </w:r>
      <w:r w:rsidR="00604392"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>s s</w:t>
      </w:r>
      <w:r w:rsidR="00A70F29"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>ë</w:t>
      </w:r>
      <w:r w:rsidR="00604392"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 xml:space="preserve"> instrumenteve nga burime financimi private</w:t>
      </w:r>
      <w:r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>. Megjithat</w:t>
      </w:r>
      <w:r w:rsidR="00A70F29"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>ë</w:t>
      </w:r>
      <w:r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>, ky portofol vijon të ketë kosto ndjeshëm më të ulët se portofoli i borxhit të brendshëm, kryesisht për shkak të stokut me terma koncesionale, dhe emetimit t</w:t>
      </w:r>
      <w:r w:rsidR="00A70F29"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>ë</w:t>
      </w:r>
      <w:r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 xml:space="preserve"> instrumenteve t</w:t>
      </w:r>
      <w:r w:rsidR="00A70F29"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>ë</w:t>
      </w:r>
      <w:r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 xml:space="preserve"> tregtueshme si Eurobond-i në tregje më konkurruese dhe</w:t>
      </w:r>
      <w:r w:rsidR="004064CE"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 xml:space="preserve"> më</w:t>
      </w:r>
      <w:r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 xml:space="preserve"> likuide se tregu vendas.</w:t>
      </w:r>
    </w:p>
    <w:p w:rsidR="0046423B" w:rsidRPr="00F76FE2" w:rsidRDefault="0046423B" w:rsidP="00B92540">
      <w:pPr>
        <w:tabs>
          <w:tab w:val="left" w:pos="1182"/>
        </w:tabs>
        <w:spacing w:after="0" w:line="276" w:lineRule="auto"/>
        <w:ind w:right="-188"/>
        <w:jc w:val="both"/>
        <w:rPr>
          <w:rFonts w:ascii="Times New Roman" w:hAnsi="Times New Roman" w:cs="Times New Roman"/>
          <w:noProof/>
          <w:color w:val="000000"/>
          <w:sz w:val="24"/>
          <w:szCs w:val="23"/>
        </w:rPr>
      </w:pPr>
    </w:p>
    <w:p w:rsidR="0046423B" w:rsidRPr="00F76FE2" w:rsidRDefault="0046423B" w:rsidP="00B92540">
      <w:pPr>
        <w:tabs>
          <w:tab w:val="left" w:pos="1182"/>
        </w:tabs>
        <w:spacing w:after="0" w:line="276" w:lineRule="auto"/>
        <w:ind w:right="-188"/>
        <w:jc w:val="both"/>
        <w:rPr>
          <w:rFonts w:ascii="Times New Roman" w:hAnsi="Times New Roman" w:cs="Times New Roman"/>
          <w:noProof/>
          <w:color w:val="000000"/>
          <w:sz w:val="24"/>
          <w:szCs w:val="23"/>
        </w:rPr>
      </w:pPr>
    </w:p>
    <w:p w:rsidR="0046423B" w:rsidRPr="00F76FE2" w:rsidRDefault="0046423B" w:rsidP="00B92540">
      <w:pPr>
        <w:tabs>
          <w:tab w:val="left" w:pos="1182"/>
        </w:tabs>
        <w:spacing w:after="0" w:line="276" w:lineRule="auto"/>
        <w:ind w:right="-188"/>
        <w:jc w:val="both"/>
        <w:rPr>
          <w:rFonts w:ascii="Times New Roman" w:hAnsi="Times New Roman" w:cs="Times New Roman"/>
          <w:noProof/>
          <w:color w:val="000000"/>
          <w:sz w:val="2"/>
          <w:szCs w:val="2"/>
        </w:rPr>
      </w:pPr>
    </w:p>
    <w:p w:rsidR="0046423B" w:rsidRPr="00F76FE2" w:rsidRDefault="007D1FD9" w:rsidP="00B92540">
      <w:pPr>
        <w:tabs>
          <w:tab w:val="left" w:pos="1182"/>
        </w:tabs>
        <w:spacing w:after="0" w:line="276" w:lineRule="auto"/>
        <w:ind w:right="-188"/>
        <w:jc w:val="center"/>
        <w:rPr>
          <w:rFonts w:ascii="Times New Roman" w:hAnsi="Times New Roman" w:cs="Times New Roman"/>
          <w:noProof/>
          <w:sz w:val="24"/>
          <w:szCs w:val="20"/>
        </w:rPr>
      </w:pPr>
      <w:r w:rsidRPr="00F76FE2">
        <w:rPr>
          <w:rFonts w:ascii="Cambria" w:hAnsi="Cambria" w:cs="Times New Roman"/>
          <w:i/>
          <w:noProof/>
          <w:sz w:val="20"/>
          <w:szCs w:val="20"/>
          <w:lang w:val="en-US"/>
        </w:rPr>
        <w:lastRenderedPageBreak/>
        <w:drawing>
          <wp:anchor distT="0" distB="0" distL="114300" distR="114300" simplePos="0" relativeHeight="251852800" behindDoc="0" locked="0" layoutInCell="1" allowOverlap="1" wp14:anchorId="2E5D4A24" wp14:editId="31DD2932">
            <wp:simplePos x="0" y="0"/>
            <wp:positionH relativeFrom="margin">
              <wp:align>left</wp:align>
            </wp:positionH>
            <wp:positionV relativeFrom="paragraph">
              <wp:posOffset>168910</wp:posOffset>
            </wp:positionV>
            <wp:extent cx="5748655" cy="2104390"/>
            <wp:effectExtent l="0" t="0" r="4445" b="10160"/>
            <wp:wrapSquare wrapText="bothSides"/>
            <wp:docPr id="68" name="Chart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V relativeFrom="margin">
              <wp14:pctHeight>0</wp14:pctHeight>
            </wp14:sizeRelV>
          </wp:anchor>
        </w:drawing>
      </w:r>
      <w:r w:rsidR="0046423B" w:rsidRPr="00F76FE2">
        <w:rPr>
          <w:rFonts w:ascii="Cambria" w:eastAsia="Calibri" w:hAnsi="Cambria" w:cs="Times New Roman"/>
          <w:b/>
          <w:noProof/>
          <w:sz w:val="20"/>
          <w:szCs w:val="20"/>
        </w:rPr>
        <w:t>Paraqitje Grafike 5.1 (a):</w:t>
      </w:r>
      <w:r w:rsidR="0046423B" w:rsidRPr="00F76FE2">
        <w:rPr>
          <w:rFonts w:eastAsia="Batang"/>
          <w:b/>
          <w:noProof/>
        </w:rPr>
        <w:t xml:space="preserve"> </w:t>
      </w:r>
      <w:r w:rsidR="0046423B" w:rsidRPr="00F76FE2">
        <w:rPr>
          <w:rFonts w:ascii="Cambria" w:eastAsia="Calibri" w:hAnsi="Cambria" w:cs="Times New Roman"/>
          <w:i/>
          <w:noProof/>
          <w:sz w:val="20"/>
          <w:szCs w:val="20"/>
        </w:rPr>
        <w:t>Kosto mesatare e borxhit shtet</w:t>
      </w:r>
      <w:r w:rsidR="00A70F29" w:rsidRPr="00F76FE2">
        <w:rPr>
          <w:rFonts w:ascii="Cambria" w:eastAsia="Calibri" w:hAnsi="Cambria" w:cs="Times New Roman"/>
          <w:i/>
          <w:noProof/>
          <w:sz w:val="20"/>
          <w:szCs w:val="20"/>
        </w:rPr>
        <w:t>ë</w:t>
      </w:r>
      <w:r w:rsidR="0046423B" w:rsidRPr="00F76FE2">
        <w:rPr>
          <w:rFonts w:ascii="Cambria" w:eastAsia="Calibri" w:hAnsi="Cambria" w:cs="Times New Roman"/>
          <w:i/>
          <w:noProof/>
          <w:sz w:val="20"/>
          <w:szCs w:val="20"/>
        </w:rPr>
        <w:t>ror (201</w:t>
      </w:r>
      <w:r w:rsidR="000535E2" w:rsidRPr="00F76FE2">
        <w:rPr>
          <w:rFonts w:ascii="Cambria" w:eastAsia="Calibri" w:hAnsi="Cambria" w:cs="Times New Roman"/>
          <w:i/>
          <w:noProof/>
          <w:sz w:val="20"/>
          <w:szCs w:val="20"/>
        </w:rPr>
        <w:t>5</w:t>
      </w:r>
      <w:r w:rsidR="0046423B" w:rsidRPr="00F76FE2">
        <w:rPr>
          <w:rFonts w:ascii="Cambria" w:eastAsia="Calibri" w:hAnsi="Cambria" w:cs="Times New Roman"/>
          <w:i/>
          <w:noProof/>
          <w:sz w:val="20"/>
          <w:szCs w:val="20"/>
        </w:rPr>
        <w:t>-2019)</w:t>
      </w:r>
    </w:p>
    <w:p w:rsidR="004064CE" w:rsidRPr="00F76FE2" w:rsidRDefault="004064CE" w:rsidP="00B92540">
      <w:pPr>
        <w:tabs>
          <w:tab w:val="right" w:pos="9072"/>
        </w:tabs>
        <w:spacing w:after="0" w:line="276" w:lineRule="auto"/>
        <w:ind w:right="-188"/>
        <w:rPr>
          <w:rFonts w:ascii="Cambria" w:hAnsi="Cambria" w:cs="Times New Roman"/>
          <w:i/>
          <w:sz w:val="2"/>
          <w:szCs w:val="2"/>
        </w:rPr>
      </w:pPr>
      <w:r w:rsidRPr="00F76FE2">
        <w:rPr>
          <w:rFonts w:ascii="Cambria" w:hAnsi="Cambria" w:cs="Times New Roman"/>
          <w:i/>
          <w:sz w:val="20"/>
          <w:szCs w:val="20"/>
        </w:rPr>
        <w:tab/>
      </w:r>
    </w:p>
    <w:p w:rsidR="0046423B" w:rsidRPr="00F76FE2" w:rsidRDefault="0046423B" w:rsidP="00B92540">
      <w:pPr>
        <w:tabs>
          <w:tab w:val="left" w:pos="1182"/>
        </w:tabs>
        <w:spacing w:after="0" w:line="276" w:lineRule="auto"/>
        <w:ind w:right="-188"/>
        <w:jc w:val="center"/>
        <w:rPr>
          <w:rFonts w:ascii="Cambria" w:hAnsi="Cambria" w:cs="Times New Roman"/>
          <w:i/>
          <w:noProof/>
          <w:sz w:val="20"/>
          <w:szCs w:val="20"/>
        </w:rPr>
      </w:pPr>
      <w:r w:rsidRPr="00F76FE2">
        <w:rPr>
          <w:rFonts w:ascii="Cambria" w:hAnsi="Cambria" w:cs="Times New Roman"/>
          <w:b/>
          <w:noProof/>
          <w:sz w:val="20"/>
          <w:szCs w:val="20"/>
        </w:rPr>
        <w:t xml:space="preserve">Burimi: </w:t>
      </w:r>
      <w:r w:rsidRPr="00F76FE2">
        <w:rPr>
          <w:rFonts w:ascii="Cambria" w:hAnsi="Cambria" w:cs="Times New Roman"/>
          <w:i/>
          <w:noProof/>
          <w:sz w:val="20"/>
          <w:szCs w:val="20"/>
        </w:rPr>
        <w:t>Ministria e Financave dhe Ekonomisë (2020)</w:t>
      </w:r>
    </w:p>
    <w:p w:rsidR="002B0658" w:rsidRPr="00F76FE2" w:rsidRDefault="002B0658" w:rsidP="00B92540">
      <w:pPr>
        <w:tabs>
          <w:tab w:val="left" w:pos="1182"/>
        </w:tabs>
        <w:spacing w:after="0" w:line="276" w:lineRule="auto"/>
        <w:ind w:right="-188"/>
        <w:jc w:val="center"/>
        <w:rPr>
          <w:rFonts w:ascii="Cambria" w:hAnsi="Cambria" w:cs="Times New Roman"/>
          <w:i/>
          <w:noProof/>
          <w:sz w:val="20"/>
          <w:szCs w:val="20"/>
        </w:rPr>
      </w:pPr>
    </w:p>
    <w:p w:rsidR="002E67F6" w:rsidRPr="00F76FE2" w:rsidRDefault="000F63F8" w:rsidP="00BC5BC9">
      <w:pPr>
        <w:tabs>
          <w:tab w:val="left" w:pos="1182"/>
        </w:tabs>
        <w:spacing w:after="0" w:line="276" w:lineRule="auto"/>
        <w:ind w:right="-46"/>
        <w:jc w:val="both"/>
        <w:rPr>
          <w:rFonts w:ascii="Times New Roman" w:hAnsi="Times New Roman" w:cs="Times New Roman"/>
          <w:noProof/>
          <w:sz w:val="24"/>
          <w:szCs w:val="20"/>
        </w:rPr>
      </w:pPr>
      <w:r w:rsidRPr="00F76FE2">
        <w:rPr>
          <w:rFonts w:ascii="Times New Roman" w:hAnsi="Times New Roman" w:cs="Times New Roman"/>
          <w:noProof/>
          <w:sz w:val="24"/>
          <w:szCs w:val="20"/>
        </w:rPr>
        <w:t xml:space="preserve">Shpenzimet </w:t>
      </w:r>
      <w:r w:rsidR="002B0658" w:rsidRPr="00F76FE2">
        <w:rPr>
          <w:rFonts w:ascii="Times New Roman" w:hAnsi="Times New Roman" w:cs="Times New Roman"/>
          <w:noProof/>
          <w:sz w:val="24"/>
          <w:szCs w:val="20"/>
        </w:rPr>
        <w:t>p</w:t>
      </w:r>
      <w:r w:rsidR="002E67F6" w:rsidRPr="00F76FE2">
        <w:rPr>
          <w:rFonts w:ascii="Times New Roman" w:hAnsi="Times New Roman" w:cs="Times New Roman"/>
          <w:noProof/>
          <w:sz w:val="24"/>
          <w:szCs w:val="20"/>
        </w:rPr>
        <w:t>ë</w:t>
      </w:r>
      <w:r w:rsidR="002B0658" w:rsidRPr="00F76FE2">
        <w:rPr>
          <w:rFonts w:ascii="Times New Roman" w:hAnsi="Times New Roman" w:cs="Times New Roman"/>
          <w:noProof/>
          <w:sz w:val="24"/>
          <w:szCs w:val="20"/>
        </w:rPr>
        <w:t>r</w:t>
      </w:r>
      <w:r w:rsidRPr="00F76FE2">
        <w:rPr>
          <w:rFonts w:ascii="Times New Roman" w:hAnsi="Times New Roman" w:cs="Times New Roman"/>
          <w:noProof/>
          <w:sz w:val="24"/>
          <w:szCs w:val="20"/>
        </w:rPr>
        <w:t xml:space="preserve"> interesa gjat</w:t>
      </w:r>
      <w:r w:rsidR="002E67F6" w:rsidRPr="00F76FE2">
        <w:rPr>
          <w:rFonts w:ascii="Times New Roman" w:hAnsi="Times New Roman" w:cs="Times New Roman"/>
          <w:noProof/>
          <w:sz w:val="24"/>
          <w:szCs w:val="20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0"/>
        </w:rPr>
        <w:t xml:space="preserve"> vitit </w:t>
      </w:r>
      <w:r w:rsidR="002B0658" w:rsidRPr="00F76FE2">
        <w:rPr>
          <w:rFonts w:ascii="Times New Roman" w:hAnsi="Times New Roman" w:cs="Times New Roman"/>
          <w:noProof/>
          <w:sz w:val="24"/>
          <w:szCs w:val="20"/>
        </w:rPr>
        <w:t>2019 vler</w:t>
      </w:r>
      <w:r w:rsidR="002E67F6" w:rsidRPr="00F76FE2">
        <w:rPr>
          <w:rFonts w:ascii="Times New Roman" w:hAnsi="Times New Roman" w:cs="Times New Roman"/>
          <w:noProof/>
          <w:sz w:val="24"/>
          <w:szCs w:val="20"/>
        </w:rPr>
        <w:t>ë</w:t>
      </w:r>
      <w:r w:rsidR="002B0658" w:rsidRPr="00F76FE2">
        <w:rPr>
          <w:rFonts w:ascii="Times New Roman" w:hAnsi="Times New Roman" w:cs="Times New Roman"/>
          <w:noProof/>
          <w:sz w:val="24"/>
          <w:szCs w:val="20"/>
        </w:rPr>
        <w:t>sohe</w:t>
      </w:r>
      <w:r w:rsidRPr="00F76FE2">
        <w:rPr>
          <w:rFonts w:ascii="Times New Roman" w:hAnsi="Times New Roman" w:cs="Times New Roman"/>
          <w:noProof/>
          <w:sz w:val="24"/>
          <w:szCs w:val="20"/>
        </w:rPr>
        <w:t>n</w:t>
      </w:r>
      <w:r w:rsidR="002B0658" w:rsidRPr="00F76FE2">
        <w:rPr>
          <w:rFonts w:ascii="Times New Roman" w:hAnsi="Times New Roman" w:cs="Times New Roman"/>
          <w:noProof/>
          <w:sz w:val="24"/>
          <w:szCs w:val="20"/>
        </w:rPr>
        <w:t xml:space="preserve"> rreth 1.4 miliard Lek</w:t>
      </w:r>
      <w:r w:rsidR="002E67F6" w:rsidRPr="00F76FE2">
        <w:rPr>
          <w:rFonts w:ascii="Times New Roman" w:hAnsi="Times New Roman" w:cs="Times New Roman"/>
          <w:noProof/>
          <w:sz w:val="24"/>
          <w:szCs w:val="20"/>
        </w:rPr>
        <w:t>ë</w:t>
      </w:r>
      <w:r w:rsidR="002B0658" w:rsidRPr="00F76FE2">
        <w:rPr>
          <w:rFonts w:ascii="Times New Roman" w:hAnsi="Times New Roman" w:cs="Times New Roman"/>
          <w:noProof/>
          <w:sz w:val="24"/>
          <w:szCs w:val="20"/>
        </w:rPr>
        <w:t xml:space="preserve"> m</w:t>
      </w:r>
      <w:r w:rsidR="002E67F6" w:rsidRPr="00F76FE2">
        <w:rPr>
          <w:rFonts w:ascii="Times New Roman" w:hAnsi="Times New Roman" w:cs="Times New Roman"/>
          <w:noProof/>
          <w:sz w:val="24"/>
          <w:szCs w:val="20"/>
        </w:rPr>
        <w:t>ë</w:t>
      </w:r>
      <w:r w:rsidR="002B0658" w:rsidRPr="00F76FE2">
        <w:rPr>
          <w:rFonts w:ascii="Times New Roman" w:hAnsi="Times New Roman" w:cs="Times New Roman"/>
          <w:noProof/>
          <w:sz w:val="24"/>
          <w:szCs w:val="20"/>
        </w:rPr>
        <w:t xml:space="preserve"> </w:t>
      </w:r>
      <w:r w:rsidRPr="00F76FE2">
        <w:rPr>
          <w:rFonts w:ascii="Times New Roman" w:hAnsi="Times New Roman" w:cs="Times New Roman"/>
          <w:noProof/>
          <w:sz w:val="24"/>
          <w:szCs w:val="20"/>
        </w:rPr>
        <w:t>t</w:t>
      </w:r>
      <w:r w:rsidR="002E67F6" w:rsidRPr="00F76FE2">
        <w:rPr>
          <w:rFonts w:ascii="Times New Roman" w:hAnsi="Times New Roman" w:cs="Times New Roman"/>
          <w:noProof/>
          <w:sz w:val="24"/>
          <w:szCs w:val="20"/>
        </w:rPr>
        <w:t>ë</w:t>
      </w:r>
      <w:r w:rsidR="002B0658" w:rsidRPr="00F76FE2">
        <w:rPr>
          <w:rFonts w:ascii="Times New Roman" w:hAnsi="Times New Roman" w:cs="Times New Roman"/>
          <w:noProof/>
          <w:sz w:val="24"/>
          <w:szCs w:val="20"/>
        </w:rPr>
        <w:t xml:space="preserve"> ul</w:t>
      </w:r>
      <w:r w:rsidR="002E67F6" w:rsidRPr="00F76FE2">
        <w:rPr>
          <w:rFonts w:ascii="Times New Roman" w:hAnsi="Times New Roman" w:cs="Times New Roman"/>
          <w:noProof/>
          <w:sz w:val="24"/>
          <w:szCs w:val="20"/>
        </w:rPr>
        <w:t>ë</w:t>
      </w:r>
      <w:r w:rsidR="002B0658" w:rsidRPr="00F76FE2">
        <w:rPr>
          <w:rFonts w:ascii="Times New Roman" w:hAnsi="Times New Roman" w:cs="Times New Roman"/>
          <w:noProof/>
          <w:sz w:val="24"/>
          <w:szCs w:val="20"/>
        </w:rPr>
        <w:t>t</w:t>
      </w:r>
      <w:r w:rsidRPr="00F76FE2">
        <w:rPr>
          <w:rFonts w:ascii="Times New Roman" w:hAnsi="Times New Roman" w:cs="Times New Roman"/>
          <w:noProof/>
          <w:sz w:val="24"/>
          <w:szCs w:val="20"/>
        </w:rPr>
        <w:t>a</w:t>
      </w:r>
      <w:r w:rsidR="002B0658" w:rsidRPr="00F76FE2">
        <w:rPr>
          <w:rFonts w:ascii="Times New Roman" w:hAnsi="Times New Roman" w:cs="Times New Roman"/>
          <w:noProof/>
          <w:sz w:val="24"/>
          <w:szCs w:val="20"/>
        </w:rPr>
        <w:t xml:space="preserve"> s</w:t>
      </w:r>
      <w:r w:rsidR="002E67F6" w:rsidRPr="00F76FE2">
        <w:rPr>
          <w:rFonts w:ascii="Times New Roman" w:hAnsi="Times New Roman" w:cs="Times New Roman"/>
          <w:noProof/>
          <w:sz w:val="24"/>
          <w:szCs w:val="20"/>
        </w:rPr>
        <w:t>ë</w:t>
      </w:r>
      <w:r w:rsidR="002B0658" w:rsidRPr="00F76FE2">
        <w:rPr>
          <w:rFonts w:ascii="Times New Roman" w:hAnsi="Times New Roman" w:cs="Times New Roman"/>
          <w:noProof/>
          <w:sz w:val="24"/>
          <w:szCs w:val="20"/>
        </w:rPr>
        <w:t xml:space="preserve"> </w:t>
      </w:r>
      <w:r w:rsidRPr="00F76FE2">
        <w:rPr>
          <w:rFonts w:ascii="Times New Roman" w:hAnsi="Times New Roman" w:cs="Times New Roman"/>
          <w:noProof/>
          <w:sz w:val="24"/>
          <w:szCs w:val="20"/>
        </w:rPr>
        <w:t>shpenzimet p</w:t>
      </w:r>
      <w:r w:rsidR="002E67F6" w:rsidRPr="00F76FE2">
        <w:rPr>
          <w:rFonts w:ascii="Times New Roman" w:hAnsi="Times New Roman" w:cs="Times New Roman"/>
          <w:noProof/>
          <w:sz w:val="24"/>
          <w:szCs w:val="20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0"/>
        </w:rPr>
        <w:t>r interesa t</w:t>
      </w:r>
      <w:r w:rsidR="002E67F6" w:rsidRPr="00F76FE2">
        <w:rPr>
          <w:rFonts w:ascii="Times New Roman" w:hAnsi="Times New Roman" w:cs="Times New Roman"/>
          <w:noProof/>
          <w:sz w:val="24"/>
          <w:szCs w:val="20"/>
        </w:rPr>
        <w:t>ë</w:t>
      </w:r>
      <w:r w:rsidR="002B0658" w:rsidRPr="00F76FE2">
        <w:rPr>
          <w:rFonts w:ascii="Times New Roman" w:hAnsi="Times New Roman" w:cs="Times New Roman"/>
          <w:noProof/>
          <w:sz w:val="24"/>
          <w:szCs w:val="20"/>
        </w:rPr>
        <w:t xml:space="preserve"> vitit t</w:t>
      </w:r>
      <w:r w:rsidR="002E67F6" w:rsidRPr="00F76FE2">
        <w:rPr>
          <w:rFonts w:ascii="Times New Roman" w:hAnsi="Times New Roman" w:cs="Times New Roman"/>
          <w:noProof/>
          <w:sz w:val="24"/>
          <w:szCs w:val="20"/>
        </w:rPr>
        <w:t>ë</w:t>
      </w:r>
      <w:r w:rsidR="002B0658" w:rsidRPr="00F76FE2">
        <w:rPr>
          <w:rFonts w:ascii="Times New Roman" w:hAnsi="Times New Roman" w:cs="Times New Roman"/>
          <w:noProof/>
          <w:sz w:val="24"/>
          <w:szCs w:val="20"/>
        </w:rPr>
        <w:t xml:space="preserve"> kaluar</w:t>
      </w:r>
      <w:r w:rsidR="00A0454E" w:rsidRPr="00F76FE2">
        <w:rPr>
          <w:rFonts w:ascii="Times New Roman" w:hAnsi="Times New Roman" w:cs="Times New Roman"/>
          <w:noProof/>
          <w:sz w:val="24"/>
          <w:szCs w:val="20"/>
        </w:rPr>
        <w:t xml:space="preserve">. Rreth 40% e </w:t>
      </w:r>
      <w:r w:rsidRPr="00F76FE2">
        <w:rPr>
          <w:rFonts w:ascii="Times New Roman" w:hAnsi="Times New Roman" w:cs="Times New Roman"/>
          <w:noProof/>
          <w:sz w:val="24"/>
          <w:szCs w:val="20"/>
        </w:rPr>
        <w:t>k</w:t>
      </w:r>
      <w:r w:rsidR="002E67F6" w:rsidRPr="00F76FE2">
        <w:rPr>
          <w:rFonts w:ascii="Times New Roman" w:hAnsi="Times New Roman" w:cs="Times New Roman"/>
          <w:noProof/>
          <w:sz w:val="24"/>
          <w:szCs w:val="20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0"/>
        </w:rPr>
        <w:t xml:space="preserve">saj ulje i </w:t>
      </w:r>
      <w:r w:rsidR="00A0454E" w:rsidRPr="00F76FE2">
        <w:rPr>
          <w:rFonts w:ascii="Times New Roman" w:hAnsi="Times New Roman" w:cs="Times New Roman"/>
          <w:noProof/>
          <w:sz w:val="24"/>
          <w:szCs w:val="20"/>
        </w:rPr>
        <w:t>atribuohet emetimit t</w:t>
      </w:r>
      <w:r w:rsidR="002E67F6" w:rsidRPr="00F76FE2">
        <w:rPr>
          <w:rFonts w:ascii="Times New Roman" w:hAnsi="Times New Roman" w:cs="Times New Roman"/>
          <w:noProof/>
          <w:sz w:val="24"/>
          <w:szCs w:val="20"/>
        </w:rPr>
        <w:t>ë</w:t>
      </w:r>
      <w:r w:rsidR="00A0454E" w:rsidRPr="00F76FE2">
        <w:rPr>
          <w:rFonts w:ascii="Times New Roman" w:hAnsi="Times New Roman" w:cs="Times New Roman"/>
          <w:noProof/>
          <w:sz w:val="24"/>
          <w:szCs w:val="20"/>
        </w:rPr>
        <w:t xml:space="preserve"> Eurobond-it dhe procesit t</w:t>
      </w:r>
      <w:r w:rsidR="002E67F6" w:rsidRPr="00F76FE2">
        <w:rPr>
          <w:rFonts w:ascii="Times New Roman" w:hAnsi="Times New Roman" w:cs="Times New Roman"/>
          <w:noProof/>
          <w:sz w:val="24"/>
          <w:szCs w:val="20"/>
        </w:rPr>
        <w:t>ë</w:t>
      </w:r>
      <w:r w:rsidR="00A0454E" w:rsidRPr="00F76FE2">
        <w:rPr>
          <w:rFonts w:ascii="Times New Roman" w:hAnsi="Times New Roman" w:cs="Times New Roman"/>
          <w:noProof/>
          <w:sz w:val="24"/>
          <w:szCs w:val="20"/>
        </w:rPr>
        <w:t xml:space="preserve"> parablerjes s</w:t>
      </w:r>
      <w:r w:rsidR="002E67F6" w:rsidRPr="00F76FE2">
        <w:rPr>
          <w:rFonts w:ascii="Times New Roman" w:hAnsi="Times New Roman" w:cs="Times New Roman"/>
          <w:noProof/>
          <w:sz w:val="24"/>
          <w:szCs w:val="20"/>
        </w:rPr>
        <w:t>ë</w:t>
      </w:r>
      <w:r w:rsidR="00A0454E" w:rsidRPr="00F76FE2">
        <w:rPr>
          <w:rFonts w:ascii="Times New Roman" w:hAnsi="Times New Roman" w:cs="Times New Roman"/>
          <w:noProof/>
          <w:sz w:val="24"/>
          <w:szCs w:val="20"/>
        </w:rPr>
        <w:t xml:space="preserve"> pjesshme</w:t>
      </w:r>
      <w:r w:rsidRPr="00F76FE2">
        <w:rPr>
          <w:rFonts w:ascii="Times New Roman" w:hAnsi="Times New Roman" w:cs="Times New Roman"/>
          <w:noProof/>
          <w:sz w:val="24"/>
          <w:szCs w:val="20"/>
        </w:rPr>
        <w:t xml:space="preserve"> gjat</w:t>
      </w:r>
      <w:r w:rsidR="002E67F6" w:rsidRPr="00F76FE2">
        <w:rPr>
          <w:rFonts w:ascii="Times New Roman" w:hAnsi="Times New Roman" w:cs="Times New Roman"/>
          <w:noProof/>
          <w:sz w:val="24"/>
          <w:szCs w:val="20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0"/>
        </w:rPr>
        <w:t xml:space="preserve"> vitit 2018. Nd</w:t>
      </w:r>
      <w:r w:rsidR="002E67F6" w:rsidRPr="00F76FE2">
        <w:rPr>
          <w:rFonts w:ascii="Times New Roman" w:hAnsi="Times New Roman" w:cs="Times New Roman"/>
          <w:noProof/>
          <w:sz w:val="24"/>
          <w:szCs w:val="20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0"/>
        </w:rPr>
        <w:t>rkoh</w:t>
      </w:r>
      <w:r w:rsidR="002E67F6" w:rsidRPr="00F76FE2">
        <w:rPr>
          <w:rFonts w:ascii="Times New Roman" w:hAnsi="Times New Roman" w:cs="Times New Roman"/>
          <w:noProof/>
          <w:sz w:val="24"/>
          <w:szCs w:val="20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0"/>
        </w:rPr>
        <w:t>, pjesa tjet</w:t>
      </w:r>
      <w:r w:rsidR="002E67F6" w:rsidRPr="00F76FE2">
        <w:rPr>
          <w:rFonts w:ascii="Times New Roman" w:hAnsi="Times New Roman" w:cs="Times New Roman"/>
          <w:noProof/>
          <w:sz w:val="24"/>
          <w:szCs w:val="20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0"/>
        </w:rPr>
        <w:t>r i atribouhet r</w:t>
      </w:r>
      <w:r w:rsidR="002E67F6" w:rsidRPr="00F76FE2">
        <w:rPr>
          <w:rFonts w:ascii="Times New Roman" w:hAnsi="Times New Roman" w:cs="Times New Roman"/>
          <w:noProof/>
          <w:sz w:val="24"/>
          <w:szCs w:val="20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0"/>
        </w:rPr>
        <w:t>nies s</w:t>
      </w:r>
      <w:r w:rsidR="002E67F6" w:rsidRPr="00F76FE2">
        <w:rPr>
          <w:rFonts w:ascii="Times New Roman" w:hAnsi="Times New Roman" w:cs="Times New Roman"/>
          <w:noProof/>
          <w:sz w:val="24"/>
          <w:szCs w:val="20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0"/>
        </w:rPr>
        <w:t xml:space="preserve"> normave t</w:t>
      </w:r>
      <w:r w:rsidR="002E67F6" w:rsidRPr="00F76FE2">
        <w:rPr>
          <w:rFonts w:ascii="Times New Roman" w:hAnsi="Times New Roman" w:cs="Times New Roman"/>
          <w:noProof/>
          <w:sz w:val="24"/>
          <w:szCs w:val="20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0"/>
        </w:rPr>
        <w:t xml:space="preserve"> interesit n</w:t>
      </w:r>
      <w:r w:rsidR="002E67F6" w:rsidRPr="00F76FE2">
        <w:rPr>
          <w:rFonts w:ascii="Times New Roman" w:hAnsi="Times New Roman" w:cs="Times New Roman"/>
          <w:noProof/>
          <w:sz w:val="24"/>
          <w:szCs w:val="20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0"/>
        </w:rPr>
        <w:t xml:space="preserve"> tregun e brendsh</w:t>
      </w:r>
      <w:r w:rsidR="002E67F6" w:rsidRPr="00F76FE2">
        <w:rPr>
          <w:rFonts w:ascii="Times New Roman" w:hAnsi="Times New Roman" w:cs="Times New Roman"/>
          <w:noProof/>
          <w:sz w:val="24"/>
          <w:szCs w:val="20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0"/>
        </w:rPr>
        <w:t>m dhe at</w:t>
      </w:r>
      <w:r w:rsidR="002E67F6" w:rsidRPr="00F76FE2">
        <w:rPr>
          <w:rFonts w:ascii="Times New Roman" w:hAnsi="Times New Roman" w:cs="Times New Roman"/>
          <w:noProof/>
          <w:sz w:val="24"/>
          <w:szCs w:val="20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0"/>
        </w:rPr>
        <w:t xml:space="preserve"> t</w:t>
      </w:r>
      <w:r w:rsidR="002E67F6" w:rsidRPr="00F76FE2">
        <w:rPr>
          <w:rFonts w:ascii="Times New Roman" w:hAnsi="Times New Roman" w:cs="Times New Roman"/>
          <w:noProof/>
          <w:sz w:val="24"/>
          <w:szCs w:val="20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0"/>
        </w:rPr>
        <w:t xml:space="preserve"> huaj. </w:t>
      </w:r>
    </w:p>
    <w:p w:rsidR="002E67F6" w:rsidRPr="00F76FE2" w:rsidRDefault="002E67F6" w:rsidP="00B92540">
      <w:pPr>
        <w:tabs>
          <w:tab w:val="left" w:pos="1182"/>
        </w:tabs>
        <w:spacing w:after="0" w:line="276" w:lineRule="auto"/>
        <w:ind w:right="-188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2E67F6" w:rsidRPr="00F76FE2" w:rsidRDefault="002E67F6" w:rsidP="00B92540">
      <w:pPr>
        <w:tabs>
          <w:tab w:val="left" w:pos="1182"/>
        </w:tabs>
        <w:spacing w:after="0" w:line="276" w:lineRule="auto"/>
        <w:ind w:right="-188"/>
        <w:jc w:val="center"/>
        <w:rPr>
          <w:rFonts w:ascii="Cambria" w:hAnsi="Cambria" w:cs="Times New Roman"/>
          <w:noProof/>
          <w:sz w:val="24"/>
          <w:szCs w:val="20"/>
        </w:rPr>
      </w:pPr>
      <w:r w:rsidRPr="00F76FE2">
        <w:rPr>
          <w:rFonts w:ascii="Cambria" w:hAnsi="Cambria"/>
          <w:b/>
          <w:bCs/>
          <w:sz w:val="20"/>
          <w:szCs w:val="20"/>
        </w:rPr>
        <w:t xml:space="preserve">Paraqitje Grafike 5.1 (b): </w:t>
      </w:r>
      <w:r w:rsidRPr="00F76FE2">
        <w:rPr>
          <w:rFonts w:ascii="Cambria" w:hAnsi="Cambria"/>
          <w:i/>
          <w:iCs/>
          <w:sz w:val="20"/>
          <w:szCs w:val="20"/>
        </w:rPr>
        <w:t>Shpenzimet për interesa të borxhit shtetëror (2015–2019)</w:t>
      </w:r>
    </w:p>
    <w:p w:rsidR="002B0658" w:rsidRPr="00F76FE2" w:rsidRDefault="002E67F6" w:rsidP="00BC5BC9">
      <w:pPr>
        <w:tabs>
          <w:tab w:val="left" w:pos="1182"/>
        </w:tabs>
        <w:spacing w:after="0" w:line="276" w:lineRule="auto"/>
        <w:ind w:right="-188"/>
        <w:rPr>
          <w:rFonts w:ascii="Times New Roman" w:hAnsi="Times New Roman" w:cs="Times New Roman"/>
          <w:noProof/>
          <w:sz w:val="24"/>
          <w:szCs w:val="20"/>
        </w:rPr>
      </w:pPr>
      <w:r w:rsidRPr="00F76FE2">
        <w:rPr>
          <w:noProof/>
          <w:lang w:val="en-US"/>
        </w:rPr>
        <w:drawing>
          <wp:inline distT="0" distB="0" distL="0" distR="0" wp14:anchorId="2F2E7443" wp14:editId="17313764">
            <wp:extent cx="5761990" cy="2009775"/>
            <wp:effectExtent l="0" t="0" r="10160" b="9525"/>
            <wp:docPr id="69" name="Chart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="000F63F8" w:rsidRPr="00F76FE2">
        <w:rPr>
          <w:rFonts w:ascii="Times New Roman" w:hAnsi="Times New Roman" w:cs="Times New Roman"/>
          <w:noProof/>
          <w:sz w:val="24"/>
          <w:szCs w:val="20"/>
        </w:rPr>
        <w:t xml:space="preserve"> </w:t>
      </w:r>
    </w:p>
    <w:p w:rsidR="002E67F6" w:rsidRPr="00F76FE2" w:rsidRDefault="002E67F6" w:rsidP="00B92540">
      <w:pPr>
        <w:tabs>
          <w:tab w:val="left" w:pos="1182"/>
        </w:tabs>
        <w:spacing w:after="0" w:line="276" w:lineRule="auto"/>
        <w:ind w:right="-188"/>
        <w:jc w:val="center"/>
        <w:rPr>
          <w:rFonts w:ascii="Cambria" w:hAnsi="Cambria" w:cs="Times New Roman"/>
          <w:i/>
          <w:noProof/>
          <w:sz w:val="20"/>
          <w:szCs w:val="20"/>
        </w:rPr>
      </w:pPr>
      <w:r w:rsidRPr="00F76FE2">
        <w:rPr>
          <w:rFonts w:ascii="Cambria" w:hAnsi="Cambria" w:cs="Times New Roman"/>
          <w:b/>
          <w:noProof/>
          <w:sz w:val="20"/>
          <w:szCs w:val="20"/>
        </w:rPr>
        <w:t xml:space="preserve">Burimi: </w:t>
      </w:r>
      <w:r w:rsidRPr="00F76FE2">
        <w:rPr>
          <w:rFonts w:ascii="Cambria" w:hAnsi="Cambria" w:cs="Times New Roman"/>
          <w:i/>
          <w:noProof/>
          <w:sz w:val="20"/>
          <w:szCs w:val="20"/>
        </w:rPr>
        <w:t>Ministria e Financave dhe Ekonomisë (2020)</w:t>
      </w:r>
    </w:p>
    <w:p w:rsidR="004064CE" w:rsidRPr="00F76FE2" w:rsidRDefault="004064CE" w:rsidP="00B92540">
      <w:pPr>
        <w:tabs>
          <w:tab w:val="right" w:pos="9072"/>
        </w:tabs>
        <w:spacing w:after="0" w:line="276" w:lineRule="auto"/>
        <w:ind w:right="-188"/>
        <w:rPr>
          <w:rFonts w:ascii="Cambria" w:hAnsi="Cambria" w:cs="Times New Roman"/>
          <w:i/>
          <w:sz w:val="20"/>
          <w:szCs w:val="20"/>
        </w:rPr>
      </w:pPr>
    </w:p>
    <w:p w:rsidR="007E2B91" w:rsidRPr="00F76FE2" w:rsidRDefault="00BF162C" w:rsidP="00B92540">
      <w:pPr>
        <w:pStyle w:val="Heading2"/>
        <w:numPr>
          <w:ilvl w:val="1"/>
          <w:numId w:val="5"/>
        </w:numPr>
        <w:spacing w:before="0" w:after="240" w:line="276" w:lineRule="auto"/>
        <w:ind w:left="0" w:right="-188" w:firstLine="0"/>
        <w:jc w:val="both"/>
        <w:rPr>
          <w:rFonts w:ascii="Cambria" w:hAnsi="Cambria"/>
        </w:rPr>
      </w:pPr>
      <w:bookmarkStart w:id="14" w:name="_Toc34645069"/>
      <w:r w:rsidRPr="00F76FE2">
        <w:rPr>
          <w:rFonts w:ascii="Cambria" w:hAnsi="Cambria"/>
        </w:rPr>
        <w:t>Risqet</w:t>
      </w:r>
      <w:bookmarkEnd w:id="14"/>
    </w:p>
    <w:p w:rsidR="001A276F" w:rsidRPr="00F76FE2" w:rsidRDefault="001A276F" w:rsidP="00BC5BC9">
      <w:pPr>
        <w:pStyle w:val="ListParagraph"/>
        <w:autoSpaceDE w:val="0"/>
        <w:autoSpaceDN w:val="0"/>
        <w:adjustRightInd w:val="0"/>
        <w:spacing w:after="0" w:line="276" w:lineRule="auto"/>
        <w:ind w:left="0" w:right="-46"/>
        <w:jc w:val="both"/>
        <w:rPr>
          <w:rFonts w:ascii="Times New Roman" w:hAnsi="Times New Roman" w:cs="Times New Roman"/>
          <w:noProof/>
          <w:color w:val="000000"/>
          <w:sz w:val="24"/>
          <w:szCs w:val="23"/>
        </w:rPr>
      </w:pPr>
      <w:r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>Gjatë vitit 201</w:t>
      </w:r>
      <w:r w:rsidR="00AF4396"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>9</w:t>
      </w:r>
      <w:r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 xml:space="preserve"> ekspozimi i portofolit të borxhit ndaj risqeve është arritur të menaxhohet në linjë me objektivat strategjike afatmesme. Ulja e peshës së titujve afatshkurtër dhe atyre me norma interesi të ndryshueshme në portofolin e borxhit të brendshëm ka</w:t>
      </w:r>
      <w:r w:rsidR="00AF4396"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>n</w:t>
      </w:r>
      <w:r w:rsidR="00513848"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>ë</w:t>
      </w:r>
      <w:r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 xml:space="preserve"> qenë faktor</w:t>
      </w:r>
      <w:r w:rsidR="00513848"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>ë</w:t>
      </w:r>
      <w:r w:rsidR="00AF4396"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>t</w:t>
      </w:r>
      <w:r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 xml:space="preserve"> mbizotërues në </w:t>
      </w:r>
      <w:r w:rsidR="00AF4396"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>optimizimin e</w:t>
      </w:r>
      <w:r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 xml:space="preserve"> riskut të rifinancimit dhe</w:t>
      </w:r>
      <w:r w:rsidR="00AF4396"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 xml:space="preserve"> riskut të normave të interesit. </w:t>
      </w:r>
      <w:r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 xml:space="preserve"> Ndërkohë, qëndrimi pothuajse në të njëjtin nivel i borxhit në valutë ka bërë që risku i kursit të këmbimit të mbahet nën kontroll. </w:t>
      </w:r>
    </w:p>
    <w:p w:rsidR="001A276F" w:rsidRPr="00F76FE2" w:rsidRDefault="007D1FD9" w:rsidP="00BC5BC9">
      <w:pPr>
        <w:pStyle w:val="ListParagraph"/>
        <w:spacing w:after="0" w:line="276" w:lineRule="auto"/>
        <w:ind w:left="0" w:right="-46"/>
        <w:jc w:val="both"/>
        <w:rPr>
          <w:rFonts w:ascii="Times New Roman" w:hAnsi="Times New Roman" w:cs="Times New Roman"/>
          <w:noProof/>
          <w:color w:val="000000"/>
          <w:sz w:val="24"/>
          <w:szCs w:val="23"/>
        </w:rPr>
      </w:pPr>
      <w:r w:rsidRPr="00F76FE2">
        <w:rPr>
          <w:rFonts w:ascii="Times New Roman" w:hAnsi="Times New Roman" w:cs="Times New Roman"/>
          <w:noProof/>
          <w:color w:val="000000"/>
          <w:sz w:val="24"/>
          <w:szCs w:val="23"/>
          <w:lang w:val="en-US"/>
        </w:rPr>
        <w:t xml:space="preserve">Risku i rifinancimit është përmirësuar pasi jetëgjatësia e borxhit të brendshëm ka ardhur duke u rritur, ndërkohë që edhe vlera e instrumenteve që maturohen në harkun kohor të një viti është ulur </w:t>
      </w:r>
      <w:r w:rsidR="001A276F"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 xml:space="preserve">nga </w:t>
      </w:r>
      <w:r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>49.4</w:t>
      </w:r>
      <w:r w:rsidR="001A276F"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 xml:space="preserve"> në dhjetor 201</w:t>
      </w:r>
      <w:r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>8</w:t>
      </w:r>
      <w:r w:rsidR="001A276F"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 xml:space="preserve"> në 4</w:t>
      </w:r>
      <w:r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>7</w:t>
      </w:r>
      <w:r w:rsidR="001A276F"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>.</w:t>
      </w:r>
      <w:r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>7</w:t>
      </w:r>
      <w:r w:rsidR="001A276F"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>% në dhjetor 201</w:t>
      </w:r>
      <w:r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>9</w:t>
      </w:r>
      <w:r w:rsidR="001A276F" w:rsidRPr="00F76FE2">
        <w:rPr>
          <w:rFonts w:ascii="Times New Roman" w:hAnsi="Times New Roman" w:cs="Times New Roman"/>
          <w:noProof/>
          <w:color w:val="000000"/>
          <w:sz w:val="24"/>
          <w:szCs w:val="23"/>
        </w:rPr>
        <w:t>.</w:t>
      </w:r>
    </w:p>
    <w:p w:rsidR="001E6298" w:rsidRPr="00F76FE2" w:rsidRDefault="001E6298" w:rsidP="00BC5BC9">
      <w:pPr>
        <w:pStyle w:val="ListParagraph"/>
        <w:spacing w:after="0" w:line="276" w:lineRule="auto"/>
        <w:ind w:left="0" w:right="-46"/>
        <w:jc w:val="both"/>
        <w:rPr>
          <w:rFonts w:ascii="Times New Roman" w:hAnsi="Times New Roman" w:cs="Times New Roman"/>
          <w:noProof/>
          <w:color w:val="000000"/>
          <w:sz w:val="24"/>
          <w:szCs w:val="23"/>
        </w:rPr>
      </w:pPr>
    </w:p>
    <w:p w:rsidR="008F2F19" w:rsidRPr="00F76FE2" w:rsidRDefault="008F2F19" w:rsidP="00BC5BC9">
      <w:pPr>
        <w:pStyle w:val="ListParagraph"/>
        <w:spacing w:after="0" w:line="276" w:lineRule="auto"/>
        <w:ind w:left="0" w:right="-46"/>
        <w:jc w:val="both"/>
        <w:rPr>
          <w:rFonts w:ascii="Times New Roman" w:hAnsi="Times New Roman" w:cs="Times New Roman"/>
          <w:noProof/>
          <w:sz w:val="28"/>
          <w:szCs w:val="24"/>
        </w:rPr>
      </w:pPr>
    </w:p>
    <w:p w:rsidR="001A276F" w:rsidRPr="00F76FE2" w:rsidRDefault="00AA7380" w:rsidP="00AA7380">
      <w:pPr>
        <w:spacing w:after="0" w:line="276" w:lineRule="auto"/>
        <w:ind w:right="-187"/>
        <w:jc w:val="center"/>
        <w:rPr>
          <w:rFonts w:ascii="Cambria" w:hAnsi="Cambria" w:cs="Times New Roman"/>
          <w:sz w:val="24"/>
          <w:szCs w:val="24"/>
        </w:rPr>
      </w:pPr>
      <w:r w:rsidRPr="00F76FE2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E408219" wp14:editId="6167EAE1">
                <wp:simplePos x="0" y="0"/>
                <wp:positionH relativeFrom="margin">
                  <wp:align>left</wp:align>
                </wp:positionH>
                <wp:positionV relativeFrom="paragraph">
                  <wp:posOffset>151934</wp:posOffset>
                </wp:positionV>
                <wp:extent cx="5719313" cy="2595724"/>
                <wp:effectExtent l="0" t="0" r="15240" b="14605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313" cy="259572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375B62" id="Rectangle 74" o:spid="_x0000_s1026" style="position:absolute;margin-left:0;margin-top:11.95pt;width:450.35pt;height:204.4pt;z-index:251854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" filled="f" strokecolor="#bfbfbf [2412]" strokeweight=".5pt">
                <w10:wrap anchorx="margin"/>
              </v:rect>
            </w:pict>
          </mc:Fallback>
        </mc:AlternateContent>
      </w:r>
      <w:r w:rsidRPr="00F76FE2">
        <w:rPr>
          <w:rFonts w:ascii="Cambria" w:hAnsi="Cambria"/>
          <w:b/>
          <w:bCs/>
          <w:sz w:val="20"/>
          <w:szCs w:val="20"/>
        </w:rPr>
        <w:t xml:space="preserve">Paraqitje Grafike 5.2 (a): </w:t>
      </w:r>
      <w:r w:rsidRPr="00F76FE2">
        <w:rPr>
          <w:rFonts w:ascii="Cambria" w:hAnsi="Cambria"/>
          <w:i/>
          <w:iCs/>
          <w:sz w:val="20"/>
          <w:szCs w:val="20"/>
        </w:rPr>
        <w:t>Ecuria e treguesve të riskut të rifinancimit (2014–201</w:t>
      </w:r>
      <w:r w:rsidR="005C400D" w:rsidRPr="00F76FE2">
        <w:rPr>
          <w:rFonts w:ascii="Cambria" w:hAnsi="Cambria"/>
          <w:i/>
          <w:iCs/>
          <w:sz w:val="20"/>
          <w:szCs w:val="20"/>
        </w:rPr>
        <w:t>9</w:t>
      </w:r>
      <w:r w:rsidRPr="00F76FE2">
        <w:rPr>
          <w:rFonts w:ascii="Cambria" w:hAnsi="Cambria"/>
          <w:i/>
          <w:iCs/>
          <w:sz w:val="20"/>
          <w:szCs w:val="20"/>
        </w:rPr>
        <w:t>)</w:t>
      </w:r>
    </w:p>
    <w:p w:rsidR="00B92540" w:rsidRPr="00F76FE2" w:rsidRDefault="001E6298" w:rsidP="00C05F68">
      <w:pPr>
        <w:spacing w:after="0" w:line="240" w:lineRule="auto"/>
        <w:jc w:val="center"/>
        <w:rPr>
          <w:rFonts w:ascii="Cambria" w:hAnsi="Cambria" w:cs="Times New Roman"/>
          <w:i/>
          <w:noProof/>
          <w:sz w:val="20"/>
          <w:szCs w:val="20"/>
        </w:rPr>
      </w:pPr>
      <w:r w:rsidRPr="00F76FE2">
        <w:rPr>
          <w:noProof/>
          <w:lang w:val="en-US"/>
        </w:rPr>
        <w:drawing>
          <wp:inline distT="0" distB="0" distL="0" distR="0" wp14:anchorId="76C5D02C" wp14:editId="403BC02A">
            <wp:extent cx="2854960" cy="2586571"/>
            <wp:effectExtent l="0" t="0" r="2540" b="4445"/>
            <wp:docPr id="71" name="Chart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="003D2F3C" w:rsidRPr="00F76FE2">
        <w:rPr>
          <w:noProof/>
          <w:lang w:val="en-US"/>
        </w:rPr>
        <w:drawing>
          <wp:inline distT="0" distB="0" distL="0" distR="0" wp14:anchorId="6EEA0113" wp14:editId="6B5ECF32">
            <wp:extent cx="2829465" cy="2578100"/>
            <wp:effectExtent l="0" t="0" r="0" b="0"/>
            <wp:docPr id="77" name="Chart 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="004629A2" w:rsidRPr="00F76FE2">
        <w:rPr>
          <w:rFonts w:ascii="Cambria" w:hAnsi="Cambria" w:cs="Times New Roman"/>
          <w:b/>
          <w:noProof/>
          <w:sz w:val="20"/>
          <w:szCs w:val="20"/>
        </w:rPr>
        <w:t xml:space="preserve">Burimi: </w:t>
      </w:r>
      <w:r w:rsidR="004629A2" w:rsidRPr="00F76FE2">
        <w:rPr>
          <w:rFonts w:ascii="Cambria" w:hAnsi="Cambria" w:cs="Times New Roman"/>
          <w:i/>
          <w:noProof/>
          <w:sz w:val="20"/>
          <w:szCs w:val="20"/>
        </w:rPr>
        <w:t>Ministria e Financave dhe Ekonomisë (2020)</w:t>
      </w:r>
    </w:p>
    <w:p w:rsidR="00C05F68" w:rsidRPr="00F76FE2" w:rsidRDefault="00C05F68" w:rsidP="00C05F6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4"/>
        </w:rPr>
      </w:pPr>
    </w:p>
    <w:p w:rsidR="001E6298" w:rsidRPr="00F76FE2" w:rsidRDefault="00C05F68" w:rsidP="00C05F68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76FE2">
        <w:rPr>
          <w:rFonts w:ascii="Times New Roman" w:hAnsi="Times New Roman" w:cs="Times New Roman"/>
          <w:noProof/>
          <w:sz w:val="24"/>
          <w:szCs w:val="24"/>
        </w:rPr>
        <w:t>Risku i normave të interesit gjithashtu është reduktuar pasi pesha e instrumenteve që rifiksojnë normën e interesit në harkun kohor të një viti është ulur nga 5</w:t>
      </w:r>
      <w:r w:rsidR="001C5519" w:rsidRPr="00F76FE2">
        <w:rPr>
          <w:rFonts w:ascii="Times New Roman" w:hAnsi="Times New Roman" w:cs="Times New Roman"/>
          <w:noProof/>
          <w:sz w:val="24"/>
          <w:szCs w:val="24"/>
        </w:rPr>
        <w:t>4</w:t>
      </w:r>
      <w:r w:rsidRPr="00F76FE2">
        <w:rPr>
          <w:rFonts w:ascii="Times New Roman" w:hAnsi="Times New Roman" w:cs="Times New Roman"/>
          <w:noProof/>
          <w:sz w:val="24"/>
          <w:szCs w:val="24"/>
        </w:rPr>
        <w:t>.</w:t>
      </w:r>
      <w:r w:rsidR="001C5519" w:rsidRPr="00F76FE2">
        <w:rPr>
          <w:rFonts w:ascii="Times New Roman" w:hAnsi="Times New Roman" w:cs="Times New Roman"/>
          <w:noProof/>
          <w:sz w:val="24"/>
          <w:szCs w:val="24"/>
        </w:rPr>
        <w:t>3</w:t>
      </w:r>
      <w:r w:rsidRPr="00F76FE2">
        <w:rPr>
          <w:rFonts w:ascii="Times New Roman" w:hAnsi="Times New Roman" w:cs="Times New Roman"/>
          <w:noProof/>
          <w:sz w:val="24"/>
          <w:szCs w:val="24"/>
        </w:rPr>
        <w:t>% në dhjetor 201</w:t>
      </w:r>
      <w:r w:rsidR="001C5519" w:rsidRPr="00F76FE2">
        <w:rPr>
          <w:rFonts w:ascii="Times New Roman" w:hAnsi="Times New Roman" w:cs="Times New Roman"/>
          <w:noProof/>
          <w:sz w:val="24"/>
          <w:szCs w:val="24"/>
        </w:rPr>
        <w:t>8</w:t>
      </w:r>
      <w:r w:rsidRPr="00F76FE2">
        <w:rPr>
          <w:rFonts w:ascii="Times New Roman" w:hAnsi="Times New Roman" w:cs="Times New Roman"/>
          <w:noProof/>
          <w:sz w:val="24"/>
          <w:szCs w:val="24"/>
        </w:rPr>
        <w:t xml:space="preserve"> në 5</w:t>
      </w:r>
      <w:r w:rsidR="001C5519" w:rsidRPr="00F76FE2">
        <w:rPr>
          <w:rFonts w:ascii="Times New Roman" w:hAnsi="Times New Roman" w:cs="Times New Roman"/>
          <w:noProof/>
          <w:sz w:val="24"/>
          <w:szCs w:val="24"/>
        </w:rPr>
        <w:t>0</w:t>
      </w:r>
      <w:r w:rsidRPr="00F76FE2">
        <w:rPr>
          <w:rFonts w:ascii="Times New Roman" w:hAnsi="Times New Roman" w:cs="Times New Roman"/>
          <w:noProof/>
          <w:sz w:val="24"/>
          <w:szCs w:val="24"/>
        </w:rPr>
        <w:t>.</w:t>
      </w:r>
      <w:r w:rsidR="001C5519" w:rsidRPr="00F76FE2">
        <w:rPr>
          <w:rFonts w:ascii="Times New Roman" w:hAnsi="Times New Roman" w:cs="Times New Roman"/>
          <w:noProof/>
          <w:sz w:val="24"/>
          <w:szCs w:val="24"/>
        </w:rPr>
        <w:t>9</w:t>
      </w:r>
      <w:r w:rsidRPr="00F76FE2">
        <w:rPr>
          <w:rFonts w:ascii="Times New Roman" w:hAnsi="Times New Roman" w:cs="Times New Roman"/>
          <w:noProof/>
          <w:sz w:val="24"/>
          <w:szCs w:val="24"/>
        </w:rPr>
        <w:t>%</w:t>
      </w:r>
      <w:r w:rsidR="00C071FD" w:rsidRPr="00F76FE2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C071FD" w:rsidRPr="00F76FE2">
        <w:rPr>
          <w:rFonts w:ascii="Times New Roman" w:hAnsi="Times New Roman" w:cs="Times New Roman"/>
          <w:noProof/>
          <w:sz w:val="24"/>
          <w:szCs w:val="24"/>
          <w:lang w:val="en-US"/>
        </w:rPr>
        <w:t>në dhjetor 201</w:t>
      </w:r>
      <w:r w:rsidR="001C5519" w:rsidRPr="00F76FE2">
        <w:rPr>
          <w:rFonts w:ascii="Times New Roman" w:hAnsi="Times New Roman" w:cs="Times New Roman"/>
          <w:noProof/>
          <w:sz w:val="24"/>
          <w:szCs w:val="24"/>
          <w:lang w:val="en-US"/>
        </w:rPr>
        <w:t>9</w:t>
      </w:r>
      <w:r w:rsidR="00C071FD" w:rsidRPr="00F76FE2">
        <w:rPr>
          <w:rFonts w:ascii="Times New Roman" w:hAnsi="Times New Roman" w:cs="Times New Roman"/>
          <w:noProof/>
          <w:sz w:val="24"/>
          <w:szCs w:val="24"/>
          <w:lang w:val="en-US"/>
        </w:rPr>
        <w:t>. Në këtë drejtim, ndikim ka pasur reduktimi i peshës së titujve afatshkurtër dhe atyre me norma interesi të ndryshueshme në portofolin e borxhit të brendshëm, përkatësisht me 1.23 dhe 2.31 pikë përqindje. Ulja e ekspozimit ndaj këtij risku ka ulur ndjeshmërinë e borxhit ndaj goditjeve të normave të interesit, duke reduktuar burimet që qeveria duhet të angazhojë në raste të tilla.</w:t>
      </w:r>
    </w:p>
    <w:p w:rsidR="001E6298" w:rsidRPr="00F76FE2" w:rsidRDefault="001E6298" w:rsidP="00BF5410">
      <w:pPr>
        <w:spacing w:after="0" w:line="276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1E6298" w:rsidRPr="00F76FE2" w:rsidRDefault="001C5519" w:rsidP="00A3296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6FE2">
        <w:rPr>
          <w:rFonts w:ascii="Cambria" w:hAnsi="Cambria"/>
          <w:b/>
          <w:bCs/>
          <w:sz w:val="20"/>
          <w:szCs w:val="20"/>
        </w:rPr>
        <w:t>Paraqitje Grafike 5.2 (</w:t>
      </w:r>
      <w:r w:rsidR="002F0822" w:rsidRPr="00F76FE2">
        <w:rPr>
          <w:rFonts w:ascii="Cambria" w:hAnsi="Cambria"/>
          <w:b/>
          <w:bCs/>
          <w:sz w:val="20"/>
          <w:szCs w:val="20"/>
        </w:rPr>
        <w:t>b</w:t>
      </w:r>
      <w:r w:rsidRPr="00F76FE2">
        <w:rPr>
          <w:rFonts w:ascii="Cambria" w:hAnsi="Cambria"/>
          <w:b/>
          <w:bCs/>
          <w:sz w:val="20"/>
          <w:szCs w:val="20"/>
        </w:rPr>
        <w:t xml:space="preserve">): </w:t>
      </w:r>
      <w:r w:rsidRPr="00F76FE2">
        <w:rPr>
          <w:rFonts w:ascii="Cambria" w:hAnsi="Cambria"/>
          <w:i/>
          <w:iCs/>
          <w:sz w:val="20"/>
          <w:szCs w:val="20"/>
        </w:rPr>
        <w:t>Ecuria e treguesve të riskut të rifinancimit (2014–2019)</w:t>
      </w:r>
    </w:p>
    <w:p w:rsidR="00F279BA" w:rsidRPr="00F76FE2" w:rsidRDefault="002F0822" w:rsidP="001C5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6FE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408327E" wp14:editId="6F43A06E">
                <wp:simplePos x="0" y="0"/>
                <wp:positionH relativeFrom="margin">
                  <wp:align>left</wp:align>
                </wp:positionH>
                <wp:positionV relativeFrom="paragraph">
                  <wp:posOffset>43360</wp:posOffset>
                </wp:positionV>
                <wp:extent cx="5710148" cy="2466124"/>
                <wp:effectExtent l="0" t="0" r="24130" b="10795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0148" cy="246612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A80D53" id="Rectangle 79" o:spid="_x0000_s1026" style="position:absolute;margin-left:0;margin-top:3.4pt;width:449.6pt;height:194.2pt;z-index:251856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" filled="f" strokecolor="#bfbfbf [2412]" strokeweight=".5pt">
                <w10:wrap anchorx="margin"/>
              </v:rect>
            </w:pict>
          </mc:Fallback>
        </mc:AlternateContent>
      </w:r>
      <w:r w:rsidR="00F279BA" w:rsidRPr="00F76FE2">
        <w:rPr>
          <w:noProof/>
          <w:lang w:val="en-US"/>
        </w:rPr>
        <w:drawing>
          <wp:inline distT="0" distB="0" distL="0" distR="0" wp14:anchorId="7AD8A2B5" wp14:editId="0F1174C0">
            <wp:extent cx="2950210" cy="2527456"/>
            <wp:effectExtent l="0" t="0" r="2540" b="6350"/>
            <wp:docPr id="78" name="Chart 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 w:rsidR="00F279BA" w:rsidRPr="00F76FE2">
        <w:rPr>
          <w:noProof/>
          <w:lang w:val="en-US"/>
        </w:rPr>
        <w:drawing>
          <wp:inline distT="0" distB="0" distL="0" distR="0" wp14:anchorId="681EA2DE" wp14:editId="2BB8A6AB">
            <wp:extent cx="2734310" cy="2517188"/>
            <wp:effectExtent l="0" t="0" r="8890" b="0"/>
            <wp:docPr id="80" name="Chart 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F279BA" w:rsidRPr="00F76FE2" w:rsidRDefault="001C5519" w:rsidP="00A305AB">
      <w:pPr>
        <w:spacing w:after="0" w:line="276" w:lineRule="auto"/>
        <w:jc w:val="center"/>
        <w:rPr>
          <w:rFonts w:ascii="Cambria" w:hAnsi="Cambria" w:cs="Times New Roman"/>
          <w:i/>
          <w:noProof/>
          <w:sz w:val="20"/>
          <w:szCs w:val="20"/>
        </w:rPr>
      </w:pPr>
      <w:r w:rsidRPr="00F76FE2">
        <w:rPr>
          <w:rFonts w:ascii="Cambria" w:hAnsi="Cambria" w:cs="Times New Roman"/>
          <w:b/>
          <w:noProof/>
          <w:sz w:val="20"/>
          <w:szCs w:val="20"/>
        </w:rPr>
        <w:t xml:space="preserve">Burimi: </w:t>
      </w:r>
      <w:r w:rsidRPr="00F76FE2">
        <w:rPr>
          <w:rFonts w:ascii="Cambria" w:hAnsi="Cambria" w:cs="Times New Roman"/>
          <w:i/>
          <w:noProof/>
          <w:sz w:val="20"/>
          <w:szCs w:val="20"/>
        </w:rPr>
        <w:t>Ministria e Financave dhe Ekonomisë (2020)</w:t>
      </w:r>
    </w:p>
    <w:p w:rsidR="00A305AB" w:rsidRPr="00F76FE2" w:rsidRDefault="00A305AB" w:rsidP="00A305AB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4"/>
        </w:rPr>
      </w:pPr>
    </w:p>
    <w:p w:rsidR="00A305AB" w:rsidRPr="00F76FE2" w:rsidRDefault="00A305AB" w:rsidP="00A305AB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F76FE2">
        <w:rPr>
          <w:rFonts w:ascii="Times New Roman" w:hAnsi="Times New Roman" w:cs="Times New Roman"/>
          <w:sz w:val="24"/>
          <w:szCs w:val="23"/>
        </w:rPr>
        <w:t xml:space="preserve">Ekspozimi ndaj riskut të kursit të këmbimit është mbajtur nën kontroll, pasi stoku i borxhit shtetëror në monedhë të huaj edhe gjatë vitit 2019 vazhdon të qëndrojë nën kufirin strategjik </w:t>
      </w:r>
      <w:r w:rsidRPr="00F76FE2">
        <w:rPr>
          <w:rFonts w:ascii="Times New Roman" w:hAnsi="Times New Roman" w:cs="Times New Roman"/>
          <w:sz w:val="24"/>
          <w:szCs w:val="23"/>
        </w:rPr>
        <w:lastRenderedPageBreak/>
        <w:t>t</w:t>
      </w:r>
      <w:r w:rsidR="00D86B99" w:rsidRPr="00F76FE2">
        <w:rPr>
          <w:rFonts w:ascii="Times New Roman" w:hAnsi="Times New Roman" w:cs="Times New Roman"/>
          <w:sz w:val="24"/>
          <w:szCs w:val="23"/>
        </w:rPr>
        <w:t>ë</w:t>
      </w:r>
      <w:r w:rsidRPr="00F76FE2">
        <w:rPr>
          <w:rFonts w:ascii="Times New Roman" w:hAnsi="Times New Roman" w:cs="Times New Roman"/>
          <w:sz w:val="24"/>
          <w:szCs w:val="23"/>
        </w:rPr>
        <w:t xml:space="preserve"> p</w:t>
      </w:r>
      <w:r w:rsidR="00D86B99" w:rsidRPr="00F76FE2">
        <w:rPr>
          <w:rFonts w:ascii="Times New Roman" w:hAnsi="Times New Roman" w:cs="Times New Roman"/>
          <w:sz w:val="24"/>
          <w:szCs w:val="23"/>
        </w:rPr>
        <w:t>ë</w:t>
      </w:r>
      <w:r w:rsidRPr="00F76FE2">
        <w:rPr>
          <w:rFonts w:ascii="Times New Roman" w:hAnsi="Times New Roman" w:cs="Times New Roman"/>
          <w:sz w:val="24"/>
          <w:szCs w:val="23"/>
        </w:rPr>
        <w:t>rcaktuar n</w:t>
      </w:r>
      <w:r w:rsidR="00D86B99" w:rsidRPr="00F76FE2">
        <w:rPr>
          <w:rFonts w:ascii="Times New Roman" w:hAnsi="Times New Roman" w:cs="Times New Roman"/>
          <w:sz w:val="24"/>
          <w:szCs w:val="23"/>
        </w:rPr>
        <w:t>ë</w:t>
      </w:r>
      <w:r w:rsidRPr="00F76FE2">
        <w:rPr>
          <w:rFonts w:ascii="Times New Roman" w:hAnsi="Times New Roman" w:cs="Times New Roman"/>
          <w:sz w:val="24"/>
          <w:szCs w:val="23"/>
        </w:rPr>
        <w:t xml:space="preserve"> Strategjin</w:t>
      </w:r>
      <w:r w:rsidR="00D86B99" w:rsidRPr="00F76FE2">
        <w:rPr>
          <w:rFonts w:ascii="Times New Roman" w:hAnsi="Times New Roman" w:cs="Times New Roman"/>
          <w:sz w:val="24"/>
          <w:szCs w:val="23"/>
        </w:rPr>
        <w:t>ë</w:t>
      </w:r>
      <w:r w:rsidRPr="00F76FE2">
        <w:rPr>
          <w:rFonts w:ascii="Times New Roman" w:hAnsi="Times New Roman" w:cs="Times New Roman"/>
          <w:sz w:val="24"/>
          <w:szCs w:val="23"/>
        </w:rPr>
        <w:t xml:space="preserve"> Afatmesme t</w:t>
      </w:r>
      <w:r w:rsidR="00D86B99" w:rsidRPr="00F76FE2">
        <w:rPr>
          <w:rFonts w:ascii="Times New Roman" w:hAnsi="Times New Roman" w:cs="Times New Roman"/>
          <w:sz w:val="24"/>
          <w:szCs w:val="23"/>
        </w:rPr>
        <w:t>ë</w:t>
      </w:r>
      <w:r w:rsidRPr="00F76FE2">
        <w:rPr>
          <w:rFonts w:ascii="Times New Roman" w:hAnsi="Times New Roman" w:cs="Times New Roman"/>
          <w:sz w:val="24"/>
          <w:szCs w:val="23"/>
        </w:rPr>
        <w:t xml:space="preserve"> Menaxhimit t</w:t>
      </w:r>
      <w:r w:rsidR="00D86B99" w:rsidRPr="00F76FE2">
        <w:rPr>
          <w:rFonts w:ascii="Times New Roman" w:hAnsi="Times New Roman" w:cs="Times New Roman"/>
          <w:sz w:val="24"/>
          <w:szCs w:val="23"/>
        </w:rPr>
        <w:t>ë</w:t>
      </w:r>
      <w:r w:rsidRPr="00F76FE2">
        <w:rPr>
          <w:rFonts w:ascii="Times New Roman" w:hAnsi="Times New Roman" w:cs="Times New Roman"/>
          <w:sz w:val="24"/>
          <w:szCs w:val="23"/>
        </w:rPr>
        <w:t xml:space="preserve"> Borxhit dhe atë të qëndrueshmërisë së borxhit</w:t>
      </w:r>
      <w:r w:rsidR="00D86B99" w:rsidRPr="00F76FE2">
        <w:rPr>
          <w:rStyle w:val="FootnoteReference"/>
          <w:rFonts w:ascii="Times New Roman" w:hAnsi="Times New Roman" w:cs="Times New Roman"/>
          <w:sz w:val="24"/>
          <w:szCs w:val="23"/>
        </w:rPr>
        <w:footnoteReference w:id="5"/>
      </w:r>
      <w:r w:rsidRPr="00F76FE2">
        <w:rPr>
          <w:rFonts w:ascii="Times New Roman" w:hAnsi="Times New Roman" w:cs="Times New Roman"/>
          <w:sz w:val="24"/>
          <w:szCs w:val="23"/>
        </w:rPr>
        <w:t>.</w:t>
      </w:r>
    </w:p>
    <w:p w:rsidR="009258E5" w:rsidRPr="00F76FE2" w:rsidRDefault="009258E5" w:rsidP="00FC2F2F">
      <w:pPr>
        <w:tabs>
          <w:tab w:val="left" w:pos="555"/>
          <w:tab w:val="left" w:pos="1182"/>
        </w:tabs>
        <w:spacing w:after="0" w:line="276" w:lineRule="auto"/>
        <w:ind w:right="-46"/>
        <w:jc w:val="both"/>
        <w:rPr>
          <w:rFonts w:ascii="Times New Roman" w:hAnsi="Times New Roman" w:cs="Times New Roman"/>
          <w:sz w:val="20"/>
          <w:szCs w:val="20"/>
        </w:rPr>
      </w:pPr>
    </w:p>
    <w:p w:rsidR="00C20967" w:rsidRPr="00F76FE2" w:rsidRDefault="00C20967" w:rsidP="00C20967">
      <w:pPr>
        <w:tabs>
          <w:tab w:val="left" w:pos="555"/>
          <w:tab w:val="left" w:pos="1182"/>
        </w:tabs>
        <w:spacing w:after="0" w:line="276" w:lineRule="auto"/>
        <w:ind w:right="-46"/>
        <w:jc w:val="center"/>
        <w:rPr>
          <w:rFonts w:ascii="Cambria" w:hAnsi="Cambria" w:cs="Times New Roman"/>
          <w:sz w:val="20"/>
          <w:szCs w:val="20"/>
        </w:rPr>
      </w:pPr>
      <w:r w:rsidRPr="00F76FE2">
        <w:rPr>
          <w:rFonts w:ascii="Cambria" w:hAnsi="Cambria"/>
          <w:b/>
          <w:bCs/>
          <w:sz w:val="20"/>
          <w:szCs w:val="20"/>
        </w:rPr>
        <w:t xml:space="preserve">Paraqitje Grafike 5.2 (c): </w:t>
      </w:r>
      <w:r w:rsidRPr="00F76FE2">
        <w:rPr>
          <w:rFonts w:ascii="Cambria" w:hAnsi="Cambria"/>
          <w:i/>
          <w:iCs/>
          <w:sz w:val="20"/>
          <w:szCs w:val="20"/>
        </w:rPr>
        <w:t>Ecuria e riskut të kursit të këmbimit (2014–2018)</w:t>
      </w:r>
    </w:p>
    <w:p w:rsidR="00C20967" w:rsidRPr="00F76FE2" w:rsidRDefault="00C20967" w:rsidP="00FC2F2F">
      <w:pPr>
        <w:tabs>
          <w:tab w:val="left" w:pos="555"/>
          <w:tab w:val="left" w:pos="1182"/>
        </w:tabs>
        <w:spacing w:after="0" w:line="276" w:lineRule="auto"/>
        <w:ind w:right="-46"/>
        <w:jc w:val="both"/>
        <w:rPr>
          <w:rFonts w:ascii="Times New Roman" w:hAnsi="Times New Roman" w:cs="Times New Roman"/>
          <w:sz w:val="20"/>
          <w:szCs w:val="20"/>
        </w:rPr>
      </w:pPr>
      <w:r w:rsidRPr="00F76FE2">
        <w:rPr>
          <w:noProof/>
          <w:lang w:val="en-US"/>
        </w:rPr>
        <w:drawing>
          <wp:inline distT="0" distB="0" distL="0" distR="0" wp14:anchorId="79D33109" wp14:editId="391066E8">
            <wp:extent cx="5731510" cy="1759789"/>
            <wp:effectExtent l="0" t="0" r="2540" b="12065"/>
            <wp:docPr id="81" name="Chart 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C20967" w:rsidRPr="00F76FE2" w:rsidRDefault="00C20967" w:rsidP="00C20967">
      <w:pPr>
        <w:spacing w:after="0" w:line="276" w:lineRule="auto"/>
        <w:jc w:val="center"/>
        <w:rPr>
          <w:rFonts w:ascii="Cambria" w:hAnsi="Cambria" w:cs="Times New Roman"/>
          <w:i/>
          <w:noProof/>
          <w:sz w:val="20"/>
          <w:szCs w:val="20"/>
        </w:rPr>
      </w:pPr>
      <w:r w:rsidRPr="00F76FE2">
        <w:rPr>
          <w:rFonts w:ascii="Cambria" w:hAnsi="Cambria" w:cs="Times New Roman"/>
          <w:b/>
          <w:noProof/>
          <w:sz w:val="20"/>
          <w:szCs w:val="20"/>
        </w:rPr>
        <w:t xml:space="preserve">Burimi: </w:t>
      </w:r>
      <w:r w:rsidRPr="00F76FE2">
        <w:rPr>
          <w:rFonts w:ascii="Cambria" w:hAnsi="Cambria" w:cs="Times New Roman"/>
          <w:i/>
          <w:noProof/>
          <w:sz w:val="20"/>
          <w:szCs w:val="20"/>
        </w:rPr>
        <w:t>Ministria e Financave dhe Ekonomisë (2020)</w:t>
      </w:r>
    </w:p>
    <w:p w:rsidR="00E756AD" w:rsidRPr="00F76FE2" w:rsidRDefault="00E756AD" w:rsidP="009E0485">
      <w:pPr>
        <w:tabs>
          <w:tab w:val="left" w:pos="555"/>
          <w:tab w:val="left" w:pos="1182"/>
        </w:tabs>
        <w:spacing w:after="0" w:line="276" w:lineRule="auto"/>
        <w:ind w:right="-46"/>
        <w:jc w:val="both"/>
        <w:rPr>
          <w:rFonts w:ascii="Times New Roman" w:hAnsi="Times New Roman" w:cs="Times New Roman"/>
          <w:sz w:val="24"/>
          <w:szCs w:val="24"/>
        </w:rPr>
      </w:pPr>
    </w:p>
    <w:p w:rsidR="00C04FF4" w:rsidRPr="00F76FE2" w:rsidRDefault="00406EB7" w:rsidP="000D1771">
      <w:pPr>
        <w:pStyle w:val="Heading1"/>
        <w:numPr>
          <w:ilvl w:val="0"/>
          <w:numId w:val="5"/>
        </w:numPr>
        <w:spacing w:before="0" w:line="276" w:lineRule="auto"/>
        <w:ind w:left="425" w:right="-45" w:hanging="425"/>
        <w:jc w:val="both"/>
        <w:rPr>
          <w:rFonts w:ascii="Cambria" w:hAnsi="Cambria"/>
          <w:color w:val="C00000"/>
          <w:sz w:val="24"/>
          <w:szCs w:val="24"/>
        </w:rPr>
      </w:pPr>
      <w:bookmarkStart w:id="15" w:name="_Toc34645070"/>
      <w:r w:rsidRPr="00F76FE2">
        <w:rPr>
          <w:rFonts w:ascii="Cambria" w:hAnsi="Cambria"/>
          <w:color w:val="C00000"/>
          <w:sz w:val="24"/>
          <w:szCs w:val="24"/>
        </w:rPr>
        <w:t>Zhvillimet e Tregut Primar t</w:t>
      </w:r>
      <w:r w:rsidR="00D7649A" w:rsidRPr="00F76FE2">
        <w:rPr>
          <w:rFonts w:ascii="Cambria" w:hAnsi="Cambria"/>
          <w:color w:val="C00000"/>
          <w:sz w:val="24"/>
          <w:szCs w:val="24"/>
        </w:rPr>
        <w:t>ë</w:t>
      </w:r>
      <w:r w:rsidR="004769A2" w:rsidRPr="00F76FE2">
        <w:rPr>
          <w:rFonts w:ascii="Cambria" w:hAnsi="Cambria"/>
          <w:color w:val="C00000"/>
          <w:sz w:val="24"/>
          <w:szCs w:val="24"/>
        </w:rPr>
        <w:t xml:space="preserve"> Titujve S</w:t>
      </w:r>
      <w:r w:rsidRPr="00F76FE2">
        <w:rPr>
          <w:rFonts w:ascii="Cambria" w:hAnsi="Cambria"/>
          <w:color w:val="C00000"/>
          <w:sz w:val="24"/>
          <w:szCs w:val="24"/>
        </w:rPr>
        <w:t>htet</w:t>
      </w:r>
      <w:r w:rsidR="00D7649A" w:rsidRPr="00F76FE2">
        <w:rPr>
          <w:rFonts w:ascii="Cambria" w:hAnsi="Cambria"/>
          <w:color w:val="C00000"/>
          <w:sz w:val="24"/>
          <w:szCs w:val="24"/>
        </w:rPr>
        <w:t>ë</w:t>
      </w:r>
      <w:r w:rsidRPr="00F76FE2">
        <w:rPr>
          <w:rFonts w:ascii="Cambria" w:hAnsi="Cambria"/>
          <w:color w:val="C00000"/>
          <w:sz w:val="24"/>
          <w:szCs w:val="24"/>
        </w:rPr>
        <w:t>ror</w:t>
      </w:r>
      <w:r w:rsidR="00D12711" w:rsidRPr="00F76FE2">
        <w:rPr>
          <w:rFonts w:ascii="Cambria" w:hAnsi="Cambria"/>
          <w:color w:val="C00000"/>
          <w:sz w:val="24"/>
          <w:szCs w:val="24"/>
        </w:rPr>
        <w:t>ë</w:t>
      </w:r>
      <w:bookmarkEnd w:id="15"/>
    </w:p>
    <w:p w:rsidR="000D1771" w:rsidRPr="00F76FE2" w:rsidRDefault="000D1771" w:rsidP="000D1771">
      <w:pPr>
        <w:spacing w:after="0" w:line="276" w:lineRule="auto"/>
        <w:rPr>
          <w:sz w:val="20"/>
        </w:rPr>
      </w:pPr>
    </w:p>
    <w:p w:rsidR="0001373B" w:rsidRPr="00F76FE2" w:rsidRDefault="0001373B" w:rsidP="0001373B">
      <w:pPr>
        <w:tabs>
          <w:tab w:val="left" w:pos="1182"/>
        </w:tabs>
        <w:spacing w:after="0" w:line="276" w:lineRule="auto"/>
        <w:ind w:right="-46"/>
        <w:jc w:val="both"/>
        <w:rPr>
          <w:rFonts w:ascii="Times New Roman" w:hAnsi="Times New Roman" w:cs="Times New Roman"/>
          <w:sz w:val="24"/>
          <w:szCs w:val="24"/>
        </w:rPr>
      </w:pPr>
      <w:r w:rsidRPr="00F76FE2">
        <w:rPr>
          <w:rFonts w:ascii="Times New Roman" w:hAnsi="Times New Roman" w:cs="Times New Roman"/>
          <w:sz w:val="24"/>
          <w:szCs w:val="24"/>
        </w:rPr>
        <w:t>Tregu primar i titujve shtetërorë gjatë vitit 2019 përgjithësisht është karakterizuar nga zhvillime pozitive, ndër të cilat mund të përmenden</w:t>
      </w:r>
      <w:r w:rsidR="00C20967" w:rsidRPr="00F76FE2">
        <w:rPr>
          <w:rFonts w:ascii="Times New Roman" w:hAnsi="Times New Roman" w:cs="Times New Roman"/>
          <w:sz w:val="24"/>
          <w:szCs w:val="24"/>
        </w:rPr>
        <w:t>: i)</w:t>
      </w:r>
      <w:r w:rsidRPr="00F76FE2">
        <w:rPr>
          <w:rFonts w:ascii="Times New Roman" w:hAnsi="Times New Roman" w:cs="Times New Roman"/>
          <w:sz w:val="24"/>
          <w:szCs w:val="24"/>
        </w:rPr>
        <w:t xml:space="preserve"> kërkesa e kënaqshme e tregut në raport me n</w:t>
      </w:r>
      <w:r w:rsidR="00C20967" w:rsidRPr="00F76FE2">
        <w:rPr>
          <w:rFonts w:ascii="Times New Roman" w:hAnsi="Times New Roman" w:cs="Times New Roman"/>
          <w:sz w:val="24"/>
          <w:szCs w:val="24"/>
        </w:rPr>
        <w:t xml:space="preserve">evojat e qeverisë për huamarrje; ii) </w:t>
      </w:r>
      <w:r w:rsidRPr="00F76FE2">
        <w:rPr>
          <w:rFonts w:ascii="Times New Roman" w:hAnsi="Times New Roman" w:cs="Times New Roman"/>
          <w:sz w:val="24"/>
          <w:szCs w:val="24"/>
        </w:rPr>
        <w:t>rënia e normave të interesit në krahasim me ato të vitit 2018</w:t>
      </w:r>
      <w:r w:rsidR="00C20967" w:rsidRPr="00F76FE2">
        <w:rPr>
          <w:rFonts w:ascii="Times New Roman" w:hAnsi="Times New Roman" w:cs="Times New Roman"/>
          <w:sz w:val="24"/>
          <w:szCs w:val="24"/>
        </w:rPr>
        <w:t>; iii) vijimi me projektin pilot p</w:t>
      </w:r>
      <w:r w:rsidR="00513848" w:rsidRPr="00F76FE2">
        <w:rPr>
          <w:rFonts w:ascii="Times New Roman" w:hAnsi="Times New Roman" w:cs="Times New Roman"/>
          <w:sz w:val="24"/>
          <w:szCs w:val="24"/>
        </w:rPr>
        <w:t>ë</w:t>
      </w:r>
      <w:r w:rsidR="00C20967" w:rsidRPr="00F76FE2">
        <w:rPr>
          <w:rFonts w:ascii="Times New Roman" w:hAnsi="Times New Roman" w:cs="Times New Roman"/>
          <w:sz w:val="24"/>
          <w:szCs w:val="24"/>
        </w:rPr>
        <w:t>r emetimin e obligacionit 5-vjeçar referencë dhe shtrirja e k</w:t>
      </w:r>
      <w:r w:rsidR="00513848" w:rsidRPr="00F76FE2">
        <w:rPr>
          <w:rFonts w:ascii="Times New Roman" w:hAnsi="Times New Roman" w:cs="Times New Roman"/>
          <w:sz w:val="24"/>
          <w:szCs w:val="24"/>
        </w:rPr>
        <w:t>ë</w:t>
      </w:r>
      <w:r w:rsidR="00C20967" w:rsidRPr="00F76FE2">
        <w:rPr>
          <w:rFonts w:ascii="Times New Roman" w:hAnsi="Times New Roman" w:cs="Times New Roman"/>
          <w:sz w:val="24"/>
          <w:szCs w:val="24"/>
        </w:rPr>
        <w:t>tij projekti edhe tek obligacioni 3-vjeçar.</w:t>
      </w:r>
    </w:p>
    <w:p w:rsidR="0001373B" w:rsidRPr="00F76FE2" w:rsidRDefault="0001373B" w:rsidP="0001373B">
      <w:pPr>
        <w:tabs>
          <w:tab w:val="left" w:pos="1182"/>
        </w:tabs>
        <w:spacing w:after="0" w:line="276" w:lineRule="auto"/>
        <w:ind w:right="-46"/>
        <w:jc w:val="both"/>
        <w:rPr>
          <w:rFonts w:ascii="Times New Roman" w:hAnsi="Times New Roman" w:cs="Times New Roman"/>
          <w:sz w:val="20"/>
          <w:szCs w:val="20"/>
        </w:rPr>
      </w:pPr>
    </w:p>
    <w:p w:rsidR="0039438E" w:rsidRPr="00F76FE2" w:rsidRDefault="0039438E" w:rsidP="00C20967">
      <w:pPr>
        <w:pStyle w:val="Heading2"/>
        <w:numPr>
          <w:ilvl w:val="1"/>
          <w:numId w:val="5"/>
        </w:numPr>
        <w:spacing w:before="0" w:line="276" w:lineRule="auto"/>
        <w:ind w:left="0" w:right="-45" w:firstLine="0"/>
        <w:jc w:val="both"/>
        <w:rPr>
          <w:rFonts w:ascii="Cambria" w:hAnsi="Cambria"/>
        </w:rPr>
      </w:pPr>
      <w:bookmarkStart w:id="16" w:name="_Toc491861001"/>
      <w:bookmarkStart w:id="17" w:name="_Toc491954314"/>
      <w:bookmarkStart w:id="18" w:name="_Toc34645071"/>
      <w:r w:rsidRPr="00F76FE2">
        <w:rPr>
          <w:rFonts w:ascii="Cambria" w:hAnsi="Cambria"/>
        </w:rPr>
        <w:t>Ecuria e ankandeve dhe kërkesa për titujt shtetërorë</w:t>
      </w:r>
      <w:bookmarkEnd w:id="16"/>
      <w:bookmarkEnd w:id="17"/>
      <w:bookmarkEnd w:id="18"/>
    </w:p>
    <w:p w:rsidR="00C20967" w:rsidRPr="00F76FE2" w:rsidRDefault="00C20967" w:rsidP="00C20967">
      <w:pPr>
        <w:spacing w:after="0" w:line="276" w:lineRule="auto"/>
        <w:rPr>
          <w:sz w:val="20"/>
        </w:rPr>
      </w:pPr>
    </w:p>
    <w:p w:rsidR="0001373B" w:rsidRPr="00F76FE2" w:rsidRDefault="0001373B" w:rsidP="00C20967">
      <w:pPr>
        <w:tabs>
          <w:tab w:val="left" w:pos="1182"/>
        </w:tabs>
        <w:spacing w:after="0" w:line="276" w:lineRule="auto"/>
        <w:ind w:right="-46"/>
        <w:jc w:val="both"/>
        <w:rPr>
          <w:rFonts w:ascii="Times New Roman" w:hAnsi="Times New Roman" w:cs="Times New Roman"/>
          <w:sz w:val="24"/>
          <w:szCs w:val="24"/>
        </w:rPr>
      </w:pPr>
      <w:r w:rsidRPr="00F76FE2">
        <w:rPr>
          <w:rFonts w:ascii="Times New Roman" w:hAnsi="Times New Roman" w:cs="Times New Roman"/>
          <w:sz w:val="24"/>
          <w:szCs w:val="24"/>
        </w:rPr>
        <w:t>Gjatë vitit 2019 kërkesa për tituj shtetërorë ka rezultuar në vlerën 3</w:t>
      </w:r>
      <w:r w:rsidR="00591F30" w:rsidRPr="00F76FE2">
        <w:rPr>
          <w:rFonts w:ascii="Times New Roman" w:hAnsi="Times New Roman" w:cs="Times New Roman"/>
          <w:sz w:val="24"/>
          <w:szCs w:val="24"/>
        </w:rPr>
        <w:t>98</w:t>
      </w:r>
      <w:r w:rsidRPr="00F76FE2">
        <w:rPr>
          <w:rFonts w:ascii="Times New Roman" w:hAnsi="Times New Roman" w:cs="Times New Roman"/>
          <w:sz w:val="24"/>
          <w:szCs w:val="24"/>
        </w:rPr>
        <w:t>.</w:t>
      </w:r>
      <w:r w:rsidR="00591F30" w:rsidRPr="00F76FE2">
        <w:rPr>
          <w:rFonts w:ascii="Times New Roman" w:hAnsi="Times New Roman" w:cs="Times New Roman"/>
          <w:sz w:val="24"/>
          <w:szCs w:val="24"/>
        </w:rPr>
        <w:t>4</w:t>
      </w:r>
      <w:r w:rsidRPr="00F76FE2">
        <w:rPr>
          <w:rFonts w:ascii="Times New Roman" w:hAnsi="Times New Roman" w:cs="Times New Roman"/>
          <w:sz w:val="24"/>
          <w:szCs w:val="24"/>
        </w:rPr>
        <w:t xml:space="preserve"> miliard Lekë, nga të cilat </w:t>
      </w:r>
      <w:r w:rsidR="00591F30" w:rsidRPr="00F76FE2">
        <w:rPr>
          <w:rFonts w:ascii="Times New Roman" w:hAnsi="Times New Roman" w:cs="Times New Roman"/>
          <w:sz w:val="24"/>
          <w:szCs w:val="24"/>
        </w:rPr>
        <w:t>237</w:t>
      </w:r>
      <w:r w:rsidRPr="00F76FE2">
        <w:rPr>
          <w:rFonts w:ascii="Times New Roman" w:hAnsi="Times New Roman" w:cs="Times New Roman"/>
          <w:sz w:val="24"/>
          <w:szCs w:val="24"/>
        </w:rPr>
        <w:t>.</w:t>
      </w:r>
      <w:r w:rsidR="00591F30" w:rsidRPr="00F76FE2">
        <w:rPr>
          <w:rFonts w:ascii="Times New Roman" w:hAnsi="Times New Roman" w:cs="Times New Roman"/>
          <w:sz w:val="24"/>
          <w:szCs w:val="24"/>
        </w:rPr>
        <w:t>0</w:t>
      </w:r>
      <w:r w:rsidRPr="00F76FE2">
        <w:rPr>
          <w:rFonts w:ascii="Times New Roman" w:hAnsi="Times New Roman" w:cs="Times New Roman"/>
          <w:sz w:val="24"/>
          <w:szCs w:val="24"/>
        </w:rPr>
        <w:t xml:space="preserve"> miliard Lekë për bono thesari dhe 1</w:t>
      </w:r>
      <w:r w:rsidR="001B1BC5" w:rsidRPr="00F76FE2">
        <w:rPr>
          <w:rFonts w:ascii="Times New Roman" w:hAnsi="Times New Roman" w:cs="Times New Roman"/>
          <w:sz w:val="24"/>
          <w:szCs w:val="24"/>
        </w:rPr>
        <w:t>61</w:t>
      </w:r>
      <w:r w:rsidRPr="00F76FE2">
        <w:rPr>
          <w:rFonts w:ascii="Times New Roman" w:hAnsi="Times New Roman" w:cs="Times New Roman"/>
          <w:sz w:val="24"/>
          <w:szCs w:val="24"/>
        </w:rPr>
        <w:t>.</w:t>
      </w:r>
      <w:r w:rsidR="001B1BC5" w:rsidRPr="00F76FE2">
        <w:rPr>
          <w:rFonts w:ascii="Times New Roman" w:hAnsi="Times New Roman" w:cs="Times New Roman"/>
          <w:sz w:val="24"/>
          <w:szCs w:val="24"/>
        </w:rPr>
        <w:t>4</w:t>
      </w:r>
      <w:r w:rsidRPr="00F76FE2">
        <w:rPr>
          <w:rFonts w:ascii="Times New Roman" w:hAnsi="Times New Roman" w:cs="Times New Roman"/>
          <w:sz w:val="24"/>
          <w:szCs w:val="24"/>
        </w:rPr>
        <w:t xml:space="preserve"> miliard Lekë për obligacione. Kërkesa gjatë vitit 2019 ka qenë relativisht më e lartë se oferta e qeverisë për tituj shtetërorë, duke rezultuar në një raport të përgjithshëm mbulimi prej 1.2</w:t>
      </w:r>
      <w:r w:rsidR="00E83821" w:rsidRPr="00F76FE2">
        <w:rPr>
          <w:rFonts w:ascii="Times New Roman" w:hAnsi="Times New Roman" w:cs="Times New Roman"/>
          <w:sz w:val="24"/>
          <w:szCs w:val="24"/>
        </w:rPr>
        <w:t>9</w:t>
      </w:r>
      <w:r w:rsidRPr="00F76FE2">
        <w:rPr>
          <w:rFonts w:ascii="Times New Roman" w:hAnsi="Times New Roman" w:cs="Times New Roman"/>
          <w:sz w:val="24"/>
          <w:szCs w:val="24"/>
        </w:rPr>
        <w:t>.</w:t>
      </w:r>
    </w:p>
    <w:p w:rsidR="00A62FFA" w:rsidRPr="00F76FE2" w:rsidRDefault="00A62FFA" w:rsidP="00D22996">
      <w:pPr>
        <w:tabs>
          <w:tab w:val="left" w:pos="1182"/>
        </w:tabs>
        <w:spacing w:after="0" w:line="276" w:lineRule="auto"/>
        <w:ind w:right="-46"/>
        <w:jc w:val="both"/>
        <w:rPr>
          <w:rFonts w:ascii="Times New Roman" w:hAnsi="Times New Roman" w:cs="Times New Roman"/>
          <w:sz w:val="20"/>
          <w:szCs w:val="20"/>
        </w:rPr>
      </w:pPr>
    </w:p>
    <w:p w:rsidR="00DA1DA3" w:rsidRPr="00F76FE2" w:rsidRDefault="006C78A7" w:rsidP="00FC2F2F">
      <w:pPr>
        <w:tabs>
          <w:tab w:val="left" w:pos="1182"/>
        </w:tabs>
        <w:spacing w:after="0" w:line="276" w:lineRule="auto"/>
        <w:ind w:right="-46"/>
        <w:jc w:val="center"/>
        <w:rPr>
          <w:rFonts w:ascii="Cambria" w:hAnsi="Cambria" w:cs="Times New Roman"/>
          <w:sz w:val="20"/>
          <w:szCs w:val="20"/>
        </w:rPr>
      </w:pPr>
      <w:r w:rsidRPr="00F76FE2">
        <w:rPr>
          <w:rFonts w:ascii="Cambria" w:hAnsi="Cambria" w:cs="Times New Roman"/>
          <w:b/>
          <w:sz w:val="20"/>
          <w:szCs w:val="20"/>
        </w:rPr>
        <w:t xml:space="preserve">Paraqitje Grafike </w:t>
      </w:r>
      <w:r w:rsidR="00113EA3" w:rsidRPr="00F76FE2">
        <w:rPr>
          <w:rFonts w:ascii="Cambria" w:hAnsi="Cambria" w:cs="Times New Roman"/>
          <w:b/>
          <w:sz w:val="20"/>
          <w:szCs w:val="20"/>
        </w:rPr>
        <w:t>6.1 (a)</w:t>
      </w:r>
      <w:r w:rsidR="00772B83" w:rsidRPr="00F76FE2">
        <w:rPr>
          <w:rFonts w:ascii="Cambria" w:hAnsi="Cambria" w:cs="Times New Roman"/>
          <w:b/>
          <w:sz w:val="20"/>
          <w:szCs w:val="20"/>
        </w:rPr>
        <w:t xml:space="preserve">: </w:t>
      </w:r>
      <w:r w:rsidR="00DA1DA3" w:rsidRPr="00F76FE2">
        <w:rPr>
          <w:rFonts w:ascii="Cambria" w:hAnsi="Cambria" w:cs="Times New Roman"/>
          <w:i/>
          <w:sz w:val="20"/>
          <w:szCs w:val="20"/>
        </w:rPr>
        <w:t>Raporti i mbulimit të ankandeve të titujve shtetërorë</w:t>
      </w:r>
      <w:r w:rsidR="00772B83" w:rsidRPr="00F76FE2">
        <w:rPr>
          <w:rFonts w:ascii="Cambria" w:hAnsi="Cambria" w:cs="Times New Roman"/>
          <w:i/>
          <w:sz w:val="20"/>
          <w:szCs w:val="20"/>
        </w:rPr>
        <w:t xml:space="preserve"> (</w:t>
      </w:r>
      <w:r w:rsidR="00591F30" w:rsidRPr="00F76FE2">
        <w:rPr>
          <w:rFonts w:ascii="Cambria" w:hAnsi="Cambria" w:cs="Times New Roman"/>
          <w:i/>
          <w:sz w:val="20"/>
          <w:szCs w:val="20"/>
        </w:rPr>
        <w:t xml:space="preserve">Viti </w:t>
      </w:r>
      <w:r w:rsidR="00E93B2E" w:rsidRPr="00F76FE2">
        <w:rPr>
          <w:rFonts w:ascii="Cambria" w:hAnsi="Cambria" w:cs="Times New Roman"/>
          <w:i/>
          <w:sz w:val="20"/>
          <w:szCs w:val="20"/>
        </w:rPr>
        <w:t>2019</w:t>
      </w:r>
      <w:r w:rsidR="00772B83" w:rsidRPr="00F76FE2">
        <w:rPr>
          <w:rFonts w:ascii="Cambria" w:hAnsi="Cambria" w:cs="Times New Roman"/>
          <w:i/>
          <w:sz w:val="20"/>
          <w:szCs w:val="20"/>
        </w:rPr>
        <w:t>)</w:t>
      </w:r>
    </w:p>
    <w:p w:rsidR="006835FC" w:rsidRPr="00F76FE2" w:rsidRDefault="00591F30" w:rsidP="00FC2F2F">
      <w:pPr>
        <w:tabs>
          <w:tab w:val="left" w:pos="1182"/>
        </w:tabs>
        <w:spacing w:after="0" w:line="276" w:lineRule="auto"/>
        <w:ind w:right="-46"/>
        <w:jc w:val="both"/>
        <w:rPr>
          <w:rFonts w:ascii="Times New Roman" w:hAnsi="Times New Roman" w:cs="Times New Roman"/>
          <w:sz w:val="24"/>
          <w:szCs w:val="24"/>
        </w:rPr>
      </w:pPr>
      <w:r w:rsidRPr="00F76FE2">
        <w:rPr>
          <w:noProof/>
          <w:lang w:val="en-US"/>
        </w:rPr>
        <w:drawing>
          <wp:inline distT="0" distB="0" distL="0" distR="0" wp14:anchorId="7584C2D4" wp14:editId="29AC21FE">
            <wp:extent cx="5731510" cy="1747520"/>
            <wp:effectExtent l="0" t="0" r="2540" b="5080"/>
            <wp:docPr id="82" name="Chart 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4A5FF7" w:rsidRPr="00F76FE2" w:rsidRDefault="009D6626" w:rsidP="00591F30">
      <w:pPr>
        <w:tabs>
          <w:tab w:val="left" w:pos="1182"/>
        </w:tabs>
        <w:spacing w:after="0" w:line="276" w:lineRule="auto"/>
        <w:ind w:right="-46"/>
        <w:jc w:val="center"/>
        <w:rPr>
          <w:rFonts w:ascii="Cambria" w:hAnsi="Cambria" w:cs="Times New Roman"/>
          <w:i/>
          <w:sz w:val="20"/>
          <w:szCs w:val="20"/>
        </w:rPr>
      </w:pPr>
      <w:r w:rsidRPr="00F76FE2">
        <w:rPr>
          <w:rFonts w:ascii="Cambria" w:hAnsi="Cambria" w:cs="Times New Roman"/>
          <w:b/>
          <w:sz w:val="20"/>
          <w:szCs w:val="20"/>
        </w:rPr>
        <w:t xml:space="preserve">Burimi: </w:t>
      </w:r>
      <w:r w:rsidRPr="00F76FE2">
        <w:rPr>
          <w:rFonts w:ascii="Cambria" w:hAnsi="Cambria" w:cs="Times New Roman"/>
          <w:i/>
          <w:sz w:val="20"/>
          <w:szCs w:val="20"/>
        </w:rPr>
        <w:t xml:space="preserve">Ministria </w:t>
      </w:r>
      <w:r w:rsidR="004A5FF7" w:rsidRPr="00F76FE2">
        <w:rPr>
          <w:rFonts w:ascii="Cambria" w:hAnsi="Cambria" w:cs="Times New Roman"/>
          <w:i/>
          <w:sz w:val="20"/>
          <w:szCs w:val="20"/>
        </w:rPr>
        <w:t>e Financave dhe Ekonomisë (20</w:t>
      </w:r>
      <w:r w:rsidR="00591F30" w:rsidRPr="00F76FE2">
        <w:rPr>
          <w:rFonts w:ascii="Cambria" w:hAnsi="Cambria" w:cs="Times New Roman"/>
          <w:i/>
          <w:sz w:val="20"/>
          <w:szCs w:val="20"/>
        </w:rPr>
        <w:t>20</w:t>
      </w:r>
      <w:r w:rsidR="00C064AA" w:rsidRPr="00F76FE2">
        <w:rPr>
          <w:rFonts w:ascii="Cambria" w:hAnsi="Cambria" w:cs="Times New Roman"/>
          <w:i/>
          <w:sz w:val="20"/>
          <w:szCs w:val="20"/>
        </w:rPr>
        <w:t>)</w:t>
      </w:r>
    </w:p>
    <w:p w:rsidR="00D900F2" w:rsidRPr="00F76FE2" w:rsidRDefault="005772D5" w:rsidP="00E93B2E">
      <w:pPr>
        <w:spacing w:after="0" w:line="276" w:lineRule="auto"/>
        <w:ind w:right="-46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76FE2">
        <w:rPr>
          <w:rFonts w:ascii="Times New Roman" w:hAnsi="Times New Roman" w:cs="Times New Roman"/>
          <w:noProof/>
          <w:sz w:val="24"/>
          <w:szCs w:val="24"/>
        </w:rPr>
        <w:lastRenderedPageBreak/>
        <w:t>Nga pikëpamja e investitorëve, kërkesa përgjithësisht ka shfaqur karakteristika të njëjta me vitin e kaluar</w:t>
      </w:r>
      <w:r w:rsidR="004262A9" w:rsidRPr="00F76FE2">
        <w:rPr>
          <w:rFonts w:ascii="Times New Roman" w:hAnsi="Times New Roman" w:cs="Times New Roman"/>
          <w:noProof/>
          <w:sz w:val="24"/>
          <w:szCs w:val="24"/>
        </w:rPr>
        <w:t>,</w:t>
      </w:r>
      <w:r w:rsidRPr="00F76FE2">
        <w:rPr>
          <w:rFonts w:ascii="Times New Roman" w:hAnsi="Times New Roman" w:cs="Times New Roman"/>
          <w:noProof/>
          <w:sz w:val="24"/>
          <w:szCs w:val="24"/>
        </w:rPr>
        <w:t xml:space="preserve"> duke vazhduar të jetë e</w:t>
      </w:r>
      <w:r w:rsidR="00D900F2" w:rsidRPr="00F76FE2">
        <w:rPr>
          <w:rFonts w:ascii="Times New Roman" w:hAnsi="Times New Roman" w:cs="Times New Roman"/>
          <w:noProof/>
          <w:sz w:val="24"/>
          <w:szCs w:val="24"/>
        </w:rPr>
        <w:t xml:space="preserve"> përqendruar tek sektori bankar.</w:t>
      </w:r>
    </w:p>
    <w:p w:rsidR="005772D5" w:rsidRPr="00F76FE2" w:rsidRDefault="00D900F2" w:rsidP="00E93B2E">
      <w:pPr>
        <w:spacing w:after="0" w:line="276" w:lineRule="auto"/>
        <w:ind w:right="-46"/>
        <w:jc w:val="both"/>
        <w:rPr>
          <w:rFonts w:ascii="Times New Roman" w:hAnsi="Times New Roman" w:cs="Times New Roman"/>
          <w:sz w:val="24"/>
          <w:szCs w:val="24"/>
        </w:rPr>
      </w:pPr>
      <w:r w:rsidRPr="00F76FE2">
        <w:rPr>
          <w:rFonts w:ascii="Times New Roman" w:hAnsi="Times New Roman" w:cs="Times New Roman"/>
          <w:sz w:val="24"/>
          <w:szCs w:val="24"/>
        </w:rPr>
        <w:t>Karakteristikat e kërkesës përgjithësisht janë reflektuar edhe në drejtim të mbajtësve të borxhit të brendshëm. Baza e investitor</w:t>
      </w:r>
      <w:r w:rsidR="00513848" w:rsidRPr="00F76FE2">
        <w:rPr>
          <w:rFonts w:ascii="Times New Roman" w:hAnsi="Times New Roman" w:cs="Times New Roman"/>
          <w:sz w:val="24"/>
          <w:szCs w:val="24"/>
        </w:rPr>
        <w:t>ë</w:t>
      </w:r>
      <w:r w:rsidRPr="00F76FE2">
        <w:rPr>
          <w:rFonts w:ascii="Times New Roman" w:hAnsi="Times New Roman" w:cs="Times New Roman"/>
          <w:sz w:val="24"/>
          <w:szCs w:val="24"/>
        </w:rPr>
        <w:t>ve, vijon të jetë i përqendruar në mbi 60% tek sektori bankar duke e b</w:t>
      </w:r>
      <w:r w:rsidR="00513848" w:rsidRPr="00F76FE2">
        <w:rPr>
          <w:rFonts w:ascii="Times New Roman" w:hAnsi="Times New Roman" w:cs="Times New Roman"/>
          <w:sz w:val="24"/>
          <w:szCs w:val="24"/>
        </w:rPr>
        <w:t>ë</w:t>
      </w:r>
      <w:r w:rsidRPr="00F76FE2">
        <w:rPr>
          <w:rFonts w:ascii="Times New Roman" w:hAnsi="Times New Roman" w:cs="Times New Roman"/>
          <w:sz w:val="24"/>
          <w:szCs w:val="24"/>
        </w:rPr>
        <w:t>r</w:t>
      </w:r>
      <w:r w:rsidR="00513848" w:rsidRPr="00F76FE2">
        <w:rPr>
          <w:rFonts w:ascii="Times New Roman" w:hAnsi="Times New Roman" w:cs="Times New Roman"/>
          <w:sz w:val="24"/>
          <w:szCs w:val="24"/>
        </w:rPr>
        <w:t>ë</w:t>
      </w:r>
      <w:r w:rsidRPr="00F76FE2">
        <w:rPr>
          <w:rFonts w:ascii="Times New Roman" w:hAnsi="Times New Roman" w:cs="Times New Roman"/>
          <w:sz w:val="24"/>
          <w:szCs w:val="24"/>
        </w:rPr>
        <w:t xml:space="preserve"> portofolin e borxhit t</w:t>
      </w:r>
      <w:r w:rsidR="00513848" w:rsidRPr="00F76FE2">
        <w:rPr>
          <w:rFonts w:ascii="Times New Roman" w:hAnsi="Times New Roman" w:cs="Times New Roman"/>
          <w:sz w:val="24"/>
          <w:szCs w:val="24"/>
        </w:rPr>
        <w:t>ë</w:t>
      </w:r>
      <w:r w:rsidRPr="00F76FE2">
        <w:rPr>
          <w:rFonts w:ascii="Times New Roman" w:hAnsi="Times New Roman" w:cs="Times New Roman"/>
          <w:sz w:val="24"/>
          <w:szCs w:val="24"/>
        </w:rPr>
        <w:t xml:space="preserve"> brendsh</w:t>
      </w:r>
      <w:r w:rsidR="00513848" w:rsidRPr="00F76FE2">
        <w:rPr>
          <w:rFonts w:ascii="Times New Roman" w:hAnsi="Times New Roman" w:cs="Times New Roman"/>
          <w:sz w:val="24"/>
          <w:szCs w:val="24"/>
        </w:rPr>
        <w:t>ë</w:t>
      </w:r>
      <w:r w:rsidRPr="00F76FE2">
        <w:rPr>
          <w:rFonts w:ascii="Times New Roman" w:hAnsi="Times New Roman" w:cs="Times New Roman"/>
          <w:sz w:val="24"/>
          <w:szCs w:val="24"/>
        </w:rPr>
        <w:t>m t</w:t>
      </w:r>
      <w:r w:rsidR="00513848" w:rsidRPr="00F76FE2">
        <w:rPr>
          <w:rFonts w:ascii="Times New Roman" w:hAnsi="Times New Roman" w:cs="Times New Roman"/>
          <w:sz w:val="24"/>
          <w:szCs w:val="24"/>
        </w:rPr>
        <w:t>ë</w:t>
      </w:r>
      <w:r w:rsidRPr="00F76FE2">
        <w:rPr>
          <w:rFonts w:ascii="Times New Roman" w:hAnsi="Times New Roman" w:cs="Times New Roman"/>
          <w:sz w:val="24"/>
          <w:szCs w:val="24"/>
        </w:rPr>
        <w:t xml:space="preserve"> ndjesh</w:t>
      </w:r>
      <w:r w:rsidR="00513848" w:rsidRPr="00F76FE2">
        <w:rPr>
          <w:rFonts w:ascii="Times New Roman" w:hAnsi="Times New Roman" w:cs="Times New Roman"/>
          <w:sz w:val="24"/>
          <w:szCs w:val="24"/>
        </w:rPr>
        <w:t>ë</w:t>
      </w:r>
      <w:r w:rsidRPr="00F76FE2">
        <w:rPr>
          <w:rFonts w:ascii="Times New Roman" w:hAnsi="Times New Roman" w:cs="Times New Roman"/>
          <w:sz w:val="24"/>
          <w:szCs w:val="24"/>
        </w:rPr>
        <w:t>m ndaj risqeve sistemike q</w:t>
      </w:r>
      <w:r w:rsidR="00513848" w:rsidRPr="00F76FE2">
        <w:rPr>
          <w:rFonts w:ascii="Times New Roman" w:hAnsi="Times New Roman" w:cs="Times New Roman"/>
          <w:sz w:val="24"/>
          <w:szCs w:val="24"/>
        </w:rPr>
        <w:t>ë</w:t>
      </w:r>
      <w:r w:rsidRPr="00F76FE2">
        <w:rPr>
          <w:rFonts w:ascii="Times New Roman" w:hAnsi="Times New Roman" w:cs="Times New Roman"/>
          <w:sz w:val="24"/>
          <w:szCs w:val="24"/>
        </w:rPr>
        <w:t xml:space="preserve"> mund t</w:t>
      </w:r>
      <w:r w:rsidR="00513848" w:rsidRPr="00F76FE2">
        <w:rPr>
          <w:rFonts w:ascii="Times New Roman" w:hAnsi="Times New Roman" w:cs="Times New Roman"/>
          <w:sz w:val="24"/>
          <w:szCs w:val="24"/>
        </w:rPr>
        <w:t>ë</w:t>
      </w:r>
      <w:r w:rsidRPr="00F76FE2">
        <w:rPr>
          <w:rFonts w:ascii="Times New Roman" w:hAnsi="Times New Roman" w:cs="Times New Roman"/>
          <w:sz w:val="24"/>
          <w:szCs w:val="24"/>
        </w:rPr>
        <w:t xml:space="preserve"> paraqes</w:t>
      </w:r>
      <w:r w:rsidR="00513848" w:rsidRPr="00F76FE2">
        <w:rPr>
          <w:rFonts w:ascii="Times New Roman" w:hAnsi="Times New Roman" w:cs="Times New Roman"/>
          <w:sz w:val="24"/>
          <w:szCs w:val="24"/>
        </w:rPr>
        <w:t>ë</w:t>
      </w:r>
      <w:r w:rsidRPr="00F76FE2">
        <w:rPr>
          <w:rFonts w:ascii="Times New Roman" w:hAnsi="Times New Roman" w:cs="Times New Roman"/>
          <w:sz w:val="24"/>
          <w:szCs w:val="24"/>
        </w:rPr>
        <w:t xml:space="preserve"> ky sektor.</w:t>
      </w:r>
    </w:p>
    <w:p w:rsidR="00D86B99" w:rsidRPr="00F76FE2" w:rsidRDefault="00D86B99" w:rsidP="00E93B2E">
      <w:pPr>
        <w:spacing w:after="0" w:line="276" w:lineRule="auto"/>
        <w:ind w:right="-46"/>
        <w:jc w:val="both"/>
        <w:rPr>
          <w:rFonts w:ascii="Times New Roman" w:hAnsi="Times New Roman" w:cs="Times New Roman"/>
          <w:sz w:val="20"/>
          <w:szCs w:val="20"/>
        </w:rPr>
      </w:pPr>
    </w:p>
    <w:p w:rsidR="0080644F" w:rsidRPr="00F76FE2" w:rsidRDefault="00D85037" w:rsidP="009053F0">
      <w:pPr>
        <w:spacing w:after="0" w:line="276" w:lineRule="auto"/>
        <w:ind w:right="-46"/>
        <w:jc w:val="center"/>
        <w:rPr>
          <w:rFonts w:ascii="Cambria" w:hAnsi="Cambria" w:cs="Times New Roman"/>
          <w:i/>
          <w:sz w:val="20"/>
          <w:szCs w:val="20"/>
          <w:lang w:val="it-IT"/>
        </w:rPr>
      </w:pPr>
      <w:r w:rsidRPr="00F76FE2">
        <w:rPr>
          <w:rFonts w:ascii="Cambria" w:hAnsi="Cambria" w:cs="Times New Roman"/>
          <w:b/>
          <w:sz w:val="20"/>
          <w:szCs w:val="20"/>
        </w:rPr>
        <w:t>Paraqitje Grafike 6.1 (b</w:t>
      </w:r>
      <w:r w:rsidR="00A8588E" w:rsidRPr="00F76FE2">
        <w:rPr>
          <w:rFonts w:ascii="Cambria" w:hAnsi="Cambria" w:cs="Times New Roman"/>
          <w:b/>
          <w:sz w:val="20"/>
          <w:szCs w:val="20"/>
        </w:rPr>
        <w:t xml:space="preserve">): </w:t>
      </w:r>
      <w:r w:rsidR="00A8588E" w:rsidRPr="00F76FE2">
        <w:rPr>
          <w:rFonts w:ascii="Cambria" w:hAnsi="Cambria" w:cs="Times New Roman"/>
          <w:i/>
          <w:sz w:val="20"/>
          <w:szCs w:val="20"/>
          <w:lang w:val="it-IT"/>
        </w:rPr>
        <w:t>Mbajt</w:t>
      </w:r>
      <w:r w:rsidR="00475116" w:rsidRPr="00F76FE2">
        <w:rPr>
          <w:rFonts w:ascii="Cambria" w:hAnsi="Cambria" w:cs="Times New Roman"/>
          <w:i/>
          <w:sz w:val="20"/>
          <w:szCs w:val="20"/>
          <w:lang w:val="it-IT"/>
        </w:rPr>
        <w:t>ësit e borxhit të brendshë</w:t>
      </w:r>
      <w:r w:rsidR="00A8588E" w:rsidRPr="00F76FE2">
        <w:rPr>
          <w:rFonts w:ascii="Cambria" w:hAnsi="Cambria" w:cs="Times New Roman"/>
          <w:i/>
          <w:sz w:val="20"/>
          <w:szCs w:val="20"/>
          <w:lang w:val="it-IT"/>
        </w:rPr>
        <w:t>m</w:t>
      </w:r>
      <w:r w:rsidR="0010660A" w:rsidRPr="00F76FE2">
        <w:rPr>
          <w:rFonts w:ascii="Cambria" w:hAnsi="Cambria" w:cs="Times New Roman"/>
          <w:i/>
          <w:sz w:val="20"/>
          <w:szCs w:val="20"/>
          <w:lang w:val="it-IT"/>
        </w:rPr>
        <w:t xml:space="preserve"> shtet</w:t>
      </w:r>
      <w:r w:rsidR="00FE6116" w:rsidRPr="00F76FE2">
        <w:rPr>
          <w:rFonts w:ascii="Cambria" w:hAnsi="Cambria" w:cs="Times New Roman"/>
          <w:i/>
          <w:sz w:val="20"/>
          <w:szCs w:val="20"/>
          <w:lang w:val="it-IT"/>
        </w:rPr>
        <w:t>ë</w:t>
      </w:r>
      <w:r w:rsidR="009053F0" w:rsidRPr="00F76FE2">
        <w:rPr>
          <w:rFonts w:ascii="Cambria" w:hAnsi="Cambria" w:cs="Times New Roman"/>
          <w:i/>
          <w:sz w:val="20"/>
          <w:szCs w:val="20"/>
          <w:lang w:val="it-IT"/>
        </w:rPr>
        <w:t>ror</w:t>
      </w:r>
      <w:r w:rsidR="004847AF" w:rsidRPr="00F76FE2">
        <w:rPr>
          <w:rFonts w:ascii="Cambria" w:hAnsi="Cambria" w:cs="Times New Roman"/>
          <w:i/>
          <w:sz w:val="20"/>
          <w:szCs w:val="20"/>
          <w:lang w:val="it-IT"/>
        </w:rPr>
        <w:t xml:space="preserve"> (2015</w:t>
      </w:r>
      <w:r w:rsidR="004847AF" w:rsidRPr="00F76FE2">
        <w:rPr>
          <w:rFonts w:ascii="Cambria" w:hAnsi="Cambria" w:cs="Times New Roman"/>
          <w:i/>
          <w:noProof/>
          <w:sz w:val="20"/>
          <w:szCs w:val="20"/>
        </w:rPr>
        <w:t>–</w:t>
      </w:r>
      <w:r w:rsidR="00DE350A" w:rsidRPr="00F76FE2">
        <w:rPr>
          <w:rFonts w:ascii="Cambria" w:hAnsi="Cambria" w:cs="Times New Roman"/>
          <w:i/>
          <w:sz w:val="20"/>
          <w:szCs w:val="20"/>
          <w:lang w:val="it-IT"/>
        </w:rPr>
        <w:t>2019</w:t>
      </w:r>
      <w:r w:rsidR="00F261E1" w:rsidRPr="00F76FE2">
        <w:rPr>
          <w:rFonts w:ascii="Cambria" w:hAnsi="Cambria" w:cs="Times New Roman"/>
          <w:i/>
          <w:sz w:val="20"/>
          <w:szCs w:val="20"/>
          <w:lang w:val="it-IT"/>
        </w:rPr>
        <w:t>)</w:t>
      </w:r>
    </w:p>
    <w:p w:rsidR="00DE350A" w:rsidRPr="00F76FE2" w:rsidRDefault="00D900F2" w:rsidP="00DE350A">
      <w:pPr>
        <w:spacing w:after="0" w:line="276" w:lineRule="auto"/>
        <w:ind w:right="-46"/>
        <w:jc w:val="center"/>
        <w:rPr>
          <w:noProof/>
          <w:lang w:val="en-US"/>
        </w:rPr>
      </w:pPr>
      <w:r w:rsidRPr="00F76FE2">
        <w:rPr>
          <w:noProof/>
          <w:lang w:val="en-US"/>
        </w:rPr>
        <w:drawing>
          <wp:inline distT="0" distB="0" distL="0" distR="0" wp14:anchorId="3939F41E" wp14:editId="499083D2">
            <wp:extent cx="5731510" cy="2067339"/>
            <wp:effectExtent l="0" t="0" r="2540" b="9525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E340A0" w:rsidRPr="00F76FE2" w:rsidRDefault="009D6626" w:rsidP="00586912">
      <w:pPr>
        <w:spacing w:after="0" w:line="276" w:lineRule="auto"/>
        <w:ind w:right="-46"/>
        <w:jc w:val="center"/>
        <w:rPr>
          <w:rFonts w:ascii="Cambria" w:hAnsi="Cambria"/>
          <w:i/>
          <w:sz w:val="20"/>
          <w:szCs w:val="20"/>
        </w:rPr>
      </w:pPr>
      <w:r w:rsidRPr="00F76FE2">
        <w:rPr>
          <w:rFonts w:ascii="Cambria" w:hAnsi="Cambria"/>
          <w:b/>
          <w:sz w:val="20"/>
          <w:szCs w:val="20"/>
        </w:rPr>
        <w:t>Burimi:</w:t>
      </w:r>
      <w:r w:rsidRPr="00F76FE2">
        <w:rPr>
          <w:rFonts w:ascii="Cambria" w:hAnsi="Cambria"/>
          <w:b/>
          <w:i/>
          <w:sz w:val="20"/>
          <w:szCs w:val="20"/>
        </w:rPr>
        <w:t xml:space="preserve"> </w:t>
      </w:r>
      <w:r w:rsidRPr="00F76FE2">
        <w:rPr>
          <w:rFonts w:ascii="Cambria" w:hAnsi="Cambria"/>
          <w:i/>
          <w:sz w:val="20"/>
          <w:szCs w:val="20"/>
        </w:rPr>
        <w:t>Ministria</w:t>
      </w:r>
      <w:r w:rsidR="00DE350A" w:rsidRPr="00F76FE2">
        <w:rPr>
          <w:rFonts w:ascii="Cambria" w:hAnsi="Cambria"/>
          <w:i/>
          <w:sz w:val="20"/>
          <w:szCs w:val="20"/>
        </w:rPr>
        <w:t xml:space="preserve"> e Financave dhe Ekonomisë (20</w:t>
      </w:r>
      <w:r w:rsidR="00D900F2" w:rsidRPr="00F76FE2">
        <w:rPr>
          <w:rFonts w:ascii="Cambria" w:hAnsi="Cambria"/>
          <w:i/>
          <w:sz w:val="20"/>
          <w:szCs w:val="20"/>
        </w:rPr>
        <w:t>20</w:t>
      </w:r>
      <w:r w:rsidRPr="00F76FE2">
        <w:rPr>
          <w:rFonts w:ascii="Cambria" w:hAnsi="Cambria"/>
          <w:i/>
          <w:sz w:val="20"/>
          <w:szCs w:val="20"/>
        </w:rPr>
        <w:t>)</w:t>
      </w:r>
      <w:bookmarkStart w:id="19" w:name="_Toc491861002"/>
      <w:bookmarkStart w:id="20" w:name="_Toc491954315"/>
    </w:p>
    <w:p w:rsidR="007C4429" w:rsidRPr="00F76FE2" w:rsidRDefault="007C4429" w:rsidP="00586912">
      <w:pPr>
        <w:spacing w:after="0" w:line="276" w:lineRule="auto"/>
        <w:ind w:right="-46"/>
        <w:jc w:val="center"/>
        <w:rPr>
          <w:rFonts w:ascii="Cambria" w:hAnsi="Cambria"/>
          <w:i/>
          <w:sz w:val="20"/>
          <w:szCs w:val="20"/>
        </w:rPr>
      </w:pPr>
    </w:p>
    <w:p w:rsidR="001B48C0" w:rsidRPr="00F76FE2" w:rsidRDefault="00126DF8" w:rsidP="00126DF8">
      <w:pPr>
        <w:spacing w:after="0" w:line="276" w:lineRule="auto"/>
        <w:ind w:right="-46"/>
        <w:jc w:val="both"/>
        <w:rPr>
          <w:rFonts w:ascii="Times New Roman" w:hAnsi="Times New Roman" w:cs="Times New Roman"/>
          <w:noProof/>
          <w:sz w:val="24"/>
          <w:szCs w:val="20"/>
        </w:rPr>
      </w:pPr>
      <w:r w:rsidRPr="00F76FE2">
        <w:rPr>
          <w:rFonts w:ascii="Times New Roman" w:hAnsi="Times New Roman" w:cs="Times New Roman"/>
          <w:noProof/>
          <w:sz w:val="24"/>
          <w:szCs w:val="20"/>
        </w:rPr>
        <w:t>Gjithashtu, gjatë vitit 201</w:t>
      </w:r>
      <w:r w:rsidR="00805B4F" w:rsidRPr="00F76FE2">
        <w:rPr>
          <w:rFonts w:ascii="Times New Roman" w:hAnsi="Times New Roman" w:cs="Times New Roman"/>
          <w:noProof/>
          <w:sz w:val="24"/>
          <w:szCs w:val="20"/>
        </w:rPr>
        <w:t>9</w:t>
      </w:r>
      <w:r w:rsidRPr="00F76FE2">
        <w:rPr>
          <w:rFonts w:ascii="Times New Roman" w:hAnsi="Times New Roman" w:cs="Times New Roman"/>
          <w:noProof/>
          <w:sz w:val="24"/>
          <w:szCs w:val="20"/>
        </w:rPr>
        <w:t xml:space="preserve"> është </w:t>
      </w:r>
      <w:r w:rsidR="00805B4F" w:rsidRPr="00F76FE2">
        <w:rPr>
          <w:rFonts w:ascii="Times New Roman" w:hAnsi="Times New Roman" w:cs="Times New Roman"/>
          <w:noProof/>
          <w:sz w:val="24"/>
          <w:szCs w:val="20"/>
        </w:rPr>
        <w:t>vijuar me zbatimin e projektit</w:t>
      </w:r>
      <w:r w:rsidRPr="00F76FE2">
        <w:rPr>
          <w:rFonts w:ascii="Times New Roman" w:hAnsi="Times New Roman" w:cs="Times New Roman"/>
          <w:noProof/>
          <w:sz w:val="24"/>
          <w:szCs w:val="20"/>
        </w:rPr>
        <w:t xml:space="preserve"> pilot për emetimin e obligacion</w:t>
      </w:r>
      <w:r w:rsidR="00805B4F" w:rsidRPr="00F76FE2">
        <w:rPr>
          <w:rFonts w:ascii="Times New Roman" w:hAnsi="Times New Roman" w:cs="Times New Roman"/>
          <w:noProof/>
          <w:sz w:val="24"/>
          <w:szCs w:val="20"/>
        </w:rPr>
        <w:t>eve</w:t>
      </w:r>
      <w:r w:rsidRPr="00F76FE2">
        <w:rPr>
          <w:rFonts w:ascii="Times New Roman" w:hAnsi="Times New Roman" w:cs="Times New Roman"/>
          <w:noProof/>
          <w:sz w:val="24"/>
          <w:szCs w:val="20"/>
        </w:rPr>
        <w:t xml:space="preserve"> </w:t>
      </w:r>
      <w:r w:rsidR="00805B4F" w:rsidRPr="00F76FE2">
        <w:rPr>
          <w:rFonts w:ascii="Times New Roman" w:hAnsi="Times New Roman" w:cs="Times New Roman"/>
          <w:noProof/>
          <w:sz w:val="24"/>
          <w:szCs w:val="20"/>
        </w:rPr>
        <w:t>referencë, i cili ka p</w:t>
      </w:r>
      <w:r w:rsidR="00513848" w:rsidRPr="00F76FE2">
        <w:rPr>
          <w:rFonts w:ascii="Times New Roman" w:hAnsi="Times New Roman" w:cs="Times New Roman"/>
          <w:noProof/>
          <w:sz w:val="24"/>
          <w:szCs w:val="20"/>
        </w:rPr>
        <w:t>ë</w:t>
      </w:r>
      <w:r w:rsidR="00805B4F" w:rsidRPr="00F76FE2">
        <w:rPr>
          <w:rFonts w:ascii="Times New Roman" w:hAnsi="Times New Roman" w:cs="Times New Roman"/>
          <w:noProof/>
          <w:sz w:val="24"/>
          <w:szCs w:val="20"/>
        </w:rPr>
        <w:t>r q</w:t>
      </w:r>
      <w:r w:rsidR="00513848" w:rsidRPr="00F76FE2">
        <w:rPr>
          <w:rFonts w:ascii="Times New Roman" w:hAnsi="Times New Roman" w:cs="Times New Roman"/>
          <w:noProof/>
          <w:sz w:val="24"/>
          <w:szCs w:val="20"/>
        </w:rPr>
        <w:t>ë</w:t>
      </w:r>
      <w:r w:rsidR="00805B4F" w:rsidRPr="00F76FE2">
        <w:rPr>
          <w:rFonts w:ascii="Times New Roman" w:hAnsi="Times New Roman" w:cs="Times New Roman"/>
          <w:noProof/>
          <w:sz w:val="24"/>
          <w:szCs w:val="20"/>
        </w:rPr>
        <w:t xml:space="preserve">llim </w:t>
      </w:r>
      <w:r w:rsidR="009354F9" w:rsidRPr="00F76FE2">
        <w:rPr>
          <w:rFonts w:ascii="Times New Roman" w:hAnsi="Times New Roman" w:cs="Times New Roman"/>
          <w:noProof/>
          <w:sz w:val="24"/>
          <w:szCs w:val="20"/>
        </w:rPr>
        <w:t>të nxisë tregtimin e titujve në tregun sekondar dhe të risë zbulueshmërinë e çmimit të titujve, duke reduktuar në këtë mënyrë kostot e huamarrjes në periudhën afatmesme dhe afatgjatë.</w:t>
      </w:r>
    </w:p>
    <w:p w:rsidR="001B48C0" w:rsidRPr="00F76FE2" w:rsidRDefault="001B48C0" w:rsidP="00126DF8">
      <w:pPr>
        <w:spacing w:after="0" w:line="276" w:lineRule="auto"/>
        <w:ind w:right="-46"/>
        <w:jc w:val="both"/>
        <w:rPr>
          <w:rFonts w:ascii="Times New Roman" w:hAnsi="Times New Roman" w:cs="Times New Roman"/>
          <w:noProof/>
          <w:sz w:val="24"/>
          <w:szCs w:val="20"/>
        </w:rPr>
      </w:pPr>
      <w:r w:rsidRPr="00F76FE2">
        <w:rPr>
          <w:rFonts w:ascii="Times New Roman" w:hAnsi="Times New Roman" w:cs="Times New Roman"/>
          <w:noProof/>
          <w:sz w:val="24"/>
          <w:szCs w:val="20"/>
        </w:rPr>
        <w:t xml:space="preserve">Ky projekt monitorohet nga Ministria e Financave dhe Ekonomisë, si edhe realizohet në bashkëpunim me disa zhvillues tregu </w:t>
      </w:r>
      <w:r w:rsidRPr="00F76FE2">
        <w:rPr>
          <w:rFonts w:ascii="Times New Roman" w:hAnsi="Times New Roman" w:cs="Times New Roman"/>
          <w:i/>
          <w:iCs/>
          <w:noProof/>
          <w:sz w:val="24"/>
          <w:szCs w:val="20"/>
        </w:rPr>
        <w:t>(Market Makers)</w:t>
      </w:r>
      <w:r w:rsidRPr="00F76FE2">
        <w:rPr>
          <w:rFonts w:ascii="Times New Roman" w:hAnsi="Times New Roman" w:cs="Times New Roman"/>
          <w:noProof/>
          <w:sz w:val="24"/>
          <w:szCs w:val="20"/>
        </w:rPr>
        <w:t>. Në dallim nga ankandet e zakonshme, n</w:t>
      </w:r>
      <w:r w:rsidR="00513848" w:rsidRPr="00F76FE2">
        <w:rPr>
          <w:rFonts w:ascii="Times New Roman" w:hAnsi="Times New Roman" w:cs="Times New Roman"/>
          <w:noProof/>
          <w:sz w:val="24"/>
          <w:szCs w:val="20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0"/>
        </w:rPr>
        <w:t xml:space="preserve"> ankandet e obligacioneve referencë në tregun primar lejohet të ma</w:t>
      </w:r>
      <w:r w:rsidR="004262A9" w:rsidRPr="00F76FE2">
        <w:rPr>
          <w:rFonts w:ascii="Times New Roman" w:hAnsi="Times New Roman" w:cs="Times New Roman"/>
          <w:noProof/>
          <w:sz w:val="24"/>
          <w:szCs w:val="20"/>
        </w:rPr>
        <w:t>r</w:t>
      </w:r>
      <w:r w:rsidRPr="00F76FE2">
        <w:rPr>
          <w:rFonts w:ascii="Times New Roman" w:hAnsi="Times New Roman" w:cs="Times New Roman"/>
          <w:noProof/>
          <w:sz w:val="24"/>
          <w:szCs w:val="20"/>
        </w:rPr>
        <w:t xml:space="preserve">rin pjesë vetëm zhvilluesit e tregut </w:t>
      </w:r>
      <w:r w:rsidRPr="00F76FE2">
        <w:rPr>
          <w:rFonts w:ascii="Times New Roman" w:hAnsi="Times New Roman" w:cs="Times New Roman"/>
          <w:i/>
          <w:iCs/>
          <w:noProof/>
          <w:sz w:val="24"/>
          <w:szCs w:val="20"/>
        </w:rPr>
        <w:t>(banka t</w:t>
      </w:r>
      <w:r w:rsidR="00513848" w:rsidRPr="00F76FE2">
        <w:rPr>
          <w:rFonts w:ascii="Times New Roman" w:hAnsi="Times New Roman" w:cs="Times New Roman"/>
          <w:i/>
          <w:iCs/>
          <w:noProof/>
          <w:sz w:val="24"/>
          <w:szCs w:val="20"/>
        </w:rPr>
        <w:t>ë</w:t>
      </w:r>
      <w:r w:rsidRPr="00F76FE2">
        <w:rPr>
          <w:rFonts w:ascii="Times New Roman" w:hAnsi="Times New Roman" w:cs="Times New Roman"/>
          <w:i/>
          <w:iCs/>
          <w:noProof/>
          <w:sz w:val="24"/>
          <w:szCs w:val="20"/>
        </w:rPr>
        <w:t xml:space="preserve"> nivelit t</w:t>
      </w:r>
      <w:r w:rsidR="00513848" w:rsidRPr="00F76FE2">
        <w:rPr>
          <w:rFonts w:ascii="Times New Roman" w:hAnsi="Times New Roman" w:cs="Times New Roman"/>
          <w:i/>
          <w:iCs/>
          <w:noProof/>
          <w:sz w:val="24"/>
          <w:szCs w:val="20"/>
        </w:rPr>
        <w:t>ë</w:t>
      </w:r>
      <w:r w:rsidRPr="00F76FE2">
        <w:rPr>
          <w:rFonts w:ascii="Times New Roman" w:hAnsi="Times New Roman" w:cs="Times New Roman"/>
          <w:i/>
          <w:iCs/>
          <w:noProof/>
          <w:sz w:val="24"/>
          <w:szCs w:val="20"/>
        </w:rPr>
        <w:t xml:space="preserve"> dyt</w:t>
      </w:r>
      <w:r w:rsidR="00513848" w:rsidRPr="00F76FE2">
        <w:rPr>
          <w:rFonts w:ascii="Times New Roman" w:hAnsi="Times New Roman" w:cs="Times New Roman"/>
          <w:i/>
          <w:iCs/>
          <w:noProof/>
          <w:sz w:val="24"/>
          <w:szCs w:val="20"/>
        </w:rPr>
        <w:t>ë</w:t>
      </w:r>
      <w:r w:rsidRPr="00F76FE2">
        <w:rPr>
          <w:rFonts w:ascii="Times New Roman" w:hAnsi="Times New Roman" w:cs="Times New Roman"/>
          <w:i/>
          <w:iCs/>
          <w:noProof/>
          <w:sz w:val="24"/>
          <w:szCs w:val="20"/>
        </w:rPr>
        <w:t xml:space="preserve"> ose institucione t</w:t>
      </w:r>
      <w:r w:rsidR="00513848" w:rsidRPr="00F76FE2">
        <w:rPr>
          <w:rFonts w:ascii="Times New Roman" w:hAnsi="Times New Roman" w:cs="Times New Roman"/>
          <w:i/>
          <w:iCs/>
          <w:noProof/>
          <w:sz w:val="24"/>
          <w:szCs w:val="20"/>
        </w:rPr>
        <w:t>ë</w:t>
      </w:r>
      <w:r w:rsidRPr="00F76FE2">
        <w:rPr>
          <w:rFonts w:ascii="Times New Roman" w:hAnsi="Times New Roman" w:cs="Times New Roman"/>
          <w:i/>
          <w:iCs/>
          <w:noProof/>
          <w:sz w:val="24"/>
          <w:szCs w:val="20"/>
        </w:rPr>
        <w:t xml:space="preserve"> tjera financiare)</w:t>
      </w:r>
      <w:r w:rsidRPr="00F76FE2">
        <w:rPr>
          <w:rFonts w:ascii="Times New Roman" w:hAnsi="Times New Roman" w:cs="Times New Roman"/>
          <w:noProof/>
          <w:sz w:val="24"/>
          <w:szCs w:val="20"/>
        </w:rPr>
        <w:t>, të cilët marrin përsipër të tregtojnë këtë titull në tregun sekondar.</w:t>
      </w:r>
    </w:p>
    <w:p w:rsidR="00AA03D6" w:rsidRPr="00F76FE2" w:rsidRDefault="009354F9" w:rsidP="00126DF8">
      <w:pPr>
        <w:spacing w:after="0" w:line="276" w:lineRule="auto"/>
        <w:ind w:right="-46"/>
        <w:jc w:val="both"/>
        <w:rPr>
          <w:rFonts w:ascii="Times New Roman" w:hAnsi="Times New Roman" w:cs="Times New Roman"/>
          <w:noProof/>
          <w:sz w:val="24"/>
          <w:szCs w:val="20"/>
        </w:rPr>
      </w:pPr>
      <w:r w:rsidRPr="00F76FE2">
        <w:rPr>
          <w:rFonts w:ascii="Times New Roman" w:hAnsi="Times New Roman" w:cs="Times New Roman"/>
          <w:noProof/>
          <w:sz w:val="24"/>
          <w:szCs w:val="20"/>
        </w:rPr>
        <w:t xml:space="preserve">Nisur nga rezultatet premtuese </w:t>
      </w:r>
      <w:r w:rsidR="000C4680" w:rsidRPr="00F76FE2">
        <w:rPr>
          <w:rFonts w:ascii="Times New Roman" w:hAnsi="Times New Roman" w:cs="Times New Roman"/>
          <w:noProof/>
          <w:sz w:val="24"/>
          <w:szCs w:val="20"/>
        </w:rPr>
        <w:t>t</w:t>
      </w:r>
      <w:r w:rsidR="00513848" w:rsidRPr="00F76FE2">
        <w:rPr>
          <w:rFonts w:ascii="Times New Roman" w:hAnsi="Times New Roman" w:cs="Times New Roman"/>
          <w:noProof/>
          <w:sz w:val="24"/>
          <w:szCs w:val="20"/>
        </w:rPr>
        <w:t>ë</w:t>
      </w:r>
      <w:r w:rsidR="000C4680" w:rsidRPr="00F76FE2">
        <w:rPr>
          <w:rFonts w:ascii="Times New Roman" w:hAnsi="Times New Roman" w:cs="Times New Roman"/>
          <w:noProof/>
          <w:sz w:val="24"/>
          <w:szCs w:val="20"/>
        </w:rPr>
        <w:t xml:space="preserve"> gjeneruara nga</w:t>
      </w:r>
      <w:r w:rsidRPr="00F76FE2">
        <w:rPr>
          <w:rFonts w:ascii="Times New Roman" w:hAnsi="Times New Roman" w:cs="Times New Roman"/>
          <w:noProof/>
          <w:sz w:val="24"/>
          <w:szCs w:val="20"/>
        </w:rPr>
        <w:t xml:space="preserve"> emetimi i obliacioneve 5 vjeçare referencë n</w:t>
      </w:r>
      <w:r w:rsidR="00513848" w:rsidRPr="00F76FE2">
        <w:rPr>
          <w:rFonts w:ascii="Times New Roman" w:hAnsi="Times New Roman" w:cs="Times New Roman"/>
          <w:noProof/>
          <w:sz w:val="24"/>
          <w:szCs w:val="20"/>
        </w:rPr>
        <w:t>ë</w:t>
      </w:r>
      <w:r w:rsidRPr="00F76FE2">
        <w:rPr>
          <w:rFonts w:ascii="Times New Roman" w:hAnsi="Times New Roman" w:cs="Times New Roman"/>
          <w:noProof/>
          <w:sz w:val="24"/>
          <w:szCs w:val="20"/>
        </w:rPr>
        <w:t xml:space="preserve"> vitin 2018, ky projekt </w:t>
      </w:r>
      <w:r w:rsidR="000C4680" w:rsidRPr="00F76FE2">
        <w:rPr>
          <w:rFonts w:ascii="Times New Roman" w:hAnsi="Times New Roman" w:cs="Times New Roman"/>
          <w:noProof/>
          <w:sz w:val="24"/>
          <w:szCs w:val="20"/>
        </w:rPr>
        <w:t>gjat</w:t>
      </w:r>
      <w:r w:rsidR="00513848" w:rsidRPr="00F76FE2">
        <w:rPr>
          <w:rFonts w:ascii="Times New Roman" w:hAnsi="Times New Roman" w:cs="Times New Roman"/>
          <w:noProof/>
          <w:sz w:val="24"/>
          <w:szCs w:val="20"/>
        </w:rPr>
        <w:t>ë</w:t>
      </w:r>
      <w:r w:rsidR="000C4680" w:rsidRPr="00F76FE2">
        <w:rPr>
          <w:rFonts w:ascii="Times New Roman" w:hAnsi="Times New Roman" w:cs="Times New Roman"/>
          <w:noProof/>
          <w:sz w:val="24"/>
          <w:szCs w:val="20"/>
        </w:rPr>
        <w:t xml:space="preserve"> vitit 2019 </w:t>
      </w:r>
      <w:r w:rsidRPr="00F76FE2">
        <w:rPr>
          <w:rFonts w:ascii="Times New Roman" w:hAnsi="Times New Roman" w:cs="Times New Roman"/>
          <w:noProof/>
          <w:sz w:val="24"/>
          <w:szCs w:val="20"/>
        </w:rPr>
        <w:t>u shtri edhe tek titujt me maturitet 3 vite</w:t>
      </w:r>
      <w:r w:rsidR="000C4680" w:rsidRPr="00F76FE2">
        <w:rPr>
          <w:rFonts w:ascii="Times New Roman" w:hAnsi="Times New Roman" w:cs="Times New Roman"/>
          <w:noProof/>
          <w:sz w:val="24"/>
          <w:szCs w:val="20"/>
        </w:rPr>
        <w:t>.</w:t>
      </w:r>
    </w:p>
    <w:p w:rsidR="007C4429" w:rsidRPr="00F76FE2" w:rsidRDefault="007C4429" w:rsidP="00556CC6">
      <w:pPr>
        <w:spacing w:after="0" w:line="276" w:lineRule="auto"/>
        <w:ind w:right="-46"/>
        <w:rPr>
          <w:rFonts w:ascii="Cambria" w:hAnsi="Cambria" w:cs="Times New Roman"/>
          <w:i/>
          <w:sz w:val="20"/>
          <w:szCs w:val="20"/>
          <w:lang w:val="it-IT"/>
        </w:rPr>
      </w:pPr>
    </w:p>
    <w:p w:rsidR="00DA1DA3" w:rsidRPr="00F76FE2" w:rsidRDefault="00DA1DA3" w:rsidP="00FC2F2F">
      <w:pPr>
        <w:pStyle w:val="Heading2"/>
        <w:numPr>
          <w:ilvl w:val="1"/>
          <w:numId w:val="5"/>
        </w:numPr>
        <w:spacing w:before="0" w:line="276" w:lineRule="auto"/>
        <w:ind w:left="709" w:right="-46" w:hanging="709"/>
        <w:jc w:val="both"/>
        <w:rPr>
          <w:rFonts w:ascii="Cambria" w:hAnsi="Cambria"/>
        </w:rPr>
      </w:pPr>
      <w:bookmarkStart w:id="21" w:name="_Toc34645072"/>
      <w:r w:rsidRPr="00F76FE2">
        <w:rPr>
          <w:rFonts w:ascii="Cambria" w:hAnsi="Cambria"/>
        </w:rPr>
        <w:t>Ecuria e normave të interesit</w:t>
      </w:r>
      <w:bookmarkEnd w:id="19"/>
      <w:bookmarkEnd w:id="20"/>
      <w:bookmarkEnd w:id="21"/>
    </w:p>
    <w:p w:rsidR="00480D26" w:rsidRPr="00F76FE2" w:rsidRDefault="00480D26" w:rsidP="0003109A">
      <w:pPr>
        <w:spacing w:after="0" w:line="276" w:lineRule="auto"/>
        <w:ind w:right="-46"/>
        <w:jc w:val="both"/>
        <w:rPr>
          <w:rFonts w:ascii="Cambria" w:hAnsi="Cambria"/>
          <w:b/>
          <w:sz w:val="20"/>
          <w:szCs w:val="20"/>
        </w:rPr>
      </w:pPr>
    </w:p>
    <w:p w:rsidR="00805B4F" w:rsidRPr="00F76FE2" w:rsidRDefault="0003109A" w:rsidP="0003109A">
      <w:pPr>
        <w:spacing w:after="0" w:line="276" w:lineRule="auto"/>
        <w:ind w:right="-46"/>
        <w:jc w:val="both"/>
        <w:rPr>
          <w:rFonts w:ascii="Cambria" w:hAnsi="Cambria"/>
          <w:b/>
          <w:sz w:val="20"/>
          <w:szCs w:val="20"/>
        </w:rPr>
      </w:pPr>
      <w:r w:rsidRPr="00F76FE2"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  <w:t xml:space="preserve">Normat e interesit në tregun e titujve shtetërorë </w:t>
      </w:r>
      <w:r w:rsidR="00057778" w:rsidRPr="00F76FE2"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  <w:t>jan</w:t>
      </w:r>
      <w:r w:rsidR="00513848" w:rsidRPr="00F76FE2"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  <w:t>ë</w:t>
      </w:r>
      <w:r w:rsidR="00057778" w:rsidRPr="00F76FE2"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  <w:t xml:space="preserve"> ulur ndjesh</w:t>
      </w:r>
      <w:r w:rsidR="00513848" w:rsidRPr="00F76FE2"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  <w:t>ë</w:t>
      </w:r>
      <w:r w:rsidR="00057778" w:rsidRPr="00F76FE2"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  <w:t>m</w:t>
      </w:r>
      <w:r w:rsidRPr="00F76FE2"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  <w:t xml:space="preserve"> gjatë vitit 2019, duke reflektuar</w:t>
      </w:r>
      <w:r w:rsidR="00057778" w:rsidRPr="00F76FE2"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  <w:t xml:space="preserve"> vazhdimin e</w:t>
      </w:r>
      <w:r w:rsidRPr="00F76FE2"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  <w:t xml:space="preserve"> politikë</w:t>
      </w:r>
      <w:r w:rsidR="00057778" w:rsidRPr="00F76FE2"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  <w:t>s</w:t>
      </w:r>
      <w:r w:rsidRPr="00F76FE2">
        <w:rPr>
          <w:rFonts w:ascii="Times New Roman" w:eastAsia="Calibri" w:hAnsi="Times New Roman" w:cs="Times New Roman"/>
          <w:noProof/>
          <w:sz w:val="24"/>
          <w:szCs w:val="24"/>
          <w:lang w:eastAsia="ja-JP"/>
        </w:rPr>
        <w:t xml:space="preserve"> monetare lehtësuese të Bankës së Shqipërisë dhe nivelin e kënaqshëm të kërkesës, shoqëruar me nevojat e ulta për huamarrje të brendshme.</w:t>
      </w:r>
    </w:p>
    <w:p w:rsidR="00805B4F" w:rsidRPr="00F76FE2" w:rsidRDefault="00805B4F" w:rsidP="00FC2F2F">
      <w:pPr>
        <w:spacing w:after="0" w:line="276" w:lineRule="auto"/>
        <w:ind w:right="-46"/>
        <w:jc w:val="center"/>
        <w:rPr>
          <w:rFonts w:ascii="Cambria" w:hAnsi="Cambria"/>
          <w:b/>
          <w:sz w:val="20"/>
          <w:szCs w:val="20"/>
        </w:rPr>
      </w:pPr>
    </w:p>
    <w:p w:rsidR="000C4680" w:rsidRPr="00F76FE2" w:rsidRDefault="000C4680" w:rsidP="00FC2F2F">
      <w:pPr>
        <w:spacing w:after="0" w:line="276" w:lineRule="auto"/>
        <w:ind w:right="-46"/>
        <w:jc w:val="center"/>
        <w:rPr>
          <w:rFonts w:ascii="Cambria" w:hAnsi="Cambria"/>
          <w:b/>
          <w:sz w:val="20"/>
          <w:szCs w:val="20"/>
        </w:rPr>
      </w:pPr>
    </w:p>
    <w:p w:rsidR="000C4680" w:rsidRPr="00F76FE2" w:rsidRDefault="000C4680" w:rsidP="00FC2F2F">
      <w:pPr>
        <w:spacing w:after="0" w:line="276" w:lineRule="auto"/>
        <w:ind w:right="-46"/>
        <w:jc w:val="center"/>
        <w:rPr>
          <w:rFonts w:ascii="Cambria" w:hAnsi="Cambria"/>
          <w:b/>
          <w:sz w:val="20"/>
          <w:szCs w:val="20"/>
        </w:rPr>
      </w:pPr>
    </w:p>
    <w:p w:rsidR="000C4680" w:rsidRPr="00F76FE2" w:rsidRDefault="000C4680" w:rsidP="00FC2F2F">
      <w:pPr>
        <w:spacing w:after="0" w:line="276" w:lineRule="auto"/>
        <w:ind w:right="-46"/>
        <w:jc w:val="center"/>
        <w:rPr>
          <w:rFonts w:ascii="Cambria" w:hAnsi="Cambria"/>
          <w:b/>
          <w:sz w:val="20"/>
          <w:szCs w:val="20"/>
        </w:rPr>
      </w:pPr>
    </w:p>
    <w:p w:rsidR="000C4680" w:rsidRPr="00F76FE2" w:rsidRDefault="000C4680" w:rsidP="00FC2F2F">
      <w:pPr>
        <w:spacing w:after="0" w:line="276" w:lineRule="auto"/>
        <w:ind w:right="-46"/>
        <w:jc w:val="center"/>
        <w:rPr>
          <w:rFonts w:ascii="Cambria" w:hAnsi="Cambria"/>
          <w:b/>
          <w:sz w:val="20"/>
          <w:szCs w:val="20"/>
        </w:rPr>
      </w:pPr>
    </w:p>
    <w:p w:rsidR="0003109A" w:rsidRPr="00F76FE2" w:rsidRDefault="0003109A" w:rsidP="00FC2F2F">
      <w:pPr>
        <w:spacing w:after="0" w:line="276" w:lineRule="auto"/>
        <w:ind w:right="-46"/>
        <w:jc w:val="center"/>
        <w:rPr>
          <w:rFonts w:ascii="Cambria" w:hAnsi="Cambria"/>
          <w:b/>
          <w:sz w:val="20"/>
          <w:szCs w:val="20"/>
        </w:rPr>
      </w:pPr>
    </w:p>
    <w:p w:rsidR="0003109A" w:rsidRPr="00F76FE2" w:rsidRDefault="0003109A" w:rsidP="00FC2F2F">
      <w:pPr>
        <w:spacing w:after="0" w:line="276" w:lineRule="auto"/>
        <w:ind w:right="-46"/>
        <w:jc w:val="center"/>
        <w:rPr>
          <w:rFonts w:ascii="Cambria" w:hAnsi="Cambria"/>
          <w:b/>
          <w:sz w:val="20"/>
          <w:szCs w:val="20"/>
        </w:rPr>
      </w:pPr>
    </w:p>
    <w:p w:rsidR="00805B4F" w:rsidRPr="00F76FE2" w:rsidRDefault="00805B4F" w:rsidP="00FC2F2F">
      <w:pPr>
        <w:spacing w:after="0" w:line="276" w:lineRule="auto"/>
        <w:ind w:right="-46"/>
        <w:jc w:val="center"/>
        <w:rPr>
          <w:rFonts w:ascii="Cambria" w:hAnsi="Cambria"/>
          <w:b/>
          <w:sz w:val="20"/>
          <w:szCs w:val="20"/>
        </w:rPr>
      </w:pPr>
    </w:p>
    <w:p w:rsidR="002949AA" w:rsidRPr="00F76FE2" w:rsidRDefault="004A2218" w:rsidP="00057778">
      <w:pPr>
        <w:spacing w:after="0" w:line="276" w:lineRule="auto"/>
        <w:ind w:right="-46"/>
        <w:jc w:val="center"/>
        <w:rPr>
          <w:rFonts w:ascii="Cambria" w:hAnsi="Cambria"/>
          <w:i/>
          <w:sz w:val="20"/>
          <w:szCs w:val="20"/>
        </w:rPr>
      </w:pPr>
      <w:r w:rsidRPr="00F76FE2">
        <w:rPr>
          <w:rFonts w:ascii="Cambria" w:hAnsi="Cambria"/>
          <w:b/>
          <w:sz w:val="20"/>
          <w:szCs w:val="20"/>
        </w:rPr>
        <w:lastRenderedPageBreak/>
        <w:t xml:space="preserve">Paraqitje Grafike </w:t>
      </w:r>
      <w:r w:rsidR="008D0C8F" w:rsidRPr="00F76FE2">
        <w:rPr>
          <w:rFonts w:ascii="Cambria" w:hAnsi="Cambria"/>
          <w:b/>
          <w:sz w:val="20"/>
          <w:szCs w:val="20"/>
        </w:rPr>
        <w:t>6.2</w:t>
      </w:r>
      <w:r w:rsidRPr="00F76FE2">
        <w:rPr>
          <w:rFonts w:ascii="Cambria" w:hAnsi="Cambria"/>
          <w:b/>
          <w:sz w:val="20"/>
          <w:szCs w:val="20"/>
        </w:rPr>
        <w:t xml:space="preserve">: </w:t>
      </w:r>
      <w:r w:rsidR="00057778" w:rsidRPr="00F76FE2">
        <w:rPr>
          <w:rFonts w:ascii="Cambria" w:hAnsi="Cambria"/>
          <w:i/>
          <w:sz w:val="20"/>
          <w:szCs w:val="20"/>
        </w:rPr>
        <w:t>Norma mesatare e ponderuar i titujve shtetërorë</w:t>
      </w:r>
      <w:r w:rsidR="00057778" w:rsidRPr="00F76FE2">
        <w:rPr>
          <w:rStyle w:val="FootnoteReference"/>
          <w:rFonts w:ascii="Cambria" w:hAnsi="Cambria"/>
          <w:i/>
          <w:sz w:val="20"/>
          <w:szCs w:val="20"/>
        </w:rPr>
        <w:footnoteReference w:id="6"/>
      </w:r>
      <w:r w:rsidR="00057778" w:rsidRPr="00F76FE2">
        <w:rPr>
          <w:rFonts w:ascii="Cambria" w:hAnsi="Cambria"/>
          <w:i/>
          <w:sz w:val="20"/>
          <w:szCs w:val="20"/>
        </w:rPr>
        <w:t xml:space="preserve"> </w:t>
      </w:r>
      <w:r w:rsidR="00A45E02" w:rsidRPr="00F76FE2">
        <w:rPr>
          <w:rFonts w:ascii="Cambria" w:hAnsi="Cambria"/>
          <w:i/>
          <w:sz w:val="20"/>
          <w:szCs w:val="20"/>
        </w:rPr>
        <w:t>(2017-2019)</w:t>
      </w:r>
    </w:p>
    <w:p w:rsidR="0007109A" w:rsidRPr="00F76FE2" w:rsidRDefault="00057778" w:rsidP="00B236A6">
      <w:pPr>
        <w:spacing w:after="0" w:line="276" w:lineRule="auto"/>
        <w:ind w:right="-46"/>
        <w:rPr>
          <w:rFonts w:ascii="Cambria" w:hAnsi="Cambria"/>
          <w:b/>
          <w:sz w:val="20"/>
          <w:szCs w:val="20"/>
        </w:rPr>
      </w:pPr>
      <w:r w:rsidRPr="00F76FE2">
        <w:rPr>
          <w:noProof/>
          <w:lang w:val="en-US"/>
        </w:rPr>
        <w:drawing>
          <wp:inline distT="0" distB="0" distL="0" distR="0" wp14:anchorId="697B9983" wp14:editId="26C87AC2">
            <wp:extent cx="5701085" cy="2585720"/>
            <wp:effectExtent l="0" t="0" r="13970" b="508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C51EDB" w:rsidRPr="00F76FE2" w:rsidRDefault="009D6626" w:rsidP="00FC2F2F">
      <w:pPr>
        <w:spacing w:after="0" w:line="276" w:lineRule="auto"/>
        <w:ind w:right="-46"/>
        <w:jc w:val="center"/>
        <w:rPr>
          <w:rFonts w:ascii="Cambria" w:hAnsi="Cambria"/>
          <w:i/>
          <w:sz w:val="20"/>
          <w:szCs w:val="20"/>
        </w:rPr>
      </w:pPr>
      <w:r w:rsidRPr="00F76FE2">
        <w:rPr>
          <w:rFonts w:ascii="Cambria" w:hAnsi="Cambria"/>
          <w:b/>
          <w:sz w:val="20"/>
          <w:szCs w:val="20"/>
        </w:rPr>
        <w:t xml:space="preserve">Burimi: </w:t>
      </w:r>
      <w:r w:rsidRPr="00F76FE2">
        <w:rPr>
          <w:rFonts w:ascii="Cambria" w:hAnsi="Cambria"/>
          <w:i/>
          <w:sz w:val="20"/>
          <w:szCs w:val="20"/>
        </w:rPr>
        <w:t>Ministria</w:t>
      </w:r>
      <w:r w:rsidR="00DE350A" w:rsidRPr="00F76FE2">
        <w:rPr>
          <w:rFonts w:ascii="Cambria" w:hAnsi="Cambria"/>
          <w:i/>
          <w:sz w:val="20"/>
          <w:szCs w:val="20"/>
        </w:rPr>
        <w:t xml:space="preserve"> e Financave dhe Ekonomisë (20</w:t>
      </w:r>
      <w:r w:rsidR="00A45E02" w:rsidRPr="00F76FE2">
        <w:rPr>
          <w:rFonts w:ascii="Cambria" w:hAnsi="Cambria"/>
          <w:i/>
          <w:sz w:val="20"/>
          <w:szCs w:val="20"/>
        </w:rPr>
        <w:t>20</w:t>
      </w:r>
      <w:r w:rsidRPr="00F76FE2">
        <w:rPr>
          <w:rFonts w:ascii="Cambria" w:hAnsi="Cambria"/>
          <w:i/>
          <w:sz w:val="20"/>
          <w:szCs w:val="20"/>
        </w:rPr>
        <w:t>)</w:t>
      </w:r>
    </w:p>
    <w:p w:rsidR="00C51EDB" w:rsidRPr="00F76FE2" w:rsidRDefault="00C51EDB" w:rsidP="00FC2F2F">
      <w:pPr>
        <w:tabs>
          <w:tab w:val="left" w:pos="9450"/>
        </w:tabs>
        <w:spacing w:after="0" w:line="276" w:lineRule="auto"/>
        <w:ind w:right="-46"/>
        <w:jc w:val="both"/>
        <w:rPr>
          <w:rFonts w:ascii="Cambria" w:hAnsi="Cambria"/>
          <w:sz w:val="24"/>
          <w:szCs w:val="20"/>
        </w:rPr>
      </w:pPr>
    </w:p>
    <w:p w:rsidR="001B21F0" w:rsidRPr="00F76FE2" w:rsidRDefault="001B21F0" w:rsidP="00FC2F2F">
      <w:pPr>
        <w:tabs>
          <w:tab w:val="left" w:pos="9450"/>
        </w:tabs>
        <w:spacing w:after="0" w:line="276" w:lineRule="auto"/>
        <w:ind w:right="-46"/>
        <w:jc w:val="both"/>
        <w:rPr>
          <w:rFonts w:ascii="Cambria" w:hAnsi="Cambria"/>
          <w:sz w:val="24"/>
          <w:szCs w:val="20"/>
        </w:rPr>
      </w:pPr>
    </w:p>
    <w:p w:rsidR="00506686" w:rsidRPr="00F76FE2" w:rsidRDefault="00506686" w:rsidP="00FC2F2F">
      <w:pPr>
        <w:spacing w:after="0" w:line="276" w:lineRule="auto"/>
        <w:ind w:right="-46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2B128A" w:rsidRPr="00F76FE2" w:rsidRDefault="002B128A" w:rsidP="00FC2F2F">
      <w:pPr>
        <w:spacing w:after="0" w:line="276" w:lineRule="auto"/>
        <w:ind w:right="-46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2B128A" w:rsidRPr="00F76FE2" w:rsidRDefault="002B128A" w:rsidP="00FC2F2F">
      <w:pPr>
        <w:spacing w:after="0" w:line="276" w:lineRule="auto"/>
        <w:ind w:right="-46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9354F2" w:rsidRPr="00F76FE2" w:rsidRDefault="009354F2" w:rsidP="00FC2F2F">
      <w:pPr>
        <w:tabs>
          <w:tab w:val="left" w:pos="1182"/>
        </w:tabs>
        <w:spacing w:after="0" w:line="240" w:lineRule="auto"/>
        <w:ind w:right="-46"/>
        <w:rPr>
          <w:rFonts w:ascii="Cambria" w:hAnsi="Cambria" w:cs="Times New Roman"/>
          <w:sz w:val="20"/>
          <w:szCs w:val="20"/>
        </w:rPr>
      </w:pPr>
    </w:p>
    <w:p w:rsidR="00586912" w:rsidRPr="00F76FE2" w:rsidRDefault="00586912" w:rsidP="00FC2F2F">
      <w:pPr>
        <w:tabs>
          <w:tab w:val="left" w:pos="1182"/>
        </w:tabs>
        <w:spacing w:after="0" w:line="240" w:lineRule="auto"/>
        <w:ind w:right="-46"/>
        <w:rPr>
          <w:rFonts w:ascii="Cambria" w:hAnsi="Cambria" w:cs="Times New Roman"/>
          <w:sz w:val="20"/>
          <w:szCs w:val="20"/>
        </w:rPr>
      </w:pPr>
    </w:p>
    <w:p w:rsidR="00057778" w:rsidRPr="00F76FE2" w:rsidRDefault="00057778" w:rsidP="00FC2F2F">
      <w:pPr>
        <w:tabs>
          <w:tab w:val="left" w:pos="1182"/>
        </w:tabs>
        <w:spacing w:after="0" w:line="240" w:lineRule="auto"/>
        <w:ind w:right="-46"/>
        <w:rPr>
          <w:rFonts w:ascii="Cambria" w:hAnsi="Cambria" w:cs="Times New Roman"/>
          <w:sz w:val="20"/>
          <w:szCs w:val="20"/>
        </w:rPr>
      </w:pPr>
    </w:p>
    <w:p w:rsidR="00057778" w:rsidRPr="00F76FE2" w:rsidRDefault="00057778" w:rsidP="00FC2F2F">
      <w:pPr>
        <w:tabs>
          <w:tab w:val="left" w:pos="1182"/>
        </w:tabs>
        <w:spacing w:after="0" w:line="240" w:lineRule="auto"/>
        <w:ind w:right="-46"/>
        <w:rPr>
          <w:rFonts w:ascii="Cambria" w:hAnsi="Cambria" w:cs="Times New Roman"/>
          <w:sz w:val="20"/>
          <w:szCs w:val="20"/>
        </w:rPr>
      </w:pPr>
    </w:p>
    <w:p w:rsidR="00057778" w:rsidRPr="00F76FE2" w:rsidRDefault="00057778" w:rsidP="00FC2F2F">
      <w:pPr>
        <w:tabs>
          <w:tab w:val="left" w:pos="1182"/>
        </w:tabs>
        <w:spacing w:after="0" w:line="240" w:lineRule="auto"/>
        <w:ind w:right="-46"/>
        <w:rPr>
          <w:rFonts w:ascii="Cambria" w:hAnsi="Cambria" w:cs="Times New Roman"/>
          <w:sz w:val="20"/>
          <w:szCs w:val="20"/>
        </w:rPr>
      </w:pPr>
    </w:p>
    <w:p w:rsidR="00057778" w:rsidRPr="00F76FE2" w:rsidRDefault="00057778" w:rsidP="00FC2F2F">
      <w:pPr>
        <w:tabs>
          <w:tab w:val="left" w:pos="1182"/>
        </w:tabs>
        <w:spacing w:after="0" w:line="240" w:lineRule="auto"/>
        <w:ind w:right="-46"/>
        <w:rPr>
          <w:rFonts w:ascii="Cambria" w:hAnsi="Cambria" w:cs="Times New Roman"/>
          <w:sz w:val="20"/>
          <w:szCs w:val="20"/>
        </w:rPr>
      </w:pPr>
    </w:p>
    <w:p w:rsidR="00057778" w:rsidRPr="00F76FE2" w:rsidRDefault="00057778" w:rsidP="00FC2F2F">
      <w:pPr>
        <w:tabs>
          <w:tab w:val="left" w:pos="1182"/>
        </w:tabs>
        <w:spacing w:after="0" w:line="240" w:lineRule="auto"/>
        <w:ind w:right="-46"/>
        <w:rPr>
          <w:rFonts w:ascii="Cambria" w:hAnsi="Cambria" w:cs="Times New Roman"/>
          <w:sz w:val="20"/>
          <w:szCs w:val="20"/>
        </w:rPr>
      </w:pPr>
    </w:p>
    <w:p w:rsidR="00057778" w:rsidRPr="00F76FE2" w:rsidRDefault="00057778" w:rsidP="00FC2F2F">
      <w:pPr>
        <w:tabs>
          <w:tab w:val="left" w:pos="1182"/>
        </w:tabs>
        <w:spacing w:after="0" w:line="240" w:lineRule="auto"/>
        <w:ind w:right="-46"/>
        <w:rPr>
          <w:rFonts w:ascii="Cambria" w:hAnsi="Cambria" w:cs="Times New Roman"/>
          <w:sz w:val="20"/>
          <w:szCs w:val="20"/>
        </w:rPr>
      </w:pPr>
    </w:p>
    <w:p w:rsidR="00057778" w:rsidRPr="00F76FE2" w:rsidRDefault="00057778" w:rsidP="00FC2F2F">
      <w:pPr>
        <w:tabs>
          <w:tab w:val="left" w:pos="1182"/>
        </w:tabs>
        <w:spacing w:after="0" w:line="240" w:lineRule="auto"/>
        <w:ind w:right="-46"/>
        <w:rPr>
          <w:rFonts w:ascii="Cambria" w:hAnsi="Cambria" w:cs="Times New Roman"/>
          <w:sz w:val="20"/>
          <w:szCs w:val="20"/>
        </w:rPr>
      </w:pPr>
    </w:p>
    <w:p w:rsidR="00057778" w:rsidRPr="00F76FE2" w:rsidRDefault="00057778" w:rsidP="00FC2F2F">
      <w:pPr>
        <w:tabs>
          <w:tab w:val="left" w:pos="1182"/>
        </w:tabs>
        <w:spacing w:after="0" w:line="240" w:lineRule="auto"/>
        <w:ind w:right="-46"/>
        <w:rPr>
          <w:rFonts w:ascii="Cambria" w:hAnsi="Cambria" w:cs="Times New Roman"/>
          <w:sz w:val="20"/>
          <w:szCs w:val="20"/>
        </w:rPr>
      </w:pPr>
    </w:p>
    <w:p w:rsidR="00057778" w:rsidRPr="00F76FE2" w:rsidRDefault="00057778" w:rsidP="00FC2F2F">
      <w:pPr>
        <w:tabs>
          <w:tab w:val="left" w:pos="1182"/>
        </w:tabs>
        <w:spacing w:after="0" w:line="240" w:lineRule="auto"/>
        <w:ind w:right="-46"/>
        <w:rPr>
          <w:rFonts w:ascii="Cambria" w:hAnsi="Cambria" w:cs="Times New Roman"/>
          <w:sz w:val="20"/>
          <w:szCs w:val="20"/>
        </w:rPr>
      </w:pPr>
    </w:p>
    <w:p w:rsidR="00057778" w:rsidRPr="00F76FE2" w:rsidRDefault="00057778" w:rsidP="00FC2F2F">
      <w:pPr>
        <w:tabs>
          <w:tab w:val="left" w:pos="1182"/>
        </w:tabs>
        <w:spacing w:after="0" w:line="240" w:lineRule="auto"/>
        <w:ind w:right="-46"/>
        <w:rPr>
          <w:rFonts w:ascii="Cambria" w:hAnsi="Cambria" w:cs="Times New Roman"/>
          <w:sz w:val="20"/>
          <w:szCs w:val="20"/>
        </w:rPr>
      </w:pPr>
    </w:p>
    <w:p w:rsidR="00057778" w:rsidRPr="00F76FE2" w:rsidRDefault="00057778" w:rsidP="00FC2F2F">
      <w:pPr>
        <w:tabs>
          <w:tab w:val="left" w:pos="1182"/>
        </w:tabs>
        <w:spacing w:after="0" w:line="240" w:lineRule="auto"/>
        <w:ind w:right="-46"/>
        <w:rPr>
          <w:rFonts w:ascii="Cambria" w:hAnsi="Cambria" w:cs="Times New Roman"/>
          <w:sz w:val="20"/>
          <w:szCs w:val="20"/>
        </w:rPr>
      </w:pPr>
    </w:p>
    <w:p w:rsidR="00057778" w:rsidRPr="00F76FE2" w:rsidRDefault="00057778" w:rsidP="00FC2F2F">
      <w:pPr>
        <w:tabs>
          <w:tab w:val="left" w:pos="1182"/>
        </w:tabs>
        <w:spacing w:after="0" w:line="240" w:lineRule="auto"/>
        <w:ind w:right="-46"/>
        <w:rPr>
          <w:rFonts w:ascii="Cambria" w:hAnsi="Cambria" w:cs="Times New Roman"/>
          <w:sz w:val="20"/>
          <w:szCs w:val="20"/>
        </w:rPr>
      </w:pPr>
    </w:p>
    <w:p w:rsidR="00057778" w:rsidRPr="00F76FE2" w:rsidRDefault="00057778" w:rsidP="00FC2F2F">
      <w:pPr>
        <w:tabs>
          <w:tab w:val="left" w:pos="1182"/>
        </w:tabs>
        <w:spacing w:after="0" w:line="240" w:lineRule="auto"/>
        <w:ind w:right="-46"/>
        <w:rPr>
          <w:rFonts w:ascii="Cambria" w:hAnsi="Cambria" w:cs="Times New Roman"/>
          <w:sz w:val="20"/>
          <w:szCs w:val="20"/>
        </w:rPr>
      </w:pPr>
    </w:p>
    <w:p w:rsidR="00057778" w:rsidRPr="00F76FE2" w:rsidRDefault="00057778" w:rsidP="00FC2F2F">
      <w:pPr>
        <w:tabs>
          <w:tab w:val="left" w:pos="1182"/>
        </w:tabs>
        <w:spacing w:after="0" w:line="240" w:lineRule="auto"/>
        <w:ind w:right="-46"/>
        <w:rPr>
          <w:rFonts w:ascii="Cambria" w:hAnsi="Cambria" w:cs="Times New Roman"/>
          <w:sz w:val="20"/>
          <w:szCs w:val="20"/>
        </w:rPr>
      </w:pPr>
    </w:p>
    <w:p w:rsidR="00057778" w:rsidRPr="00F76FE2" w:rsidRDefault="00057778" w:rsidP="00FC2F2F">
      <w:pPr>
        <w:tabs>
          <w:tab w:val="left" w:pos="1182"/>
        </w:tabs>
        <w:spacing w:after="0" w:line="240" w:lineRule="auto"/>
        <w:ind w:right="-46"/>
        <w:rPr>
          <w:rFonts w:ascii="Cambria" w:hAnsi="Cambria" w:cs="Times New Roman"/>
          <w:sz w:val="20"/>
          <w:szCs w:val="20"/>
        </w:rPr>
      </w:pPr>
    </w:p>
    <w:p w:rsidR="00057778" w:rsidRPr="00F76FE2" w:rsidRDefault="00057778" w:rsidP="00FC2F2F">
      <w:pPr>
        <w:tabs>
          <w:tab w:val="left" w:pos="1182"/>
        </w:tabs>
        <w:spacing w:after="0" w:line="240" w:lineRule="auto"/>
        <w:ind w:right="-46"/>
        <w:rPr>
          <w:rFonts w:ascii="Cambria" w:hAnsi="Cambria" w:cs="Times New Roman"/>
          <w:sz w:val="20"/>
          <w:szCs w:val="20"/>
        </w:rPr>
      </w:pPr>
    </w:p>
    <w:p w:rsidR="00057778" w:rsidRPr="00F76FE2" w:rsidRDefault="00057778" w:rsidP="00FC2F2F">
      <w:pPr>
        <w:tabs>
          <w:tab w:val="left" w:pos="1182"/>
        </w:tabs>
        <w:spacing w:after="0" w:line="240" w:lineRule="auto"/>
        <w:ind w:right="-46"/>
        <w:rPr>
          <w:rFonts w:ascii="Cambria" w:hAnsi="Cambria" w:cs="Times New Roman"/>
          <w:sz w:val="20"/>
          <w:szCs w:val="20"/>
        </w:rPr>
      </w:pPr>
    </w:p>
    <w:p w:rsidR="00057778" w:rsidRPr="00F76FE2" w:rsidRDefault="00057778" w:rsidP="00FC2F2F">
      <w:pPr>
        <w:tabs>
          <w:tab w:val="left" w:pos="1182"/>
        </w:tabs>
        <w:spacing w:after="0" w:line="240" w:lineRule="auto"/>
        <w:ind w:right="-46"/>
        <w:rPr>
          <w:rFonts w:ascii="Cambria" w:hAnsi="Cambria" w:cs="Times New Roman"/>
          <w:sz w:val="20"/>
          <w:szCs w:val="20"/>
        </w:rPr>
      </w:pPr>
    </w:p>
    <w:p w:rsidR="00057778" w:rsidRPr="00F76FE2" w:rsidRDefault="00057778" w:rsidP="00FC2F2F">
      <w:pPr>
        <w:tabs>
          <w:tab w:val="left" w:pos="1182"/>
        </w:tabs>
        <w:spacing w:after="0" w:line="240" w:lineRule="auto"/>
        <w:ind w:right="-46"/>
        <w:rPr>
          <w:rFonts w:ascii="Cambria" w:hAnsi="Cambria" w:cs="Times New Roman"/>
          <w:sz w:val="20"/>
          <w:szCs w:val="20"/>
        </w:rPr>
      </w:pPr>
    </w:p>
    <w:p w:rsidR="00057778" w:rsidRPr="00F76FE2" w:rsidRDefault="00057778" w:rsidP="00FC2F2F">
      <w:pPr>
        <w:tabs>
          <w:tab w:val="left" w:pos="1182"/>
        </w:tabs>
        <w:spacing w:after="0" w:line="240" w:lineRule="auto"/>
        <w:ind w:right="-46"/>
        <w:rPr>
          <w:rFonts w:ascii="Cambria" w:hAnsi="Cambria" w:cs="Times New Roman"/>
          <w:sz w:val="20"/>
          <w:szCs w:val="20"/>
        </w:rPr>
      </w:pPr>
    </w:p>
    <w:p w:rsidR="00057778" w:rsidRPr="00F76FE2" w:rsidRDefault="00057778" w:rsidP="00FC2F2F">
      <w:pPr>
        <w:tabs>
          <w:tab w:val="left" w:pos="1182"/>
        </w:tabs>
        <w:spacing w:after="0" w:line="240" w:lineRule="auto"/>
        <w:ind w:right="-46"/>
        <w:rPr>
          <w:rFonts w:ascii="Cambria" w:hAnsi="Cambria" w:cs="Times New Roman"/>
          <w:sz w:val="20"/>
          <w:szCs w:val="20"/>
        </w:rPr>
      </w:pPr>
    </w:p>
    <w:p w:rsidR="00057778" w:rsidRPr="00F76FE2" w:rsidRDefault="00057778" w:rsidP="00FC2F2F">
      <w:pPr>
        <w:tabs>
          <w:tab w:val="left" w:pos="1182"/>
        </w:tabs>
        <w:spacing w:after="0" w:line="240" w:lineRule="auto"/>
        <w:ind w:right="-46"/>
        <w:rPr>
          <w:rFonts w:ascii="Cambria" w:hAnsi="Cambria" w:cs="Times New Roman"/>
          <w:sz w:val="20"/>
          <w:szCs w:val="20"/>
        </w:rPr>
      </w:pPr>
    </w:p>
    <w:p w:rsidR="00057778" w:rsidRPr="00F76FE2" w:rsidRDefault="00057778" w:rsidP="00FC2F2F">
      <w:pPr>
        <w:tabs>
          <w:tab w:val="left" w:pos="1182"/>
        </w:tabs>
        <w:spacing w:after="0" w:line="240" w:lineRule="auto"/>
        <w:ind w:right="-46"/>
        <w:rPr>
          <w:rFonts w:ascii="Cambria" w:hAnsi="Cambria" w:cs="Times New Roman"/>
          <w:sz w:val="20"/>
          <w:szCs w:val="20"/>
        </w:rPr>
      </w:pPr>
    </w:p>
    <w:p w:rsidR="00057778" w:rsidRPr="00F76FE2" w:rsidRDefault="00057778" w:rsidP="00FC2F2F">
      <w:pPr>
        <w:tabs>
          <w:tab w:val="left" w:pos="1182"/>
        </w:tabs>
        <w:spacing w:after="0" w:line="240" w:lineRule="auto"/>
        <w:ind w:right="-46"/>
        <w:rPr>
          <w:rFonts w:ascii="Cambria" w:hAnsi="Cambria" w:cs="Times New Roman"/>
          <w:sz w:val="20"/>
          <w:szCs w:val="20"/>
        </w:rPr>
      </w:pPr>
    </w:p>
    <w:p w:rsidR="00057778" w:rsidRPr="00F76FE2" w:rsidRDefault="00057778" w:rsidP="00FC2F2F">
      <w:pPr>
        <w:tabs>
          <w:tab w:val="left" w:pos="1182"/>
        </w:tabs>
        <w:spacing w:after="0" w:line="240" w:lineRule="auto"/>
        <w:ind w:right="-46"/>
        <w:rPr>
          <w:rFonts w:ascii="Cambria" w:hAnsi="Cambria" w:cs="Times New Roman"/>
          <w:sz w:val="20"/>
          <w:szCs w:val="20"/>
        </w:rPr>
      </w:pPr>
    </w:p>
    <w:p w:rsidR="00B51DFB" w:rsidRPr="00F76FE2" w:rsidRDefault="00B51DFB" w:rsidP="00FC2F2F">
      <w:pPr>
        <w:tabs>
          <w:tab w:val="left" w:pos="1182"/>
        </w:tabs>
        <w:spacing w:after="0" w:line="240" w:lineRule="auto"/>
        <w:ind w:right="-46"/>
        <w:rPr>
          <w:rFonts w:ascii="Cambria" w:hAnsi="Cambria" w:cs="Times New Roman"/>
          <w:sz w:val="20"/>
          <w:szCs w:val="20"/>
        </w:rPr>
      </w:pPr>
    </w:p>
    <w:p w:rsidR="009354F2" w:rsidRPr="00F76FE2" w:rsidRDefault="009354F2" w:rsidP="009354F2">
      <w:pPr>
        <w:keepNext/>
        <w:keepLines/>
        <w:spacing w:after="0" w:line="360" w:lineRule="auto"/>
        <w:ind w:right="-45"/>
        <w:jc w:val="center"/>
        <w:outlineLvl w:val="0"/>
        <w:rPr>
          <w:rFonts w:ascii="Cambria" w:eastAsia="Times New Roman" w:hAnsi="Cambria" w:cstheme="majorBidi"/>
          <w:b/>
          <w:noProof/>
          <w:color w:val="C00000"/>
          <w:sz w:val="24"/>
          <w:szCs w:val="32"/>
        </w:rPr>
      </w:pPr>
      <w:bookmarkStart w:id="22" w:name="_Toc482629551"/>
      <w:bookmarkStart w:id="23" w:name="_Toc523237144"/>
      <w:bookmarkStart w:id="24" w:name="_Toc34645073"/>
      <w:r w:rsidRPr="00F76FE2">
        <w:rPr>
          <w:rFonts w:ascii="Cambria" w:eastAsia="Times New Roman" w:hAnsi="Cambria" w:cstheme="majorBidi"/>
          <w:b/>
          <w:noProof/>
          <w:color w:val="C00000"/>
          <w:sz w:val="24"/>
          <w:szCs w:val="32"/>
        </w:rPr>
        <w:lastRenderedPageBreak/>
        <w:t>ANEKS</w:t>
      </w:r>
      <w:bookmarkEnd w:id="22"/>
      <w:r w:rsidRPr="00F76FE2">
        <w:rPr>
          <w:rFonts w:ascii="Cambria" w:eastAsia="Times New Roman" w:hAnsi="Cambria" w:cstheme="majorBidi"/>
          <w:b/>
          <w:noProof/>
          <w:color w:val="C00000"/>
          <w:sz w:val="24"/>
          <w:szCs w:val="32"/>
        </w:rPr>
        <w:t>I I</w:t>
      </w:r>
      <w:bookmarkEnd w:id="23"/>
      <w:bookmarkEnd w:id="24"/>
    </w:p>
    <w:p w:rsidR="009354F2" w:rsidRPr="00F76FE2" w:rsidRDefault="009354F2" w:rsidP="009354F2">
      <w:pPr>
        <w:keepNext/>
        <w:keepLines/>
        <w:spacing w:after="0" w:line="360" w:lineRule="auto"/>
        <w:ind w:right="-45"/>
        <w:jc w:val="center"/>
        <w:outlineLvl w:val="0"/>
        <w:rPr>
          <w:rFonts w:ascii="Cambria" w:eastAsia="Times New Roman" w:hAnsi="Cambria" w:cstheme="majorBidi"/>
          <w:b/>
          <w:noProof/>
          <w:color w:val="C00000"/>
          <w:sz w:val="24"/>
          <w:szCs w:val="32"/>
        </w:rPr>
      </w:pPr>
      <w:r w:rsidRPr="00F76FE2">
        <w:rPr>
          <w:rFonts w:ascii="Cambria" w:eastAsia="Times New Roman" w:hAnsi="Cambria" w:cstheme="majorBidi"/>
          <w:b/>
          <w:noProof/>
          <w:color w:val="C00000"/>
          <w:sz w:val="24"/>
          <w:szCs w:val="32"/>
        </w:rPr>
        <w:t xml:space="preserve"> </w:t>
      </w:r>
      <w:bookmarkStart w:id="25" w:name="_Toc523237145"/>
      <w:bookmarkStart w:id="26" w:name="_Toc9249214"/>
      <w:bookmarkStart w:id="27" w:name="_Toc34645074"/>
      <w:r w:rsidRPr="00F76FE2">
        <w:rPr>
          <w:rFonts w:ascii="Cambria" w:eastAsia="Times New Roman" w:hAnsi="Cambria" w:cstheme="majorBidi"/>
          <w:b/>
          <w:noProof/>
          <w:color w:val="C00000"/>
          <w:sz w:val="24"/>
          <w:szCs w:val="32"/>
        </w:rPr>
        <w:t>AKRONIME DHE FJALOR SHPJEGUES</w:t>
      </w:r>
      <w:bookmarkEnd w:id="25"/>
      <w:bookmarkEnd w:id="26"/>
      <w:bookmarkEnd w:id="27"/>
    </w:p>
    <w:p w:rsidR="009354F2" w:rsidRPr="00F76FE2" w:rsidRDefault="009354F2" w:rsidP="009354F2">
      <w:pPr>
        <w:keepNext/>
        <w:keepLines/>
        <w:spacing w:before="240" w:after="0"/>
        <w:ind w:right="-46"/>
        <w:jc w:val="center"/>
        <w:outlineLvl w:val="0"/>
        <w:rPr>
          <w:rFonts w:ascii="Cambria" w:eastAsia="Times New Roman" w:hAnsi="Cambria" w:cstheme="majorBidi"/>
          <w:b/>
          <w:noProof/>
          <w:color w:val="C00000"/>
          <w:sz w:val="28"/>
          <w:szCs w:val="32"/>
        </w:rPr>
      </w:pPr>
    </w:p>
    <w:p w:rsidR="009354F2" w:rsidRPr="00F76FE2" w:rsidRDefault="009354F2" w:rsidP="009354F2">
      <w:pPr>
        <w:ind w:right="-46"/>
        <w:rPr>
          <w:rFonts w:ascii="Cambria" w:eastAsia="Times New Roman" w:hAnsi="Cambria"/>
          <w:b/>
          <w:noProof/>
          <w:u w:val="single"/>
        </w:rPr>
      </w:pPr>
    </w:p>
    <w:p w:rsidR="009354F2" w:rsidRPr="00F76FE2" w:rsidRDefault="009354F2" w:rsidP="009354F2">
      <w:pPr>
        <w:ind w:right="-46"/>
        <w:rPr>
          <w:rFonts w:ascii="Cambria" w:eastAsia="Times New Roman" w:hAnsi="Cambria"/>
          <w:b/>
          <w:noProof/>
          <w:sz w:val="24"/>
        </w:rPr>
      </w:pPr>
      <w:r w:rsidRPr="00F76FE2">
        <w:rPr>
          <w:rFonts w:ascii="Cambria" w:eastAsia="Times New Roman" w:hAnsi="Cambria"/>
          <w:b/>
          <w:noProof/>
          <w:sz w:val="24"/>
        </w:rPr>
        <w:t>AKRONIME</w:t>
      </w:r>
    </w:p>
    <w:p w:rsidR="009354F2" w:rsidRPr="00F76FE2" w:rsidRDefault="009354F2" w:rsidP="009354F2">
      <w:pPr>
        <w:ind w:right="-46"/>
        <w:rPr>
          <w:rFonts w:ascii="Cambria" w:eastAsia="Times New Roman" w:hAnsi="Cambria"/>
          <w:b/>
          <w:noProof/>
          <w:sz w:val="24"/>
        </w:rPr>
      </w:pPr>
    </w:p>
    <w:p w:rsidR="009354F2" w:rsidRPr="00F76FE2" w:rsidRDefault="009354F2" w:rsidP="009354F2">
      <w:pPr>
        <w:autoSpaceDE w:val="0"/>
        <w:autoSpaceDN w:val="0"/>
        <w:adjustRightInd w:val="0"/>
        <w:spacing w:after="0" w:line="360" w:lineRule="auto"/>
        <w:ind w:left="284" w:right="-46" w:hanging="284"/>
        <w:rPr>
          <w:rFonts w:ascii="Times New Roman" w:hAnsi="Times New Roman" w:cs="Times New Roman"/>
          <w:b/>
          <w:sz w:val="24"/>
          <w:szCs w:val="24"/>
        </w:rPr>
      </w:pPr>
      <w:r w:rsidRPr="00F76FE2">
        <w:rPr>
          <w:rFonts w:ascii="Times New Roman" w:hAnsi="Times New Roman" w:cs="Times New Roman"/>
          <w:b/>
          <w:sz w:val="24"/>
          <w:szCs w:val="24"/>
        </w:rPr>
        <w:t xml:space="preserve">BSH </w:t>
      </w:r>
      <w:r w:rsidRPr="00F76FE2">
        <w:rPr>
          <w:rFonts w:ascii="Times New Roman" w:hAnsi="Times New Roman" w:cs="Times New Roman"/>
          <w:b/>
          <w:sz w:val="24"/>
          <w:szCs w:val="24"/>
        </w:rPr>
        <w:tab/>
      </w:r>
      <w:r w:rsidRPr="00F76FE2">
        <w:rPr>
          <w:rFonts w:ascii="Times New Roman" w:hAnsi="Times New Roman" w:cs="Times New Roman"/>
          <w:b/>
          <w:sz w:val="24"/>
          <w:szCs w:val="24"/>
        </w:rPr>
        <w:tab/>
      </w:r>
      <w:r w:rsidRPr="00F76FE2">
        <w:rPr>
          <w:rFonts w:ascii="Times New Roman" w:hAnsi="Times New Roman" w:cs="Times New Roman"/>
          <w:b/>
          <w:sz w:val="24"/>
          <w:szCs w:val="24"/>
        </w:rPr>
        <w:tab/>
      </w:r>
      <w:r w:rsidRPr="00F76FE2">
        <w:rPr>
          <w:rFonts w:ascii="Times New Roman" w:hAnsi="Times New Roman" w:cs="Times New Roman"/>
          <w:b/>
          <w:sz w:val="24"/>
          <w:szCs w:val="24"/>
        </w:rPr>
        <w:tab/>
      </w:r>
      <w:r w:rsidRPr="00F76FE2">
        <w:rPr>
          <w:rFonts w:ascii="Times New Roman" w:hAnsi="Times New Roman" w:cs="Times New Roman"/>
          <w:b/>
          <w:sz w:val="24"/>
          <w:szCs w:val="24"/>
        </w:rPr>
        <w:tab/>
      </w:r>
      <w:r w:rsidRPr="00F76FE2">
        <w:rPr>
          <w:rFonts w:ascii="Times New Roman" w:hAnsi="Times New Roman" w:cs="Times New Roman"/>
          <w:sz w:val="24"/>
          <w:szCs w:val="24"/>
        </w:rPr>
        <w:t>Banka e Shqipërisë</w:t>
      </w:r>
    </w:p>
    <w:p w:rsidR="009354F2" w:rsidRPr="00F76FE2" w:rsidRDefault="009354F2" w:rsidP="009354F2">
      <w:pPr>
        <w:autoSpaceDE w:val="0"/>
        <w:autoSpaceDN w:val="0"/>
        <w:adjustRightInd w:val="0"/>
        <w:spacing w:after="0" w:line="360" w:lineRule="auto"/>
        <w:ind w:left="284" w:right="-46" w:hanging="284"/>
        <w:rPr>
          <w:rFonts w:ascii="Times New Roman" w:hAnsi="Times New Roman" w:cs="Times New Roman"/>
          <w:sz w:val="24"/>
          <w:szCs w:val="24"/>
        </w:rPr>
      </w:pPr>
      <w:r w:rsidRPr="00F76FE2">
        <w:rPr>
          <w:rFonts w:ascii="Times New Roman" w:hAnsi="Times New Roman" w:cs="Times New Roman"/>
          <w:b/>
          <w:sz w:val="24"/>
          <w:szCs w:val="24"/>
        </w:rPr>
        <w:t xml:space="preserve">DMM </w:t>
      </w:r>
      <w:r w:rsidRPr="00F76FE2">
        <w:rPr>
          <w:rFonts w:ascii="Times New Roman" w:hAnsi="Times New Roman" w:cs="Times New Roman"/>
          <w:b/>
          <w:sz w:val="24"/>
          <w:szCs w:val="24"/>
        </w:rPr>
        <w:tab/>
      </w:r>
      <w:r w:rsidRPr="00F76FE2">
        <w:rPr>
          <w:rFonts w:ascii="Times New Roman" w:hAnsi="Times New Roman" w:cs="Times New Roman"/>
          <w:b/>
          <w:sz w:val="24"/>
          <w:szCs w:val="24"/>
        </w:rPr>
        <w:tab/>
      </w:r>
      <w:r w:rsidRPr="00F76FE2">
        <w:rPr>
          <w:rFonts w:ascii="Times New Roman" w:hAnsi="Times New Roman" w:cs="Times New Roman"/>
          <w:b/>
          <w:sz w:val="24"/>
          <w:szCs w:val="24"/>
        </w:rPr>
        <w:tab/>
      </w:r>
      <w:r w:rsidRPr="00F76FE2">
        <w:rPr>
          <w:rFonts w:ascii="Times New Roman" w:hAnsi="Times New Roman" w:cs="Times New Roman"/>
          <w:b/>
          <w:sz w:val="24"/>
          <w:szCs w:val="24"/>
        </w:rPr>
        <w:tab/>
      </w:r>
      <w:r w:rsidRPr="00F76FE2">
        <w:rPr>
          <w:rFonts w:ascii="Times New Roman" w:hAnsi="Times New Roman" w:cs="Times New Roman"/>
          <w:b/>
          <w:sz w:val="24"/>
          <w:szCs w:val="24"/>
        </w:rPr>
        <w:tab/>
      </w:r>
      <w:r w:rsidRPr="00F76FE2">
        <w:rPr>
          <w:rFonts w:ascii="Times New Roman" w:hAnsi="Times New Roman" w:cs="Times New Roman"/>
          <w:sz w:val="24"/>
          <w:szCs w:val="24"/>
        </w:rPr>
        <w:t>Ditët Mesatare në Maturim</w:t>
      </w:r>
    </w:p>
    <w:p w:rsidR="009354F2" w:rsidRPr="00F76FE2" w:rsidRDefault="009354F2" w:rsidP="009354F2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 w:right="-46" w:hanging="284"/>
        <w:rPr>
          <w:rFonts w:ascii="Times New Roman" w:hAnsi="Times New Roman" w:cs="Times New Roman"/>
          <w:sz w:val="24"/>
          <w:szCs w:val="24"/>
        </w:rPr>
      </w:pPr>
      <w:r w:rsidRPr="00F76FE2">
        <w:rPr>
          <w:rFonts w:ascii="Times New Roman" w:hAnsi="Times New Roman" w:cs="Times New Roman"/>
          <w:b/>
          <w:sz w:val="24"/>
          <w:szCs w:val="24"/>
        </w:rPr>
        <w:t>EUR</w:t>
      </w:r>
      <w:r w:rsidRPr="00F76FE2">
        <w:rPr>
          <w:rFonts w:ascii="Times New Roman" w:hAnsi="Times New Roman" w:cs="Times New Roman"/>
          <w:sz w:val="24"/>
          <w:szCs w:val="24"/>
        </w:rPr>
        <w:t xml:space="preserve"> </w:t>
      </w:r>
      <w:r w:rsidRPr="00F76FE2">
        <w:rPr>
          <w:rFonts w:ascii="Times New Roman" w:hAnsi="Times New Roman" w:cs="Times New Roman"/>
          <w:sz w:val="24"/>
          <w:szCs w:val="24"/>
        </w:rPr>
        <w:tab/>
      </w:r>
      <w:r w:rsidRPr="00F76FE2">
        <w:rPr>
          <w:rFonts w:ascii="Times New Roman" w:hAnsi="Times New Roman" w:cs="Times New Roman"/>
          <w:sz w:val="24"/>
          <w:szCs w:val="24"/>
        </w:rPr>
        <w:tab/>
      </w:r>
      <w:r w:rsidRPr="00F76FE2">
        <w:rPr>
          <w:rFonts w:ascii="Times New Roman" w:hAnsi="Times New Roman" w:cs="Times New Roman"/>
          <w:sz w:val="24"/>
          <w:szCs w:val="24"/>
        </w:rPr>
        <w:tab/>
      </w:r>
      <w:r w:rsidRPr="00F76FE2">
        <w:rPr>
          <w:rFonts w:ascii="Times New Roman" w:hAnsi="Times New Roman" w:cs="Times New Roman"/>
          <w:sz w:val="24"/>
          <w:szCs w:val="24"/>
        </w:rPr>
        <w:tab/>
      </w:r>
      <w:r w:rsidRPr="00F76FE2">
        <w:rPr>
          <w:rFonts w:ascii="Times New Roman" w:hAnsi="Times New Roman" w:cs="Times New Roman"/>
          <w:sz w:val="24"/>
          <w:szCs w:val="24"/>
        </w:rPr>
        <w:tab/>
      </w:r>
      <w:r w:rsidRPr="00F76FE2">
        <w:rPr>
          <w:rFonts w:ascii="Times New Roman" w:hAnsi="Times New Roman" w:cs="Times New Roman"/>
          <w:sz w:val="24"/>
          <w:szCs w:val="24"/>
        </w:rPr>
        <w:tab/>
      </w:r>
      <w:r w:rsidR="00B308B7" w:rsidRPr="00F76FE2">
        <w:rPr>
          <w:rFonts w:ascii="Times New Roman" w:hAnsi="Times New Roman" w:cs="Times New Roman"/>
          <w:sz w:val="24"/>
          <w:szCs w:val="24"/>
        </w:rPr>
        <w:t>Monedha e Bashkimit Evropian</w:t>
      </w:r>
    </w:p>
    <w:p w:rsidR="009354F2" w:rsidRPr="00F76FE2" w:rsidRDefault="009354F2" w:rsidP="009354F2">
      <w:pPr>
        <w:autoSpaceDE w:val="0"/>
        <w:autoSpaceDN w:val="0"/>
        <w:adjustRightInd w:val="0"/>
        <w:spacing w:after="0" w:line="360" w:lineRule="auto"/>
        <w:ind w:left="284" w:right="-46" w:hanging="284"/>
        <w:rPr>
          <w:rFonts w:ascii="Times New Roman" w:hAnsi="Times New Roman" w:cs="Times New Roman"/>
          <w:sz w:val="24"/>
          <w:szCs w:val="24"/>
        </w:rPr>
      </w:pPr>
      <w:r w:rsidRPr="00F76FE2">
        <w:rPr>
          <w:rFonts w:ascii="Times New Roman" w:hAnsi="Times New Roman" w:cs="Times New Roman"/>
          <w:b/>
          <w:sz w:val="24"/>
          <w:szCs w:val="24"/>
        </w:rPr>
        <w:t xml:space="preserve">JPY </w:t>
      </w:r>
      <w:r w:rsidRPr="00F76FE2">
        <w:rPr>
          <w:rFonts w:ascii="Times New Roman" w:hAnsi="Times New Roman" w:cs="Times New Roman"/>
          <w:sz w:val="24"/>
          <w:szCs w:val="24"/>
        </w:rPr>
        <w:tab/>
      </w:r>
      <w:r w:rsidRPr="00F76FE2">
        <w:rPr>
          <w:rFonts w:ascii="Times New Roman" w:hAnsi="Times New Roman" w:cs="Times New Roman"/>
          <w:sz w:val="24"/>
          <w:szCs w:val="24"/>
        </w:rPr>
        <w:tab/>
      </w:r>
      <w:r w:rsidRPr="00F76FE2">
        <w:rPr>
          <w:rFonts w:ascii="Times New Roman" w:hAnsi="Times New Roman" w:cs="Times New Roman"/>
          <w:sz w:val="24"/>
          <w:szCs w:val="24"/>
        </w:rPr>
        <w:tab/>
      </w:r>
      <w:r w:rsidRPr="00F76FE2">
        <w:rPr>
          <w:rFonts w:ascii="Times New Roman" w:hAnsi="Times New Roman" w:cs="Times New Roman"/>
          <w:sz w:val="24"/>
          <w:szCs w:val="24"/>
        </w:rPr>
        <w:tab/>
      </w:r>
      <w:r w:rsidRPr="00F76FE2">
        <w:rPr>
          <w:rFonts w:ascii="Times New Roman" w:hAnsi="Times New Roman" w:cs="Times New Roman"/>
          <w:sz w:val="24"/>
          <w:szCs w:val="24"/>
        </w:rPr>
        <w:tab/>
      </w:r>
      <w:r w:rsidR="00B308B7" w:rsidRPr="00F76FE2">
        <w:rPr>
          <w:rFonts w:ascii="Times New Roman" w:hAnsi="Times New Roman" w:cs="Times New Roman"/>
          <w:sz w:val="24"/>
          <w:szCs w:val="24"/>
        </w:rPr>
        <w:t>Monedha kombëtare e Japonisë</w:t>
      </w:r>
    </w:p>
    <w:p w:rsidR="009354F2" w:rsidRPr="00F76FE2" w:rsidRDefault="009354F2" w:rsidP="009354F2">
      <w:pPr>
        <w:autoSpaceDE w:val="0"/>
        <w:autoSpaceDN w:val="0"/>
        <w:adjustRightInd w:val="0"/>
        <w:spacing w:after="0" w:line="360" w:lineRule="auto"/>
        <w:ind w:left="284" w:right="-46" w:hanging="284"/>
        <w:rPr>
          <w:rFonts w:ascii="Times New Roman" w:hAnsi="Times New Roman" w:cs="Times New Roman"/>
          <w:sz w:val="24"/>
          <w:szCs w:val="24"/>
        </w:rPr>
      </w:pPr>
      <w:r w:rsidRPr="00F76FE2">
        <w:rPr>
          <w:rFonts w:ascii="Times New Roman" w:hAnsi="Times New Roman" w:cs="Times New Roman"/>
          <w:b/>
          <w:sz w:val="24"/>
          <w:szCs w:val="24"/>
        </w:rPr>
        <w:t xml:space="preserve">KMM                                     </w:t>
      </w:r>
      <w:r w:rsidRPr="00F76FE2">
        <w:rPr>
          <w:rFonts w:ascii="Times New Roman" w:hAnsi="Times New Roman" w:cs="Times New Roman"/>
          <w:b/>
          <w:sz w:val="24"/>
          <w:szCs w:val="24"/>
        </w:rPr>
        <w:tab/>
      </w:r>
      <w:r w:rsidRPr="00F76FE2">
        <w:rPr>
          <w:rFonts w:ascii="Times New Roman" w:hAnsi="Times New Roman" w:cs="Times New Roman"/>
          <w:b/>
          <w:sz w:val="24"/>
          <w:szCs w:val="24"/>
        </w:rPr>
        <w:tab/>
      </w:r>
      <w:r w:rsidRPr="00F76FE2">
        <w:rPr>
          <w:rFonts w:ascii="Times New Roman" w:hAnsi="Times New Roman" w:cs="Times New Roman"/>
          <w:sz w:val="24"/>
          <w:szCs w:val="24"/>
        </w:rPr>
        <w:t>Koha Mesatare në Maturim</w:t>
      </w:r>
    </w:p>
    <w:p w:rsidR="009354F2" w:rsidRPr="00F76FE2" w:rsidRDefault="009354F2" w:rsidP="009354F2">
      <w:pPr>
        <w:autoSpaceDE w:val="0"/>
        <w:autoSpaceDN w:val="0"/>
        <w:adjustRightInd w:val="0"/>
        <w:spacing w:after="0" w:line="360" w:lineRule="auto"/>
        <w:ind w:left="284" w:right="-46" w:hanging="284"/>
        <w:rPr>
          <w:rFonts w:ascii="Times New Roman" w:hAnsi="Times New Roman" w:cs="Times New Roman"/>
          <w:b/>
          <w:sz w:val="24"/>
          <w:szCs w:val="24"/>
        </w:rPr>
      </w:pPr>
      <w:r w:rsidRPr="00F76FE2">
        <w:rPr>
          <w:rFonts w:ascii="Times New Roman" w:hAnsi="Times New Roman" w:cs="Times New Roman"/>
          <w:b/>
          <w:sz w:val="24"/>
          <w:szCs w:val="24"/>
        </w:rPr>
        <w:t xml:space="preserve">KMR                                     </w:t>
      </w:r>
      <w:r w:rsidRPr="00F76FE2">
        <w:rPr>
          <w:rFonts w:ascii="Times New Roman" w:hAnsi="Times New Roman" w:cs="Times New Roman"/>
          <w:b/>
          <w:sz w:val="24"/>
          <w:szCs w:val="24"/>
        </w:rPr>
        <w:tab/>
      </w:r>
      <w:r w:rsidRPr="00F76FE2">
        <w:rPr>
          <w:rFonts w:ascii="Times New Roman" w:hAnsi="Times New Roman" w:cs="Times New Roman"/>
          <w:b/>
          <w:sz w:val="24"/>
          <w:szCs w:val="24"/>
        </w:rPr>
        <w:tab/>
      </w:r>
      <w:r w:rsidRPr="00F76FE2">
        <w:rPr>
          <w:rFonts w:ascii="Times New Roman" w:hAnsi="Times New Roman" w:cs="Times New Roman"/>
          <w:sz w:val="24"/>
          <w:szCs w:val="24"/>
        </w:rPr>
        <w:t>Koha Mesatare në Rifiksim</w:t>
      </w:r>
    </w:p>
    <w:p w:rsidR="009354F2" w:rsidRPr="00F76FE2" w:rsidRDefault="009354F2" w:rsidP="009354F2">
      <w:pPr>
        <w:autoSpaceDE w:val="0"/>
        <w:autoSpaceDN w:val="0"/>
        <w:adjustRightInd w:val="0"/>
        <w:spacing w:after="0" w:line="360" w:lineRule="auto"/>
        <w:ind w:left="284" w:right="-46" w:hanging="284"/>
        <w:rPr>
          <w:rFonts w:ascii="Times New Roman" w:hAnsi="Times New Roman" w:cs="Times New Roman"/>
          <w:sz w:val="24"/>
          <w:szCs w:val="24"/>
        </w:rPr>
      </w:pPr>
      <w:r w:rsidRPr="00F76FE2">
        <w:rPr>
          <w:rFonts w:ascii="Times New Roman" w:hAnsi="Times New Roman" w:cs="Times New Roman"/>
          <w:b/>
          <w:sz w:val="24"/>
          <w:szCs w:val="24"/>
        </w:rPr>
        <w:t xml:space="preserve">PBB </w:t>
      </w:r>
      <w:r w:rsidRPr="00F76FE2">
        <w:rPr>
          <w:rFonts w:ascii="Times New Roman" w:hAnsi="Times New Roman" w:cs="Times New Roman"/>
          <w:b/>
          <w:sz w:val="24"/>
          <w:szCs w:val="24"/>
        </w:rPr>
        <w:tab/>
      </w:r>
      <w:r w:rsidRPr="00F76FE2">
        <w:rPr>
          <w:rFonts w:ascii="Times New Roman" w:hAnsi="Times New Roman" w:cs="Times New Roman"/>
          <w:b/>
          <w:sz w:val="24"/>
          <w:szCs w:val="24"/>
        </w:rPr>
        <w:tab/>
      </w:r>
      <w:r w:rsidRPr="00F76FE2">
        <w:rPr>
          <w:rFonts w:ascii="Times New Roman" w:hAnsi="Times New Roman" w:cs="Times New Roman"/>
          <w:b/>
          <w:sz w:val="24"/>
          <w:szCs w:val="24"/>
        </w:rPr>
        <w:tab/>
      </w:r>
      <w:r w:rsidRPr="00F76FE2">
        <w:rPr>
          <w:rFonts w:ascii="Times New Roman" w:hAnsi="Times New Roman" w:cs="Times New Roman"/>
          <w:b/>
          <w:sz w:val="24"/>
          <w:szCs w:val="24"/>
        </w:rPr>
        <w:tab/>
      </w:r>
      <w:r w:rsidRPr="00F76FE2">
        <w:rPr>
          <w:rFonts w:ascii="Times New Roman" w:hAnsi="Times New Roman" w:cs="Times New Roman"/>
          <w:b/>
          <w:sz w:val="24"/>
          <w:szCs w:val="24"/>
        </w:rPr>
        <w:tab/>
      </w:r>
      <w:r w:rsidRPr="00F76FE2">
        <w:rPr>
          <w:rFonts w:ascii="Times New Roman" w:hAnsi="Times New Roman" w:cs="Times New Roman"/>
          <w:sz w:val="24"/>
          <w:szCs w:val="24"/>
        </w:rPr>
        <w:t>Produkti i Brendshëm Bruto</w:t>
      </w:r>
    </w:p>
    <w:p w:rsidR="009354F2" w:rsidRPr="00F76FE2" w:rsidRDefault="009354F2" w:rsidP="009354F2">
      <w:pPr>
        <w:autoSpaceDE w:val="0"/>
        <w:autoSpaceDN w:val="0"/>
        <w:adjustRightInd w:val="0"/>
        <w:spacing w:after="0" w:line="360" w:lineRule="auto"/>
        <w:ind w:left="284" w:right="-46" w:hanging="284"/>
        <w:rPr>
          <w:rFonts w:ascii="Times New Roman" w:hAnsi="Times New Roman" w:cs="Times New Roman"/>
          <w:sz w:val="24"/>
          <w:szCs w:val="24"/>
        </w:rPr>
      </w:pPr>
      <w:r w:rsidRPr="00F76FE2">
        <w:rPr>
          <w:rFonts w:ascii="Times New Roman" w:hAnsi="Times New Roman" w:cs="Times New Roman"/>
          <w:b/>
          <w:sz w:val="24"/>
          <w:szCs w:val="24"/>
        </w:rPr>
        <w:t xml:space="preserve">PP                                          </w:t>
      </w:r>
      <w:r w:rsidRPr="00F76FE2">
        <w:rPr>
          <w:rFonts w:ascii="Times New Roman" w:hAnsi="Times New Roman" w:cs="Times New Roman"/>
          <w:b/>
          <w:sz w:val="24"/>
          <w:szCs w:val="24"/>
        </w:rPr>
        <w:tab/>
      </w:r>
      <w:r w:rsidRPr="00F76FE2">
        <w:rPr>
          <w:rFonts w:ascii="Times New Roman" w:hAnsi="Times New Roman" w:cs="Times New Roman"/>
          <w:b/>
          <w:sz w:val="24"/>
          <w:szCs w:val="24"/>
        </w:rPr>
        <w:tab/>
      </w:r>
      <w:r w:rsidRPr="00F76FE2">
        <w:rPr>
          <w:rFonts w:ascii="Times New Roman" w:hAnsi="Times New Roman" w:cs="Times New Roman"/>
          <w:sz w:val="24"/>
          <w:szCs w:val="24"/>
        </w:rPr>
        <w:t>Pikë Përqindje</w:t>
      </w:r>
    </w:p>
    <w:p w:rsidR="009354F2" w:rsidRPr="00F76FE2" w:rsidRDefault="009354F2" w:rsidP="009354F2">
      <w:pPr>
        <w:autoSpaceDE w:val="0"/>
        <w:autoSpaceDN w:val="0"/>
        <w:adjustRightInd w:val="0"/>
        <w:spacing w:after="0" w:line="360" w:lineRule="auto"/>
        <w:ind w:left="284" w:right="-46" w:hanging="284"/>
        <w:rPr>
          <w:rFonts w:ascii="Times New Roman" w:hAnsi="Times New Roman" w:cs="Times New Roman"/>
          <w:sz w:val="24"/>
          <w:szCs w:val="24"/>
        </w:rPr>
      </w:pPr>
      <w:r w:rsidRPr="00F76FE2">
        <w:rPr>
          <w:rFonts w:ascii="Times New Roman" w:hAnsi="Times New Roman" w:cs="Times New Roman"/>
          <w:b/>
          <w:sz w:val="24"/>
          <w:szCs w:val="24"/>
        </w:rPr>
        <w:t xml:space="preserve">PB                       </w:t>
      </w:r>
      <w:r w:rsidR="00D4722B" w:rsidRPr="00F76FE2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Pr="00F76FE2">
        <w:rPr>
          <w:rFonts w:ascii="Times New Roman" w:hAnsi="Times New Roman" w:cs="Times New Roman"/>
          <w:sz w:val="24"/>
          <w:szCs w:val="24"/>
        </w:rPr>
        <w:t>Pikë Bazë</w:t>
      </w:r>
    </w:p>
    <w:p w:rsidR="009354F2" w:rsidRPr="00F76FE2" w:rsidRDefault="009354F2" w:rsidP="009354F2">
      <w:pPr>
        <w:autoSpaceDE w:val="0"/>
        <w:autoSpaceDN w:val="0"/>
        <w:adjustRightInd w:val="0"/>
        <w:spacing w:after="0" w:line="360" w:lineRule="auto"/>
        <w:ind w:left="284" w:right="-46" w:hanging="284"/>
        <w:rPr>
          <w:rFonts w:ascii="Times New Roman" w:hAnsi="Times New Roman" w:cs="Times New Roman"/>
          <w:sz w:val="24"/>
          <w:szCs w:val="24"/>
        </w:rPr>
      </w:pPr>
      <w:r w:rsidRPr="00F76FE2">
        <w:rPr>
          <w:rFonts w:ascii="Times New Roman" w:hAnsi="Times New Roman" w:cs="Times New Roman"/>
          <w:b/>
          <w:sz w:val="24"/>
          <w:szCs w:val="24"/>
        </w:rPr>
        <w:t xml:space="preserve">SAMB                                                </w:t>
      </w:r>
      <w:r w:rsidRPr="00F76FE2">
        <w:rPr>
          <w:rFonts w:ascii="Times New Roman" w:hAnsi="Times New Roman" w:cs="Times New Roman"/>
          <w:sz w:val="24"/>
          <w:szCs w:val="24"/>
        </w:rPr>
        <w:t>Strategjia Afatmesme e Menaxhimit të Borxhit</w:t>
      </w:r>
    </w:p>
    <w:p w:rsidR="009354F2" w:rsidRPr="00F76FE2" w:rsidRDefault="009354F2" w:rsidP="009354F2">
      <w:pPr>
        <w:spacing w:after="0" w:line="360" w:lineRule="auto"/>
        <w:ind w:left="284" w:right="-46" w:hanging="284"/>
        <w:rPr>
          <w:rFonts w:ascii="Cambria" w:eastAsia="Times New Roman" w:hAnsi="Cambria"/>
          <w:b/>
          <w:noProof/>
          <w:color w:val="833C0B" w:themeColor="accent2" w:themeShade="80"/>
          <w:sz w:val="24"/>
          <w:szCs w:val="24"/>
        </w:rPr>
      </w:pPr>
      <w:r w:rsidRPr="00F76FE2">
        <w:rPr>
          <w:rFonts w:ascii="Times New Roman" w:hAnsi="Times New Roman" w:cs="Times New Roman"/>
          <w:b/>
          <w:sz w:val="24"/>
          <w:szCs w:val="24"/>
        </w:rPr>
        <w:t>USD</w:t>
      </w:r>
      <w:r w:rsidRPr="00F76FE2">
        <w:rPr>
          <w:rFonts w:ascii="Times New Roman" w:hAnsi="Times New Roman" w:cs="Times New Roman"/>
          <w:sz w:val="24"/>
          <w:szCs w:val="24"/>
        </w:rPr>
        <w:t xml:space="preserve"> </w:t>
      </w:r>
      <w:r w:rsidRPr="00F76FE2">
        <w:rPr>
          <w:rFonts w:ascii="Times New Roman" w:hAnsi="Times New Roman" w:cs="Times New Roman"/>
          <w:sz w:val="24"/>
          <w:szCs w:val="24"/>
        </w:rPr>
        <w:tab/>
      </w:r>
      <w:r w:rsidRPr="00F76FE2">
        <w:rPr>
          <w:rFonts w:ascii="Times New Roman" w:hAnsi="Times New Roman" w:cs="Times New Roman"/>
          <w:sz w:val="24"/>
          <w:szCs w:val="24"/>
        </w:rPr>
        <w:tab/>
      </w:r>
      <w:r w:rsidRPr="00F76FE2">
        <w:rPr>
          <w:rFonts w:ascii="Times New Roman" w:hAnsi="Times New Roman" w:cs="Times New Roman"/>
          <w:sz w:val="24"/>
          <w:szCs w:val="24"/>
        </w:rPr>
        <w:tab/>
      </w:r>
      <w:r w:rsidRPr="00F76FE2">
        <w:rPr>
          <w:rFonts w:ascii="Times New Roman" w:hAnsi="Times New Roman" w:cs="Times New Roman"/>
          <w:sz w:val="24"/>
          <w:szCs w:val="24"/>
        </w:rPr>
        <w:tab/>
      </w:r>
      <w:r w:rsidRPr="00F76FE2">
        <w:rPr>
          <w:rFonts w:ascii="Times New Roman" w:hAnsi="Times New Roman" w:cs="Times New Roman"/>
          <w:sz w:val="24"/>
          <w:szCs w:val="24"/>
        </w:rPr>
        <w:tab/>
      </w:r>
      <w:r w:rsidR="00B308B7" w:rsidRPr="00F76FE2">
        <w:rPr>
          <w:rFonts w:ascii="Times New Roman" w:hAnsi="Times New Roman" w:cs="Times New Roman"/>
          <w:sz w:val="24"/>
          <w:szCs w:val="24"/>
        </w:rPr>
        <w:t>Monedha Shteteve të Bashkuara të Amerikës</w:t>
      </w:r>
    </w:p>
    <w:p w:rsidR="009354F2" w:rsidRPr="00F76FE2" w:rsidRDefault="004F7EA2" w:rsidP="009354F2">
      <w:pPr>
        <w:spacing w:after="0" w:line="360" w:lineRule="auto"/>
        <w:ind w:left="284" w:right="-46" w:hanging="284"/>
        <w:rPr>
          <w:rFonts w:ascii="Times New Roman" w:hAnsi="Times New Roman" w:cs="Times New Roman"/>
          <w:sz w:val="24"/>
          <w:szCs w:val="24"/>
        </w:rPr>
      </w:pPr>
      <w:r w:rsidRPr="00F76FE2">
        <w:rPr>
          <w:rFonts w:ascii="Times New Roman" w:hAnsi="Times New Roman" w:cs="Times New Roman"/>
          <w:b/>
          <w:sz w:val="24"/>
          <w:szCs w:val="24"/>
        </w:rPr>
        <w:t>N</w:t>
      </w:r>
      <w:r w:rsidR="009354F2" w:rsidRPr="00F76FE2">
        <w:rPr>
          <w:rFonts w:ascii="Times New Roman" w:hAnsi="Times New Roman" w:cs="Times New Roman"/>
          <w:b/>
          <w:sz w:val="24"/>
          <w:szCs w:val="24"/>
        </w:rPr>
        <w:t xml:space="preserve">MP </w:t>
      </w:r>
      <w:r w:rsidR="009354F2" w:rsidRPr="00F76FE2">
        <w:rPr>
          <w:rFonts w:ascii="Times New Roman" w:hAnsi="Times New Roman" w:cs="Times New Roman"/>
          <w:sz w:val="24"/>
          <w:szCs w:val="24"/>
        </w:rPr>
        <w:tab/>
      </w:r>
      <w:r w:rsidR="009354F2" w:rsidRPr="00F76FE2">
        <w:rPr>
          <w:rFonts w:ascii="Times New Roman" w:hAnsi="Times New Roman" w:cs="Times New Roman"/>
          <w:sz w:val="24"/>
          <w:szCs w:val="24"/>
        </w:rPr>
        <w:tab/>
      </w:r>
      <w:r w:rsidR="009354F2" w:rsidRPr="00F76FE2">
        <w:rPr>
          <w:rFonts w:ascii="Times New Roman" w:hAnsi="Times New Roman" w:cs="Times New Roman"/>
          <w:sz w:val="24"/>
          <w:szCs w:val="24"/>
        </w:rPr>
        <w:tab/>
      </w:r>
      <w:r w:rsidR="009354F2" w:rsidRPr="00F76FE2">
        <w:rPr>
          <w:rFonts w:ascii="Times New Roman" w:hAnsi="Times New Roman" w:cs="Times New Roman"/>
          <w:sz w:val="24"/>
          <w:szCs w:val="24"/>
        </w:rPr>
        <w:tab/>
      </w:r>
      <w:r w:rsidR="009354F2" w:rsidRPr="00F76FE2">
        <w:rPr>
          <w:rFonts w:ascii="Times New Roman" w:hAnsi="Times New Roman" w:cs="Times New Roman"/>
          <w:sz w:val="24"/>
          <w:szCs w:val="24"/>
        </w:rPr>
        <w:tab/>
      </w:r>
      <w:r w:rsidRPr="00F76FE2">
        <w:rPr>
          <w:rFonts w:ascii="Times New Roman" w:hAnsi="Times New Roman" w:cs="Times New Roman"/>
          <w:sz w:val="24"/>
          <w:szCs w:val="24"/>
        </w:rPr>
        <w:t>Norma</w:t>
      </w:r>
      <w:r w:rsidR="009354F2" w:rsidRPr="00F76FE2">
        <w:rPr>
          <w:rFonts w:ascii="Times New Roman" w:hAnsi="Times New Roman" w:cs="Times New Roman"/>
          <w:sz w:val="24"/>
          <w:szCs w:val="24"/>
        </w:rPr>
        <w:t xml:space="preserve"> Mesatar</w:t>
      </w:r>
      <w:r w:rsidRPr="00F76FE2">
        <w:rPr>
          <w:rFonts w:ascii="Times New Roman" w:hAnsi="Times New Roman" w:cs="Times New Roman"/>
          <w:sz w:val="24"/>
          <w:szCs w:val="24"/>
        </w:rPr>
        <w:t>e</w:t>
      </w:r>
      <w:r w:rsidR="009354F2" w:rsidRPr="00F76FE2">
        <w:rPr>
          <w:rFonts w:ascii="Times New Roman" w:hAnsi="Times New Roman" w:cs="Times New Roman"/>
          <w:sz w:val="24"/>
          <w:szCs w:val="24"/>
        </w:rPr>
        <w:t xml:space="preserve"> </w:t>
      </w:r>
      <w:r w:rsidRPr="00F76FE2">
        <w:rPr>
          <w:rFonts w:ascii="Times New Roman" w:hAnsi="Times New Roman" w:cs="Times New Roman"/>
          <w:sz w:val="24"/>
          <w:szCs w:val="24"/>
        </w:rPr>
        <w:t>e</w:t>
      </w:r>
      <w:r w:rsidR="009354F2" w:rsidRPr="00F76FE2">
        <w:rPr>
          <w:rFonts w:ascii="Times New Roman" w:hAnsi="Times New Roman" w:cs="Times New Roman"/>
          <w:sz w:val="24"/>
          <w:szCs w:val="24"/>
        </w:rPr>
        <w:t xml:space="preserve"> Ponderuar</w:t>
      </w:r>
    </w:p>
    <w:p w:rsidR="009354F2" w:rsidRPr="00F76FE2" w:rsidRDefault="009354F2" w:rsidP="009354F2">
      <w:pPr>
        <w:ind w:right="-46"/>
        <w:rPr>
          <w:noProof/>
        </w:rPr>
      </w:pPr>
    </w:p>
    <w:p w:rsidR="009354F2" w:rsidRPr="00F76FE2" w:rsidRDefault="009354F2" w:rsidP="009354F2">
      <w:pPr>
        <w:ind w:right="-46"/>
        <w:rPr>
          <w:noProof/>
        </w:rPr>
      </w:pPr>
    </w:p>
    <w:p w:rsidR="009354F2" w:rsidRPr="00F76FE2" w:rsidRDefault="009354F2" w:rsidP="009354F2">
      <w:pPr>
        <w:ind w:right="-46"/>
        <w:rPr>
          <w:noProof/>
        </w:rPr>
      </w:pPr>
    </w:p>
    <w:p w:rsidR="006975DB" w:rsidRPr="00F76FE2" w:rsidRDefault="006975DB" w:rsidP="009354F2">
      <w:pPr>
        <w:ind w:right="-46"/>
        <w:rPr>
          <w:noProof/>
        </w:rPr>
      </w:pPr>
    </w:p>
    <w:p w:rsidR="006975DB" w:rsidRPr="00F76FE2" w:rsidRDefault="006975DB" w:rsidP="009354F2">
      <w:pPr>
        <w:ind w:right="-46"/>
        <w:rPr>
          <w:noProof/>
        </w:rPr>
      </w:pPr>
    </w:p>
    <w:p w:rsidR="006975DB" w:rsidRPr="00F76FE2" w:rsidRDefault="006975DB" w:rsidP="009354F2">
      <w:pPr>
        <w:ind w:right="-46"/>
        <w:rPr>
          <w:noProof/>
        </w:rPr>
      </w:pPr>
    </w:p>
    <w:p w:rsidR="006975DB" w:rsidRPr="00F76FE2" w:rsidRDefault="006975DB" w:rsidP="009354F2">
      <w:pPr>
        <w:ind w:right="-46"/>
        <w:rPr>
          <w:noProof/>
        </w:rPr>
      </w:pPr>
    </w:p>
    <w:p w:rsidR="006975DB" w:rsidRPr="00F76FE2" w:rsidRDefault="006975DB" w:rsidP="009354F2">
      <w:pPr>
        <w:ind w:right="-46"/>
        <w:rPr>
          <w:noProof/>
        </w:rPr>
      </w:pPr>
    </w:p>
    <w:p w:rsidR="006975DB" w:rsidRPr="00F76FE2" w:rsidRDefault="006975DB" w:rsidP="009354F2">
      <w:pPr>
        <w:ind w:right="-46"/>
        <w:rPr>
          <w:noProof/>
        </w:rPr>
      </w:pPr>
    </w:p>
    <w:p w:rsidR="006975DB" w:rsidRPr="00F76FE2" w:rsidRDefault="006975DB" w:rsidP="009354F2">
      <w:pPr>
        <w:ind w:right="-46"/>
        <w:rPr>
          <w:noProof/>
        </w:rPr>
      </w:pPr>
    </w:p>
    <w:p w:rsidR="006975DB" w:rsidRPr="00F76FE2" w:rsidRDefault="006975DB" w:rsidP="009354F2">
      <w:pPr>
        <w:ind w:right="-46"/>
        <w:rPr>
          <w:noProof/>
        </w:rPr>
      </w:pPr>
    </w:p>
    <w:p w:rsidR="006975DB" w:rsidRPr="00F76FE2" w:rsidRDefault="006975DB" w:rsidP="009354F2">
      <w:pPr>
        <w:ind w:right="-46"/>
        <w:rPr>
          <w:noProof/>
        </w:rPr>
      </w:pPr>
    </w:p>
    <w:p w:rsidR="004F7EA2" w:rsidRPr="00F76FE2" w:rsidRDefault="004F7EA2" w:rsidP="009354F2">
      <w:pPr>
        <w:ind w:right="-46"/>
        <w:rPr>
          <w:noProof/>
        </w:rPr>
      </w:pPr>
    </w:p>
    <w:p w:rsidR="009354F2" w:rsidRPr="00F76FE2" w:rsidRDefault="009354F2" w:rsidP="009354F2">
      <w:pPr>
        <w:ind w:right="-46"/>
        <w:rPr>
          <w:rFonts w:ascii="Cambria" w:eastAsia="Times New Roman" w:hAnsi="Cambria"/>
          <w:b/>
          <w:noProof/>
          <w:u w:val="single"/>
        </w:rPr>
      </w:pPr>
    </w:p>
    <w:p w:rsidR="009354F2" w:rsidRPr="00F76FE2" w:rsidRDefault="009354F2" w:rsidP="00197C26">
      <w:pPr>
        <w:spacing w:after="0" w:line="276" w:lineRule="auto"/>
        <w:ind w:right="-46"/>
        <w:jc w:val="both"/>
        <w:rPr>
          <w:rFonts w:ascii="Cambria" w:eastAsia="Times New Roman" w:hAnsi="Cambria"/>
          <w:b/>
          <w:noProof/>
          <w:sz w:val="24"/>
        </w:rPr>
      </w:pPr>
      <w:r w:rsidRPr="00F76FE2">
        <w:rPr>
          <w:rFonts w:ascii="Cambria" w:eastAsia="Times New Roman" w:hAnsi="Cambria"/>
          <w:b/>
          <w:noProof/>
          <w:sz w:val="24"/>
        </w:rPr>
        <w:lastRenderedPageBreak/>
        <w:t>FJALOR SHPJEGUES</w:t>
      </w:r>
    </w:p>
    <w:p w:rsidR="009354F2" w:rsidRPr="00F76FE2" w:rsidRDefault="009354F2" w:rsidP="00197C26">
      <w:pPr>
        <w:spacing w:after="0" w:line="276" w:lineRule="auto"/>
        <w:ind w:right="-46"/>
        <w:jc w:val="both"/>
        <w:rPr>
          <w:rFonts w:ascii="Cambria" w:eastAsia="Times New Roman" w:hAnsi="Cambria"/>
          <w:b/>
          <w:noProof/>
          <w:color w:val="C00000"/>
          <w:sz w:val="24"/>
        </w:rPr>
      </w:pPr>
    </w:p>
    <w:p w:rsidR="009354F2" w:rsidRPr="00F76FE2" w:rsidRDefault="009354F2" w:rsidP="00197C26">
      <w:pPr>
        <w:spacing w:after="0" w:line="276" w:lineRule="auto"/>
        <w:ind w:right="-46"/>
        <w:jc w:val="both"/>
        <w:rPr>
          <w:rFonts w:ascii="Cambria" w:eastAsia="Times New Roman" w:hAnsi="Cambria"/>
          <w:b/>
          <w:noProof/>
          <w:sz w:val="6"/>
          <w:szCs w:val="6"/>
        </w:rPr>
      </w:pPr>
    </w:p>
    <w:p w:rsidR="009354F2" w:rsidRPr="00F76FE2" w:rsidRDefault="009354F2" w:rsidP="00197C26">
      <w:pPr>
        <w:tabs>
          <w:tab w:val="left" w:pos="360"/>
        </w:tabs>
        <w:spacing w:after="0" w:line="240" w:lineRule="auto"/>
        <w:ind w:right="-46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F76FE2">
        <w:rPr>
          <w:rFonts w:ascii="Cambria" w:eastAsia="Times New Roman" w:hAnsi="Cambria" w:cs="Times New Roman"/>
          <w:b/>
          <w:noProof/>
          <w:sz w:val="24"/>
          <w:szCs w:val="24"/>
        </w:rPr>
        <w:t xml:space="preserve">Ankande shkëmbimi </w:t>
      </w:r>
      <w:r w:rsidRPr="00F76FE2">
        <w:rPr>
          <w:rFonts w:ascii="Cambria" w:eastAsia="Times New Roman" w:hAnsi="Cambria" w:cs="Times New Roman"/>
          <w:b/>
          <w:i/>
          <w:noProof/>
          <w:sz w:val="24"/>
          <w:szCs w:val="24"/>
        </w:rPr>
        <w:t xml:space="preserve">(exchange auctions) </w:t>
      </w:r>
      <w:r w:rsidRPr="00F76FE2">
        <w:rPr>
          <w:rFonts w:ascii="Times New Roman" w:eastAsia="Times New Roman" w:hAnsi="Times New Roman" w:cs="Times New Roman"/>
          <w:b/>
          <w:noProof/>
          <w:sz w:val="24"/>
          <w:szCs w:val="24"/>
        </w:rPr>
        <w:t>–</w:t>
      </w:r>
      <w:r w:rsidRPr="00F76FE2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Parablerja e titujve shtetërorë më përpara datës së maturimit, ndërkohë që transaksioni kryhet duke e paguar mbajtësin e titullit të parablerë me një titull të emetuar rishtazi.</w:t>
      </w:r>
    </w:p>
    <w:p w:rsidR="009354F2" w:rsidRPr="00F76FE2" w:rsidRDefault="009354F2" w:rsidP="00197C2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46"/>
        <w:jc w:val="both"/>
        <w:rPr>
          <w:rFonts w:ascii="Times New Roman" w:eastAsia="Batang" w:hAnsi="Times New Roman" w:cs="Times New Roman"/>
          <w:i/>
          <w:noProof/>
          <w:sz w:val="20"/>
          <w:szCs w:val="20"/>
          <w:lang w:eastAsia="ko-KR"/>
        </w:rPr>
      </w:pPr>
    </w:p>
    <w:p w:rsidR="009354F2" w:rsidRPr="00F76FE2" w:rsidRDefault="009354F2" w:rsidP="00197C26">
      <w:pPr>
        <w:autoSpaceDE w:val="0"/>
        <w:autoSpaceDN w:val="0"/>
        <w:adjustRightInd w:val="0"/>
        <w:spacing w:after="0" w:line="23" w:lineRule="atLeast"/>
        <w:ind w:right="-46"/>
        <w:jc w:val="both"/>
        <w:rPr>
          <w:rFonts w:ascii="Times New Roman" w:eastAsia="Batang" w:hAnsi="Times New Roman" w:cs="Times New Roman"/>
          <w:noProof/>
          <w:color w:val="000000"/>
          <w:sz w:val="24"/>
          <w:szCs w:val="24"/>
        </w:rPr>
      </w:pPr>
      <w:r w:rsidRPr="00F76FE2">
        <w:rPr>
          <w:rFonts w:ascii="Cambria" w:eastAsia="Batang" w:hAnsi="Cambria" w:cs="Times New Roman"/>
          <w:b/>
          <w:noProof/>
          <w:color w:val="000000"/>
          <w:sz w:val="24"/>
          <w:szCs w:val="24"/>
        </w:rPr>
        <w:t>Borxh</w:t>
      </w:r>
      <w:r w:rsidRPr="00F76FE2">
        <w:rPr>
          <w:rFonts w:ascii="Times New Roman" w:eastAsia="Batang" w:hAnsi="Times New Roman" w:cs="Times New Roman"/>
          <w:b/>
          <w:noProof/>
          <w:sz w:val="24"/>
          <w:szCs w:val="24"/>
          <w:lang w:eastAsia="ko-KR"/>
        </w:rPr>
        <w:t xml:space="preserve"> – </w:t>
      </w:r>
      <w:r w:rsidRPr="00F76FE2">
        <w:rPr>
          <w:rFonts w:ascii="Times New Roman" w:eastAsia="Batang" w:hAnsi="Times New Roman" w:cs="Times New Roman"/>
          <w:noProof/>
          <w:color w:val="000000"/>
          <w:sz w:val="24"/>
          <w:szCs w:val="24"/>
        </w:rPr>
        <w:t>Referuar si “Borxh Total” ose “Totali i detyrimeve të borxhit”, konsiston në të gjitha detyrimet që janë instrumente borxhi.</w:t>
      </w:r>
    </w:p>
    <w:p w:rsidR="009354F2" w:rsidRPr="00F76FE2" w:rsidRDefault="009354F2" w:rsidP="00197C2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46"/>
        <w:jc w:val="both"/>
        <w:rPr>
          <w:rFonts w:ascii="Times New Roman" w:eastAsia="Batang" w:hAnsi="Times New Roman" w:cs="Times New Roman"/>
          <w:i/>
          <w:noProof/>
          <w:sz w:val="20"/>
          <w:szCs w:val="20"/>
          <w:lang w:eastAsia="ko-KR"/>
        </w:rPr>
      </w:pPr>
    </w:p>
    <w:p w:rsidR="009354F2" w:rsidRPr="00F76FE2" w:rsidRDefault="009354F2" w:rsidP="00197C26">
      <w:pPr>
        <w:autoSpaceDE w:val="0"/>
        <w:autoSpaceDN w:val="0"/>
        <w:adjustRightInd w:val="0"/>
        <w:spacing w:after="0" w:line="23" w:lineRule="atLeast"/>
        <w:ind w:right="-46"/>
        <w:jc w:val="both"/>
        <w:rPr>
          <w:rFonts w:ascii="Times New Roman" w:eastAsia="Batang" w:hAnsi="Times New Roman" w:cs="Times New Roman"/>
          <w:noProof/>
          <w:color w:val="000000"/>
          <w:sz w:val="24"/>
          <w:szCs w:val="24"/>
        </w:rPr>
      </w:pPr>
      <w:r w:rsidRPr="00F76FE2">
        <w:rPr>
          <w:rFonts w:ascii="Cambria" w:eastAsia="Batang" w:hAnsi="Cambria" w:cs="Times New Roman"/>
          <w:b/>
          <w:noProof/>
          <w:color w:val="000000"/>
          <w:sz w:val="24"/>
          <w:szCs w:val="24"/>
        </w:rPr>
        <w:t>Borxh afatgjatë</w:t>
      </w:r>
      <w:r w:rsidRPr="00F76FE2">
        <w:rPr>
          <w:rFonts w:ascii="Times New Roman" w:eastAsia="Batang" w:hAnsi="Times New Roman" w:cs="Times New Roman"/>
          <w:b/>
          <w:noProof/>
          <w:sz w:val="24"/>
          <w:szCs w:val="24"/>
          <w:lang w:eastAsia="ko-KR"/>
        </w:rPr>
        <w:t xml:space="preserve"> – </w:t>
      </w:r>
      <w:r w:rsidRPr="00F76FE2">
        <w:rPr>
          <w:rFonts w:ascii="Times New Roman" w:eastAsia="Batang" w:hAnsi="Times New Roman" w:cs="Times New Roman"/>
          <w:noProof/>
          <w:color w:val="000000"/>
          <w:sz w:val="24"/>
          <w:szCs w:val="24"/>
        </w:rPr>
        <w:t>Borxh me afat maturimi më të lartë se një vit.</w:t>
      </w:r>
    </w:p>
    <w:p w:rsidR="009354F2" w:rsidRPr="00F76FE2" w:rsidRDefault="009354F2" w:rsidP="00197C2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46"/>
        <w:jc w:val="both"/>
        <w:rPr>
          <w:rFonts w:ascii="Times New Roman" w:eastAsia="Batang" w:hAnsi="Times New Roman" w:cs="Times New Roman"/>
          <w:i/>
          <w:noProof/>
          <w:sz w:val="20"/>
          <w:szCs w:val="20"/>
          <w:lang w:eastAsia="ko-KR"/>
        </w:rPr>
      </w:pPr>
    </w:p>
    <w:p w:rsidR="009354F2" w:rsidRPr="00F76FE2" w:rsidRDefault="009354F2" w:rsidP="00197C26">
      <w:pPr>
        <w:autoSpaceDE w:val="0"/>
        <w:autoSpaceDN w:val="0"/>
        <w:adjustRightInd w:val="0"/>
        <w:spacing w:after="0" w:line="23" w:lineRule="atLeast"/>
        <w:ind w:right="-46"/>
        <w:jc w:val="both"/>
        <w:rPr>
          <w:rFonts w:ascii="Times New Roman" w:eastAsia="Batang" w:hAnsi="Times New Roman" w:cs="Times New Roman"/>
          <w:noProof/>
          <w:color w:val="000000"/>
          <w:sz w:val="24"/>
          <w:szCs w:val="24"/>
        </w:rPr>
      </w:pPr>
      <w:r w:rsidRPr="00F76FE2">
        <w:rPr>
          <w:rFonts w:ascii="Cambria" w:eastAsia="Batang" w:hAnsi="Cambria" w:cs="Times New Roman"/>
          <w:b/>
          <w:noProof/>
          <w:color w:val="000000"/>
          <w:sz w:val="24"/>
          <w:szCs w:val="24"/>
        </w:rPr>
        <w:t>Borxh i brendshëm</w:t>
      </w:r>
      <w:r w:rsidRPr="00F76FE2">
        <w:rPr>
          <w:rFonts w:ascii="Times New Roman" w:eastAsia="Batang" w:hAnsi="Times New Roman" w:cs="Times New Roman"/>
          <w:b/>
          <w:noProof/>
          <w:sz w:val="24"/>
          <w:szCs w:val="24"/>
          <w:lang w:eastAsia="ko-KR"/>
        </w:rPr>
        <w:t xml:space="preserve"> – </w:t>
      </w:r>
      <w:r w:rsidRPr="00F76FE2">
        <w:rPr>
          <w:rFonts w:ascii="Times New Roman" w:eastAsia="Batang" w:hAnsi="Times New Roman" w:cs="Times New Roman"/>
          <w:noProof/>
          <w:color w:val="000000"/>
          <w:sz w:val="24"/>
          <w:szCs w:val="24"/>
        </w:rPr>
        <w:t>Detyrimet e borxhit të rezidentëve të një vendi ndaj rezidentëve të po atij vendi.</w:t>
      </w:r>
    </w:p>
    <w:p w:rsidR="009354F2" w:rsidRPr="00F76FE2" w:rsidRDefault="009354F2" w:rsidP="00197C26">
      <w:pPr>
        <w:autoSpaceDE w:val="0"/>
        <w:autoSpaceDN w:val="0"/>
        <w:adjustRightInd w:val="0"/>
        <w:spacing w:after="0" w:line="23" w:lineRule="atLeast"/>
        <w:ind w:right="-46"/>
        <w:jc w:val="both"/>
        <w:rPr>
          <w:rFonts w:ascii="Times New Roman" w:eastAsia="Batang" w:hAnsi="Times New Roman" w:cs="Times New Roman"/>
          <w:noProof/>
          <w:color w:val="000000"/>
          <w:sz w:val="20"/>
          <w:szCs w:val="20"/>
        </w:rPr>
      </w:pPr>
    </w:p>
    <w:p w:rsidR="009354F2" w:rsidRPr="00F76FE2" w:rsidRDefault="009354F2" w:rsidP="00197C26">
      <w:pPr>
        <w:autoSpaceDE w:val="0"/>
        <w:autoSpaceDN w:val="0"/>
        <w:adjustRightInd w:val="0"/>
        <w:spacing w:after="0" w:line="23" w:lineRule="atLeast"/>
        <w:ind w:right="-46"/>
        <w:jc w:val="both"/>
        <w:rPr>
          <w:rFonts w:ascii="Times New Roman" w:eastAsia="Batang" w:hAnsi="Times New Roman" w:cs="Times New Roman"/>
          <w:noProof/>
          <w:color w:val="000000"/>
          <w:sz w:val="24"/>
          <w:szCs w:val="24"/>
        </w:rPr>
      </w:pPr>
      <w:r w:rsidRPr="00F76FE2">
        <w:rPr>
          <w:rFonts w:ascii="Cambria" w:eastAsia="Batang" w:hAnsi="Cambria" w:cs="Times New Roman"/>
          <w:b/>
          <w:noProof/>
          <w:color w:val="000000"/>
          <w:sz w:val="24"/>
          <w:szCs w:val="24"/>
        </w:rPr>
        <w:t>Borxh i jashtëm</w:t>
      </w:r>
      <w:r w:rsidRPr="00F76FE2">
        <w:rPr>
          <w:rFonts w:ascii="Times New Roman" w:eastAsia="Batang" w:hAnsi="Times New Roman" w:cs="Times New Roman"/>
          <w:b/>
          <w:noProof/>
          <w:sz w:val="24"/>
          <w:szCs w:val="24"/>
          <w:lang w:eastAsia="ko-KR"/>
        </w:rPr>
        <w:t xml:space="preserve"> – </w:t>
      </w:r>
      <w:r w:rsidRPr="00F76FE2">
        <w:rPr>
          <w:rFonts w:ascii="Times New Roman" w:eastAsia="Batang" w:hAnsi="Times New Roman" w:cs="Times New Roman"/>
          <w:noProof/>
          <w:color w:val="000000"/>
          <w:sz w:val="24"/>
          <w:szCs w:val="24"/>
        </w:rPr>
        <w:t>Detyrimet e borxhit të rezidentëve të një vendi ndaj jo rezidentëve.</w:t>
      </w:r>
    </w:p>
    <w:p w:rsidR="009354F2" w:rsidRPr="00F76FE2" w:rsidRDefault="009354F2" w:rsidP="00197C26">
      <w:pPr>
        <w:autoSpaceDE w:val="0"/>
        <w:autoSpaceDN w:val="0"/>
        <w:adjustRightInd w:val="0"/>
        <w:spacing w:after="0" w:line="23" w:lineRule="atLeast"/>
        <w:ind w:right="-46"/>
        <w:jc w:val="both"/>
        <w:rPr>
          <w:rFonts w:ascii="Times New Roman" w:eastAsia="Batang" w:hAnsi="Times New Roman" w:cs="Times New Roman"/>
          <w:noProof/>
          <w:color w:val="000000"/>
          <w:sz w:val="20"/>
          <w:szCs w:val="20"/>
        </w:rPr>
      </w:pPr>
    </w:p>
    <w:p w:rsidR="009354F2" w:rsidRPr="00F76FE2" w:rsidRDefault="009354F2" w:rsidP="00197C26">
      <w:pPr>
        <w:autoSpaceDE w:val="0"/>
        <w:autoSpaceDN w:val="0"/>
        <w:adjustRightInd w:val="0"/>
        <w:spacing w:after="0" w:line="23" w:lineRule="atLeast"/>
        <w:ind w:right="-46"/>
        <w:jc w:val="both"/>
        <w:rPr>
          <w:rFonts w:ascii="Times New Roman" w:eastAsia="Batang" w:hAnsi="Times New Roman" w:cs="Times New Roman"/>
          <w:noProof/>
          <w:color w:val="000000"/>
          <w:sz w:val="24"/>
          <w:szCs w:val="24"/>
        </w:rPr>
      </w:pPr>
      <w:r w:rsidRPr="00F76FE2">
        <w:rPr>
          <w:rFonts w:ascii="Cambria" w:eastAsia="Batang" w:hAnsi="Cambria" w:cs="Times New Roman"/>
          <w:b/>
          <w:noProof/>
          <w:color w:val="000000"/>
          <w:sz w:val="24"/>
          <w:szCs w:val="24"/>
        </w:rPr>
        <w:t>Borxhi publik i garantuar</w:t>
      </w:r>
      <w:r w:rsidRPr="00F76FE2">
        <w:rPr>
          <w:rFonts w:ascii="Times New Roman" w:eastAsia="Batang" w:hAnsi="Times New Roman" w:cs="Times New Roman"/>
          <w:b/>
          <w:noProof/>
          <w:sz w:val="24"/>
          <w:szCs w:val="24"/>
          <w:lang w:eastAsia="ko-KR"/>
        </w:rPr>
        <w:t xml:space="preserve"> – </w:t>
      </w:r>
      <w:r w:rsidRPr="00F76FE2">
        <w:rPr>
          <w:rFonts w:ascii="Times New Roman" w:eastAsia="Batang" w:hAnsi="Times New Roman" w:cs="Times New Roman"/>
          <w:noProof/>
          <w:color w:val="000000"/>
          <w:sz w:val="24"/>
          <w:szCs w:val="24"/>
        </w:rPr>
        <w:t>Detyrimet e borxhit të sektorit publik dhe privat, shërbimi i të cilit është i garantuar me marrëveshje nga njësitë e sektorit publik.</w:t>
      </w:r>
    </w:p>
    <w:p w:rsidR="009354F2" w:rsidRPr="00F76FE2" w:rsidRDefault="009354F2" w:rsidP="00197C2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46"/>
        <w:jc w:val="both"/>
        <w:rPr>
          <w:rFonts w:ascii="Times New Roman" w:eastAsia="Batang" w:hAnsi="Times New Roman" w:cs="Times New Roman"/>
          <w:i/>
          <w:noProof/>
          <w:sz w:val="20"/>
          <w:szCs w:val="20"/>
          <w:lang w:eastAsia="ko-KR"/>
        </w:rPr>
      </w:pPr>
    </w:p>
    <w:p w:rsidR="009354F2" w:rsidRPr="00F76FE2" w:rsidRDefault="009354F2" w:rsidP="00197C2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46"/>
        <w:jc w:val="both"/>
        <w:rPr>
          <w:rFonts w:ascii="Times New Roman" w:eastAsia="Batang" w:hAnsi="Times New Roman" w:cs="Times New Roman"/>
          <w:noProof/>
          <w:sz w:val="24"/>
          <w:szCs w:val="24"/>
          <w:lang w:eastAsia="ko-KR"/>
        </w:rPr>
      </w:pPr>
      <w:r w:rsidRPr="00F76FE2">
        <w:rPr>
          <w:rFonts w:ascii="Cambria" w:eastAsia="Batang" w:hAnsi="Cambria" w:cs="Times New Roman"/>
          <w:b/>
          <w:noProof/>
          <w:sz w:val="24"/>
          <w:szCs w:val="24"/>
          <w:lang w:eastAsia="ko-KR"/>
        </w:rPr>
        <w:t>Buyback</w:t>
      </w:r>
      <w:r w:rsidRPr="00F76FE2">
        <w:rPr>
          <w:rFonts w:ascii="Times New Roman" w:eastAsia="Batang" w:hAnsi="Times New Roman" w:cs="Times New Roman"/>
          <w:b/>
          <w:noProof/>
          <w:sz w:val="24"/>
          <w:szCs w:val="24"/>
          <w:lang w:eastAsia="ko-KR"/>
        </w:rPr>
        <w:t xml:space="preserve"> – </w:t>
      </w:r>
      <w:r w:rsidRPr="00F76FE2">
        <w:rPr>
          <w:rFonts w:ascii="Times New Roman" w:eastAsia="Batang" w:hAnsi="Times New Roman" w:cs="Times New Roman"/>
          <w:noProof/>
          <w:sz w:val="24"/>
          <w:szCs w:val="24"/>
          <w:lang w:eastAsia="ko-KR"/>
        </w:rPr>
        <w:t>Është forma e ndërsjellë e emetimit të titujve shtetërorë, e cila mundëson maturimin e parakohëshëm të një titull shtetëror.</w:t>
      </w:r>
    </w:p>
    <w:p w:rsidR="009354F2" w:rsidRPr="00F76FE2" w:rsidRDefault="009354F2" w:rsidP="00197C2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46"/>
        <w:jc w:val="both"/>
        <w:rPr>
          <w:rFonts w:ascii="Times New Roman" w:eastAsia="Batang" w:hAnsi="Times New Roman" w:cs="Times New Roman"/>
          <w:b/>
          <w:noProof/>
          <w:sz w:val="20"/>
          <w:szCs w:val="20"/>
          <w:lang w:eastAsia="ko-KR"/>
        </w:rPr>
      </w:pPr>
    </w:p>
    <w:p w:rsidR="009354F2" w:rsidRPr="00F76FE2" w:rsidRDefault="009354F2" w:rsidP="00197C26">
      <w:pPr>
        <w:autoSpaceDE w:val="0"/>
        <w:autoSpaceDN w:val="0"/>
        <w:adjustRightInd w:val="0"/>
        <w:spacing w:after="0" w:line="23" w:lineRule="atLeast"/>
        <w:ind w:right="-46"/>
        <w:jc w:val="both"/>
        <w:rPr>
          <w:rFonts w:ascii="Times New Roman" w:eastAsia="Batang" w:hAnsi="Times New Roman" w:cs="Times New Roman"/>
          <w:noProof/>
          <w:color w:val="000000"/>
          <w:sz w:val="24"/>
          <w:szCs w:val="24"/>
        </w:rPr>
      </w:pPr>
      <w:r w:rsidRPr="00F76FE2">
        <w:rPr>
          <w:rFonts w:ascii="Cambria" w:eastAsia="Batang" w:hAnsi="Cambria" w:cs="Times New Roman"/>
          <w:b/>
          <w:noProof/>
          <w:color w:val="000000"/>
          <w:sz w:val="24"/>
          <w:szCs w:val="24"/>
        </w:rPr>
        <w:t>Disbursim</w:t>
      </w:r>
      <w:r w:rsidRPr="00F76FE2">
        <w:rPr>
          <w:rFonts w:ascii="Times New Roman" w:eastAsia="Batang" w:hAnsi="Times New Roman" w:cs="Times New Roman"/>
          <w:b/>
          <w:noProof/>
          <w:sz w:val="24"/>
          <w:szCs w:val="24"/>
          <w:lang w:eastAsia="ko-KR"/>
        </w:rPr>
        <w:t xml:space="preserve"> – </w:t>
      </w:r>
      <w:r w:rsidRPr="00F76FE2">
        <w:rPr>
          <w:rFonts w:ascii="Times New Roman" w:eastAsia="Batang" w:hAnsi="Times New Roman" w:cs="Times New Roman"/>
          <w:noProof/>
          <w:color w:val="000000"/>
          <w:sz w:val="24"/>
          <w:szCs w:val="24"/>
        </w:rPr>
        <w:t>Transaksioni i vënies në dispozicion të burimeve financiare.</w:t>
      </w:r>
    </w:p>
    <w:p w:rsidR="009354F2" w:rsidRPr="00F76FE2" w:rsidRDefault="009354F2" w:rsidP="00197C26">
      <w:pPr>
        <w:autoSpaceDE w:val="0"/>
        <w:autoSpaceDN w:val="0"/>
        <w:adjustRightInd w:val="0"/>
        <w:spacing w:after="0" w:line="23" w:lineRule="atLeast"/>
        <w:ind w:right="-46"/>
        <w:jc w:val="both"/>
        <w:rPr>
          <w:rFonts w:ascii="Times New Roman" w:eastAsia="Batang" w:hAnsi="Times New Roman" w:cs="Times New Roman"/>
          <w:noProof/>
          <w:color w:val="000000"/>
          <w:sz w:val="20"/>
          <w:szCs w:val="20"/>
        </w:rPr>
      </w:pPr>
    </w:p>
    <w:p w:rsidR="009354F2" w:rsidRPr="00F76FE2" w:rsidRDefault="009354F2" w:rsidP="00197C26">
      <w:pPr>
        <w:autoSpaceDE w:val="0"/>
        <w:autoSpaceDN w:val="0"/>
        <w:adjustRightInd w:val="0"/>
        <w:spacing w:after="0" w:line="23" w:lineRule="atLeast"/>
        <w:ind w:right="-46"/>
        <w:jc w:val="both"/>
        <w:rPr>
          <w:rFonts w:ascii="Times New Roman" w:eastAsia="Batang" w:hAnsi="Times New Roman" w:cs="Times New Roman"/>
          <w:noProof/>
          <w:color w:val="000000"/>
          <w:sz w:val="24"/>
          <w:szCs w:val="24"/>
        </w:rPr>
      </w:pPr>
      <w:r w:rsidRPr="00F76FE2">
        <w:rPr>
          <w:rFonts w:ascii="Cambria" w:eastAsia="Batang" w:hAnsi="Cambria" w:cs="Times New Roman"/>
          <w:b/>
          <w:noProof/>
          <w:color w:val="000000"/>
          <w:sz w:val="24"/>
          <w:szCs w:val="24"/>
        </w:rPr>
        <w:t>Eurobond</w:t>
      </w:r>
      <w:r w:rsidRPr="00F76FE2">
        <w:rPr>
          <w:rFonts w:ascii="Times New Roman" w:eastAsia="Batang" w:hAnsi="Times New Roman" w:cs="Times New Roman"/>
          <w:b/>
          <w:noProof/>
          <w:sz w:val="24"/>
          <w:szCs w:val="24"/>
          <w:lang w:eastAsia="ko-KR"/>
        </w:rPr>
        <w:t xml:space="preserve"> – </w:t>
      </w:r>
      <w:r w:rsidRPr="00F76FE2">
        <w:rPr>
          <w:rFonts w:ascii="Times New Roman" w:eastAsia="Batang" w:hAnsi="Times New Roman" w:cs="Times New Roman"/>
          <w:noProof/>
          <w:color w:val="000000"/>
          <w:sz w:val="24"/>
          <w:szCs w:val="24"/>
        </w:rPr>
        <w:t>Një obligacion (</w:t>
      </w:r>
      <w:r w:rsidRPr="00F76FE2">
        <w:rPr>
          <w:rFonts w:ascii="Times New Roman" w:eastAsia="Batang" w:hAnsi="Times New Roman" w:cs="Times New Roman"/>
          <w:i/>
          <w:noProof/>
          <w:color w:val="000000"/>
          <w:sz w:val="24"/>
          <w:szCs w:val="24"/>
        </w:rPr>
        <w:t>titull financiar</w:t>
      </w:r>
      <w:r w:rsidRPr="00F76FE2">
        <w:rPr>
          <w:rFonts w:ascii="Times New Roman" w:eastAsia="Batang" w:hAnsi="Times New Roman" w:cs="Times New Roman"/>
          <w:noProof/>
          <w:color w:val="000000"/>
          <w:sz w:val="24"/>
          <w:szCs w:val="24"/>
        </w:rPr>
        <w:t>) me afat maturimi më shumë se një vit i emetuar dhe tregtuar në tregjet ndërkombëtare financiare, jashtë kufijve të vendit që e emeton atë.</w:t>
      </w:r>
    </w:p>
    <w:p w:rsidR="009354F2" w:rsidRPr="00F76FE2" w:rsidRDefault="009354F2" w:rsidP="00197C2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46"/>
        <w:jc w:val="both"/>
        <w:rPr>
          <w:rFonts w:ascii="Times New Roman" w:eastAsia="Batang" w:hAnsi="Times New Roman" w:cs="Times New Roman"/>
          <w:b/>
          <w:noProof/>
          <w:color w:val="800000"/>
          <w:sz w:val="20"/>
          <w:szCs w:val="20"/>
          <w:lang w:eastAsia="ko-KR"/>
        </w:rPr>
      </w:pPr>
    </w:p>
    <w:p w:rsidR="009354F2" w:rsidRPr="00F76FE2" w:rsidRDefault="009354F2" w:rsidP="00197C26">
      <w:pPr>
        <w:tabs>
          <w:tab w:val="left" w:pos="360"/>
        </w:tabs>
        <w:spacing w:after="0" w:line="240" w:lineRule="auto"/>
        <w:ind w:right="-46"/>
        <w:jc w:val="both"/>
        <w:rPr>
          <w:rFonts w:ascii="Times New Roman" w:eastAsia="Batang" w:hAnsi="Times New Roman" w:cs="Times New Roman"/>
          <w:noProof/>
          <w:sz w:val="24"/>
          <w:szCs w:val="24"/>
        </w:rPr>
      </w:pPr>
      <w:r w:rsidRPr="00F76FE2">
        <w:rPr>
          <w:rFonts w:ascii="Cambria" w:eastAsia="Times New Roman" w:hAnsi="Cambria" w:cs="Times New Roman"/>
          <w:b/>
          <w:noProof/>
          <w:sz w:val="24"/>
          <w:szCs w:val="24"/>
        </w:rPr>
        <w:t xml:space="preserve">Kreditor dypalësh </w:t>
      </w:r>
      <w:r w:rsidRPr="00F76FE2">
        <w:rPr>
          <w:rFonts w:ascii="Times New Roman" w:eastAsia="Batang" w:hAnsi="Times New Roman" w:cs="Times New Roman"/>
          <w:b/>
          <w:noProof/>
          <w:sz w:val="24"/>
          <w:szCs w:val="24"/>
          <w:lang w:eastAsia="ko-KR"/>
        </w:rPr>
        <w:t xml:space="preserve">– </w:t>
      </w:r>
      <w:r w:rsidRPr="00F76FE2">
        <w:rPr>
          <w:rFonts w:ascii="Times New Roman" w:eastAsia="Batang" w:hAnsi="Times New Roman" w:cs="Times New Roman"/>
          <w:noProof/>
          <w:sz w:val="24"/>
          <w:szCs w:val="24"/>
        </w:rPr>
        <w:t>Tipi i kreditorëve si qeveritë dhe agjencitë e tyre.</w:t>
      </w:r>
    </w:p>
    <w:p w:rsidR="009354F2" w:rsidRPr="00F76FE2" w:rsidRDefault="009354F2" w:rsidP="00197C26">
      <w:pPr>
        <w:tabs>
          <w:tab w:val="left" w:pos="360"/>
        </w:tabs>
        <w:spacing w:after="0" w:line="240" w:lineRule="auto"/>
        <w:ind w:right="-46"/>
        <w:jc w:val="both"/>
        <w:rPr>
          <w:rFonts w:ascii="Times New Roman" w:eastAsia="Batang" w:hAnsi="Times New Roman" w:cs="Times New Roman"/>
          <w:noProof/>
          <w:sz w:val="20"/>
          <w:szCs w:val="20"/>
        </w:rPr>
      </w:pPr>
    </w:p>
    <w:p w:rsidR="009354F2" w:rsidRPr="00F76FE2" w:rsidRDefault="009354F2" w:rsidP="00197C26">
      <w:pPr>
        <w:spacing w:after="0" w:line="23" w:lineRule="atLeast"/>
        <w:ind w:right="-46"/>
        <w:jc w:val="both"/>
        <w:rPr>
          <w:rFonts w:ascii="Times New Roman" w:eastAsia="Batang" w:hAnsi="Times New Roman" w:cs="Times New Roman"/>
          <w:noProof/>
          <w:color w:val="000000"/>
          <w:sz w:val="24"/>
          <w:szCs w:val="24"/>
        </w:rPr>
      </w:pPr>
      <w:r w:rsidRPr="00F76FE2">
        <w:rPr>
          <w:rFonts w:ascii="Cambria" w:eastAsia="Batang" w:hAnsi="Cambria" w:cs="Times New Roman"/>
          <w:b/>
          <w:noProof/>
          <w:color w:val="000000"/>
          <w:sz w:val="24"/>
          <w:szCs w:val="24"/>
        </w:rPr>
        <w:t>Kredi koncesionale</w:t>
      </w:r>
      <w:r w:rsidRPr="00F76FE2">
        <w:rPr>
          <w:rFonts w:ascii="Times New Roman" w:eastAsia="Batang" w:hAnsi="Times New Roman" w:cs="Times New Roman"/>
          <w:b/>
          <w:noProof/>
          <w:sz w:val="24"/>
          <w:szCs w:val="24"/>
          <w:lang w:eastAsia="ko-KR"/>
        </w:rPr>
        <w:t xml:space="preserve"> – </w:t>
      </w:r>
      <w:r w:rsidRPr="00F76FE2">
        <w:rPr>
          <w:rFonts w:ascii="Times New Roman" w:eastAsia="Batang" w:hAnsi="Times New Roman" w:cs="Times New Roman"/>
          <w:noProof/>
          <w:color w:val="000000"/>
          <w:sz w:val="24"/>
          <w:szCs w:val="24"/>
        </w:rPr>
        <w:t>Kredi me terma më të favorshme se ato të tregut.</w:t>
      </w:r>
    </w:p>
    <w:p w:rsidR="009354F2" w:rsidRPr="00F76FE2" w:rsidRDefault="009354F2" w:rsidP="00197C26">
      <w:pPr>
        <w:tabs>
          <w:tab w:val="left" w:pos="360"/>
        </w:tabs>
        <w:spacing w:after="0" w:line="240" w:lineRule="auto"/>
        <w:ind w:right="-46"/>
        <w:jc w:val="both"/>
        <w:rPr>
          <w:rFonts w:ascii="Times New Roman" w:eastAsia="Batang" w:hAnsi="Times New Roman" w:cs="Times New Roman"/>
          <w:noProof/>
          <w:sz w:val="20"/>
          <w:szCs w:val="20"/>
        </w:rPr>
      </w:pPr>
    </w:p>
    <w:p w:rsidR="009354F2" w:rsidRPr="00F76FE2" w:rsidRDefault="009354F2" w:rsidP="00197C26">
      <w:pPr>
        <w:tabs>
          <w:tab w:val="left" w:pos="360"/>
        </w:tabs>
        <w:spacing w:after="0" w:line="240" w:lineRule="auto"/>
        <w:ind w:right="-46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F76FE2">
        <w:rPr>
          <w:rFonts w:ascii="Cambria" w:eastAsia="Times New Roman" w:hAnsi="Cambria" w:cs="Times New Roman"/>
          <w:b/>
          <w:noProof/>
          <w:sz w:val="24"/>
          <w:szCs w:val="24"/>
        </w:rPr>
        <w:t>Kreditor shumëpalësh</w:t>
      </w:r>
      <w:r w:rsidRPr="00F76FE2">
        <w:rPr>
          <w:rFonts w:ascii="Times New Roman" w:eastAsia="Times New Roman" w:hAnsi="Times New Roman" w:cs="Times New Roman"/>
          <w:b/>
          <w:noProof/>
          <w:sz w:val="24"/>
          <w:szCs w:val="24"/>
        </w:rPr>
        <w:t xml:space="preserve"> –</w:t>
      </w:r>
      <w:r w:rsidRPr="00F76FE2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Tipi i kreditorëve që përfshinë institucionet financiare si Banka Botërore, FMN, etj..</w:t>
      </w:r>
    </w:p>
    <w:p w:rsidR="009354F2" w:rsidRPr="00F76FE2" w:rsidRDefault="009354F2" w:rsidP="00197C2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46"/>
        <w:jc w:val="both"/>
        <w:rPr>
          <w:rFonts w:ascii="Times New Roman" w:eastAsia="Batang" w:hAnsi="Times New Roman" w:cs="Times New Roman"/>
          <w:b/>
          <w:noProof/>
          <w:color w:val="800000"/>
          <w:sz w:val="20"/>
          <w:szCs w:val="20"/>
          <w:lang w:eastAsia="ko-KR"/>
        </w:rPr>
      </w:pPr>
    </w:p>
    <w:p w:rsidR="009354F2" w:rsidRPr="00F76FE2" w:rsidRDefault="009354F2" w:rsidP="00197C26">
      <w:pPr>
        <w:tabs>
          <w:tab w:val="left" w:pos="9498"/>
        </w:tabs>
        <w:autoSpaceDE w:val="0"/>
        <w:autoSpaceDN w:val="0"/>
        <w:adjustRightInd w:val="0"/>
        <w:spacing w:after="0" w:line="23" w:lineRule="atLeast"/>
        <w:ind w:right="-46"/>
        <w:jc w:val="both"/>
        <w:rPr>
          <w:rFonts w:ascii="Times New Roman" w:eastAsia="Batang" w:hAnsi="Times New Roman" w:cs="Times New Roman"/>
          <w:noProof/>
          <w:sz w:val="24"/>
          <w:szCs w:val="24"/>
        </w:rPr>
      </w:pPr>
      <w:r w:rsidRPr="00F76FE2">
        <w:rPr>
          <w:rFonts w:ascii="Cambria" w:eastAsia="Batang" w:hAnsi="Cambria" w:cs="Times New Roman"/>
          <w:b/>
          <w:noProof/>
          <w:sz w:val="24"/>
          <w:szCs w:val="24"/>
        </w:rPr>
        <w:t>Kreditorë privatë</w:t>
      </w:r>
      <w:r w:rsidRPr="00F76FE2">
        <w:rPr>
          <w:rFonts w:ascii="Times New Roman" w:eastAsia="Batang" w:hAnsi="Times New Roman" w:cs="Times New Roman"/>
          <w:b/>
          <w:noProof/>
          <w:sz w:val="24"/>
          <w:szCs w:val="24"/>
          <w:lang w:eastAsia="ko-KR"/>
        </w:rPr>
        <w:t xml:space="preserve"> – </w:t>
      </w:r>
      <w:r w:rsidRPr="00F76FE2">
        <w:rPr>
          <w:rFonts w:ascii="Times New Roman" w:eastAsia="Batang" w:hAnsi="Times New Roman" w:cs="Times New Roman"/>
          <w:noProof/>
          <w:sz w:val="24"/>
          <w:szCs w:val="24"/>
        </w:rPr>
        <w:t>Kreditorët që nuk janë as qeveri dhe as agjenci të sektorit publik. Këto përfshijnë mbajtësit privatë të titujve shtetërorë, bankat private dhe institucionet e tjera financiare.</w:t>
      </w:r>
    </w:p>
    <w:p w:rsidR="009354F2" w:rsidRPr="00F76FE2" w:rsidRDefault="009354F2" w:rsidP="00197C26">
      <w:pPr>
        <w:tabs>
          <w:tab w:val="left" w:pos="9498"/>
        </w:tabs>
        <w:autoSpaceDE w:val="0"/>
        <w:autoSpaceDN w:val="0"/>
        <w:adjustRightInd w:val="0"/>
        <w:spacing w:after="0" w:line="23" w:lineRule="atLeast"/>
        <w:ind w:right="-46"/>
        <w:jc w:val="both"/>
        <w:rPr>
          <w:rFonts w:ascii="Times New Roman" w:eastAsia="Batang" w:hAnsi="Times New Roman" w:cs="Times New Roman"/>
          <w:noProof/>
          <w:sz w:val="20"/>
          <w:szCs w:val="20"/>
        </w:rPr>
      </w:pPr>
    </w:p>
    <w:p w:rsidR="009354F2" w:rsidRPr="00F76FE2" w:rsidRDefault="009354F2" w:rsidP="00197C2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46"/>
        <w:jc w:val="both"/>
        <w:rPr>
          <w:rFonts w:ascii="Times New Roman" w:eastAsia="Batang" w:hAnsi="Times New Roman" w:cs="Times New Roman"/>
          <w:noProof/>
          <w:color w:val="000000"/>
          <w:sz w:val="24"/>
          <w:szCs w:val="24"/>
          <w:lang w:eastAsia="ko-KR"/>
        </w:rPr>
      </w:pPr>
      <w:r w:rsidRPr="00F76FE2">
        <w:rPr>
          <w:rFonts w:ascii="Cambria" w:eastAsia="Batang" w:hAnsi="Cambria" w:cs="Times New Roman"/>
          <w:b/>
          <w:noProof/>
          <w:sz w:val="24"/>
          <w:szCs w:val="24"/>
          <w:lang w:eastAsia="ko-KR"/>
        </w:rPr>
        <w:t>KMM</w:t>
      </w:r>
      <w:r w:rsidRPr="00F76FE2">
        <w:rPr>
          <w:rFonts w:ascii="Times New Roman" w:eastAsia="Batang" w:hAnsi="Times New Roman" w:cs="Times New Roman"/>
          <w:b/>
          <w:i/>
          <w:noProof/>
          <w:sz w:val="24"/>
          <w:szCs w:val="24"/>
          <w:lang w:eastAsia="ko-KR"/>
        </w:rPr>
        <w:t xml:space="preserve"> </w:t>
      </w:r>
      <w:r w:rsidRPr="00F76FE2">
        <w:rPr>
          <w:rFonts w:ascii="Times New Roman" w:eastAsia="Batang" w:hAnsi="Times New Roman" w:cs="Times New Roman"/>
          <w:b/>
          <w:noProof/>
          <w:color w:val="000000"/>
          <w:sz w:val="24"/>
          <w:szCs w:val="24"/>
          <w:lang w:eastAsia="ko-KR"/>
        </w:rPr>
        <w:t>–</w:t>
      </w:r>
      <w:r w:rsidRPr="00F76FE2">
        <w:rPr>
          <w:rFonts w:ascii="Times New Roman" w:eastAsia="Batang" w:hAnsi="Times New Roman" w:cs="Times New Roman"/>
          <w:noProof/>
          <w:color w:val="000000"/>
          <w:sz w:val="24"/>
          <w:szCs w:val="24"/>
          <w:lang w:eastAsia="ko-KR"/>
        </w:rPr>
        <w:t xml:space="preserve"> Tregues i riskut të ri-financimit për borxhin. KMM është periudha mesatare e shprehur në ditë ose në vite, që i duhet portofolit të borxhit për t’u maturuar. Sa më larg në kohë të jetë e projektuar data e maturimit të një instrumenti, aq më i ulët është risku i ri-financimit dhe aq më e lartë është vlera e këtij treguesi. KMM për instrumentet financiarë të borxhit përllogaritet sipas formulës së mëposhtme:</w:t>
      </w:r>
    </w:p>
    <w:p w:rsidR="009354F2" w:rsidRPr="00F76FE2" w:rsidRDefault="009354F2" w:rsidP="00197C2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46"/>
        <w:jc w:val="both"/>
        <w:rPr>
          <w:rFonts w:ascii="Times New Roman" w:eastAsia="Batang" w:hAnsi="Times New Roman" w:cs="Times New Roman"/>
          <w:noProof/>
          <w:color w:val="000000"/>
          <w:sz w:val="24"/>
          <w:szCs w:val="24"/>
          <w:lang w:eastAsia="ko-KR"/>
        </w:rPr>
      </w:pPr>
    </w:p>
    <w:p w:rsidR="009354F2" w:rsidRPr="00F76FE2" w:rsidRDefault="009354F2" w:rsidP="00197C2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46"/>
        <w:jc w:val="both"/>
        <w:rPr>
          <w:rFonts w:ascii="Times New Roman" w:eastAsia="Batang" w:hAnsi="Times New Roman" w:cs="Times New Roman"/>
          <w:noProof/>
          <w:color w:val="000000"/>
          <w:sz w:val="24"/>
          <w:szCs w:val="24"/>
          <w:u w:val="single"/>
          <w:lang w:eastAsia="ko-KR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Batang" w:hAnsi="Cambria Math" w:cs="Cambria Math"/>
              <w:noProof/>
              <w:color w:val="000000"/>
              <w:sz w:val="24"/>
              <w:szCs w:val="24"/>
              <w:lang w:eastAsia="ko-KR"/>
            </w:rPr>
            <m:t>KMM=</m:t>
          </m:r>
          <m:f>
            <m:fPr>
              <m:ctrlPr>
                <w:rPr>
                  <w:rFonts w:ascii="Cambria Math" w:eastAsia="Batang" w:hAnsi="Cambria Math" w:cs="Times New Roman"/>
                  <w:noProof/>
                  <w:color w:val="000000"/>
                  <w:sz w:val="24"/>
                  <w:szCs w:val="24"/>
                  <w:lang w:eastAsia="ko-KR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Batang" w:hAnsi="Cambria Math" w:cs="Times New Roman"/>
                  <w:noProof/>
                  <w:color w:val="000000"/>
                  <w:sz w:val="24"/>
                  <w:szCs w:val="24"/>
                  <w:lang w:eastAsia="ko-KR"/>
                </w:rPr>
                <m:t xml:space="preserve">  </m:t>
              </m:r>
              <m:nary>
                <m:naryPr>
                  <m:chr m:val="∑"/>
                  <m:grow m:val="1"/>
                  <m:ctrlPr>
                    <w:rPr>
                      <w:rFonts w:ascii="Cambria Math" w:eastAsia="Batang" w:hAnsi="Cambria Math" w:cs="Cambria Math"/>
                      <w:noProof/>
                      <w:color w:val="000000"/>
                      <w:sz w:val="24"/>
                      <w:szCs w:val="24"/>
                      <w:lang w:eastAsia="ko-KR"/>
                    </w:rPr>
                  </m:ctrlPr>
                </m:naryPr>
                <m:sub>
                  <m:r>
                    <w:rPr>
                      <w:rFonts w:ascii="Cambria Math" w:eastAsia="Cambria Math" w:hAnsi="Cambria Math" w:cs="Cambria Math"/>
                      <w:noProof/>
                      <w:color w:val="000000"/>
                      <w:sz w:val="24"/>
                      <w:szCs w:val="24"/>
                      <w:lang w:eastAsia="ko-KR"/>
                    </w:rPr>
                    <m:t>t∈T</m:t>
                  </m:r>
                </m:sub>
                <m:sup/>
                <m:e>
                  <m:r>
                    <m:rPr>
                      <m:sty m:val="p"/>
                    </m:rPr>
                    <w:rPr>
                      <w:rFonts w:ascii="Cambria Math" w:eastAsia="Batang" w:hAnsi="Cambria Math" w:cs="Cambria Math"/>
                      <w:noProof/>
                      <w:color w:val="000000"/>
                      <w:sz w:val="24"/>
                      <w:szCs w:val="24"/>
                      <w:lang w:eastAsia="ko-KR"/>
                    </w:rPr>
                    <m:t xml:space="preserve"> </m:t>
                  </m:r>
                </m:e>
              </m:nary>
              <m:r>
                <w:rPr>
                  <w:rFonts w:ascii="Cambria Math" w:eastAsia="Batang" w:hAnsi="Cambria Math" w:cs="Cambria Math"/>
                  <w:noProof/>
                  <w:color w:val="000000"/>
                  <w:sz w:val="24"/>
                  <w:szCs w:val="24"/>
                  <w:lang w:eastAsia="ko-KR"/>
                </w:rPr>
                <m:t>t Nt</m:t>
              </m:r>
            </m:num>
            <m:den>
              <m:nary>
                <m:naryPr>
                  <m:chr m:val="∑"/>
                  <m:grow m:val="1"/>
                  <m:ctrlPr>
                    <w:rPr>
                      <w:rFonts w:ascii="Cambria Math" w:eastAsia="Batang" w:hAnsi="Cambria Math" w:cs="Cambria Math"/>
                      <w:noProof/>
                      <w:color w:val="000000"/>
                      <w:sz w:val="24"/>
                      <w:szCs w:val="24"/>
                      <w:lang w:eastAsia="ko-KR"/>
                    </w:rPr>
                  </m:ctrlPr>
                </m:naryPr>
                <m:sub>
                  <m:r>
                    <w:rPr>
                      <w:rFonts w:ascii="Cambria Math" w:eastAsia="Cambria Math" w:hAnsi="Cambria Math" w:cs="Cambria Math"/>
                      <w:noProof/>
                      <w:color w:val="000000"/>
                      <w:sz w:val="24"/>
                      <w:szCs w:val="24"/>
                      <w:lang w:eastAsia="ko-KR"/>
                    </w:rPr>
                    <m:t>t∈T</m:t>
                  </m:r>
                </m:sub>
                <m:sup/>
                <m:e>
                  <m:r>
                    <m:rPr>
                      <m:sty m:val="p"/>
                    </m:rPr>
                    <w:rPr>
                      <w:rFonts w:ascii="Cambria Math" w:eastAsia="Batang" w:hAnsi="Cambria Math" w:cs="Cambria Math"/>
                      <w:noProof/>
                      <w:color w:val="000000"/>
                      <w:sz w:val="24"/>
                      <w:szCs w:val="24"/>
                      <w:lang w:eastAsia="ko-KR"/>
                    </w:rPr>
                    <m:t xml:space="preserve"> </m:t>
                  </m:r>
                </m:e>
              </m:nary>
              <m:r>
                <w:rPr>
                  <w:rFonts w:ascii="Cambria Math" w:eastAsia="Batang" w:hAnsi="Cambria Math" w:cs="Cambria Math"/>
                  <w:noProof/>
                  <w:color w:val="000000"/>
                  <w:sz w:val="24"/>
                  <w:szCs w:val="24"/>
                  <w:lang w:eastAsia="ko-KR"/>
                </w:rPr>
                <m:t>Nt</m:t>
              </m:r>
            </m:den>
          </m:f>
        </m:oMath>
      </m:oMathPara>
    </w:p>
    <w:p w:rsidR="009354F2" w:rsidRPr="00F76FE2" w:rsidRDefault="009354F2" w:rsidP="00197C2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46"/>
        <w:jc w:val="both"/>
        <w:rPr>
          <w:rFonts w:ascii="Times New Roman" w:eastAsia="Batang" w:hAnsi="Times New Roman" w:cs="Times New Roman"/>
          <w:noProof/>
          <w:color w:val="000000"/>
          <w:sz w:val="20"/>
          <w:szCs w:val="20"/>
          <w:lang w:eastAsia="ko-KR"/>
        </w:rPr>
      </w:pPr>
    </w:p>
    <w:p w:rsidR="009354F2" w:rsidRPr="00F76FE2" w:rsidRDefault="009354F2" w:rsidP="00197C2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46"/>
        <w:jc w:val="both"/>
        <w:rPr>
          <w:rFonts w:ascii="Times New Roman" w:eastAsia="Batang" w:hAnsi="Times New Roman" w:cs="Times New Roman"/>
          <w:noProof/>
          <w:sz w:val="24"/>
          <w:szCs w:val="24"/>
          <w:lang w:eastAsia="ko-KR"/>
        </w:rPr>
      </w:pPr>
      <w:r w:rsidRPr="00F76FE2">
        <w:rPr>
          <w:rFonts w:ascii="Times New Roman" w:eastAsia="Batang" w:hAnsi="Times New Roman" w:cs="Times New Roman"/>
          <w:noProof/>
          <w:sz w:val="24"/>
          <w:szCs w:val="24"/>
          <w:lang w:eastAsia="ko-KR"/>
        </w:rPr>
        <w:t>Nga ku:</w:t>
      </w:r>
    </w:p>
    <w:p w:rsidR="009354F2" w:rsidRPr="00F76FE2" w:rsidRDefault="009354F2" w:rsidP="00197C2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46"/>
        <w:jc w:val="both"/>
        <w:rPr>
          <w:rFonts w:ascii="Times New Roman" w:eastAsia="Batang" w:hAnsi="Times New Roman" w:cs="Times New Roman"/>
          <w:noProof/>
          <w:sz w:val="20"/>
          <w:szCs w:val="20"/>
          <w:lang w:eastAsia="ko-KR"/>
        </w:rPr>
      </w:pPr>
    </w:p>
    <w:p w:rsidR="009354F2" w:rsidRPr="00F76FE2" w:rsidRDefault="009354F2" w:rsidP="00197C2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46"/>
        <w:jc w:val="both"/>
        <w:rPr>
          <w:rFonts w:ascii="Times New Roman" w:eastAsia="Batang" w:hAnsi="Times New Roman" w:cs="Times New Roman"/>
          <w:i/>
          <w:noProof/>
          <w:lang w:eastAsia="ko-KR"/>
        </w:rPr>
      </w:pPr>
      <w:r w:rsidRPr="00F76FE2">
        <w:rPr>
          <w:rFonts w:ascii="Times New Roman" w:eastAsia="Batang" w:hAnsi="Times New Roman" w:cs="Times New Roman"/>
          <w:i/>
          <w:noProof/>
          <w:lang w:eastAsia="ko-KR"/>
        </w:rPr>
        <w:t xml:space="preserve">t – </w:t>
      </w:r>
      <w:r w:rsidRPr="00F76FE2">
        <w:rPr>
          <w:rFonts w:ascii="Times New Roman" w:eastAsia="Batang" w:hAnsi="Times New Roman" w:cs="Times New Roman"/>
          <w:noProof/>
          <w:lang w:eastAsia="ko-KR"/>
        </w:rPr>
        <w:t xml:space="preserve">data e maturimit; </w:t>
      </w:r>
    </w:p>
    <w:p w:rsidR="009354F2" w:rsidRPr="00F76FE2" w:rsidRDefault="009354F2" w:rsidP="00197C2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46"/>
        <w:jc w:val="both"/>
        <w:rPr>
          <w:rFonts w:ascii="Times New Roman" w:eastAsia="Batang" w:hAnsi="Times New Roman" w:cs="Times New Roman"/>
          <w:noProof/>
          <w:lang w:eastAsia="ko-KR"/>
        </w:rPr>
      </w:pPr>
      <w:r w:rsidRPr="00F76FE2">
        <w:rPr>
          <w:rFonts w:ascii="Times New Roman" w:eastAsia="Batang" w:hAnsi="Times New Roman" w:cs="Times New Roman"/>
          <w:i/>
          <w:noProof/>
          <w:lang w:eastAsia="ko-KR"/>
        </w:rPr>
        <w:t xml:space="preserve">T – </w:t>
      </w:r>
      <w:r w:rsidRPr="00F76FE2">
        <w:rPr>
          <w:rFonts w:ascii="Times New Roman" w:eastAsia="Batang" w:hAnsi="Times New Roman" w:cs="Times New Roman"/>
          <w:noProof/>
          <w:lang w:eastAsia="ko-KR"/>
        </w:rPr>
        <w:t>bashkësia e të gjitha datave të maturimit;</w:t>
      </w:r>
    </w:p>
    <w:p w:rsidR="009354F2" w:rsidRPr="00F76FE2" w:rsidRDefault="009354F2" w:rsidP="00197C2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46"/>
        <w:jc w:val="both"/>
        <w:rPr>
          <w:rFonts w:ascii="Times New Roman" w:eastAsia="Batang" w:hAnsi="Times New Roman" w:cs="Times New Roman"/>
          <w:i/>
          <w:noProof/>
          <w:lang w:eastAsia="ko-KR"/>
        </w:rPr>
      </w:pPr>
      <w:r w:rsidRPr="00F76FE2">
        <w:rPr>
          <w:rFonts w:ascii="Times New Roman" w:eastAsia="Batang" w:hAnsi="Times New Roman" w:cs="Times New Roman"/>
          <w:i/>
          <w:noProof/>
          <w:lang w:eastAsia="ko-KR"/>
        </w:rPr>
        <w:lastRenderedPageBreak/>
        <w:t>N</w:t>
      </w:r>
      <w:r w:rsidRPr="00F76FE2">
        <w:rPr>
          <w:rFonts w:ascii="Times New Roman" w:eastAsia="Batang" w:hAnsi="Times New Roman" w:cs="Times New Roman"/>
          <w:i/>
          <w:noProof/>
          <w:vertAlign w:val="subscript"/>
          <w:lang w:eastAsia="ko-KR"/>
        </w:rPr>
        <w:t xml:space="preserve">t </w:t>
      </w:r>
      <w:r w:rsidRPr="00F76FE2">
        <w:rPr>
          <w:rFonts w:ascii="Times New Roman" w:eastAsia="Batang" w:hAnsi="Times New Roman" w:cs="Times New Roman"/>
          <w:i/>
          <w:noProof/>
          <w:lang w:eastAsia="ko-KR"/>
        </w:rPr>
        <w:t xml:space="preserve">– </w:t>
      </w:r>
      <w:r w:rsidRPr="00F76FE2">
        <w:rPr>
          <w:rFonts w:ascii="Times New Roman" w:eastAsia="Batang" w:hAnsi="Times New Roman" w:cs="Times New Roman"/>
          <w:noProof/>
          <w:lang w:eastAsia="ko-KR"/>
        </w:rPr>
        <w:t>Vlera nominale që do të paguhet në datën</w:t>
      </w:r>
      <w:r w:rsidRPr="00F76FE2">
        <w:rPr>
          <w:rFonts w:ascii="Times New Roman" w:eastAsia="Batang" w:hAnsi="Times New Roman" w:cs="Times New Roman"/>
          <w:i/>
          <w:noProof/>
          <w:lang w:eastAsia="ko-KR"/>
        </w:rPr>
        <w:t xml:space="preserve"> t.</w:t>
      </w:r>
    </w:p>
    <w:p w:rsidR="009354F2" w:rsidRPr="00F76FE2" w:rsidRDefault="009354F2" w:rsidP="00197C2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46"/>
        <w:jc w:val="both"/>
        <w:rPr>
          <w:rFonts w:ascii="Times New Roman" w:eastAsia="Batang" w:hAnsi="Times New Roman" w:cs="Times New Roman"/>
          <w:b/>
          <w:noProof/>
          <w:sz w:val="24"/>
          <w:szCs w:val="24"/>
          <w:lang w:eastAsia="ko-KR"/>
        </w:rPr>
      </w:pPr>
    </w:p>
    <w:p w:rsidR="009354F2" w:rsidRPr="00F76FE2" w:rsidRDefault="009354F2" w:rsidP="00197C2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46"/>
        <w:jc w:val="both"/>
        <w:rPr>
          <w:rFonts w:ascii="Times New Roman" w:eastAsia="Batang" w:hAnsi="Times New Roman" w:cs="Times New Roman"/>
          <w:noProof/>
          <w:color w:val="000000"/>
          <w:sz w:val="24"/>
          <w:szCs w:val="24"/>
          <w:lang w:eastAsia="ko-KR"/>
        </w:rPr>
      </w:pPr>
      <w:r w:rsidRPr="00F76FE2">
        <w:rPr>
          <w:rFonts w:ascii="Cambria" w:eastAsia="Batang" w:hAnsi="Cambria" w:cs="Times New Roman"/>
          <w:b/>
          <w:noProof/>
          <w:sz w:val="24"/>
          <w:szCs w:val="24"/>
          <w:lang w:eastAsia="ko-KR"/>
        </w:rPr>
        <w:t>KMR</w:t>
      </w:r>
      <w:r w:rsidRPr="00F76FE2">
        <w:rPr>
          <w:rFonts w:ascii="Times New Roman" w:eastAsia="Batang" w:hAnsi="Times New Roman" w:cs="Times New Roman"/>
          <w:i/>
          <w:noProof/>
          <w:sz w:val="24"/>
          <w:szCs w:val="24"/>
          <w:lang w:eastAsia="ko-KR"/>
        </w:rPr>
        <w:t xml:space="preserve"> </w:t>
      </w:r>
      <w:r w:rsidRPr="00F76FE2">
        <w:rPr>
          <w:rFonts w:ascii="Times New Roman" w:eastAsia="Batang" w:hAnsi="Times New Roman" w:cs="Times New Roman"/>
          <w:b/>
          <w:noProof/>
          <w:sz w:val="24"/>
          <w:szCs w:val="24"/>
          <w:lang w:eastAsia="ko-KR"/>
        </w:rPr>
        <w:t>–</w:t>
      </w:r>
      <w:r w:rsidRPr="00F76FE2">
        <w:rPr>
          <w:rFonts w:ascii="Times New Roman" w:eastAsia="Batang" w:hAnsi="Times New Roman" w:cs="Times New Roman"/>
          <w:noProof/>
          <w:sz w:val="24"/>
          <w:szCs w:val="24"/>
          <w:lang w:eastAsia="ko-KR"/>
        </w:rPr>
        <w:t xml:space="preserve"> Tregues i </w:t>
      </w:r>
      <w:r w:rsidRPr="00F76FE2">
        <w:rPr>
          <w:rFonts w:ascii="Times New Roman" w:eastAsia="Batang" w:hAnsi="Times New Roman" w:cs="Times New Roman"/>
          <w:noProof/>
          <w:color w:val="000000"/>
          <w:sz w:val="24"/>
          <w:szCs w:val="24"/>
          <w:lang w:eastAsia="ko-KR"/>
        </w:rPr>
        <w:t>riskut</w:t>
      </w:r>
      <w:r w:rsidRPr="00F76FE2">
        <w:rPr>
          <w:rFonts w:ascii="Times New Roman" w:eastAsia="Batang" w:hAnsi="Times New Roman" w:cs="Times New Roman"/>
          <w:noProof/>
          <w:sz w:val="24"/>
          <w:szCs w:val="24"/>
          <w:lang w:eastAsia="ko-KR"/>
        </w:rPr>
        <w:t xml:space="preserve"> të normave të interesit për borxhin. Jep informacion lidhur me ekspozimin e portofolit të borxhit kundrejt ndryshimit të normave të interesit. KMR interpretohet si koha mesatare (në vite) që i duhet portofolit të borxhit për të ripërcaktuar normën e interesit. Sa më e madhe të jetë sasia e instrumenteve afatshkurtër dhe sasia e instrumenteve me norma interesi të ndryshueshëm në portofolin e borxhit, aq më i madh është </w:t>
      </w:r>
      <w:r w:rsidRPr="00F76FE2">
        <w:rPr>
          <w:rFonts w:ascii="Times New Roman" w:eastAsia="Batang" w:hAnsi="Times New Roman" w:cs="Times New Roman"/>
          <w:noProof/>
          <w:color w:val="000000"/>
          <w:sz w:val="24"/>
          <w:szCs w:val="24"/>
          <w:lang w:eastAsia="ko-KR"/>
        </w:rPr>
        <w:t>risku</w:t>
      </w:r>
      <w:r w:rsidRPr="00F76FE2">
        <w:rPr>
          <w:rFonts w:ascii="Times New Roman" w:eastAsia="Batang" w:hAnsi="Times New Roman" w:cs="Times New Roman"/>
          <w:noProof/>
          <w:sz w:val="24"/>
          <w:szCs w:val="24"/>
          <w:lang w:eastAsia="ko-KR"/>
        </w:rPr>
        <w:t xml:space="preserve"> i normave të interesit dhe aq më i vogël ky tregues dhe anasjelltas. </w:t>
      </w:r>
      <w:r w:rsidRPr="00F76FE2">
        <w:rPr>
          <w:rFonts w:ascii="Times New Roman" w:eastAsia="Batang" w:hAnsi="Times New Roman" w:cs="Times New Roman"/>
          <w:noProof/>
          <w:color w:val="000000"/>
          <w:sz w:val="24"/>
          <w:szCs w:val="24"/>
          <w:lang w:eastAsia="ko-KR"/>
        </w:rPr>
        <w:t>KMR për instrumentet financiarë të borxhit përllogaritet sipas formulës së mëposhtme:</w:t>
      </w:r>
    </w:p>
    <w:p w:rsidR="009354F2" w:rsidRPr="00F76FE2" w:rsidRDefault="009354F2" w:rsidP="00197C2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46"/>
        <w:jc w:val="both"/>
        <w:rPr>
          <w:rFonts w:ascii="Times New Roman" w:eastAsia="Batang" w:hAnsi="Times New Roman" w:cs="Times New Roman"/>
          <w:b/>
          <w:noProof/>
          <w:sz w:val="24"/>
          <w:szCs w:val="24"/>
          <w:lang w:eastAsia="ko-KR"/>
        </w:rPr>
      </w:pPr>
    </w:p>
    <w:p w:rsidR="009354F2" w:rsidRPr="00F76FE2" w:rsidRDefault="009354F2" w:rsidP="00197C2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46"/>
        <w:jc w:val="both"/>
        <w:rPr>
          <w:rFonts w:ascii="Times New Roman" w:eastAsia="Batang" w:hAnsi="Times New Roman" w:cs="Times New Roman"/>
          <w:noProof/>
          <w:sz w:val="24"/>
          <w:szCs w:val="24"/>
          <w:lang w:eastAsia="ko-KR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Batang" w:hAnsi="Cambria Math" w:cs="Cambria Math"/>
              <w:noProof/>
              <w:color w:val="000000"/>
              <w:sz w:val="24"/>
              <w:szCs w:val="24"/>
              <w:lang w:eastAsia="ko-KR"/>
            </w:rPr>
            <m:t>KMR=</m:t>
          </m:r>
          <m:f>
            <m:fPr>
              <m:ctrlPr>
                <w:rPr>
                  <w:rFonts w:ascii="Cambria Math" w:eastAsia="Batang" w:hAnsi="Cambria Math" w:cs="Times New Roman"/>
                  <w:noProof/>
                  <w:color w:val="000000"/>
                  <w:sz w:val="24"/>
                  <w:szCs w:val="24"/>
                  <w:lang w:eastAsia="ko-KR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Batang" w:hAnsi="Cambria Math" w:cs="Times New Roman"/>
                  <w:noProof/>
                  <w:color w:val="000000"/>
                  <w:sz w:val="24"/>
                  <w:szCs w:val="24"/>
                  <w:lang w:eastAsia="ko-KR"/>
                </w:rPr>
                <m:t xml:space="preserve">  </m:t>
              </m:r>
              <m:nary>
                <m:naryPr>
                  <m:chr m:val="∑"/>
                  <m:grow m:val="1"/>
                  <m:ctrlPr>
                    <w:rPr>
                      <w:rFonts w:ascii="Cambria Math" w:eastAsia="Batang" w:hAnsi="Cambria Math" w:cs="Cambria Math"/>
                      <w:noProof/>
                      <w:color w:val="000000"/>
                      <w:sz w:val="24"/>
                      <w:szCs w:val="24"/>
                      <w:lang w:eastAsia="ko-KR"/>
                    </w:rPr>
                  </m:ctrlPr>
                </m:naryPr>
                <m:sub>
                  <m:r>
                    <w:rPr>
                      <w:rFonts w:ascii="Cambria Math" w:eastAsia="Cambria Math" w:hAnsi="Cambria Math" w:cs="Cambria Math"/>
                      <w:noProof/>
                      <w:color w:val="000000"/>
                      <w:sz w:val="24"/>
                      <w:szCs w:val="24"/>
                      <w:lang w:eastAsia="ko-KR"/>
                    </w:rPr>
                    <m:t>r∈R</m:t>
                  </m:r>
                </m:sub>
                <m:sup/>
                <m:e>
                  <m:r>
                    <w:rPr>
                      <w:rFonts w:ascii="Cambria Math" w:eastAsia="Batang" w:hAnsi="Cambria Math" w:cs="Cambria Math"/>
                      <w:noProof/>
                      <w:color w:val="000000"/>
                      <w:sz w:val="24"/>
                      <w:szCs w:val="24"/>
                      <w:lang w:eastAsia="ko-KR"/>
                    </w:rPr>
                    <m:t xml:space="preserve">  r Nr</m:t>
                  </m:r>
                </m:e>
              </m:nary>
              <m:r>
                <m:rPr>
                  <m:sty m:val="p"/>
                </m:rPr>
                <w:rPr>
                  <w:rFonts w:ascii="Cambria Math" w:eastAsia="Batang" w:hAnsi="Cambria Math" w:cs="Cambria Math"/>
                  <w:noProof/>
                  <w:color w:val="000000"/>
                  <w:sz w:val="24"/>
                  <w:szCs w:val="24"/>
                  <w:lang w:eastAsia="ko-KR"/>
                </w:rPr>
                <m:t>+</m:t>
              </m:r>
              <m:nary>
                <m:naryPr>
                  <m:chr m:val="∑"/>
                  <m:grow m:val="1"/>
                  <m:ctrlPr>
                    <w:rPr>
                      <w:rFonts w:ascii="Cambria Math" w:eastAsia="Batang" w:hAnsi="Cambria Math" w:cs="Cambria Math"/>
                      <w:noProof/>
                      <w:color w:val="000000"/>
                      <w:sz w:val="24"/>
                      <w:szCs w:val="24"/>
                      <w:lang w:eastAsia="ko-KR"/>
                    </w:rPr>
                  </m:ctrlPr>
                </m:naryPr>
                <m:sub>
                  <m:r>
                    <w:rPr>
                      <w:rFonts w:ascii="Cambria Math" w:eastAsia="Cambria Math" w:hAnsi="Cambria Math" w:cs="Cambria Math"/>
                      <w:noProof/>
                      <w:color w:val="000000"/>
                      <w:sz w:val="24"/>
                      <w:szCs w:val="24"/>
                      <w:lang w:eastAsia="ko-KR"/>
                    </w:rPr>
                    <m:t>t∈T</m:t>
                  </m:r>
                </m:sub>
                <m:sup/>
                <m:e>
                  <m:r>
                    <m:rPr>
                      <m:sty m:val="p"/>
                    </m:rPr>
                    <w:rPr>
                      <w:rFonts w:ascii="Cambria Math" w:eastAsia="Batang" w:hAnsi="Cambria Math" w:cs="Cambria Math"/>
                      <w:noProof/>
                      <w:color w:val="000000"/>
                      <w:sz w:val="24"/>
                      <w:szCs w:val="24"/>
                      <w:lang w:eastAsia="ko-KR"/>
                    </w:rPr>
                    <m:t xml:space="preserve"> </m:t>
                  </m:r>
                </m:e>
              </m:nary>
              <m:r>
                <w:rPr>
                  <w:rFonts w:ascii="Cambria Math" w:eastAsia="Batang" w:hAnsi="Cambria Math" w:cs="Cambria Math"/>
                  <w:noProof/>
                  <w:color w:val="000000"/>
                  <w:sz w:val="24"/>
                  <w:szCs w:val="24"/>
                  <w:lang w:eastAsia="ko-KR"/>
                </w:rPr>
                <m:t>t Nt</m:t>
              </m:r>
            </m:num>
            <m:den>
              <m:nary>
                <m:naryPr>
                  <m:chr m:val="∑"/>
                  <m:grow m:val="1"/>
                  <m:ctrlPr>
                    <w:rPr>
                      <w:rFonts w:ascii="Cambria Math" w:eastAsia="Batang" w:hAnsi="Cambria Math" w:cs="Cambria Math"/>
                      <w:noProof/>
                      <w:color w:val="000000"/>
                      <w:sz w:val="24"/>
                      <w:szCs w:val="24"/>
                      <w:lang w:eastAsia="ko-KR"/>
                    </w:rPr>
                  </m:ctrlPr>
                </m:naryPr>
                <m:sub>
                  <m:r>
                    <w:rPr>
                      <w:rFonts w:ascii="Cambria Math" w:eastAsia="Cambria Math" w:hAnsi="Cambria Math" w:cs="Cambria Math"/>
                      <w:noProof/>
                      <w:color w:val="000000"/>
                      <w:sz w:val="24"/>
                      <w:szCs w:val="24"/>
                      <w:lang w:eastAsia="ko-KR"/>
                    </w:rPr>
                    <m:t>r∈R</m:t>
                  </m:r>
                </m:sub>
                <m:sup/>
                <m:e>
                  <m:r>
                    <w:rPr>
                      <w:rFonts w:ascii="Cambria Math" w:eastAsia="Batang" w:hAnsi="Cambria Math" w:cs="Cambria Math"/>
                      <w:noProof/>
                      <w:color w:val="000000"/>
                      <w:sz w:val="24"/>
                      <w:szCs w:val="24"/>
                      <w:lang w:eastAsia="ko-KR"/>
                    </w:rPr>
                    <m:t xml:space="preserve"> Nr</m:t>
                  </m:r>
                </m:e>
              </m:nary>
              <m:r>
                <m:rPr>
                  <m:sty m:val="p"/>
                </m:rPr>
                <w:rPr>
                  <w:rFonts w:ascii="Cambria Math" w:eastAsia="Batang" w:hAnsi="Cambria Math" w:cs="Cambria Math"/>
                  <w:noProof/>
                  <w:color w:val="000000"/>
                  <w:sz w:val="24"/>
                  <w:szCs w:val="24"/>
                  <w:lang w:eastAsia="ko-KR"/>
                </w:rPr>
                <m:t>+</m:t>
              </m:r>
              <m:nary>
                <m:naryPr>
                  <m:chr m:val="∑"/>
                  <m:grow m:val="1"/>
                  <m:ctrlPr>
                    <w:rPr>
                      <w:rFonts w:ascii="Cambria Math" w:eastAsia="Batang" w:hAnsi="Cambria Math" w:cs="Cambria Math"/>
                      <w:noProof/>
                      <w:color w:val="000000"/>
                      <w:sz w:val="24"/>
                      <w:szCs w:val="24"/>
                      <w:lang w:eastAsia="ko-KR"/>
                    </w:rPr>
                  </m:ctrlPr>
                </m:naryPr>
                <m:sub>
                  <m:r>
                    <w:rPr>
                      <w:rFonts w:ascii="Cambria Math" w:eastAsia="Cambria Math" w:hAnsi="Cambria Math" w:cs="Cambria Math"/>
                      <w:noProof/>
                      <w:color w:val="000000"/>
                      <w:sz w:val="24"/>
                      <w:szCs w:val="24"/>
                      <w:lang w:eastAsia="ko-KR"/>
                    </w:rPr>
                    <m:t>t∈T</m:t>
                  </m:r>
                </m:sub>
                <m:sup/>
                <m:e>
                  <m:r>
                    <m:rPr>
                      <m:sty m:val="p"/>
                    </m:rPr>
                    <w:rPr>
                      <w:rFonts w:ascii="Cambria Math" w:eastAsia="Batang" w:hAnsi="Cambria Math" w:cs="Cambria Math"/>
                      <w:noProof/>
                      <w:color w:val="000000"/>
                      <w:sz w:val="24"/>
                      <w:szCs w:val="24"/>
                      <w:lang w:eastAsia="ko-KR"/>
                    </w:rPr>
                    <m:t xml:space="preserve"> </m:t>
                  </m:r>
                </m:e>
              </m:nary>
              <m:r>
                <w:rPr>
                  <w:rFonts w:ascii="Cambria Math" w:eastAsia="Batang" w:hAnsi="Cambria Math" w:cs="Cambria Math"/>
                  <w:noProof/>
                  <w:color w:val="000000"/>
                  <w:sz w:val="24"/>
                  <w:szCs w:val="24"/>
                  <w:lang w:eastAsia="ko-KR"/>
                </w:rPr>
                <m:t>Nt</m:t>
              </m:r>
            </m:den>
          </m:f>
        </m:oMath>
      </m:oMathPara>
    </w:p>
    <w:p w:rsidR="009354F2" w:rsidRPr="00F76FE2" w:rsidRDefault="009354F2" w:rsidP="00197C2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46"/>
        <w:jc w:val="both"/>
        <w:rPr>
          <w:rFonts w:ascii="Times New Roman" w:eastAsia="Batang" w:hAnsi="Times New Roman" w:cs="Times New Roman"/>
          <w:noProof/>
          <w:sz w:val="20"/>
          <w:szCs w:val="20"/>
          <w:lang w:eastAsia="ko-KR"/>
        </w:rPr>
      </w:pPr>
    </w:p>
    <w:p w:rsidR="009354F2" w:rsidRPr="00F76FE2" w:rsidRDefault="009354F2" w:rsidP="00197C2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46"/>
        <w:jc w:val="both"/>
        <w:rPr>
          <w:rFonts w:ascii="Times New Roman" w:eastAsia="Batang" w:hAnsi="Times New Roman" w:cs="Times New Roman"/>
          <w:noProof/>
          <w:sz w:val="24"/>
          <w:szCs w:val="24"/>
          <w:lang w:eastAsia="ko-KR"/>
        </w:rPr>
      </w:pPr>
      <w:r w:rsidRPr="00F76FE2">
        <w:rPr>
          <w:rFonts w:ascii="Times New Roman" w:eastAsia="Batang" w:hAnsi="Times New Roman" w:cs="Times New Roman"/>
          <w:noProof/>
          <w:sz w:val="24"/>
          <w:szCs w:val="24"/>
          <w:lang w:eastAsia="ko-KR"/>
        </w:rPr>
        <w:t>Nga ku:</w:t>
      </w:r>
    </w:p>
    <w:p w:rsidR="009354F2" w:rsidRPr="00F76FE2" w:rsidRDefault="009354F2" w:rsidP="00197C2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46"/>
        <w:jc w:val="both"/>
        <w:rPr>
          <w:rFonts w:ascii="Times New Roman" w:eastAsia="Batang" w:hAnsi="Times New Roman" w:cs="Times New Roman"/>
          <w:noProof/>
          <w:sz w:val="20"/>
          <w:szCs w:val="20"/>
          <w:lang w:eastAsia="ko-KR"/>
        </w:rPr>
      </w:pPr>
    </w:p>
    <w:p w:rsidR="009354F2" w:rsidRPr="00F76FE2" w:rsidRDefault="009354F2" w:rsidP="00197C2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46"/>
        <w:jc w:val="both"/>
        <w:rPr>
          <w:rFonts w:ascii="Times New Roman" w:eastAsia="Batang" w:hAnsi="Times New Roman" w:cs="Times New Roman"/>
          <w:i/>
          <w:noProof/>
          <w:lang w:eastAsia="ko-KR"/>
        </w:rPr>
      </w:pPr>
      <w:r w:rsidRPr="00F76FE2">
        <w:rPr>
          <w:rFonts w:ascii="Times New Roman" w:eastAsia="Batang" w:hAnsi="Times New Roman" w:cs="Times New Roman"/>
          <w:i/>
          <w:noProof/>
          <w:lang w:eastAsia="ko-KR"/>
        </w:rPr>
        <w:t xml:space="preserve"> r</w:t>
      </w:r>
      <w:r w:rsidRPr="00F76FE2">
        <w:rPr>
          <w:rFonts w:ascii="Times New Roman" w:eastAsia="Batang" w:hAnsi="Times New Roman" w:cs="Times New Roman"/>
          <w:i/>
          <w:noProof/>
          <w:vertAlign w:val="subscript"/>
          <w:lang w:eastAsia="ko-KR"/>
        </w:rPr>
        <w:t xml:space="preserve"> </w:t>
      </w:r>
      <w:r w:rsidRPr="00F76FE2">
        <w:rPr>
          <w:rFonts w:ascii="Times New Roman" w:eastAsia="Batang" w:hAnsi="Times New Roman" w:cs="Times New Roman"/>
          <w:noProof/>
          <w:lang w:eastAsia="ko-KR"/>
        </w:rPr>
        <w:t xml:space="preserve">– </w:t>
      </w:r>
      <w:r w:rsidRPr="00F76FE2">
        <w:rPr>
          <w:rFonts w:ascii="Times New Roman" w:eastAsia="Batang" w:hAnsi="Times New Roman" w:cs="Times New Roman"/>
          <w:i/>
          <w:noProof/>
          <w:lang w:eastAsia="ko-KR"/>
        </w:rPr>
        <w:t xml:space="preserve"> </w:t>
      </w:r>
      <w:r w:rsidRPr="00F76FE2">
        <w:rPr>
          <w:rFonts w:ascii="Times New Roman" w:eastAsia="Batang" w:hAnsi="Times New Roman" w:cs="Times New Roman"/>
          <w:noProof/>
          <w:lang w:eastAsia="ko-KR"/>
        </w:rPr>
        <w:t>data e pagesës së kuponit të instrumentit me norma interesi të lëvizshme;</w:t>
      </w:r>
    </w:p>
    <w:p w:rsidR="009354F2" w:rsidRPr="00F76FE2" w:rsidRDefault="009354F2" w:rsidP="00197C2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46"/>
        <w:jc w:val="both"/>
        <w:rPr>
          <w:rFonts w:ascii="Times New Roman" w:eastAsia="Batang" w:hAnsi="Times New Roman" w:cs="Times New Roman"/>
          <w:noProof/>
          <w:lang w:eastAsia="ko-KR"/>
        </w:rPr>
      </w:pPr>
      <w:r w:rsidRPr="00F76FE2">
        <w:rPr>
          <w:rFonts w:ascii="Times New Roman" w:eastAsia="Batang" w:hAnsi="Times New Roman" w:cs="Times New Roman"/>
          <w:i/>
          <w:noProof/>
          <w:lang w:eastAsia="ko-KR"/>
        </w:rPr>
        <w:t xml:space="preserve"> t </w:t>
      </w:r>
      <w:r w:rsidRPr="00F76FE2">
        <w:rPr>
          <w:rFonts w:ascii="Times New Roman" w:eastAsia="Batang" w:hAnsi="Times New Roman" w:cs="Times New Roman"/>
          <w:noProof/>
          <w:lang w:eastAsia="ko-KR"/>
        </w:rPr>
        <w:t>–</w:t>
      </w:r>
      <w:r w:rsidRPr="00F76FE2">
        <w:rPr>
          <w:rFonts w:ascii="Times New Roman" w:eastAsia="Batang" w:hAnsi="Times New Roman" w:cs="Times New Roman"/>
          <w:i/>
          <w:noProof/>
          <w:lang w:eastAsia="ko-KR"/>
        </w:rPr>
        <w:t xml:space="preserve">  </w:t>
      </w:r>
      <w:r w:rsidRPr="00F76FE2">
        <w:rPr>
          <w:rFonts w:ascii="Times New Roman" w:eastAsia="Batang" w:hAnsi="Times New Roman" w:cs="Times New Roman"/>
          <w:noProof/>
          <w:lang w:eastAsia="ko-KR"/>
        </w:rPr>
        <w:t>data e maturimit të instrumentit me norma interesi fikse;</w:t>
      </w:r>
    </w:p>
    <w:p w:rsidR="009354F2" w:rsidRPr="00F76FE2" w:rsidRDefault="009354F2" w:rsidP="00197C2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46"/>
        <w:jc w:val="both"/>
        <w:rPr>
          <w:rFonts w:ascii="Times New Roman" w:eastAsia="Batang" w:hAnsi="Times New Roman" w:cs="Times New Roman"/>
          <w:noProof/>
          <w:lang w:eastAsia="ko-KR"/>
        </w:rPr>
      </w:pPr>
      <w:r w:rsidRPr="00F76FE2">
        <w:rPr>
          <w:rFonts w:ascii="Times New Roman" w:eastAsia="Batang" w:hAnsi="Times New Roman" w:cs="Times New Roman"/>
          <w:i/>
          <w:noProof/>
          <w:lang w:eastAsia="ko-KR"/>
        </w:rPr>
        <w:t>N</w:t>
      </w:r>
      <w:r w:rsidRPr="00F76FE2">
        <w:rPr>
          <w:rFonts w:ascii="Times New Roman" w:eastAsia="Batang" w:hAnsi="Times New Roman" w:cs="Times New Roman"/>
          <w:i/>
          <w:noProof/>
          <w:vertAlign w:val="subscript"/>
          <w:lang w:eastAsia="ko-KR"/>
        </w:rPr>
        <w:t xml:space="preserve">r </w:t>
      </w:r>
      <w:r w:rsidRPr="00F76FE2">
        <w:rPr>
          <w:rFonts w:ascii="Times New Roman" w:eastAsia="Batang" w:hAnsi="Times New Roman" w:cs="Times New Roman"/>
          <w:noProof/>
          <w:lang w:eastAsia="ko-KR"/>
        </w:rPr>
        <w:t>– vlera nominale e instrumentit me norma interesi të lëvizshme;</w:t>
      </w:r>
    </w:p>
    <w:p w:rsidR="009354F2" w:rsidRPr="00F76FE2" w:rsidRDefault="009354F2" w:rsidP="00197C2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46"/>
        <w:jc w:val="both"/>
        <w:rPr>
          <w:rFonts w:ascii="Times New Roman" w:eastAsia="Batang" w:hAnsi="Times New Roman" w:cs="Times New Roman"/>
          <w:noProof/>
          <w:lang w:eastAsia="ko-KR"/>
        </w:rPr>
      </w:pPr>
      <w:r w:rsidRPr="00F76FE2">
        <w:rPr>
          <w:rFonts w:ascii="Times New Roman" w:eastAsia="Batang" w:hAnsi="Times New Roman" w:cs="Times New Roman"/>
          <w:i/>
          <w:noProof/>
          <w:lang w:eastAsia="ko-KR"/>
        </w:rPr>
        <w:t>N</w:t>
      </w:r>
      <w:r w:rsidRPr="00F76FE2">
        <w:rPr>
          <w:rFonts w:ascii="Times New Roman" w:eastAsia="Batang" w:hAnsi="Times New Roman" w:cs="Times New Roman"/>
          <w:i/>
          <w:noProof/>
          <w:vertAlign w:val="subscript"/>
          <w:lang w:eastAsia="ko-KR"/>
        </w:rPr>
        <w:t xml:space="preserve">t </w:t>
      </w:r>
      <w:r w:rsidRPr="00F76FE2">
        <w:rPr>
          <w:rFonts w:ascii="Times New Roman" w:eastAsia="Batang" w:hAnsi="Times New Roman" w:cs="Times New Roman"/>
          <w:noProof/>
          <w:lang w:eastAsia="ko-KR"/>
        </w:rPr>
        <w:t>– vlera nominale e instrumentit me norma interesi fikse;</w:t>
      </w:r>
    </w:p>
    <w:p w:rsidR="009354F2" w:rsidRPr="00F76FE2" w:rsidRDefault="009354F2" w:rsidP="00197C2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46"/>
        <w:jc w:val="both"/>
        <w:rPr>
          <w:rFonts w:ascii="Times New Roman" w:eastAsia="Batang" w:hAnsi="Times New Roman" w:cs="Times New Roman"/>
          <w:noProof/>
          <w:lang w:eastAsia="ko-KR"/>
        </w:rPr>
      </w:pPr>
      <w:r w:rsidRPr="00F76FE2">
        <w:rPr>
          <w:rFonts w:ascii="Times New Roman" w:eastAsia="Batang" w:hAnsi="Times New Roman" w:cs="Times New Roman"/>
          <w:i/>
          <w:noProof/>
          <w:lang w:eastAsia="ko-KR"/>
        </w:rPr>
        <w:t xml:space="preserve">R –  </w:t>
      </w:r>
      <w:r w:rsidRPr="00F76FE2">
        <w:rPr>
          <w:rFonts w:ascii="Times New Roman" w:eastAsia="Batang" w:hAnsi="Times New Roman" w:cs="Times New Roman"/>
          <w:noProof/>
          <w:lang w:eastAsia="ko-KR"/>
        </w:rPr>
        <w:t>bashkësia e të gjitha datave të maturimit për instrumente me norma interesi të lëvizshme;</w:t>
      </w:r>
    </w:p>
    <w:p w:rsidR="009354F2" w:rsidRPr="00F76FE2" w:rsidRDefault="009354F2" w:rsidP="00197C2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46"/>
        <w:jc w:val="both"/>
        <w:rPr>
          <w:rFonts w:ascii="Times New Roman" w:eastAsia="Batang" w:hAnsi="Times New Roman" w:cs="Times New Roman"/>
          <w:noProof/>
          <w:lang w:eastAsia="ko-KR"/>
        </w:rPr>
      </w:pPr>
      <w:r w:rsidRPr="00F76FE2">
        <w:rPr>
          <w:rFonts w:ascii="Times New Roman" w:eastAsia="Batang" w:hAnsi="Times New Roman" w:cs="Times New Roman"/>
          <w:i/>
          <w:noProof/>
          <w:lang w:eastAsia="ko-KR"/>
        </w:rPr>
        <w:t xml:space="preserve">T –  </w:t>
      </w:r>
      <w:r w:rsidRPr="00F76FE2">
        <w:rPr>
          <w:rFonts w:ascii="Times New Roman" w:eastAsia="Batang" w:hAnsi="Times New Roman" w:cs="Times New Roman"/>
          <w:noProof/>
          <w:lang w:eastAsia="ko-KR"/>
        </w:rPr>
        <w:t>bashkësia e të gjitha datave të maturimit për instrumente me norma interesi fikse.</w:t>
      </w:r>
    </w:p>
    <w:p w:rsidR="009354F2" w:rsidRPr="00F76FE2" w:rsidRDefault="009354F2" w:rsidP="00197C2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mbria" w:eastAsia="Batang" w:hAnsi="Cambria" w:cs="Times New Roman"/>
          <w:b/>
          <w:noProof/>
          <w:color w:val="000000"/>
          <w:sz w:val="20"/>
          <w:szCs w:val="20"/>
          <w:lang w:eastAsia="ko-KR"/>
        </w:rPr>
      </w:pPr>
    </w:p>
    <w:p w:rsidR="009354F2" w:rsidRPr="00F76FE2" w:rsidRDefault="009354F2" w:rsidP="00197C2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46"/>
        <w:jc w:val="both"/>
        <w:rPr>
          <w:rFonts w:ascii="Times New Roman" w:eastAsia="Batang" w:hAnsi="Times New Roman" w:cs="Times New Roman"/>
          <w:noProof/>
          <w:color w:val="000000"/>
          <w:sz w:val="24"/>
          <w:szCs w:val="24"/>
          <w:lang w:eastAsia="ko-KR"/>
        </w:rPr>
      </w:pPr>
      <w:r w:rsidRPr="00F76FE2">
        <w:rPr>
          <w:rFonts w:ascii="Cambria" w:eastAsia="Batang" w:hAnsi="Cambria" w:cs="Times New Roman"/>
          <w:b/>
          <w:noProof/>
          <w:color w:val="000000"/>
          <w:sz w:val="24"/>
          <w:szCs w:val="24"/>
          <w:lang w:eastAsia="ko-KR"/>
        </w:rPr>
        <w:t xml:space="preserve">PBG </w:t>
      </w:r>
      <w:r w:rsidRPr="00F76FE2">
        <w:rPr>
          <w:rFonts w:ascii="Times New Roman" w:eastAsia="Batang" w:hAnsi="Times New Roman" w:cs="Times New Roman"/>
          <w:b/>
          <w:noProof/>
          <w:sz w:val="24"/>
          <w:szCs w:val="24"/>
          <w:lang w:eastAsia="ko-KR"/>
        </w:rPr>
        <w:t xml:space="preserve">– </w:t>
      </w:r>
      <w:r w:rsidRPr="00F76FE2">
        <w:rPr>
          <w:rFonts w:ascii="Times New Roman" w:eastAsia="Batang" w:hAnsi="Times New Roman" w:cs="Times New Roman"/>
          <w:noProof/>
          <w:color w:val="000000"/>
          <w:sz w:val="24"/>
          <w:szCs w:val="24"/>
          <w:lang w:eastAsia="ko-KR"/>
        </w:rPr>
        <w:t>Është garanci e emetuar nga Banka Botërore, e cila garanton vlerën e plotë ose të pjesshme të një huaje, me qëllim mundësimin e saj me kosto më të favorshme se ajo e ofruar nga tregu.</w:t>
      </w:r>
    </w:p>
    <w:p w:rsidR="009354F2" w:rsidRPr="00F76FE2" w:rsidRDefault="009354F2" w:rsidP="00197C2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46"/>
        <w:jc w:val="both"/>
        <w:rPr>
          <w:rFonts w:ascii="Times New Roman" w:eastAsia="Batang" w:hAnsi="Times New Roman" w:cs="Times New Roman"/>
          <w:noProof/>
          <w:sz w:val="20"/>
          <w:szCs w:val="20"/>
          <w:lang w:eastAsia="ko-KR"/>
        </w:rPr>
      </w:pPr>
    </w:p>
    <w:p w:rsidR="009354F2" w:rsidRPr="00F76FE2" w:rsidRDefault="009354F2" w:rsidP="00197C2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46"/>
        <w:jc w:val="both"/>
        <w:rPr>
          <w:rFonts w:ascii="Times New Roman" w:eastAsia="Batang" w:hAnsi="Times New Roman" w:cs="Times New Roman"/>
          <w:noProof/>
          <w:sz w:val="24"/>
          <w:szCs w:val="24"/>
          <w:lang w:eastAsia="ko-KR"/>
        </w:rPr>
      </w:pPr>
      <w:r w:rsidRPr="00F76FE2">
        <w:rPr>
          <w:rFonts w:ascii="Cambria" w:eastAsia="Batang" w:hAnsi="Cambria" w:cs="Times New Roman"/>
          <w:b/>
          <w:noProof/>
          <w:sz w:val="24"/>
          <w:szCs w:val="24"/>
          <w:lang w:eastAsia="ko-KR"/>
        </w:rPr>
        <w:t>Raport mbulimi</w:t>
      </w:r>
      <w:r w:rsidRPr="00F76FE2">
        <w:rPr>
          <w:rFonts w:ascii="Times New Roman" w:eastAsia="Batang" w:hAnsi="Times New Roman" w:cs="Times New Roman"/>
          <w:b/>
          <w:noProof/>
          <w:sz w:val="24"/>
          <w:szCs w:val="24"/>
          <w:lang w:eastAsia="ko-KR"/>
        </w:rPr>
        <w:t xml:space="preserve"> – </w:t>
      </w:r>
      <w:r w:rsidRPr="00F76FE2">
        <w:rPr>
          <w:rFonts w:ascii="Times New Roman" w:eastAsia="Batang" w:hAnsi="Times New Roman" w:cs="Times New Roman"/>
          <w:noProof/>
          <w:sz w:val="24"/>
          <w:szCs w:val="24"/>
          <w:lang w:eastAsia="ko-KR"/>
        </w:rPr>
        <w:t xml:space="preserve">Raporti ndërmjet shumës së kërkuar </w:t>
      </w:r>
      <w:r w:rsidRPr="00F76FE2">
        <w:rPr>
          <w:rFonts w:ascii="Times New Roman" w:eastAsia="Batang" w:hAnsi="Times New Roman" w:cs="Times New Roman"/>
          <w:i/>
          <w:noProof/>
          <w:sz w:val="24"/>
          <w:szCs w:val="24"/>
          <w:lang w:eastAsia="ko-KR"/>
        </w:rPr>
        <w:t>(nga investitorët)</w:t>
      </w:r>
      <w:r w:rsidRPr="00F76FE2">
        <w:rPr>
          <w:rFonts w:ascii="Times New Roman" w:eastAsia="Batang" w:hAnsi="Times New Roman" w:cs="Times New Roman"/>
          <w:noProof/>
          <w:sz w:val="24"/>
          <w:szCs w:val="24"/>
          <w:lang w:eastAsia="ko-KR"/>
        </w:rPr>
        <w:t xml:space="preserve"> dhe shumës së ofruar</w:t>
      </w:r>
      <w:r w:rsidRPr="00F76FE2">
        <w:rPr>
          <w:rFonts w:ascii="Times New Roman" w:eastAsia="Batang" w:hAnsi="Times New Roman" w:cs="Times New Roman"/>
          <w:b/>
          <w:noProof/>
          <w:sz w:val="24"/>
          <w:szCs w:val="24"/>
          <w:lang w:eastAsia="ko-KR"/>
        </w:rPr>
        <w:t xml:space="preserve"> </w:t>
      </w:r>
      <w:r w:rsidRPr="00F76FE2">
        <w:rPr>
          <w:rFonts w:ascii="Times New Roman" w:eastAsia="Batang" w:hAnsi="Times New Roman" w:cs="Times New Roman"/>
          <w:i/>
          <w:noProof/>
          <w:sz w:val="24"/>
          <w:szCs w:val="24"/>
          <w:lang w:eastAsia="ko-KR"/>
        </w:rPr>
        <w:t xml:space="preserve">(nga shteti) </w:t>
      </w:r>
      <w:r w:rsidRPr="00F76FE2">
        <w:rPr>
          <w:rFonts w:ascii="Times New Roman" w:eastAsia="Batang" w:hAnsi="Times New Roman" w:cs="Times New Roman"/>
          <w:noProof/>
          <w:sz w:val="24"/>
          <w:szCs w:val="24"/>
          <w:lang w:eastAsia="ko-KR"/>
        </w:rPr>
        <w:t>në ankandet e titujve shtetërorë</w:t>
      </w:r>
      <w:r w:rsidRPr="00F76FE2">
        <w:rPr>
          <w:rFonts w:ascii="Times New Roman" w:eastAsia="Batang" w:hAnsi="Times New Roman" w:cs="Times New Roman"/>
          <w:i/>
          <w:noProof/>
          <w:sz w:val="24"/>
          <w:szCs w:val="24"/>
          <w:lang w:eastAsia="ko-KR"/>
        </w:rPr>
        <w:t>.</w:t>
      </w:r>
      <w:r w:rsidRPr="00F76FE2">
        <w:rPr>
          <w:rFonts w:ascii="Times New Roman" w:eastAsia="Batang" w:hAnsi="Times New Roman" w:cs="Times New Roman"/>
          <w:noProof/>
          <w:color w:val="000000"/>
          <w:sz w:val="24"/>
          <w:szCs w:val="24"/>
          <w:lang w:eastAsia="ko-KR"/>
        </w:rPr>
        <w:t xml:space="preserve"> Shërben për të vlerësuar nivelin e plotësimit të ankandeve dhe gjendjen e likuiditetit.</w:t>
      </w:r>
      <w:r w:rsidRPr="00F76FE2">
        <w:rPr>
          <w:rFonts w:ascii="Times New Roman" w:eastAsia="Batang" w:hAnsi="Times New Roman" w:cs="Times New Roman"/>
          <w:i/>
          <w:noProof/>
          <w:sz w:val="24"/>
          <w:szCs w:val="24"/>
          <w:lang w:eastAsia="ko-KR"/>
        </w:rPr>
        <w:t xml:space="preserve"> </w:t>
      </w:r>
    </w:p>
    <w:p w:rsidR="009354F2" w:rsidRPr="00F76FE2" w:rsidRDefault="009354F2" w:rsidP="00197C2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46"/>
        <w:jc w:val="both"/>
        <w:rPr>
          <w:rFonts w:ascii="Times New Roman" w:eastAsia="Batang" w:hAnsi="Times New Roman" w:cs="Times New Roman"/>
          <w:b/>
          <w:noProof/>
          <w:sz w:val="20"/>
          <w:szCs w:val="20"/>
          <w:lang w:eastAsia="ko-KR"/>
        </w:rPr>
      </w:pPr>
    </w:p>
    <w:p w:rsidR="009354F2" w:rsidRPr="00F76FE2" w:rsidRDefault="009354F2" w:rsidP="00197C2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46"/>
        <w:jc w:val="both"/>
        <w:rPr>
          <w:rFonts w:ascii="Times New Roman" w:eastAsia="Batang" w:hAnsi="Times New Roman" w:cs="Times New Roman"/>
          <w:noProof/>
          <w:sz w:val="24"/>
          <w:szCs w:val="24"/>
          <w:lang w:eastAsia="ko-KR"/>
        </w:rPr>
      </w:pPr>
      <w:r w:rsidRPr="00F76FE2">
        <w:rPr>
          <w:rFonts w:ascii="Cambria" w:eastAsia="Batang" w:hAnsi="Cambria" w:cs="Times New Roman"/>
          <w:b/>
          <w:noProof/>
          <w:sz w:val="24"/>
          <w:szCs w:val="24"/>
          <w:lang w:eastAsia="ko-KR"/>
        </w:rPr>
        <w:t>Risku i kursit të këmbimit</w:t>
      </w:r>
      <w:r w:rsidRPr="00F76FE2">
        <w:rPr>
          <w:rFonts w:ascii="Times New Roman" w:eastAsia="Batang" w:hAnsi="Times New Roman" w:cs="Times New Roman"/>
          <w:b/>
          <w:noProof/>
          <w:sz w:val="24"/>
          <w:szCs w:val="24"/>
          <w:lang w:eastAsia="ko-KR"/>
        </w:rPr>
        <w:t xml:space="preserve"> – </w:t>
      </w:r>
      <w:r w:rsidRPr="00F76FE2">
        <w:rPr>
          <w:rFonts w:ascii="Times New Roman" w:eastAsia="Batang" w:hAnsi="Times New Roman" w:cs="Times New Roman"/>
          <w:noProof/>
          <w:sz w:val="24"/>
          <w:szCs w:val="24"/>
          <w:lang w:eastAsia="ko-KR"/>
        </w:rPr>
        <w:t xml:space="preserve">I referohet ndikimit të lëvizjes së kursit të këmbimit të një </w:t>
      </w:r>
      <w:r w:rsidR="00B308B7" w:rsidRPr="00F76FE2">
        <w:rPr>
          <w:rFonts w:ascii="Times New Roman" w:eastAsia="Batang" w:hAnsi="Times New Roman" w:cs="Times New Roman"/>
          <w:noProof/>
          <w:sz w:val="24"/>
          <w:szCs w:val="24"/>
          <w:lang w:eastAsia="ko-KR"/>
        </w:rPr>
        <w:t>va;ute</w:t>
      </w:r>
      <w:r w:rsidRPr="00F76FE2">
        <w:rPr>
          <w:rFonts w:ascii="Times New Roman" w:eastAsia="Batang" w:hAnsi="Times New Roman" w:cs="Times New Roman"/>
          <w:noProof/>
          <w:sz w:val="24"/>
          <w:szCs w:val="24"/>
          <w:lang w:eastAsia="ko-KR"/>
        </w:rPr>
        <w:t>, mbi nivelin e borxhit dhe shërbimin e tij në një masë të caktuar mbi pritshmëritë. Psh.: “Mbiçmimi ose nënçmimi i monedhës vendase kundrejt një monedhe të huaj, e cila është pjesë përbërëse e portofolit të borxhit, mund të rezultojë në rënie ose rritje proporcionale të volumit të borxhit ose shërbimit të tij (</w:t>
      </w:r>
      <w:r w:rsidRPr="00F76FE2">
        <w:rPr>
          <w:rFonts w:ascii="Times New Roman" w:eastAsia="Batang" w:hAnsi="Times New Roman" w:cs="Times New Roman"/>
          <w:i/>
          <w:noProof/>
          <w:sz w:val="24"/>
          <w:szCs w:val="24"/>
          <w:lang w:eastAsia="ko-KR"/>
        </w:rPr>
        <w:t>të denominuar në monedhë vendase</w:t>
      </w:r>
      <w:r w:rsidRPr="00F76FE2">
        <w:rPr>
          <w:rFonts w:ascii="Times New Roman" w:eastAsia="Batang" w:hAnsi="Times New Roman" w:cs="Times New Roman"/>
          <w:noProof/>
          <w:sz w:val="24"/>
          <w:szCs w:val="24"/>
          <w:lang w:eastAsia="ko-KR"/>
        </w:rPr>
        <w:t>)”.</w:t>
      </w:r>
    </w:p>
    <w:p w:rsidR="009354F2" w:rsidRPr="00F76FE2" w:rsidRDefault="009354F2" w:rsidP="00197C2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46"/>
        <w:jc w:val="both"/>
        <w:rPr>
          <w:rFonts w:ascii="Times New Roman" w:eastAsia="Batang" w:hAnsi="Times New Roman" w:cs="Times New Roman"/>
          <w:b/>
          <w:noProof/>
          <w:sz w:val="20"/>
          <w:szCs w:val="20"/>
          <w:lang w:eastAsia="ko-KR"/>
        </w:rPr>
      </w:pPr>
    </w:p>
    <w:p w:rsidR="009354F2" w:rsidRPr="00F76FE2" w:rsidRDefault="009354F2" w:rsidP="00197C2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46"/>
        <w:jc w:val="both"/>
        <w:rPr>
          <w:rFonts w:ascii="Times New Roman" w:eastAsia="Batang" w:hAnsi="Times New Roman" w:cs="Times New Roman"/>
          <w:noProof/>
          <w:sz w:val="24"/>
          <w:szCs w:val="24"/>
          <w:lang w:eastAsia="ko-KR"/>
        </w:rPr>
      </w:pPr>
      <w:r w:rsidRPr="00F76FE2">
        <w:rPr>
          <w:rFonts w:ascii="Cambria" w:eastAsia="Batang" w:hAnsi="Cambria" w:cs="Times New Roman"/>
          <w:b/>
          <w:noProof/>
          <w:sz w:val="24"/>
          <w:szCs w:val="24"/>
          <w:lang w:eastAsia="ko-KR"/>
        </w:rPr>
        <w:t>Risku i likuiditetit</w:t>
      </w:r>
      <w:r w:rsidRPr="00F76FE2">
        <w:rPr>
          <w:rFonts w:ascii="Times New Roman" w:eastAsia="Batang" w:hAnsi="Times New Roman" w:cs="Times New Roman"/>
          <w:b/>
          <w:noProof/>
          <w:sz w:val="24"/>
          <w:szCs w:val="24"/>
          <w:lang w:eastAsia="ko-KR"/>
        </w:rPr>
        <w:t xml:space="preserve"> – </w:t>
      </w:r>
      <w:r w:rsidRPr="00F76FE2">
        <w:rPr>
          <w:rFonts w:ascii="Times New Roman" w:eastAsia="Batang" w:hAnsi="Times New Roman" w:cs="Times New Roman"/>
          <w:noProof/>
          <w:sz w:val="24"/>
          <w:szCs w:val="24"/>
          <w:lang w:eastAsia="ko-KR"/>
        </w:rPr>
        <w:t>Risku që lidhet me humbjen e aftësisë së buxhetit të shtetit për të likuiduar detyrimet korrente</w:t>
      </w:r>
      <w:r w:rsidRPr="00F76FE2">
        <w:rPr>
          <w:rFonts w:ascii="Times New Roman" w:eastAsia="Batang" w:hAnsi="Times New Roman" w:cs="Times New Roman"/>
          <w:b/>
          <w:noProof/>
          <w:sz w:val="24"/>
          <w:szCs w:val="24"/>
          <w:lang w:eastAsia="ko-KR"/>
        </w:rPr>
        <w:t xml:space="preserve"> </w:t>
      </w:r>
      <w:r w:rsidRPr="00F76FE2">
        <w:rPr>
          <w:rFonts w:ascii="Times New Roman" w:eastAsia="Batang" w:hAnsi="Times New Roman" w:cs="Times New Roman"/>
          <w:noProof/>
          <w:sz w:val="24"/>
          <w:szCs w:val="24"/>
          <w:lang w:eastAsia="ko-KR"/>
        </w:rPr>
        <w:t xml:space="preserve">dhe ekzektutimin në kohë të shpenzimeve buxhetore. Me qëllim minimizimin e këtij risku, shteti duhet të ketë akses mbi një sasi të caktuar asetesh likuide me qëllim garantimin e fondeve në raste krizash të përkohshme, gjatë të cilave bëhet e vështirë ose me kosto të lartë, sigurimi i tyre. </w:t>
      </w:r>
    </w:p>
    <w:p w:rsidR="009354F2" w:rsidRPr="00F76FE2" w:rsidRDefault="009354F2" w:rsidP="00197C2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46"/>
        <w:jc w:val="both"/>
        <w:rPr>
          <w:rFonts w:ascii="Times New Roman" w:eastAsia="Batang" w:hAnsi="Times New Roman" w:cs="Times New Roman"/>
          <w:b/>
          <w:noProof/>
          <w:sz w:val="20"/>
          <w:szCs w:val="20"/>
          <w:lang w:eastAsia="ko-KR"/>
        </w:rPr>
      </w:pPr>
    </w:p>
    <w:p w:rsidR="009354F2" w:rsidRPr="00F76FE2" w:rsidRDefault="009354F2" w:rsidP="00197C2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46"/>
        <w:jc w:val="both"/>
        <w:rPr>
          <w:rFonts w:ascii="Times New Roman" w:eastAsia="Batang" w:hAnsi="Times New Roman" w:cs="Times New Roman"/>
          <w:noProof/>
          <w:sz w:val="24"/>
          <w:szCs w:val="24"/>
          <w:lang w:eastAsia="ko-KR"/>
        </w:rPr>
      </w:pPr>
      <w:r w:rsidRPr="00F76FE2">
        <w:rPr>
          <w:rFonts w:ascii="Cambria" w:eastAsia="Batang" w:hAnsi="Cambria" w:cs="Times New Roman"/>
          <w:b/>
          <w:noProof/>
          <w:sz w:val="24"/>
          <w:szCs w:val="24"/>
          <w:lang w:eastAsia="ko-KR"/>
        </w:rPr>
        <w:t>Risku i normave të interesit</w:t>
      </w:r>
      <w:r w:rsidRPr="00F76FE2">
        <w:rPr>
          <w:rFonts w:ascii="Times New Roman" w:eastAsia="Batang" w:hAnsi="Times New Roman" w:cs="Times New Roman"/>
          <w:b/>
          <w:noProof/>
          <w:sz w:val="24"/>
          <w:szCs w:val="24"/>
          <w:lang w:eastAsia="ko-KR"/>
        </w:rPr>
        <w:t xml:space="preserve"> – </w:t>
      </w:r>
      <w:r w:rsidRPr="00F76FE2">
        <w:rPr>
          <w:rFonts w:ascii="Times New Roman" w:eastAsia="Batang" w:hAnsi="Times New Roman" w:cs="Times New Roman"/>
          <w:noProof/>
          <w:sz w:val="24"/>
          <w:szCs w:val="24"/>
          <w:lang w:eastAsia="ko-KR"/>
        </w:rPr>
        <w:t xml:space="preserve">Risku që pagesat e shërbimit të borxhit të ndryshojnë si rrjedhojë e lëvizjes së normave të interesit. Ky risk krijohet nga nevoja për të shërbyer borxhin që maturohet dhe pagesat e kuponëve të instrumenteve me norma interesi të ndryshueshme në të ardhmen. </w:t>
      </w:r>
    </w:p>
    <w:p w:rsidR="009354F2" w:rsidRPr="00F76FE2" w:rsidRDefault="009354F2" w:rsidP="00197C2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46"/>
        <w:jc w:val="both"/>
        <w:rPr>
          <w:rFonts w:ascii="Times New Roman" w:eastAsia="Batang" w:hAnsi="Times New Roman" w:cs="Times New Roman"/>
          <w:b/>
          <w:noProof/>
          <w:sz w:val="20"/>
          <w:szCs w:val="20"/>
          <w:lang w:eastAsia="ko-KR"/>
        </w:rPr>
      </w:pPr>
    </w:p>
    <w:p w:rsidR="009354F2" w:rsidRPr="00F76FE2" w:rsidRDefault="009354F2" w:rsidP="00197C2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46"/>
        <w:jc w:val="both"/>
        <w:rPr>
          <w:rFonts w:ascii="Times New Roman" w:eastAsia="Batang" w:hAnsi="Times New Roman" w:cs="Times New Roman"/>
          <w:noProof/>
          <w:sz w:val="24"/>
          <w:szCs w:val="24"/>
          <w:lang w:eastAsia="ko-KR"/>
        </w:rPr>
      </w:pPr>
      <w:r w:rsidRPr="00F76FE2">
        <w:rPr>
          <w:rFonts w:ascii="Cambria" w:eastAsia="Batang" w:hAnsi="Cambria" w:cs="Times New Roman"/>
          <w:b/>
          <w:noProof/>
          <w:sz w:val="24"/>
          <w:szCs w:val="24"/>
          <w:lang w:eastAsia="ko-KR"/>
        </w:rPr>
        <w:t>Risku operacional</w:t>
      </w:r>
      <w:r w:rsidRPr="00F76FE2">
        <w:rPr>
          <w:rFonts w:ascii="Times New Roman" w:eastAsia="Batang" w:hAnsi="Times New Roman" w:cs="Times New Roman"/>
          <w:b/>
          <w:noProof/>
          <w:sz w:val="24"/>
          <w:szCs w:val="24"/>
          <w:lang w:eastAsia="ko-KR"/>
        </w:rPr>
        <w:t xml:space="preserve"> – </w:t>
      </w:r>
      <w:r w:rsidRPr="00F76FE2">
        <w:rPr>
          <w:rFonts w:ascii="Times New Roman" w:eastAsia="Batang" w:hAnsi="Times New Roman" w:cs="Times New Roman"/>
          <w:noProof/>
          <w:sz w:val="24"/>
          <w:szCs w:val="24"/>
          <w:lang w:eastAsia="ko-KR"/>
        </w:rPr>
        <w:t xml:space="preserve">Risku që ka të bëjë me rritjen e kostos së menaxhimit të borxhit ose me rritjen e nivelit të risqeve të tjera si rezultat i gabimeve njerëzore, dëmtimit të pajisjeve elektronike, dëmeve natyrore, etj. Risku operacional është një risk relativisht i vështirë për t’u matur dhe vlerësuar. Ulja e ekspozimit të riskut operacional mund të arrihet nëpërmjet </w:t>
      </w:r>
      <w:r w:rsidRPr="00F76FE2">
        <w:rPr>
          <w:rFonts w:ascii="Times New Roman" w:eastAsia="Batang" w:hAnsi="Times New Roman" w:cs="Times New Roman"/>
          <w:noProof/>
          <w:sz w:val="24"/>
          <w:szCs w:val="24"/>
          <w:lang w:eastAsia="ko-KR"/>
        </w:rPr>
        <w:lastRenderedPageBreak/>
        <w:t>integrimit të procedurave të menaxhimit të borxhit në një strukturë organizative, duke pasur strukturën, infrastrukturën dhe procedurat të drejtuara nga aktivitete operacionale efiçente për menaxhimin e administratës shtetërore dhe tregjeve financiare.</w:t>
      </w:r>
    </w:p>
    <w:p w:rsidR="009354F2" w:rsidRPr="00F76FE2" w:rsidRDefault="009354F2" w:rsidP="00197C2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46"/>
        <w:jc w:val="both"/>
        <w:rPr>
          <w:rFonts w:ascii="Times New Roman" w:eastAsia="Batang" w:hAnsi="Times New Roman" w:cs="Times New Roman"/>
          <w:b/>
          <w:noProof/>
          <w:sz w:val="20"/>
          <w:szCs w:val="20"/>
          <w:lang w:eastAsia="ko-KR"/>
        </w:rPr>
      </w:pPr>
    </w:p>
    <w:p w:rsidR="009354F2" w:rsidRPr="00F76FE2" w:rsidRDefault="009354F2" w:rsidP="00197C2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46"/>
        <w:jc w:val="both"/>
        <w:rPr>
          <w:rFonts w:ascii="Times New Roman" w:eastAsia="Batang" w:hAnsi="Times New Roman" w:cs="Times New Roman"/>
          <w:b/>
          <w:noProof/>
          <w:sz w:val="24"/>
          <w:szCs w:val="24"/>
          <w:lang w:eastAsia="ko-KR"/>
        </w:rPr>
      </w:pPr>
      <w:r w:rsidRPr="00F76FE2">
        <w:rPr>
          <w:rFonts w:ascii="Cambria" w:eastAsia="Batang" w:hAnsi="Cambria" w:cs="Times New Roman"/>
          <w:b/>
          <w:noProof/>
          <w:sz w:val="24"/>
          <w:szCs w:val="24"/>
          <w:lang w:eastAsia="ko-KR"/>
        </w:rPr>
        <w:t xml:space="preserve">Risku i </w:t>
      </w:r>
      <w:r w:rsidR="00B308B7" w:rsidRPr="00F76FE2">
        <w:rPr>
          <w:rFonts w:ascii="Cambria" w:eastAsia="Batang" w:hAnsi="Cambria" w:cs="Times New Roman"/>
          <w:b/>
          <w:noProof/>
          <w:sz w:val="24"/>
          <w:szCs w:val="24"/>
          <w:lang w:eastAsia="ko-KR"/>
        </w:rPr>
        <w:t>ri</w:t>
      </w:r>
      <w:r w:rsidRPr="00F76FE2">
        <w:rPr>
          <w:rFonts w:ascii="Cambria" w:eastAsia="Batang" w:hAnsi="Cambria" w:cs="Times New Roman"/>
          <w:b/>
          <w:noProof/>
          <w:sz w:val="24"/>
          <w:szCs w:val="24"/>
          <w:lang w:eastAsia="ko-KR"/>
        </w:rPr>
        <w:t>financimit</w:t>
      </w:r>
      <w:r w:rsidRPr="00F76FE2">
        <w:rPr>
          <w:rFonts w:ascii="Times New Roman" w:eastAsia="Batang" w:hAnsi="Times New Roman" w:cs="Times New Roman"/>
          <w:b/>
          <w:noProof/>
          <w:sz w:val="24"/>
          <w:szCs w:val="24"/>
          <w:lang w:eastAsia="ko-KR"/>
        </w:rPr>
        <w:t xml:space="preserve"> – </w:t>
      </w:r>
      <w:r w:rsidRPr="00F76FE2">
        <w:rPr>
          <w:rFonts w:ascii="Times New Roman" w:eastAsia="Batang" w:hAnsi="Times New Roman" w:cs="Times New Roman"/>
          <w:noProof/>
          <w:sz w:val="24"/>
          <w:szCs w:val="24"/>
          <w:lang w:eastAsia="ko-KR"/>
        </w:rPr>
        <w:t xml:space="preserve">Risku që lidhet me aftësinë për të emetuar instrumente ose marrë hua me qëllim ri-financimin dhe shërbimin e borxhit aktual. Sa më i madh të jetë volumi i shumave që maturohen dhe sa më i afërt në kohë, aq më i lartë është risku i ri-financimit dhe anasjelltas. Risku i ri-financimit ndikohet nga niveli i borxhit ekzistues dhe profili i amortizimit. Rritja e maturitetit të borxhit dhe shpërndarja në kohë e maturimeve ndikon në reduktimin e riskut të ri-financimit. </w:t>
      </w:r>
    </w:p>
    <w:p w:rsidR="009354F2" w:rsidRPr="00F76FE2" w:rsidRDefault="009354F2" w:rsidP="00197C2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46"/>
        <w:jc w:val="both"/>
        <w:rPr>
          <w:rFonts w:ascii="Times New Roman" w:eastAsia="Batang" w:hAnsi="Times New Roman" w:cs="Times New Roman"/>
          <w:b/>
          <w:noProof/>
          <w:sz w:val="20"/>
          <w:szCs w:val="20"/>
          <w:lang w:eastAsia="ko-KR"/>
        </w:rPr>
      </w:pPr>
    </w:p>
    <w:p w:rsidR="009354F2" w:rsidRPr="00F76FE2" w:rsidRDefault="009354F2" w:rsidP="00197C26">
      <w:pPr>
        <w:autoSpaceDE w:val="0"/>
        <w:autoSpaceDN w:val="0"/>
        <w:adjustRightInd w:val="0"/>
        <w:spacing w:after="0" w:line="23" w:lineRule="atLeast"/>
        <w:ind w:right="-46"/>
        <w:jc w:val="both"/>
        <w:rPr>
          <w:rFonts w:ascii="Times New Roman" w:eastAsia="Batang" w:hAnsi="Times New Roman" w:cs="Times New Roman"/>
          <w:noProof/>
          <w:sz w:val="24"/>
          <w:szCs w:val="24"/>
        </w:rPr>
      </w:pPr>
      <w:r w:rsidRPr="00F76FE2">
        <w:rPr>
          <w:rFonts w:ascii="Cambria" w:eastAsia="Batang" w:hAnsi="Cambria" w:cs="Times New Roman"/>
          <w:b/>
          <w:noProof/>
          <w:sz w:val="24"/>
          <w:szCs w:val="24"/>
        </w:rPr>
        <w:t>Stoku i borxhit</w:t>
      </w:r>
      <w:r w:rsidRPr="00F76FE2">
        <w:rPr>
          <w:rFonts w:ascii="Times New Roman" w:eastAsia="Batang" w:hAnsi="Times New Roman" w:cs="Times New Roman"/>
          <w:b/>
          <w:noProof/>
          <w:sz w:val="24"/>
          <w:szCs w:val="24"/>
          <w:lang w:eastAsia="ko-KR"/>
        </w:rPr>
        <w:t xml:space="preserve"> – </w:t>
      </w:r>
      <w:r w:rsidRPr="00F76FE2">
        <w:rPr>
          <w:rFonts w:ascii="Times New Roman" w:eastAsia="Batang" w:hAnsi="Times New Roman" w:cs="Times New Roman"/>
          <w:noProof/>
          <w:sz w:val="24"/>
          <w:szCs w:val="24"/>
        </w:rPr>
        <w:t>Balanca e principalit të borxhit në një moment të dhënë të kohës.</w:t>
      </w:r>
    </w:p>
    <w:p w:rsidR="009354F2" w:rsidRPr="00F76FE2" w:rsidRDefault="009354F2" w:rsidP="00197C26">
      <w:pPr>
        <w:autoSpaceDE w:val="0"/>
        <w:autoSpaceDN w:val="0"/>
        <w:adjustRightInd w:val="0"/>
        <w:spacing w:after="0" w:line="23" w:lineRule="atLeast"/>
        <w:ind w:right="-46"/>
        <w:jc w:val="both"/>
        <w:rPr>
          <w:rFonts w:ascii="Times New Roman" w:eastAsia="Batang" w:hAnsi="Times New Roman" w:cs="Times New Roman"/>
          <w:noProof/>
          <w:sz w:val="20"/>
          <w:szCs w:val="20"/>
        </w:rPr>
      </w:pPr>
    </w:p>
    <w:p w:rsidR="009354F2" w:rsidRPr="00F76FE2" w:rsidRDefault="009354F2" w:rsidP="00197C26">
      <w:pPr>
        <w:tabs>
          <w:tab w:val="left" w:pos="9498"/>
        </w:tabs>
        <w:autoSpaceDE w:val="0"/>
        <w:autoSpaceDN w:val="0"/>
        <w:adjustRightInd w:val="0"/>
        <w:spacing w:after="0" w:line="23" w:lineRule="atLeast"/>
        <w:ind w:right="-46"/>
        <w:jc w:val="both"/>
        <w:rPr>
          <w:rFonts w:ascii="Times New Roman" w:eastAsia="Batang" w:hAnsi="Times New Roman" w:cs="Times New Roman"/>
          <w:noProof/>
          <w:sz w:val="24"/>
          <w:szCs w:val="24"/>
        </w:rPr>
      </w:pPr>
      <w:r w:rsidRPr="00F76FE2">
        <w:rPr>
          <w:rFonts w:ascii="Cambria" w:eastAsia="Batang" w:hAnsi="Cambria" w:cs="Times New Roman"/>
          <w:b/>
          <w:noProof/>
          <w:sz w:val="24"/>
          <w:szCs w:val="24"/>
        </w:rPr>
        <w:t>Shërbim</w:t>
      </w:r>
      <w:r w:rsidR="004F7EA2" w:rsidRPr="00F76FE2">
        <w:rPr>
          <w:rFonts w:ascii="Cambria" w:eastAsia="Batang" w:hAnsi="Cambria" w:cs="Times New Roman"/>
          <w:b/>
          <w:noProof/>
          <w:sz w:val="24"/>
          <w:szCs w:val="24"/>
        </w:rPr>
        <w:t xml:space="preserve"> i</w:t>
      </w:r>
      <w:r w:rsidRPr="00F76FE2">
        <w:rPr>
          <w:rFonts w:ascii="Cambria" w:eastAsia="Batang" w:hAnsi="Cambria" w:cs="Times New Roman"/>
          <w:b/>
          <w:noProof/>
          <w:sz w:val="24"/>
          <w:szCs w:val="24"/>
        </w:rPr>
        <w:t xml:space="preserve"> borxhi</w:t>
      </w:r>
      <w:r w:rsidR="004F7EA2" w:rsidRPr="00F76FE2">
        <w:rPr>
          <w:rFonts w:ascii="Cambria" w:eastAsia="Batang" w:hAnsi="Cambria" w:cs="Times New Roman"/>
          <w:b/>
          <w:noProof/>
          <w:sz w:val="24"/>
          <w:szCs w:val="24"/>
        </w:rPr>
        <w:t>t</w:t>
      </w:r>
      <w:r w:rsidRPr="00F76FE2">
        <w:rPr>
          <w:rFonts w:ascii="Times New Roman" w:eastAsia="Batang" w:hAnsi="Times New Roman" w:cs="Times New Roman"/>
          <w:b/>
          <w:noProof/>
          <w:sz w:val="24"/>
          <w:szCs w:val="24"/>
          <w:lang w:eastAsia="ko-KR"/>
        </w:rPr>
        <w:t xml:space="preserve"> – </w:t>
      </w:r>
      <w:r w:rsidRPr="00F76FE2">
        <w:rPr>
          <w:rFonts w:ascii="Times New Roman" w:eastAsia="Batang" w:hAnsi="Times New Roman" w:cs="Times New Roman"/>
          <w:noProof/>
          <w:sz w:val="24"/>
          <w:szCs w:val="24"/>
        </w:rPr>
        <w:t>Pagesat e principalit dhe interesit në përputhje me termat e përcaktuara në marrëveshje.</w:t>
      </w:r>
    </w:p>
    <w:p w:rsidR="009354F2" w:rsidRPr="00F76FE2" w:rsidRDefault="009354F2" w:rsidP="00197C26">
      <w:pPr>
        <w:tabs>
          <w:tab w:val="left" w:pos="9498"/>
        </w:tabs>
        <w:autoSpaceDE w:val="0"/>
        <w:autoSpaceDN w:val="0"/>
        <w:adjustRightInd w:val="0"/>
        <w:spacing w:after="0" w:line="23" w:lineRule="atLeast"/>
        <w:ind w:right="-46"/>
        <w:jc w:val="both"/>
        <w:rPr>
          <w:rFonts w:ascii="Times New Roman" w:eastAsia="Batang" w:hAnsi="Times New Roman" w:cs="Times New Roman"/>
          <w:noProof/>
          <w:sz w:val="20"/>
          <w:szCs w:val="20"/>
        </w:rPr>
      </w:pPr>
    </w:p>
    <w:p w:rsidR="009354F2" w:rsidRPr="00F76FE2" w:rsidRDefault="009354F2" w:rsidP="00197C2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46"/>
        <w:jc w:val="both"/>
        <w:rPr>
          <w:rFonts w:ascii="Times New Roman" w:eastAsia="Batang" w:hAnsi="Times New Roman" w:cs="Times New Roman"/>
          <w:b/>
          <w:noProof/>
          <w:sz w:val="24"/>
          <w:szCs w:val="24"/>
          <w:lang w:eastAsia="ko-KR"/>
        </w:rPr>
      </w:pPr>
      <w:r w:rsidRPr="00F76FE2">
        <w:rPr>
          <w:rFonts w:ascii="Cambria" w:eastAsia="Batang" w:hAnsi="Cambria" w:cs="Times New Roman"/>
          <w:b/>
          <w:noProof/>
          <w:color w:val="000000"/>
          <w:sz w:val="24"/>
          <w:szCs w:val="24"/>
          <w:lang w:eastAsia="ko-KR"/>
        </w:rPr>
        <w:t xml:space="preserve">Sistemi Primary Dealer </w:t>
      </w:r>
      <w:r w:rsidRPr="00F76FE2">
        <w:rPr>
          <w:rFonts w:ascii="Times New Roman" w:eastAsia="Batang" w:hAnsi="Times New Roman" w:cs="Times New Roman"/>
          <w:b/>
          <w:noProof/>
          <w:sz w:val="24"/>
          <w:szCs w:val="24"/>
          <w:lang w:eastAsia="ko-KR"/>
        </w:rPr>
        <w:t xml:space="preserve">– </w:t>
      </w:r>
      <w:r w:rsidRPr="00F76FE2">
        <w:rPr>
          <w:rFonts w:ascii="Times New Roman" w:eastAsia="Batang" w:hAnsi="Times New Roman" w:cs="Times New Roman"/>
          <w:noProof/>
          <w:color w:val="000000"/>
          <w:sz w:val="24"/>
          <w:szCs w:val="24"/>
          <w:lang w:eastAsia="ko-KR"/>
        </w:rPr>
        <w:t xml:space="preserve">Është një marrëveshje institucionale ndërmjet strukturës përgjegjëse për menaxhimin e borxhit dhe disa ndërmjetësve financiarë </w:t>
      </w:r>
      <w:r w:rsidRPr="00F76FE2">
        <w:rPr>
          <w:rFonts w:ascii="Times New Roman" w:eastAsia="Batang" w:hAnsi="Times New Roman" w:cs="Times New Roman"/>
          <w:i/>
          <w:noProof/>
          <w:color w:val="000000"/>
          <w:sz w:val="24"/>
          <w:szCs w:val="24"/>
          <w:lang w:eastAsia="ko-KR"/>
        </w:rPr>
        <w:t xml:space="preserve">(që kanë funksione të specializuara në tregun e titujve shtetërorë), </w:t>
      </w:r>
      <w:r w:rsidRPr="00F76FE2">
        <w:rPr>
          <w:rFonts w:ascii="Times New Roman" w:eastAsia="Batang" w:hAnsi="Times New Roman" w:cs="Times New Roman"/>
          <w:noProof/>
          <w:color w:val="000000"/>
          <w:sz w:val="24"/>
          <w:szCs w:val="24"/>
          <w:lang w:eastAsia="ko-KR"/>
        </w:rPr>
        <w:t>me qëllim zbatimin e një strategjie që ka për funksion sigurimin e nevojave për financim të qeverisë dhe zhvillimin e tregut të titujve.</w:t>
      </w:r>
    </w:p>
    <w:p w:rsidR="009354F2" w:rsidRPr="00F76FE2" w:rsidRDefault="009354F2" w:rsidP="00197C2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46"/>
        <w:jc w:val="both"/>
        <w:rPr>
          <w:rFonts w:ascii="Times New Roman" w:eastAsia="Batang" w:hAnsi="Times New Roman" w:cs="Times New Roman"/>
          <w:b/>
          <w:noProof/>
          <w:sz w:val="20"/>
          <w:szCs w:val="20"/>
          <w:lang w:eastAsia="ko-KR"/>
        </w:rPr>
      </w:pPr>
    </w:p>
    <w:p w:rsidR="009354F2" w:rsidRPr="00F76FE2" w:rsidRDefault="009354F2" w:rsidP="00197C2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46"/>
        <w:jc w:val="both"/>
        <w:rPr>
          <w:rFonts w:ascii="Times New Roman" w:eastAsia="Batang" w:hAnsi="Times New Roman" w:cs="Times New Roman"/>
          <w:noProof/>
          <w:sz w:val="24"/>
          <w:szCs w:val="24"/>
          <w:lang w:eastAsia="ko-KR"/>
        </w:rPr>
      </w:pPr>
      <w:r w:rsidRPr="00F76FE2">
        <w:rPr>
          <w:rFonts w:ascii="Cambria" w:eastAsia="Batang" w:hAnsi="Cambria" w:cs="Times New Roman"/>
          <w:b/>
          <w:noProof/>
          <w:sz w:val="24"/>
          <w:szCs w:val="24"/>
          <w:lang w:eastAsia="ko-KR"/>
        </w:rPr>
        <w:t>Tregu primar</w:t>
      </w:r>
      <w:r w:rsidRPr="00F76FE2">
        <w:rPr>
          <w:rFonts w:ascii="Times New Roman" w:eastAsia="Batang" w:hAnsi="Times New Roman" w:cs="Times New Roman"/>
          <w:b/>
          <w:noProof/>
          <w:sz w:val="24"/>
          <w:szCs w:val="24"/>
          <w:lang w:eastAsia="ko-KR"/>
        </w:rPr>
        <w:t xml:space="preserve"> – </w:t>
      </w:r>
      <w:r w:rsidRPr="00F76FE2">
        <w:rPr>
          <w:rFonts w:ascii="Times New Roman" w:eastAsia="Batang" w:hAnsi="Times New Roman" w:cs="Times New Roman"/>
          <w:noProof/>
          <w:sz w:val="24"/>
          <w:szCs w:val="24"/>
          <w:lang w:eastAsia="ko-KR"/>
        </w:rPr>
        <w:t>Është hapësira fizike ose funksionale në të cilin Shteti Shqiptar emeton për herë të parë titujt.</w:t>
      </w:r>
    </w:p>
    <w:p w:rsidR="009354F2" w:rsidRPr="00F76FE2" w:rsidRDefault="009354F2" w:rsidP="00197C2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46"/>
        <w:jc w:val="both"/>
        <w:rPr>
          <w:rFonts w:ascii="Times New Roman" w:eastAsia="Batang" w:hAnsi="Times New Roman" w:cs="Times New Roman"/>
          <w:noProof/>
          <w:sz w:val="20"/>
          <w:szCs w:val="20"/>
          <w:lang w:eastAsia="ko-KR"/>
        </w:rPr>
      </w:pPr>
    </w:p>
    <w:p w:rsidR="009354F2" w:rsidRPr="00F76FE2" w:rsidRDefault="009354F2" w:rsidP="00197C2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46"/>
        <w:jc w:val="both"/>
        <w:rPr>
          <w:rFonts w:ascii="Times New Roman" w:eastAsia="Batang" w:hAnsi="Times New Roman" w:cs="Times New Roman"/>
          <w:noProof/>
          <w:sz w:val="24"/>
          <w:szCs w:val="24"/>
          <w:lang w:eastAsia="ko-KR"/>
        </w:rPr>
      </w:pPr>
      <w:r w:rsidRPr="00F76FE2">
        <w:rPr>
          <w:rFonts w:ascii="Cambria" w:eastAsia="Batang" w:hAnsi="Cambria" w:cs="Times New Roman"/>
          <w:b/>
          <w:noProof/>
          <w:sz w:val="24"/>
          <w:szCs w:val="24"/>
          <w:lang w:eastAsia="ko-KR"/>
        </w:rPr>
        <w:t>Tregu sekondar</w:t>
      </w:r>
      <w:r w:rsidRPr="00F76FE2">
        <w:rPr>
          <w:rFonts w:ascii="Times New Roman" w:eastAsia="Batang" w:hAnsi="Times New Roman" w:cs="Times New Roman"/>
          <w:b/>
          <w:noProof/>
          <w:sz w:val="24"/>
          <w:szCs w:val="24"/>
          <w:lang w:eastAsia="ko-KR"/>
        </w:rPr>
        <w:t xml:space="preserve"> –</w:t>
      </w:r>
      <w:r w:rsidRPr="00F76FE2">
        <w:rPr>
          <w:rFonts w:ascii="Times New Roman" w:eastAsia="Batang" w:hAnsi="Times New Roman" w:cs="Times New Roman"/>
          <w:noProof/>
          <w:sz w:val="24"/>
          <w:szCs w:val="24"/>
          <w:lang w:eastAsia="ko-KR"/>
        </w:rPr>
        <w:t xml:space="preserve"> Është hapësira fizike ose funksionale ku kryhen transaksionet me titujt pasi janë emetuar në tregun primar.</w:t>
      </w:r>
    </w:p>
    <w:p w:rsidR="009354F2" w:rsidRPr="00F76FE2" w:rsidRDefault="009354F2" w:rsidP="00197C2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46"/>
        <w:jc w:val="both"/>
        <w:rPr>
          <w:rFonts w:ascii="Times New Roman" w:eastAsia="Batang" w:hAnsi="Times New Roman" w:cs="Times New Roman"/>
          <w:noProof/>
          <w:sz w:val="20"/>
          <w:szCs w:val="20"/>
          <w:lang w:eastAsia="ko-KR"/>
        </w:rPr>
      </w:pPr>
    </w:p>
    <w:p w:rsidR="009354F2" w:rsidRPr="00F76FE2" w:rsidRDefault="009354F2" w:rsidP="00197C26">
      <w:pPr>
        <w:tabs>
          <w:tab w:val="left" w:pos="360"/>
        </w:tabs>
        <w:spacing w:after="0" w:line="240" w:lineRule="auto"/>
        <w:ind w:right="-46"/>
        <w:jc w:val="both"/>
        <w:rPr>
          <w:rFonts w:ascii="Cambria" w:eastAsia="Times New Roman" w:hAnsi="Cambria" w:cs="Times New Roman"/>
          <w:noProof/>
          <w:sz w:val="24"/>
          <w:szCs w:val="24"/>
        </w:rPr>
      </w:pPr>
      <w:r w:rsidRPr="00F76FE2">
        <w:rPr>
          <w:rFonts w:ascii="Cambria" w:eastAsia="Times New Roman" w:hAnsi="Cambria" w:cs="Times New Roman"/>
          <w:b/>
          <w:noProof/>
          <w:sz w:val="24"/>
          <w:szCs w:val="24"/>
        </w:rPr>
        <w:t xml:space="preserve">Tituj afatmesëm </w:t>
      </w:r>
      <w:r w:rsidRPr="00F76FE2">
        <w:rPr>
          <w:rFonts w:ascii="Times New Roman" w:eastAsia="Times New Roman" w:hAnsi="Times New Roman" w:cs="Times New Roman"/>
          <w:b/>
          <w:noProof/>
          <w:sz w:val="24"/>
          <w:szCs w:val="24"/>
        </w:rPr>
        <w:t>–</w:t>
      </w:r>
      <w:r w:rsidRPr="00F76FE2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I referohet </w:t>
      </w:r>
      <w:r w:rsidRPr="00F76FE2">
        <w:rPr>
          <w:rFonts w:ascii="Times New Roman" w:eastAsia="Batang" w:hAnsi="Times New Roman" w:cs="Times New Roman"/>
          <w:bCs/>
          <w:noProof/>
          <w:sz w:val="24"/>
          <w:szCs w:val="24"/>
        </w:rPr>
        <w:t>titujve të borxhit shtetërorë me</w:t>
      </w:r>
      <w:r w:rsidRPr="00F76FE2">
        <w:rPr>
          <w:rFonts w:ascii="Times New Roman" w:eastAsia="Batang" w:hAnsi="Times New Roman" w:cs="Times New Roman"/>
          <w:b/>
          <w:bCs/>
          <w:noProof/>
          <w:sz w:val="24"/>
          <w:szCs w:val="24"/>
        </w:rPr>
        <w:t xml:space="preserve"> </w:t>
      </w:r>
      <w:r w:rsidRPr="00F76FE2">
        <w:rPr>
          <w:rFonts w:ascii="Times New Roman" w:eastAsia="Times New Roman" w:hAnsi="Times New Roman" w:cs="Times New Roman"/>
          <w:noProof/>
          <w:sz w:val="24"/>
          <w:szCs w:val="24"/>
        </w:rPr>
        <w:t>afat maturimi nga 2 deri në 5 vite.</w:t>
      </w:r>
    </w:p>
    <w:p w:rsidR="009354F2" w:rsidRPr="00F76FE2" w:rsidRDefault="009354F2" w:rsidP="00197C26">
      <w:pPr>
        <w:tabs>
          <w:tab w:val="left" w:pos="360"/>
        </w:tabs>
        <w:spacing w:after="0" w:line="240" w:lineRule="auto"/>
        <w:ind w:right="-46"/>
        <w:jc w:val="both"/>
        <w:rPr>
          <w:rFonts w:ascii="Cambria" w:eastAsia="Times New Roman" w:hAnsi="Cambria" w:cs="Times New Roman"/>
          <w:b/>
          <w:noProof/>
          <w:sz w:val="20"/>
          <w:szCs w:val="20"/>
        </w:rPr>
      </w:pPr>
    </w:p>
    <w:p w:rsidR="009354F2" w:rsidRPr="00F76FE2" w:rsidRDefault="009354F2" w:rsidP="00197C26">
      <w:pPr>
        <w:tabs>
          <w:tab w:val="left" w:pos="360"/>
        </w:tabs>
        <w:spacing w:after="0" w:line="240" w:lineRule="auto"/>
        <w:ind w:right="-46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F76FE2">
        <w:rPr>
          <w:rFonts w:ascii="Cambria" w:eastAsia="Times New Roman" w:hAnsi="Cambria" w:cs="Times New Roman"/>
          <w:b/>
          <w:noProof/>
          <w:sz w:val="24"/>
          <w:szCs w:val="24"/>
        </w:rPr>
        <w:t xml:space="preserve">Tituj afatgjatë </w:t>
      </w:r>
      <w:r w:rsidRPr="00F76FE2">
        <w:rPr>
          <w:rFonts w:ascii="Times New Roman" w:eastAsia="Times New Roman" w:hAnsi="Times New Roman" w:cs="Times New Roman"/>
          <w:b/>
          <w:noProof/>
          <w:sz w:val="24"/>
          <w:szCs w:val="24"/>
        </w:rPr>
        <w:t xml:space="preserve">– </w:t>
      </w:r>
      <w:r w:rsidRPr="00F76FE2">
        <w:rPr>
          <w:rFonts w:ascii="Times New Roman" w:eastAsia="Times New Roman" w:hAnsi="Times New Roman" w:cs="Times New Roman"/>
          <w:noProof/>
          <w:sz w:val="24"/>
          <w:szCs w:val="24"/>
        </w:rPr>
        <w:t xml:space="preserve">I referohet </w:t>
      </w:r>
      <w:r w:rsidRPr="00F76FE2">
        <w:rPr>
          <w:rFonts w:ascii="Times New Roman" w:eastAsia="Batang" w:hAnsi="Times New Roman" w:cs="Times New Roman"/>
          <w:bCs/>
          <w:noProof/>
          <w:sz w:val="24"/>
          <w:szCs w:val="24"/>
        </w:rPr>
        <w:t>titujve të borxhit shtetërorë me</w:t>
      </w:r>
      <w:r w:rsidRPr="00F76FE2">
        <w:rPr>
          <w:rFonts w:ascii="Times New Roman" w:eastAsia="Batang" w:hAnsi="Times New Roman" w:cs="Times New Roman"/>
          <w:b/>
          <w:bCs/>
          <w:noProof/>
          <w:sz w:val="24"/>
          <w:szCs w:val="24"/>
        </w:rPr>
        <w:t xml:space="preserve"> </w:t>
      </w:r>
      <w:r w:rsidRPr="00F76FE2">
        <w:rPr>
          <w:rFonts w:ascii="Times New Roman" w:eastAsia="Times New Roman" w:hAnsi="Times New Roman" w:cs="Times New Roman"/>
          <w:noProof/>
          <w:sz w:val="24"/>
          <w:szCs w:val="24"/>
        </w:rPr>
        <w:t>afat maturimi mbi 5 vite.</w:t>
      </w:r>
    </w:p>
    <w:p w:rsidR="009354F2" w:rsidRPr="00F76FE2" w:rsidRDefault="009354F2" w:rsidP="00197C26">
      <w:pPr>
        <w:tabs>
          <w:tab w:val="left" w:pos="360"/>
        </w:tabs>
        <w:spacing w:after="0" w:line="240" w:lineRule="auto"/>
        <w:ind w:right="-46"/>
        <w:jc w:val="both"/>
        <w:rPr>
          <w:rFonts w:ascii="Cambria" w:eastAsia="Times New Roman" w:hAnsi="Cambria" w:cs="Times New Roman"/>
          <w:noProof/>
          <w:sz w:val="20"/>
          <w:szCs w:val="20"/>
        </w:rPr>
      </w:pPr>
    </w:p>
    <w:p w:rsidR="009354F2" w:rsidRPr="00F76FE2" w:rsidRDefault="009354F2" w:rsidP="00197C26">
      <w:pPr>
        <w:tabs>
          <w:tab w:val="left" w:pos="360"/>
        </w:tabs>
        <w:spacing w:after="0"/>
        <w:ind w:right="-46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F76FE2">
        <w:rPr>
          <w:rFonts w:ascii="Cambria" w:eastAsia="Times New Roman" w:hAnsi="Cambria" w:cs="Times New Roman"/>
          <w:b/>
          <w:noProof/>
          <w:sz w:val="24"/>
          <w:szCs w:val="24"/>
        </w:rPr>
        <w:t xml:space="preserve">Tituj referencë </w:t>
      </w:r>
      <w:r w:rsidRPr="00F76FE2">
        <w:rPr>
          <w:rFonts w:ascii="Cambria" w:eastAsia="Times New Roman" w:hAnsi="Cambria" w:cs="Times New Roman"/>
          <w:b/>
          <w:i/>
          <w:noProof/>
          <w:sz w:val="24"/>
          <w:szCs w:val="24"/>
        </w:rPr>
        <w:t>(benchmark)</w:t>
      </w:r>
      <w:r w:rsidRPr="00F76FE2">
        <w:rPr>
          <w:rFonts w:ascii="Cambria" w:eastAsia="Times New Roman" w:hAnsi="Cambria" w:cs="Times New Roman"/>
          <w:b/>
          <w:noProof/>
          <w:sz w:val="24"/>
          <w:szCs w:val="24"/>
        </w:rPr>
        <w:t xml:space="preserve"> </w:t>
      </w:r>
      <w:r w:rsidRPr="00F76FE2">
        <w:rPr>
          <w:rFonts w:ascii="Times New Roman" w:eastAsia="Times New Roman" w:hAnsi="Times New Roman" w:cs="Times New Roman"/>
          <w:b/>
          <w:noProof/>
          <w:sz w:val="24"/>
          <w:szCs w:val="24"/>
        </w:rPr>
        <w:t xml:space="preserve">– </w:t>
      </w:r>
      <w:r w:rsidRPr="00F76FE2">
        <w:rPr>
          <w:rFonts w:ascii="Times New Roman" w:eastAsia="Batang" w:hAnsi="Times New Roman" w:cs="Times New Roman"/>
          <w:noProof/>
          <w:sz w:val="24"/>
          <w:szCs w:val="24"/>
          <w:lang w:eastAsia="ko-KR"/>
        </w:rPr>
        <w:t>Ë</w:t>
      </w:r>
      <w:r w:rsidRPr="00F76FE2">
        <w:rPr>
          <w:rFonts w:ascii="Times New Roman" w:eastAsia="Times New Roman" w:hAnsi="Times New Roman" w:cs="Times New Roman"/>
          <w:noProof/>
          <w:sz w:val="24"/>
          <w:szCs w:val="24"/>
        </w:rPr>
        <w:t>shtë emetimi më i fundit i titujve të shtetit shqiptar për një maturitet të caktuar. Ankandi për titullin referencë mund të rihapet periodikisht deri në arritjen e një vlere të paracaktuar nga Ministria e Financave dhe Ekonomisë. Ky titull përdoret si pikë referimi për vlerësimin e titujve të tjerë shtetërorë me maturitet, shumë emetimi dhe normë kuponi të ngjashëm.</w:t>
      </w:r>
    </w:p>
    <w:p w:rsidR="009354F2" w:rsidRPr="00F76FE2" w:rsidRDefault="009354F2" w:rsidP="00197C26">
      <w:pPr>
        <w:tabs>
          <w:tab w:val="left" w:pos="360"/>
        </w:tabs>
        <w:spacing w:after="0" w:line="240" w:lineRule="auto"/>
        <w:ind w:right="-46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F76FE2">
        <w:rPr>
          <w:rFonts w:ascii="Times New Roman" w:eastAsia="Times New Roman" w:hAnsi="Times New Roman" w:cs="Times New Roman"/>
          <w:noProof/>
          <w:sz w:val="24"/>
          <w:szCs w:val="24"/>
        </w:rPr>
        <w:t>Përgjithësisht, titujt referencë gëzojnë likuiditet më të lartë se emetimet e zakonshme, për shkak të detyrimit që kanë Zhvilluesit e Tregut për të kuotuar çmime blerjeje/shitjeje në tregun sekondar sipas kushteve të përcaktuara në kontratën e lidhur me Ministrinë e Financave dhe Ekonomisë.</w:t>
      </w:r>
    </w:p>
    <w:p w:rsidR="009354F2" w:rsidRPr="00F76FE2" w:rsidRDefault="009354F2" w:rsidP="00197C2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46"/>
        <w:jc w:val="both"/>
        <w:rPr>
          <w:rFonts w:ascii="Times New Roman" w:eastAsia="Batang" w:hAnsi="Times New Roman" w:cs="Times New Roman"/>
          <w:noProof/>
          <w:sz w:val="20"/>
          <w:szCs w:val="20"/>
          <w:lang w:eastAsia="ko-KR"/>
        </w:rPr>
      </w:pPr>
    </w:p>
    <w:p w:rsidR="006A3317" w:rsidRPr="00F76FE2" w:rsidRDefault="009354F2" w:rsidP="00197C2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46"/>
        <w:jc w:val="both"/>
        <w:rPr>
          <w:rFonts w:ascii="Times New Roman" w:eastAsia="Batang" w:hAnsi="Times New Roman" w:cs="Times New Roman"/>
          <w:noProof/>
          <w:sz w:val="24"/>
          <w:szCs w:val="24"/>
          <w:lang w:eastAsia="ko-KR"/>
        </w:rPr>
      </w:pPr>
      <w:r w:rsidRPr="00F76FE2">
        <w:rPr>
          <w:rFonts w:ascii="Cambria" w:eastAsia="Batang" w:hAnsi="Cambria" w:cs="Times New Roman"/>
          <w:b/>
          <w:noProof/>
          <w:sz w:val="24"/>
          <w:szCs w:val="24"/>
          <w:lang w:eastAsia="ko-KR"/>
        </w:rPr>
        <w:t>Tituj shtetërorë</w:t>
      </w:r>
      <w:r w:rsidRPr="00F76FE2">
        <w:rPr>
          <w:rFonts w:ascii="Times New Roman" w:eastAsia="Batang" w:hAnsi="Times New Roman" w:cs="Times New Roman"/>
          <w:b/>
          <w:noProof/>
          <w:sz w:val="24"/>
          <w:szCs w:val="24"/>
          <w:lang w:eastAsia="ko-KR"/>
        </w:rPr>
        <w:t xml:space="preserve"> – </w:t>
      </w:r>
      <w:r w:rsidRPr="00F76FE2">
        <w:rPr>
          <w:rFonts w:ascii="Times New Roman" w:eastAsia="Batang" w:hAnsi="Times New Roman" w:cs="Times New Roman"/>
          <w:noProof/>
          <w:sz w:val="24"/>
          <w:szCs w:val="24"/>
          <w:lang w:eastAsia="ko-KR"/>
        </w:rPr>
        <w:t>Janë bonot e thesarit dhe obligacionet shtetërore të emetuara nga Ministria e Financave dhe Ekonomisë në përputhje me ligjin Nr. 9665, datë 18.12.2006, “Për huamarrjen shtetërore, borxhin shtetëror dhe garancitë shtetërore të huasë në Republikën e Shqipërisë”, të ndryshuar; ligjin Nr. 9879, datë 21.02.2008 “Për titujt”; si edhe aktet nënligjore.</w:t>
      </w:r>
    </w:p>
    <w:p w:rsidR="00197C26" w:rsidRPr="00F76FE2" w:rsidRDefault="00197C26" w:rsidP="00197C2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46"/>
        <w:jc w:val="both"/>
        <w:rPr>
          <w:rFonts w:ascii="Times New Roman" w:eastAsia="Batang" w:hAnsi="Times New Roman" w:cs="Times New Roman"/>
          <w:noProof/>
          <w:sz w:val="24"/>
          <w:szCs w:val="24"/>
          <w:lang w:eastAsia="ko-KR"/>
        </w:rPr>
      </w:pPr>
    </w:p>
    <w:p w:rsidR="00046697" w:rsidRPr="00F76FE2" w:rsidRDefault="00046697" w:rsidP="00046697">
      <w:pPr>
        <w:keepNext/>
        <w:keepLines/>
        <w:spacing w:after="0" w:line="360" w:lineRule="auto"/>
        <w:ind w:right="-45"/>
        <w:jc w:val="center"/>
        <w:outlineLvl w:val="0"/>
        <w:rPr>
          <w:rFonts w:ascii="Cambria" w:eastAsia="Times New Roman" w:hAnsi="Cambria" w:cstheme="majorBidi"/>
          <w:b/>
          <w:noProof/>
          <w:color w:val="C00000"/>
          <w:sz w:val="24"/>
          <w:szCs w:val="32"/>
        </w:rPr>
      </w:pPr>
      <w:bookmarkStart w:id="28" w:name="_Toc34645075"/>
      <w:r w:rsidRPr="00F76FE2">
        <w:rPr>
          <w:rFonts w:ascii="Cambria" w:eastAsia="Times New Roman" w:hAnsi="Cambria" w:cstheme="majorBidi"/>
          <w:b/>
          <w:noProof/>
          <w:color w:val="C00000"/>
          <w:sz w:val="24"/>
          <w:szCs w:val="32"/>
        </w:rPr>
        <w:lastRenderedPageBreak/>
        <w:t>ANEKSI II</w:t>
      </w:r>
      <w:bookmarkEnd w:id="28"/>
    </w:p>
    <w:p w:rsidR="00046697" w:rsidRPr="00F76FE2" w:rsidRDefault="00046697" w:rsidP="00A604AC">
      <w:pPr>
        <w:keepNext/>
        <w:keepLines/>
        <w:spacing w:after="0" w:line="360" w:lineRule="auto"/>
        <w:ind w:right="-45"/>
        <w:jc w:val="center"/>
        <w:outlineLvl w:val="0"/>
        <w:rPr>
          <w:rFonts w:ascii="Cambria" w:eastAsia="Times New Roman" w:hAnsi="Cambria" w:cstheme="majorBidi"/>
          <w:b/>
          <w:noProof/>
          <w:color w:val="C00000"/>
          <w:sz w:val="24"/>
          <w:szCs w:val="32"/>
        </w:rPr>
      </w:pPr>
      <w:r w:rsidRPr="00F76FE2">
        <w:rPr>
          <w:rFonts w:ascii="Cambria" w:eastAsia="Times New Roman" w:hAnsi="Cambria" w:cstheme="majorBidi"/>
          <w:b/>
          <w:noProof/>
          <w:color w:val="C00000"/>
          <w:sz w:val="24"/>
          <w:szCs w:val="32"/>
        </w:rPr>
        <w:t xml:space="preserve"> </w:t>
      </w:r>
      <w:bookmarkStart w:id="29" w:name="_Toc9249216"/>
      <w:bookmarkStart w:id="30" w:name="_Toc34645076"/>
      <w:r w:rsidRPr="00F76FE2">
        <w:rPr>
          <w:rFonts w:ascii="Cambria" w:eastAsia="Times New Roman" w:hAnsi="Cambria" w:cstheme="majorBidi"/>
          <w:b/>
          <w:noProof/>
          <w:color w:val="C00000"/>
          <w:sz w:val="24"/>
          <w:szCs w:val="32"/>
        </w:rPr>
        <w:t>TË DHËNA SHTESË</w:t>
      </w:r>
      <w:bookmarkEnd w:id="29"/>
      <w:bookmarkEnd w:id="30"/>
      <w:r w:rsidRPr="00F76FE2">
        <w:rPr>
          <w:rFonts w:ascii="Cambria" w:eastAsia="Times New Roman" w:hAnsi="Cambria" w:cstheme="majorBidi"/>
          <w:b/>
          <w:noProof/>
          <w:color w:val="C00000"/>
          <w:sz w:val="24"/>
          <w:szCs w:val="32"/>
        </w:rPr>
        <w:t xml:space="preserve"> </w:t>
      </w:r>
    </w:p>
    <w:p w:rsidR="00A604AC" w:rsidRPr="00F76FE2" w:rsidRDefault="00A604AC" w:rsidP="00A604AC">
      <w:pPr>
        <w:keepNext/>
        <w:keepLines/>
        <w:spacing w:after="0" w:line="360" w:lineRule="auto"/>
        <w:ind w:right="-45"/>
        <w:jc w:val="center"/>
        <w:outlineLvl w:val="0"/>
        <w:rPr>
          <w:rFonts w:ascii="Cambria" w:eastAsia="Times New Roman" w:hAnsi="Cambria" w:cstheme="majorBidi"/>
          <w:b/>
          <w:noProof/>
          <w:color w:val="C00000"/>
          <w:sz w:val="20"/>
          <w:szCs w:val="20"/>
        </w:rPr>
      </w:pPr>
    </w:p>
    <w:p w:rsidR="00046697" w:rsidRPr="00F76FE2" w:rsidRDefault="00046697" w:rsidP="00046697">
      <w:pPr>
        <w:numPr>
          <w:ilvl w:val="0"/>
          <w:numId w:val="6"/>
        </w:numPr>
        <w:spacing w:after="0" w:line="240" w:lineRule="auto"/>
        <w:ind w:left="567" w:right="-46" w:hanging="567"/>
        <w:contextualSpacing/>
        <w:rPr>
          <w:rFonts w:ascii="Cambria" w:hAnsi="Cambria" w:cs="Times New Roman"/>
          <w:b/>
          <w:sz w:val="24"/>
          <w:szCs w:val="24"/>
        </w:rPr>
      </w:pPr>
      <w:r w:rsidRPr="00F76FE2">
        <w:rPr>
          <w:rFonts w:ascii="Cambria" w:eastAsia="Times New Roman" w:hAnsi="Cambria"/>
          <w:b/>
          <w:noProof/>
        </w:rPr>
        <w:t>STOKU I BORXHIT PUBLIK DHE QEVERISJES QENDORE</w:t>
      </w:r>
    </w:p>
    <w:p w:rsidR="00046697" w:rsidRPr="00F76FE2" w:rsidRDefault="00046697" w:rsidP="00046697">
      <w:pPr>
        <w:spacing w:after="0" w:line="240" w:lineRule="auto"/>
        <w:ind w:left="567" w:right="-46"/>
        <w:contextualSpacing/>
        <w:rPr>
          <w:rFonts w:ascii="Cambria" w:hAnsi="Cambria" w:cs="Times New Roman"/>
          <w:b/>
          <w:sz w:val="32"/>
          <w:szCs w:val="24"/>
        </w:rPr>
      </w:pPr>
    </w:p>
    <w:p w:rsidR="00046697" w:rsidRPr="00F76FE2" w:rsidRDefault="00046697" w:rsidP="00046697">
      <w:pPr>
        <w:spacing w:after="0" w:line="240" w:lineRule="auto"/>
        <w:ind w:right="-46"/>
        <w:jc w:val="both"/>
        <w:rPr>
          <w:noProof/>
          <w:sz w:val="24"/>
          <w:szCs w:val="24"/>
        </w:rPr>
      </w:pPr>
      <w:r w:rsidRPr="00F76FE2">
        <w:rPr>
          <w:rFonts w:ascii="Cambria" w:hAnsi="Cambria"/>
          <w:b/>
          <w:sz w:val="20"/>
          <w:szCs w:val="20"/>
        </w:rPr>
        <w:t xml:space="preserve">Tabela 1.0: </w:t>
      </w:r>
      <w:r w:rsidRPr="00F76FE2">
        <w:rPr>
          <w:rFonts w:ascii="Cambria" w:hAnsi="Cambria"/>
          <w:i/>
          <w:sz w:val="20"/>
          <w:szCs w:val="20"/>
        </w:rPr>
        <w:t xml:space="preserve">Stoku i </w:t>
      </w:r>
      <w:r w:rsidR="008A5B01" w:rsidRPr="00F76FE2">
        <w:rPr>
          <w:rFonts w:ascii="Cambria" w:hAnsi="Cambria"/>
          <w:i/>
          <w:sz w:val="20"/>
          <w:szCs w:val="20"/>
        </w:rPr>
        <w:t>b</w:t>
      </w:r>
      <w:r w:rsidRPr="00F76FE2">
        <w:rPr>
          <w:rFonts w:ascii="Cambria" w:hAnsi="Cambria"/>
          <w:i/>
          <w:sz w:val="20"/>
          <w:szCs w:val="20"/>
        </w:rPr>
        <w:t xml:space="preserve">orxhit </w:t>
      </w:r>
      <w:r w:rsidR="008A5B01" w:rsidRPr="00F76FE2">
        <w:rPr>
          <w:rFonts w:ascii="Cambria" w:hAnsi="Cambria"/>
          <w:i/>
          <w:sz w:val="20"/>
          <w:szCs w:val="20"/>
        </w:rPr>
        <w:t>p</w:t>
      </w:r>
      <w:r w:rsidRPr="00F76FE2">
        <w:rPr>
          <w:rFonts w:ascii="Cambria" w:hAnsi="Cambria"/>
          <w:i/>
          <w:sz w:val="20"/>
          <w:szCs w:val="20"/>
        </w:rPr>
        <w:t xml:space="preserve">ublik </w:t>
      </w:r>
      <w:r w:rsidR="008A5B01" w:rsidRPr="00F76FE2">
        <w:rPr>
          <w:rFonts w:ascii="Cambria" w:hAnsi="Cambria"/>
          <w:i/>
          <w:sz w:val="20"/>
          <w:szCs w:val="20"/>
        </w:rPr>
        <w:t>2015-2019</w:t>
      </w:r>
      <w:r w:rsidR="008C4584" w:rsidRPr="00F76FE2">
        <w:rPr>
          <w:rFonts w:ascii="Cambria" w:hAnsi="Cambria"/>
          <w:i/>
          <w:sz w:val="20"/>
          <w:szCs w:val="20"/>
        </w:rPr>
        <w:t xml:space="preserve">                                                                         </w:t>
      </w:r>
      <w:r w:rsidR="008A5B01" w:rsidRPr="00F76FE2">
        <w:rPr>
          <w:rFonts w:ascii="Cambria" w:hAnsi="Cambria"/>
          <w:i/>
          <w:sz w:val="20"/>
          <w:szCs w:val="20"/>
        </w:rPr>
        <w:t xml:space="preserve">               </w:t>
      </w:r>
      <w:r w:rsidRPr="00F76FE2">
        <w:rPr>
          <w:rFonts w:ascii="Cambria" w:hAnsi="Cambria"/>
          <w:i/>
          <w:sz w:val="20"/>
          <w:szCs w:val="20"/>
        </w:rPr>
        <w:t>(në milion Lek</w:t>
      </w:r>
      <w:r w:rsidR="004C7713" w:rsidRPr="00F76FE2">
        <w:rPr>
          <w:rFonts w:ascii="Cambria" w:hAnsi="Cambria"/>
          <w:i/>
          <w:sz w:val="20"/>
          <w:szCs w:val="20"/>
        </w:rPr>
        <w:t>ë</w:t>
      </w:r>
      <w:r w:rsidRPr="00F76FE2">
        <w:rPr>
          <w:rFonts w:ascii="Cambria" w:hAnsi="Cambria"/>
          <w:i/>
          <w:sz w:val="20"/>
          <w:szCs w:val="20"/>
        </w:rPr>
        <w:t>)</w:t>
      </w:r>
    </w:p>
    <w:p w:rsidR="00046697" w:rsidRPr="00F76FE2" w:rsidRDefault="008A5B01" w:rsidP="00046697">
      <w:pPr>
        <w:spacing w:after="0" w:line="240" w:lineRule="auto"/>
        <w:ind w:right="-46"/>
        <w:jc w:val="both"/>
        <w:rPr>
          <w:rFonts w:ascii="Cambria" w:eastAsia="Times New Roman" w:hAnsi="Cambria"/>
          <w:noProof/>
          <w:sz w:val="32"/>
          <w:szCs w:val="20"/>
        </w:rPr>
      </w:pPr>
      <w:r w:rsidRPr="00F76FE2">
        <w:rPr>
          <w:noProof/>
          <w:lang w:val="en-US"/>
        </w:rPr>
        <w:drawing>
          <wp:inline distT="0" distB="0" distL="0" distR="0" wp14:anchorId="3DB93454" wp14:editId="017D99E1">
            <wp:extent cx="5731510" cy="1221928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2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F31" w:rsidRPr="00F76FE2" w:rsidRDefault="00A36F31" w:rsidP="00046697">
      <w:pPr>
        <w:tabs>
          <w:tab w:val="left" w:pos="142"/>
        </w:tabs>
        <w:spacing w:after="0" w:line="240" w:lineRule="auto"/>
        <w:ind w:right="-46"/>
        <w:rPr>
          <w:rFonts w:ascii="Cambria" w:eastAsia="Times New Roman" w:hAnsi="Cambria"/>
          <w:b/>
          <w:sz w:val="20"/>
          <w:szCs w:val="20"/>
        </w:rPr>
      </w:pPr>
    </w:p>
    <w:p w:rsidR="00046697" w:rsidRPr="00F76FE2" w:rsidRDefault="004B419B" w:rsidP="00046697">
      <w:pPr>
        <w:tabs>
          <w:tab w:val="left" w:pos="142"/>
        </w:tabs>
        <w:spacing w:after="0" w:line="240" w:lineRule="auto"/>
        <w:ind w:right="-46"/>
        <w:rPr>
          <w:rFonts w:ascii="Cambria" w:eastAsia="Times New Roman" w:hAnsi="Cambria"/>
          <w:i/>
          <w:sz w:val="20"/>
          <w:szCs w:val="20"/>
        </w:rPr>
      </w:pPr>
      <w:r w:rsidRPr="00F76FE2">
        <w:rPr>
          <w:rFonts w:ascii="Cambria" w:eastAsia="Times New Roman" w:hAnsi="Cambria"/>
          <w:b/>
          <w:sz w:val="20"/>
          <w:szCs w:val="20"/>
        </w:rPr>
        <w:t>Tabela 1.1</w:t>
      </w:r>
      <w:r w:rsidR="00046697" w:rsidRPr="00F76FE2">
        <w:rPr>
          <w:rFonts w:ascii="Cambria" w:eastAsia="Times New Roman" w:hAnsi="Cambria"/>
          <w:b/>
          <w:sz w:val="20"/>
          <w:szCs w:val="20"/>
        </w:rPr>
        <w:t xml:space="preserve">: </w:t>
      </w:r>
      <w:r w:rsidR="00046697" w:rsidRPr="00F76FE2">
        <w:rPr>
          <w:rFonts w:ascii="Cambria" w:eastAsia="Times New Roman" w:hAnsi="Cambria"/>
          <w:i/>
          <w:sz w:val="20"/>
          <w:szCs w:val="20"/>
        </w:rPr>
        <w:t xml:space="preserve">Stoku i Borxhit të </w:t>
      </w:r>
      <w:r w:rsidR="008A5B01" w:rsidRPr="00F76FE2">
        <w:rPr>
          <w:rFonts w:ascii="Cambria" w:eastAsia="Times New Roman" w:hAnsi="Cambria"/>
          <w:i/>
          <w:sz w:val="20"/>
          <w:szCs w:val="20"/>
        </w:rPr>
        <w:t>q</w:t>
      </w:r>
      <w:r w:rsidR="00046697" w:rsidRPr="00F76FE2">
        <w:rPr>
          <w:rFonts w:ascii="Cambria" w:eastAsia="Times New Roman" w:hAnsi="Cambria"/>
          <w:i/>
          <w:sz w:val="20"/>
          <w:szCs w:val="20"/>
        </w:rPr>
        <w:t xml:space="preserve">everisjes </w:t>
      </w:r>
      <w:r w:rsidR="008A5B01" w:rsidRPr="00F76FE2">
        <w:rPr>
          <w:rFonts w:ascii="Cambria" w:eastAsia="Times New Roman" w:hAnsi="Cambria"/>
          <w:i/>
          <w:sz w:val="20"/>
          <w:szCs w:val="20"/>
        </w:rPr>
        <w:t>q</w:t>
      </w:r>
      <w:r w:rsidR="00046697" w:rsidRPr="00F76FE2">
        <w:rPr>
          <w:rFonts w:ascii="Cambria" w:eastAsia="Times New Roman" w:hAnsi="Cambria"/>
          <w:i/>
          <w:sz w:val="20"/>
          <w:szCs w:val="20"/>
        </w:rPr>
        <w:t xml:space="preserve">endrore </w:t>
      </w:r>
      <w:r w:rsidR="008A5B01" w:rsidRPr="00F76FE2">
        <w:rPr>
          <w:rFonts w:ascii="Cambria" w:eastAsia="Times New Roman" w:hAnsi="Cambria"/>
          <w:i/>
          <w:sz w:val="20"/>
          <w:szCs w:val="20"/>
        </w:rPr>
        <w:t>2015-2019</w:t>
      </w:r>
      <w:r w:rsidR="008C4584" w:rsidRPr="00F76FE2">
        <w:rPr>
          <w:rFonts w:ascii="Cambria" w:eastAsia="Times New Roman" w:hAnsi="Cambria"/>
          <w:i/>
          <w:sz w:val="20"/>
          <w:szCs w:val="20"/>
        </w:rPr>
        <w:t xml:space="preserve">                        </w:t>
      </w:r>
      <w:r w:rsidR="008A5B01" w:rsidRPr="00F76FE2">
        <w:rPr>
          <w:rFonts w:ascii="Cambria" w:eastAsia="Times New Roman" w:hAnsi="Cambria"/>
          <w:i/>
          <w:sz w:val="20"/>
          <w:szCs w:val="20"/>
        </w:rPr>
        <w:t xml:space="preserve">            </w:t>
      </w:r>
      <w:r w:rsidR="008C4584" w:rsidRPr="00F76FE2">
        <w:rPr>
          <w:rFonts w:ascii="Cambria" w:eastAsia="Times New Roman" w:hAnsi="Cambria"/>
          <w:i/>
          <w:sz w:val="20"/>
          <w:szCs w:val="20"/>
        </w:rPr>
        <w:t xml:space="preserve">                     </w:t>
      </w:r>
      <w:r w:rsidR="008A5B01" w:rsidRPr="00F76FE2">
        <w:rPr>
          <w:rFonts w:ascii="Cambria" w:eastAsia="Times New Roman" w:hAnsi="Cambria"/>
          <w:i/>
          <w:sz w:val="20"/>
          <w:szCs w:val="20"/>
        </w:rPr>
        <w:t xml:space="preserve"> </w:t>
      </w:r>
      <w:r w:rsidR="00046697" w:rsidRPr="00F76FE2">
        <w:rPr>
          <w:rFonts w:ascii="Cambria" w:eastAsia="Times New Roman" w:hAnsi="Cambria"/>
          <w:i/>
          <w:sz w:val="20"/>
          <w:szCs w:val="20"/>
        </w:rPr>
        <w:t>(në milion Lek</w:t>
      </w:r>
      <w:r w:rsidR="003F5D3F" w:rsidRPr="00F76FE2">
        <w:rPr>
          <w:rFonts w:ascii="Cambria" w:eastAsia="Times New Roman" w:hAnsi="Cambria"/>
          <w:i/>
          <w:sz w:val="20"/>
          <w:szCs w:val="20"/>
        </w:rPr>
        <w:t>ë</w:t>
      </w:r>
      <w:r w:rsidR="00046697" w:rsidRPr="00F76FE2">
        <w:rPr>
          <w:rFonts w:ascii="Cambria" w:eastAsia="Times New Roman" w:hAnsi="Cambria"/>
          <w:i/>
          <w:sz w:val="20"/>
          <w:szCs w:val="20"/>
        </w:rPr>
        <w:t>)</w:t>
      </w:r>
    </w:p>
    <w:p w:rsidR="00046697" w:rsidRPr="00F76FE2" w:rsidRDefault="008A5B01" w:rsidP="00046697">
      <w:pPr>
        <w:spacing w:after="0" w:line="240" w:lineRule="auto"/>
        <w:ind w:right="-46"/>
        <w:rPr>
          <w:rFonts w:ascii="Cambria" w:eastAsia="Times New Roman" w:hAnsi="Cambria"/>
          <w:sz w:val="32"/>
          <w:szCs w:val="20"/>
        </w:rPr>
      </w:pPr>
      <w:r w:rsidRPr="00F76FE2">
        <w:rPr>
          <w:noProof/>
          <w:lang w:val="en-US"/>
        </w:rPr>
        <w:drawing>
          <wp:inline distT="0" distB="0" distL="0" distR="0" wp14:anchorId="4142C7AB" wp14:editId="5D70F273">
            <wp:extent cx="5729353" cy="68580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793" cy="68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697" w:rsidRPr="00F76FE2" w:rsidRDefault="00046697" w:rsidP="00046697">
      <w:pPr>
        <w:spacing w:after="0" w:line="240" w:lineRule="auto"/>
        <w:ind w:right="-46"/>
        <w:rPr>
          <w:rFonts w:ascii="Cambria" w:hAnsi="Cambria"/>
          <w:b/>
          <w:sz w:val="20"/>
          <w:szCs w:val="20"/>
        </w:rPr>
      </w:pPr>
    </w:p>
    <w:p w:rsidR="00A604AC" w:rsidRPr="00F76FE2" w:rsidRDefault="00A604AC" w:rsidP="00046697">
      <w:pPr>
        <w:spacing w:after="0" w:line="240" w:lineRule="auto"/>
        <w:ind w:right="-46"/>
        <w:rPr>
          <w:rFonts w:ascii="Cambria" w:hAnsi="Cambria"/>
          <w:b/>
          <w:sz w:val="20"/>
          <w:szCs w:val="20"/>
        </w:rPr>
      </w:pPr>
    </w:p>
    <w:p w:rsidR="00046697" w:rsidRPr="00F76FE2" w:rsidRDefault="004B419B" w:rsidP="00046697">
      <w:pPr>
        <w:spacing w:after="0" w:line="240" w:lineRule="auto"/>
        <w:ind w:right="-46"/>
        <w:rPr>
          <w:rFonts w:ascii="Cambria" w:eastAsia="Times New Roman" w:hAnsi="Cambria"/>
          <w:sz w:val="32"/>
          <w:szCs w:val="20"/>
        </w:rPr>
      </w:pPr>
      <w:r w:rsidRPr="00F76FE2">
        <w:rPr>
          <w:rFonts w:ascii="Cambria" w:hAnsi="Cambria"/>
          <w:b/>
          <w:sz w:val="20"/>
          <w:szCs w:val="20"/>
        </w:rPr>
        <w:t>Tabela 1.2</w:t>
      </w:r>
      <w:r w:rsidR="00046697" w:rsidRPr="00F76FE2">
        <w:rPr>
          <w:rFonts w:ascii="Cambria" w:hAnsi="Cambria"/>
          <w:b/>
          <w:sz w:val="20"/>
          <w:szCs w:val="20"/>
        </w:rPr>
        <w:t xml:space="preserve">: </w:t>
      </w:r>
      <w:r w:rsidR="008A5B01" w:rsidRPr="00F76FE2">
        <w:rPr>
          <w:rFonts w:ascii="Cambria" w:eastAsia="Times New Roman" w:hAnsi="Cambria"/>
          <w:i/>
          <w:sz w:val="20"/>
          <w:szCs w:val="20"/>
        </w:rPr>
        <w:t>Stoku i Borxhit të qeverisjes qendrore 201</w:t>
      </w:r>
      <w:r w:rsidR="0045556A" w:rsidRPr="00F76FE2">
        <w:rPr>
          <w:rFonts w:ascii="Cambria" w:eastAsia="Times New Roman" w:hAnsi="Cambria"/>
          <w:i/>
          <w:sz w:val="20"/>
          <w:szCs w:val="20"/>
        </w:rPr>
        <w:t>7</w:t>
      </w:r>
      <w:r w:rsidR="008A5B01" w:rsidRPr="00F76FE2">
        <w:rPr>
          <w:rFonts w:ascii="Cambria" w:eastAsia="Times New Roman" w:hAnsi="Cambria"/>
          <w:i/>
          <w:sz w:val="20"/>
          <w:szCs w:val="20"/>
        </w:rPr>
        <w:t>-2019                                                          (në milion Lekë)</w:t>
      </w:r>
    </w:p>
    <w:p w:rsidR="006F4BD2" w:rsidRPr="00F76FE2" w:rsidRDefault="008A5B01" w:rsidP="00046697">
      <w:pPr>
        <w:spacing w:after="0" w:line="240" w:lineRule="auto"/>
        <w:rPr>
          <w:rFonts w:ascii="Cambria" w:eastAsia="Times New Roman" w:hAnsi="Cambria" w:cs="Times New Roman"/>
          <w:b/>
          <w:sz w:val="20"/>
          <w:szCs w:val="20"/>
        </w:rPr>
      </w:pPr>
      <w:r w:rsidRPr="00F76FE2">
        <w:rPr>
          <w:noProof/>
          <w:lang w:val="en-US"/>
        </w:rPr>
        <w:drawing>
          <wp:inline distT="0" distB="0" distL="0" distR="0" wp14:anchorId="783E2DCE" wp14:editId="340BAF91">
            <wp:extent cx="5728506" cy="647700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878" cy="64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C1A" w:rsidRPr="00F76FE2" w:rsidRDefault="00E16C1A" w:rsidP="00046697">
      <w:pPr>
        <w:spacing w:after="0" w:line="240" w:lineRule="auto"/>
        <w:rPr>
          <w:rFonts w:ascii="Cambria" w:eastAsia="Times New Roman" w:hAnsi="Cambria" w:cs="Times New Roman"/>
          <w:b/>
          <w:sz w:val="20"/>
          <w:szCs w:val="20"/>
        </w:rPr>
      </w:pPr>
    </w:p>
    <w:p w:rsidR="00046697" w:rsidRPr="00F76FE2" w:rsidRDefault="00046697" w:rsidP="00046697">
      <w:pPr>
        <w:spacing w:after="0" w:line="240" w:lineRule="auto"/>
        <w:rPr>
          <w:rFonts w:ascii="Cambria" w:hAnsi="Cambria" w:cs="Times New Roman"/>
          <w:i/>
          <w:sz w:val="20"/>
          <w:szCs w:val="20"/>
        </w:rPr>
      </w:pPr>
      <w:r w:rsidRPr="00F76FE2">
        <w:rPr>
          <w:rFonts w:ascii="Cambria" w:eastAsia="Times New Roman" w:hAnsi="Cambria" w:cs="Times New Roman"/>
          <w:b/>
          <w:sz w:val="20"/>
          <w:szCs w:val="20"/>
        </w:rPr>
        <w:t>Tabela 1.</w:t>
      </w:r>
      <w:r w:rsidR="004B419B" w:rsidRPr="00F76FE2">
        <w:rPr>
          <w:rFonts w:ascii="Cambria" w:eastAsia="Times New Roman" w:hAnsi="Cambria" w:cs="Times New Roman"/>
          <w:b/>
          <w:sz w:val="20"/>
          <w:szCs w:val="20"/>
        </w:rPr>
        <w:t>3</w:t>
      </w:r>
      <w:r w:rsidRPr="00F76FE2">
        <w:rPr>
          <w:rFonts w:ascii="Cambria" w:hAnsi="Cambria" w:cs="Times New Roman"/>
          <w:sz w:val="20"/>
          <w:szCs w:val="20"/>
        </w:rPr>
        <w:t xml:space="preserve">: </w:t>
      </w:r>
      <w:r w:rsidRPr="00F76FE2">
        <w:rPr>
          <w:rFonts w:ascii="Cambria" w:hAnsi="Cambria" w:cs="Times New Roman"/>
          <w:i/>
          <w:sz w:val="20"/>
          <w:szCs w:val="20"/>
        </w:rPr>
        <w:t xml:space="preserve">Kompozimi i stokut të borxhit të </w:t>
      </w:r>
      <w:r w:rsidR="0045556A" w:rsidRPr="00F76FE2">
        <w:rPr>
          <w:rFonts w:ascii="Cambria" w:hAnsi="Cambria" w:cs="Times New Roman"/>
          <w:i/>
          <w:sz w:val="20"/>
          <w:szCs w:val="20"/>
        </w:rPr>
        <w:t>q</w:t>
      </w:r>
      <w:r w:rsidRPr="00F76FE2">
        <w:rPr>
          <w:rFonts w:ascii="Cambria" w:hAnsi="Cambria" w:cs="Times New Roman"/>
          <w:i/>
          <w:sz w:val="20"/>
          <w:szCs w:val="20"/>
        </w:rPr>
        <w:t>everis</w:t>
      </w:r>
      <w:r w:rsidR="00B82F44" w:rsidRPr="00F76FE2">
        <w:rPr>
          <w:rFonts w:ascii="Cambria" w:hAnsi="Cambria" w:cs="Times New Roman"/>
          <w:i/>
          <w:sz w:val="20"/>
          <w:szCs w:val="20"/>
        </w:rPr>
        <w:t xml:space="preserve">jes </w:t>
      </w:r>
      <w:r w:rsidR="0045556A" w:rsidRPr="00F76FE2">
        <w:rPr>
          <w:rFonts w:ascii="Cambria" w:hAnsi="Cambria" w:cs="Times New Roman"/>
          <w:i/>
          <w:sz w:val="20"/>
          <w:szCs w:val="20"/>
        </w:rPr>
        <w:t>q</w:t>
      </w:r>
      <w:r w:rsidR="00B82F44" w:rsidRPr="00F76FE2">
        <w:rPr>
          <w:rFonts w:ascii="Cambria" w:hAnsi="Cambria" w:cs="Times New Roman"/>
          <w:i/>
          <w:sz w:val="20"/>
          <w:szCs w:val="20"/>
        </w:rPr>
        <w:t xml:space="preserve">endore </w:t>
      </w:r>
      <w:r w:rsidR="0045556A" w:rsidRPr="00F76FE2">
        <w:rPr>
          <w:rFonts w:ascii="Cambria" w:hAnsi="Cambria" w:cs="Times New Roman"/>
          <w:i/>
          <w:sz w:val="20"/>
          <w:szCs w:val="20"/>
        </w:rPr>
        <w:t>2018-2019</w:t>
      </w:r>
    </w:p>
    <w:p w:rsidR="005E7219" w:rsidRPr="00F76FE2" w:rsidRDefault="0045556A" w:rsidP="00046697">
      <w:pPr>
        <w:spacing w:after="0" w:line="240" w:lineRule="auto"/>
        <w:rPr>
          <w:noProof/>
          <w:lang w:val="en-US"/>
        </w:rPr>
      </w:pPr>
      <w:r w:rsidRPr="00F76FE2">
        <w:rPr>
          <w:noProof/>
          <w:lang w:val="en-US"/>
        </w:rPr>
        <w:drawing>
          <wp:inline distT="0" distB="0" distL="0" distR="0" wp14:anchorId="22790849" wp14:editId="2679CCB2">
            <wp:extent cx="5730996" cy="3419475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955" cy="342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E1F" w:rsidRPr="00F76FE2" w:rsidRDefault="00046697" w:rsidP="00046697">
      <w:pPr>
        <w:spacing w:after="0" w:line="240" w:lineRule="auto"/>
        <w:rPr>
          <w:rFonts w:ascii="Cambria" w:hAnsi="Cambria"/>
          <w:i/>
          <w:sz w:val="20"/>
          <w:szCs w:val="20"/>
        </w:rPr>
      </w:pPr>
      <w:r w:rsidRPr="00F76FE2">
        <w:rPr>
          <w:rFonts w:ascii="Cambria" w:hAnsi="Cambria"/>
          <w:i/>
          <w:sz w:val="20"/>
          <w:szCs w:val="20"/>
        </w:rPr>
        <w:t>*Nuk përfshihet borxhi i brendshëm i garantuar</w:t>
      </w:r>
    </w:p>
    <w:p w:rsidR="005E7219" w:rsidRPr="00F76FE2" w:rsidRDefault="005E7219" w:rsidP="00046697">
      <w:pPr>
        <w:spacing w:after="0" w:line="240" w:lineRule="auto"/>
        <w:rPr>
          <w:rFonts w:ascii="Cambria" w:hAnsi="Cambria"/>
          <w:i/>
          <w:sz w:val="20"/>
          <w:szCs w:val="20"/>
        </w:rPr>
      </w:pPr>
    </w:p>
    <w:p w:rsidR="005E7219" w:rsidRPr="00F76FE2" w:rsidRDefault="005E7219" w:rsidP="00046697">
      <w:pPr>
        <w:spacing w:after="0" w:line="240" w:lineRule="auto"/>
        <w:rPr>
          <w:rFonts w:ascii="Cambria" w:hAnsi="Cambria"/>
          <w:i/>
          <w:sz w:val="20"/>
          <w:szCs w:val="20"/>
        </w:rPr>
      </w:pPr>
    </w:p>
    <w:p w:rsidR="00046697" w:rsidRPr="00F76FE2" w:rsidRDefault="00046697" w:rsidP="00046697">
      <w:pPr>
        <w:pStyle w:val="ListParagraph"/>
        <w:numPr>
          <w:ilvl w:val="0"/>
          <w:numId w:val="6"/>
        </w:numPr>
        <w:spacing w:after="0" w:line="240" w:lineRule="auto"/>
        <w:ind w:left="567" w:right="-46" w:hanging="567"/>
        <w:rPr>
          <w:rFonts w:ascii="Cambria" w:eastAsia="Times New Roman" w:hAnsi="Cambria"/>
          <w:b/>
          <w:noProof/>
        </w:rPr>
      </w:pPr>
      <w:r w:rsidRPr="00F76FE2">
        <w:rPr>
          <w:rFonts w:ascii="Cambria" w:eastAsia="Times New Roman" w:hAnsi="Cambria"/>
          <w:b/>
          <w:noProof/>
        </w:rPr>
        <w:lastRenderedPageBreak/>
        <w:t>HUAMARRJA SHTETËRORE</w:t>
      </w:r>
    </w:p>
    <w:p w:rsidR="00046697" w:rsidRPr="00F76FE2" w:rsidRDefault="00046697" w:rsidP="00046697">
      <w:pPr>
        <w:pStyle w:val="ListParagraph"/>
        <w:spacing w:after="0" w:line="240" w:lineRule="auto"/>
        <w:ind w:left="567" w:right="-46"/>
        <w:rPr>
          <w:rFonts w:ascii="Cambria" w:eastAsia="Times New Roman" w:hAnsi="Cambria"/>
          <w:b/>
          <w:noProof/>
          <w:sz w:val="20"/>
          <w:szCs w:val="20"/>
        </w:rPr>
      </w:pPr>
    </w:p>
    <w:p w:rsidR="001813A1" w:rsidRPr="00F76FE2" w:rsidRDefault="00046697" w:rsidP="00D26059">
      <w:pPr>
        <w:spacing w:after="0" w:line="240" w:lineRule="auto"/>
        <w:ind w:left="1080" w:right="-46" w:hanging="1080"/>
        <w:rPr>
          <w:rFonts w:ascii="Cambria" w:eastAsia="Times New Roman" w:hAnsi="Cambria"/>
          <w:i/>
          <w:sz w:val="20"/>
          <w:szCs w:val="20"/>
        </w:rPr>
      </w:pPr>
      <w:r w:rsidRPr="00F76FE2">
        <w:rPr>
          <w:rFonts w:ascii="Cambria" w:hAnsi="Cambria"/>
          <w:b/>
          <w:sz w:val="20"/>
          <w:szCs w:val="20"/>
        </w:rPr>
        <w:t xml:space="preserve">Tabela 2.0: </w:t>
      </w:r>
      <w:r w:rsidRPr="00F76FE2">
        <w:rPr>
          <w:rFonts w:ascii="Cambria" w:eastAsia="Times New Roman" w:hAnsi="Cambria"/>
          <w:i/>
          <w:sz w:val="20"/>
          <w:szCs w:val="20"/>
        </w:rPr>
        <w:t xml:space="preserve">Huamarrja shtetërore nga burime të brendshme dhe të  jashtme në terma bruto </w:t>
      </w:r>
      <w:r w:rsidR="0045556A" w:rsidRPr="00F76FE2">
        <w:rPr>
          <w:rFonts w:ascii="Cambria" w:eastAsia="Times New Roman" w:hAnsi="Cambria"/>
          <w:i/>
          <w:sz w:val="20"/>
          <w:szCs w:val="20"/>
        </w:rPr>
        <w:t>2018-2019</w:t>
      </w:r>
      <w:r w:rsidR="00042F7B" w:rsidRPr="00F76FE2">
        <w:rPr>
          <w:rFonts w:ascii="Cambria" w:eastAsia="Times New Roman" w:hAnsi="Cambria"/>
          <w:i/>
          <w:sz w:val="20"/>
          <w:szCs w:val="20"/>
        </w:rPr>
        <w:t xml:space="preserve">                         </w:t>
      </w:r>
      <w:r w:rsidR="005B2F49" w:rsidRPr="00F76FE2">
        <w:rPr>
          <w:rFonts w:ascii="Cambria" w:eastAsia="Times New Roman" w:hAnsi="Cambria"/>
          <w:i/>
          <w:sz w:val="20"/>
          <w:szCs w:val="20"/>
        </w:rPr>
        <w:t xml:space="preserve">         </w:t>
      </w:r>
    </w:p>
    <w:p w:rsidR="006F4BD2" w:rsidRPr="00F76FE2" w:rsidRDefault="0045556A" w:rsidP="00394AD4">
      <w:pPr>
        <w:spacing w:after="0" w:line="240" w:lineRule="auto"/>
        <w:ind w:right="-46"/>
        <w:rPr>
          <w:rFonts w:ascii="Cambria" w:eastAsia="Times New Roman" w:hAnsi="Cambria"/>
          <w:b/>
          <w:noProof/>
        </w:rPr>
      </w:pPr>
      <w:r w:rsidRPr="00F76FE2">
        <w:rPr>
          <w:noProof/>
          <w:lang w:val="en-US"/>
        </w:rPr>
        <w:drawing>
          <wp:inline distT="0" distB="0" distL="0" distR="0" wp14:anchorId="2D5F480B" wp14:editId="778AF80D">
            <wp:extent cx="5730534" cy="1647825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392" cy="164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B26" w:rsidRDefault="00BF0B26" w:rsidP="00394AD4">
      <w:pPr>
        <w:spacing w:after="0" w:line="240" w:lineRule="auto"/>
        <w:ind w:right="-46"/>
        <w:rPr>
          <w:rFonts w:ascii="Cambria" w:eastAsia="Times New Roman" w:hAnsi="Cambria"/>
          <w:b/>
          <w:noProof/>
          <w:sz w:val="24"/>
        </w:rPr>
      </w:pPr>
    </w:p>
    <w:p w:rsidR="00AF7DA5" w:rsidRDefault="00AF7DA5" w:rsidP="00394AD4">
      <w:pPr>
        <w:spacing w:after="0" w:line="240" w:lineRule="auto"/>
        <w:ind w:right="-46"/>
        <w:rPr>
          <w:rFonts w:ascii="Cambria" w:eastAsia="Times New Roman" w:hAnsi="Cambria"/>
          <w:b/>
          <w:noProof/>
          <w:sz w:val="24"/>
        </w:rPr>
      </w:pPr>
    </w:p>
    <w:p w:rsidR="00AF7DA5" w:rsidRDefault="00AF7DA5" w:rsidP="00394AD4">
      <w:pPr>
        <w:spacing w:after="0" w:line="240" w:lineRule="auto"/>
        <w:ind w:right="-46"/>
        <w:rPr>
          <w:rFonts w:ascii="Cambria" w:eastAsia="Times New Roman" w:hAnsi="Cambria"/>
          <w:b/>
          <w:noProof/>
          <w:sz w:val="24"/>
        </w:rPr>
      </w:pPr>
      <w:r w:rsidRPr="00B61C47">
        <w:rPr>
          <w:rFonts w:ascii="Cambria" w:eastAsia="Calibri" w:hAnsi="Cambria" w:cs="Times New Roman"/>
          <w:b/>
          <w:noProof/>
          <w:sz w:val="20"/>
          <w:szCs w:val="20"/>
        </w:rPr>
        <w:t xml:space="preserve">Paraqitje Grafike 2.0: </w:t>
      </w:r>
      <w:r w:rsidRPr="00B61C47">
        <w:rPr>
          <w:rFonts w:ascii="Cambria" w:eastAsia="Calibri" w:hAnsi="Cambria" w:cs="Times New Roman"/>
          <w:i/>
          <w:noProof/>
          <w:sz w:val="20"/>
          <w:szCs w:val="20"/>
        </w:rPr>
        <w:t>Huamarrja e brendshme neto sipas jetëgjatësisë së titujve (201</w:t>
      </w:r>
      <w:r>
        <w:rPr>
          <w:rFonts w:ascii="Cambria" w:eastAsia="Calibri" w:hAnsi="Cambria" w:cs="Times New Roman"/>
          <w:i/>
          <w:noProof/>
          <w:sz w:val="20"/>
          <w:szCs w:val="20"/>
        </w:rPr>
        <w:t>5</w:t>
      </w:r>
      <w:r w:rsidRPr="00B61C47">
        <w:rPr>
          <w:rFonts w:ascii="Cambria" w:eastAsia="Calibri" w:hAnsi="Cambria" w:cs="Times New Roman"/>
          <w:i/>
          <w:noProof/>
          <w:sz w:val="20"/>
          <w:szCs w:val="20"/>
        </w:rPr>
        <w:t>–201</w:t>
      </w:r>
      <w:r>
        <w:rPr>
          <w:rFonts w:ascii="Cambria" w:eastAsia="Calibri" w:hAnsi="Cambria" w:cs="Times New Roman"/>
          <w:i/>
          <w:noProof/>
          <w:sz w:val="20"/>
          <w:szCs w:val="20"/>
        </w:rPr>
        <w:t>9</w:t>
      </w:r>
      <w:r w:rsidRPr="00B61C47">
        <w:rPr>
          <w:rFonts w:ascii="Cambria" w:eastAsia="Calibri" w:hAnsi="Cambria" w:cs="Times New Roman"/>
          <w:i/>
          <w:noProof/>
          <w:sz w:val="20"/>
          <w:szCs w:val="20"/>
        </w:rPr>
        <w:t>)</w:t>
      </w:r>
    </w:p>
    <w:p w:rsidR="00AF7DA5" w:rsidRDefault="00AF7DA5" w:rsidP="00394AD4">
      <w:pPr>
        <w:spacing w:after="0" w:line="240" w:lineRule="auto"/>
        <w:ind w:right="-46"/>
        <w:rPr>
          <w:rFonts w:ascii="Cambria" w:eastAsia="Times New Roman" w:hAnsi="Cambria"/>
          <w:b/>
          <w:noProof/>
          <w:sz w:val="24"/>
        </w:rPr>
      </w:pPr>
      <w:r>
        <w:rPr>
          <w:noProof/>
          <w:lang w:val="en-US"/>
        </w:rPr>
        <w:drawing>
          <wp:inline distT="0" distB="0" distL="0" distR="0" wp14:anchorId="5AE503EA" wp14:editId="455685E9">
            <wp:extent cx="5676181" cy="2311400"/>
            <wp:effectExtent l="0" t="0" r="1270" b="1270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AF7DA5" w:rsidRDefault="00AF7DA5" w:rsidP="00394AD4">
      <w:pPr>
        <w:spacing w:after="0" w:line="240" w:lineRule="auto"/>
        <w:ind w:right="-46"/>
        <w:rPr>
          <w:rFonts w:ascii="Cambria" w:eastAsia="Times New Roman" w:hAnsi="Cambria"/>
          <w:b/>
          <w:noProof/>
          <w:sz w:val="24"/>
        </w:rPr>
      </w:pPr>
    </w:p>
    <w:p w:rsidR="00AF7DA5" w:rsidRPr="00F76FE2" w:rsidRDefault="00AF7DA5" w:rsidP="00394AD4">
      <w:pPr>
        <w:spacing w:after="0" w:line="240" w:lineRule="auto"/>
        <w:ind w:right="-46"/>
        <w:rPr>
          <w:rFonts w:ascii="Cambria" w:eastAsia="Times New Roman" w:hAnsi="Cambria"/>
          <w:b/>
          <w:noProof/>
          <w:sz w:val="24"/>
        </w:rPr>
      </w:pPr>
    </w:p>
    <w:p w:rsidR="00046697" w:rsidRPr="00F76FE2" w:rsidRDefault="00FB2667" w:rsidP="00046697">
      <w:pPr>
        <w:pStyle w:val="ListParagraph"/>
        <w:numPr>
          <w:ilvl w:val="0"/>
          <w:numId w:val="6"/>
        </w:numPr>
        <w:spacing w:after="0" w:line="240" w:lineRule="auto"/>
        <w:ind w:left="567" w:right="-46" w:hanging="567"/>
        <w:rPr>
          <w:rFonts w:ascii="Cambria" w:eastAsia="Times New Roman" w:hAnsi="Cambria"/>
          <w:b/>
          <w:noProof/>
        </w:rPr>
      </w:pPr>
      <w:r w:rsidRPr="00F76FE2">
        <w:rPr>
          <w:rFonts w:ascii="Cambria" w:eastAsia="Times New Roman" w:hAnsi="Cambria"/>
          <w:b/>
          <w:noProof/>
        </w:rPr>
        <w:t>KOSTO</w:t>
      </w:r>
      <w:r w:rsidR="00941990">
        <w:rPr>
          <w:rFonts w:ascii="Cambria" w:eastAsia="Times New Roman" w:hAnsi="Cambria"/>
          <w:b/>
          <w:noProof/>
        </w:rPr>
        <w:t>T</w:t>
      </w:r>
      <w:r w:rsidR="00046697" w:rsidRPr="00F76FE2">
        <w:rPr>
          <w:rFonts w:ascii="Cambria" w:eastAsia="Times New Roman" w:hAnsi="Cambria"/>
          <w:b/>
          <w:noProof/>
        </w:rPr>
        <w:t xml:space="preserve"> </w:t>
      </w:r>
    </w:p>
    <w:p w:rsidR="00046697" w:rsidRPr="00F76FE2" w:rsidRDefault="00046697" w:rsidP="00046697">
      <w:pPr>
        <w:pStyle w:val="ListParagraph"/>
        <w:spacing w:after="0" w:line="240" w:lineRule="auto"/>
        <w:ind w:left="567" w:right="-46"/>
        <w:rPr>
          <w:rFonts w:ascii="Cambria" w:eastAsia="Times New Roman" w:hAnsi="Cambria"/>
          <w:b/>
          <w:noProof/>
          <w:sz w:val="20"/>
          <w:szCs w:val="20"/>
        </w:rPr>
      </w:pPr>
    </w:p>
    <w:p w:rsidR="00046697" w:rsidRPr="00F76FE2" w:rsidRDefault="00046697" w:rsidP="00046697">
      <w:pPr>
        <w:spacing w:after="0" w:line="240" w:lineRule="auto"/>
        <w:ind w:right="-46"/>
        <w:jc w:val="both"/>
        <w:rPr>
          <w:noProof/>
          <w:sz w:val="20"/>
          <w:szCs w:val="20"/>
        </w:rPr>
      </w:pPr>
      <w:r w:rsidRPr="00F76FE2">
        <w:rPr>
          <w:rFonts w:ascii="Cambria" w:hAnsi="Cambria"/>
          <w:b/>
          <w:sz w:val="20"/>
          <w:szCs w:val="20"/>
        </w:rPr>
        <w:t xml:space="preserve">Tabela 3.0: </w:t>
      </w:r>
      <w:r w:rsidRPr="00F76FE2">
        <w:rPr>
          <w:rFonts w:ascii="Cambria" w:hAnsi="Cambria"/>
          <w:i/>
          <w:sz w:val="20"/>
          <w:szCs w:val="20"/>
        </w:rPr>
        <w:t xml:space="preserve">Shërbimi i borxhit shtetëror </w:t>
      </w:r>
      <w:r w:rsidR="0045556A" w:rsidRPr="00F76FE2">
        <w:rPr>
          <w:rFonts w:ascii="Cambria" w:hAnsi="Cambria"/>
          <w:i/>
          <w:sz w:val="20"/>
          <w:szCs w:val="20"/>
        </w:rPr>
        <w:t>2015-2019</w:t>
      </w:r>
      <w:r w:rsidR="008C4584" w:rsidRPr="00F76FE2">
        <w:rPr>
          <w:rFonts w:ascii="Cambria" w:hAnsi="Cambria"/>
          <w:i/>
          <w:sz w:val="20"/>
          <w:szCs w:val="20"/>
        </w:rPr>
        <w:t xml:space="preserve">                           </w:t>
      </w:r>
      <w:r w:rsidR="0045556A" w:rsidRPr="00F76FE2">
        <w:rPr>
          <w:rFonts w:ascii="Cambria" w:hAnsi="Cambria"/>
          <w:i/>
          <w:sz w:val="20"/>
          <w:szCs w:val="20"/>
        </w:rPr>
        <w:t xml:space="preserve">               </w:t>
      </w:r>
      <w:r w:rsidR="008C4584" w:rsidRPr="00F76FE2">
        <w:rPr>
          <w:rFonts w:ascii="Cambria" w:hAnsi="Cambria"/>
          <w:i/>
          <w:sz w:val="20"/>
          <w:szCs w:val="20"/>
        </w:rPr>
        <w:t xml:space="preserve">    </w:t>
      </w:r>
      <w:r w:rsidR="0045556A" w:rsidRPr="00F76FE2">
        <w:rPr>
          <w:rFonts w:ascii="Cambria" w:hAnsi="Cambria"/>
          <w:i/>
          <w:sz w:val="20"/>
          <w:szCs w:val="20"/>
        </w:rPr>
        <w:t xml:space="preserve">                            </w:t>
      </w:r>
      <w:r w:rsidR="008C4584" w:rsidRPr="00F76FE2">
        <w:rPr>
          <w:rFonts w:ascii="Cambria" w:hAnsi="Cambria"/>
          <w:i/>
          <w:sz w:val="20"/>
          <w:szCs w:val="20"/>
        </w:rPr>
        <w:t xml:space="preserve"> </w:t>
      </w:r>
      <w:r w:rsidRPr="00F76FE2">
        <w:rPr>
          <w:rFonts w:ascii="Cambria" w:hAnsi="Cambria"/>
          <w:i/>
          <w:sz w:val="20"/>
          <w:szCs w:val="20"/>
        </w:rPr>
        <w:t>(në milion Lek</w:t>
      </w:r>
      <w:r w:rsidR="003F5D3F" w:rsidRPr="00F76FE2">
        <w:rPr>
          <w:rFonts w:ascii="Cambria" w:hAnsi="Cambria"/>
          <w:i/>
          <w:sz w:val="20"/>
          <w:szCs w:val="20"/>
        </w:rPr>
        <w:t>ë</w:t>
      </w:r>
      <w:r w:rsidRPr="00F76FE2">
        <w:rPr>
          <w:rFonts w:ascii="Cambria" w:hAnsi="Cambria"/>
          <w:i/>
          <w:sz w:val="20"/>
          <w:szCs w:val="20"/>
        </w:rPr>
        <w:t>)</w:t>
      </w:r>
    </w:p>
    <w:p w:rsidR="00046697" w:rsidRPr="00F76FE2" w:rsidRDefault="0045556A" w:rsidP="00046697">
      <w:pPr>
        <w:spacing w:after="0" w:line="240" w:lineRule="auto"/>
        <w:ind w:right="-46"/>
      </w:pPr>
      <w:r w:rsidRPr="00F76FE2">
        <w:rPr>
          <w:noProof/>
          <w:lang w:val="en-US"/>
        </w:rPr>
        <w:drawing>
          <wp:inline distT="0" distB="0" distL="0" distR="0" wp14:anchorId="0B7C5087" wp14:editId="7330DF40">
            <wp:extent cx="5730875" cy="2095500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943" cy="209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251" w:rsidRPr="00F76FE2" w:rsidRDefault="00046697" w:rsidP="00DD7874">
      <w:pPr>
        <w:tabs>
          <w:tab w:val="left" w:pos="3214"/>
        </w:tabs>
        <w:spacing w:after="0" w:line="240" w:lineRule="auto"/>
        <w:ind w:left="142" w:right="-46" w:hanging="142"/>
        <w:rPr>
          <w:rFonts w:ascii="Cambria" w:hAnsi="Cambria"/>
          <w:i/>
          <w:noProof/>
          <w:sz w:val="20"/>
          <w:szCs w:val="20"/>
        </w:rPr>
      </w:pPr>
      <w:r w:rsidRPr="00F76FE2">
        <w:rPr>
          <w:rFonts w:ascii="Cambria" w:hAnsi="Cambria"/>
          <w:i/>
          <w:noProof/>
          <w:sz w:val="20"/>
          <w:szCs w:val="20"/>
        </w:rPr>
        <w:t xml:space="preserve">* Krahas shërbimit të borxhit shtetëror përfshihet edhe shërbimi i borxhit që </w:t>
      </w:r>
      <w:r w:rsidR="008C4584" w:rsidRPr="00F76FE2">
        <w:rPr>
          <w:rFonts w:ascii="Cambria" w:hAnsi="Cambria"/>
          <w:i/>
          <w:noProof/>
          <w:sz w:val="20"/>
          <w:szCs w:val="20"/>
        </w:rPr>
        <w:t>q</w:t>
      </w:r>
      <w:r w:rsidRPr="00F76FE2">
        <w:rPr>
          <w:rFonts w:ascii="Cambria" w:hAnsi="Cambria"/>
          <w:i/>
          <w:noProof/>
          <w:sz w:val="20"/>
          <w:szCs w:val="20"/>
        </w:rPr>
        <w:t>everia ka</w:t>
      </w:r>
      <w:r w:rsidRPr="00F76FE2">
        <w:rPr>
          <w:rFonts w:ascii="Cambria" w:hAnsi="Cambria"/>
          <w:i/>
          <w:noProof/>
          <w:color w:val="FFFFFF" w:themeColor="background1"/>
          <w:sz w:val="20"/>
          <w:szCs w:val="20"/>
        </w:rPr>
        <w:t>..</w:t>
      </w:r>
      <w:r w:rsidRPr="00F76FE2">
        <w:rPr>
          <w:rFonts w:ascii="Cambria" w:hAnsi="Cambria"/>
          <w:i/>
          <w:noProof/>
          <w:sz w:val="20"/>
          <w:szCs w:val="20"/>
        </w:rPr>
        <w:t xml:space="preserve">paguar në favor të entiteteve për të cilat </w:t>
      </w:r>
      <w:r w:rsidR="0045556A" w:rsidRPr="00F76FE2">
        <w:rPr>
          <w:rFonts w:ascii="Cambria" w:hAnsi="Cambria"/>
          <w:i/>
          <w:noProof/>
          <w:sz w:val="20"/>
          <w:szCs w:val="20"/>
        </w:rPr>
        <w:t>ka lëshuar</w:t>
      </w:r>
      <w:r w:rsidRPr="00F76FE2">
        <w:rPr>
          <w:rFonts w:ascii="Cambria" w:hAnsi="Cambria"/>
          <w:i/>
          <w:noProof/>
          <w:sz w:val="20"/>
          <w:szCs w:val="20"/>
        </w:rPr>
        <w:t xml:space="preserve"> </w:t>
      </w:r>
      <w:r w:rsidR="008C4584" w:rsidRPr="00F76FE2">
        <w:rPr>
          <w:rFonts w:ascii="Cambria" w:hAnsi="Cambria"/>
          <w:i/>
          <w:noProof/>
          <w:sz w:val="20"/>
          <w:szCs w:val="20"/>
        </w:rPr>
        <w:t>g</w:t>
      </w:r>
      <w:r w:rsidRPr="00F76FE2">
        <w:rPr>
          <w:rFonts w:ascii="Cambria" w:hAnsi="Cambria"/>
          <w:i/>
          <w:noProof/>
          <w:sz w:val="20"/>
          <w:szCs w:val="20"/>
        </w:rPr>
        <w:t xml:space="preserve">aranci </w:t>
      </w:r>
      <w:r w:rsidR="008C4584" w:rsidRPr="00F76FE2">
        <w:rPr>
          <w:rFonts w:ascii="Cambria" w:hAnsi="Cambria"/>
          <w:i/>
          <w:noProof/>
          <w:sz w:val="20"/>
          <w:szCs w:val="20"/>
        </w:rPr>
        <w:t>s</w:t>
      </w:r>
      <w:r w:rsidRPr="00F76FE2">
        <w:rPr>
          <w:rFonts w:ascii="Cambria" w:hAnsi="Cambria"/>
          <w:i/>
          <w:noProof/>
          <w:sz w:val="20"/>
          <w:szCs w:val="20"/>
        </w:rPr>
        <w:t>htetërore.</w:t>
      </w:r>
    </w:p>
    <w:p w:rsidR="00E05B85" w:rsidRPr="00F76FE2" w:rsidRDefault="00E05B85" w:rsidP="008C4584">
      <w:pPr>
        <w:spacing w:after="0" w:line="240" w:lineRule="auto"/>
        <w:ind w:right="-46"/>
        <w:rPr>
          <w:rFonts w:ascii="Cambria" w:eastAsia="Times New Roman" w:hAnsi="Cambria"/>
          <w:b/>
          <w:noProof/>
        </w:rPr>
      </w:pPr>
    </w:p>
    <w:p w:rsidR="00BF0B26" w:rsidRDefault="00BF0B26" w:rsidP="008C4584">
      <w:pPr>
        <w:spacing w:after="0" w:line="240" w:lineRule="auto"/>
        <w:ind w:right="-46"/>
        <w:rPr>
          <w:rFonts w:ascii="Cambria" w:eastAsia="Times New Roman" w:hAnsi="Cambria"/>
          <w:b/>
          <w:noProof/>
        </w:rPr>
      </w:pPr>
    </w:p>
    <w:p w:rsidR="00AF7DA5" w:rsidRDefault="00AF7DA5" w:rsidP="008C4584">
      <w:pPr>
        <w:spacing w:after="0" w:line="240" w:lineRule="auto"/>
        <w:ind w:right="-46"/>
        <w:rPr>
          <w:rFonts w:ascii="Cambria" w:eastAsia="Times New Roman" w:hAnsi="Cambria"/>
          <w:b/>
          <w:noProof/>
        </w:rPr>
      </w:pPr>
    </w:p>
    <w:p w:rsidR="00AF7DA5" w:rsidRPr="00F76FE2" w:rsidRDefault="00AF7DA5" w:rsidP="008C4584">
      <w:pPr>
        <w:spacing w:after="0" w:line="240" w:lineRule="auto"/>
        <w:ind w:right="-46"/>
        <w:rPr>
          <w:rFonts w:ascii="Cambria" w:eastAsia="Times New Roman" w:hAnsi="Cambria"/>
          <w:b/>
          <w:noProof/>
        </w:rPr>
      </w:pPr>
    </w:p>
    <w:p w:rsidR="00046697" w:rsidRPr="00F76FE2" w:rsidRDefault="00046697" w:rsidP="00046697">
      <w:pPr>
        <w:pStyle w:val="ListParagraph"/>
        <w:numPr>
          <w:ilvl w:val="0"/>
          <w:numId w:val="6"/>
        </w:numPr>
        <w:spacing w:after="0" w:line="240" w:lineRule="auto"/>
        <w:ind w:left="567" w:right="-46" w:hanging="567"/>
        <w:rPr>
          <w:rFonts w:ascii="Cambria" w:eastAsia="Times New Roman" w:hAnsi="Cambria"/>
          <w:b/>
          <w:noProof/>
        </w:rPr>
      </w:pPr>
      <w:r w:rsidRPr="00F76FE2">
        <w:rPr>
          <w:rFonts w:ascii="Cambria" w:eastAsia="Times New Roman" w:hAnsi="Cambria"/>
          <w:b/>
          <w:noProof/>
        </w:rPr>
        <w:lastRenderedPageBreak/>
        <w:t>TREGUESIT E TREGUT PRIMAR TË TITUJVE SHTETËRORË</w:t>
      </w:r>
    </w:p>
    <w:p w:rsidR="00046697" w:rsidRPr="00F76FE2" w:rsidRDefault="00046697" w:rsidP="00046697">
      <w:pPr>
        <w:pStyle w:val="ListParagraph"/>
        <w:spacing w:after="0" w:line="240" w:lineRule="auto"/>
        <w:ind w:left="567" w:right="-46"/>
        <w:rPr>
          <w:rFonts w:ascii="Cambria" w:eastAsia="Times New Roman" w:hAnsi="Cambria"/>
          <w:b/>
          <w:noProof/>
          <w:sz w:val="20"/>
          <w:szCs w:val="20"/>
        </w:rPr>
      </w:pPr>
    </w:p>
    <w:p w:rsidR="004E7254" w:rsidRPr="00F76FE2" w:rsidRDefault="00046697" w:rsidP="00E34408">
      <w:pPr>
        <w:spacing w:after="0" w:line="240" w:lineRule="auto"/>
        <w:ind w:left="1080" w:right="-46" w:hanging="1080"/>
        <w:rPr>
          <w:rFonts w:ascii="Cambria" w:hAnsi="Cambria"/>
          <w:b/>
          <w:sz w:val="20"/>
          <w:szCs w:val="20"/>
        </w:rPr>
      </w:pPr>
      <w:r w:rsidRPr="00F76FE2">
        <w:rPr>
          <w:rFonts w:ascii="Cambria" w:hAnsi="Cambria"/>
          <w:b/>
          <w:sz w:val="20"/>
          <w:szCs w:val="20"/>
        </w:rPr>
        <w:t xml:space="preserve">Tabela 4.0: </w:t>
      </w:r>
      <w:r w:rsidR="008D3FC3" w:rsidRPr="00F76FE2">
        <w:rPr>
          <w:rFonts w:ascii="Cambria" w:hAnsi="Cambria"/>
          <w:b/>
          <w:sz w:val="20"/>
          <w:szCs w:val="20"/>
        </w:rPr>
        <w:t xml:space="preserve"> </w:t>
      </w:r>
      <w:r w:rsidRPr="00F76FE2">
        <w:rPr>
          <w:rFonts w:ascii="Cambria" w:hAnsi="Cambria"/>
          <w:i/>
          <w:sz w:val="20"/>
          <w:szCs w:val="20"/>
        </w:rPr>
        <w:t>Treguesit e ecurisë së kërkesës dhe ofertës në tregun primar të titujve shtetërorë</w:t>
      </w:r>
      <w:r w:rsidR="00AB1A8D" w:rsidRPr="00F76FE2">
        <w:rPr>
          <w:rFonts w:ascii="Cambria" w:hAnsi="Cambria"/>
          <w:i/>
          <w:sz w:val="20"/>
          <w:szCs w:val="20"/>
        </w:rPr>
        <w:t xml:space="preserve"> 2018-2019</w:t>
      </w:r>
      <w:r w:rsidRPr="00F76FE2">
        <w:rPr>
          <w:rFonts w:ascii="Cambria" w:hAnsi="Cambria"/>
          <w:i/>
          <w:sz w:val="20"/>
          <w:szCs w:val="20"/>
        </w:rPr>
        <w:t xml:space="preserve"> </w:t>
      </w:r>
      <w:r w:rsidR="00042F7B" w:rsidRPr="00F76FE2">
        <w:rPr>
          <w:rFonts w:ascii="Cambria" w:hAnsi="Cambria"/>
          <w:i/>
          <w:sz w:val="20"/>
          <w:szCs w:val="20"/>
        </w:rPr>
        <w:t xml:space="preserve">                        </w:t>
      </w:r>
    </w:p>
    <w:p w:rsidR="008F27E4" w:rsidRPr="00F76FE2" w:rsidRDefault="00600554" w:rsidP="00046697">
      <w:pPr>
        <w:spacing w:after="0" w:line="240" w:lineRule="auto"/>
        <w:rPr>
          <w:rFonts w:ascii="Cambria" w:hAnsi="Cambria"/>
          <w:b/>
          <w:sz w:val="20"/>
          <w:szCs w:val="20"/>
        </w:rPr>
      </w:pPr>
      <w:r w:rsidRPr="00F76FE2">
        <w:rPr>
          <w:noProof/>
          <w:lang w:val="en-US"/>
        </w:rPr>
        <w:drawing>
          <wp:inline distT="0" distB="0" distL="0" distR="0" wp14:anchorId="43970B3C" wp14:editId="6543D5E1">
            <wp:extent cx="5731510" cy="149352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882" cy="149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EB" w:rsidRPr="00F76FE2" w:rsidRDefault="006109EB" w:rsidP="00046697">
      <w:pPr>
        <w:spacing w:after="0" w:line="240" w:lineRule="auto"/>
        <w:rPr>
          <w:rFonts w:ascii="Cambria" w:hAnsi="Cambria"/>
          <w:b/>
          <w:sz w:val="20"/>
          <w:szCs w:val="20"/>
        </w:rPr>
      </w:pPr>
    </w:p>
    <w:p w:rsidR="00E34408" w:rsidRPr="00F76FE2" w:rsidRDefault="00E34408" w:rsidP="00046697">
      <w:pPr>
        <w:spacing w:after="0" w:line="240" w:lineRule="auto"/>
        <w:rPr>
          <w:rFonts w:ascii="Cambria" w:hAnsi="Cambria"/>
          <w:b/>
          <w:sz w:val="20"/>
          <w:szCs w:val="20"/>
        </w:rPr>
      </w:pPr>
    </w:p>
    <w:p w:rsidR="00600554" w:rsidRPr="00F76FE2" w:rsidRDefault="00600554" w:rsidP="00046697">
      <w:pPr>
        <w:spacing w:after="0" w:line="240" w:lineRule="auto"/>
        <w:rPr>
          <w:rFonts w:ascii="Cambria" w:hAnsi="Cambria"/>
          <w:b/>
          <w:sz w:val="20"/>
          <w:szCs w:val="20"/>
        </w:rPr>
      </w:pPr>
    </w:p>
    <w:p w:rsidR="008C4584" w:rsidRPr="00F76FE2" w:rsidRDefault="00046697" w:rsidP="00600554">
      <w:pPr>
        <w:pStyle w:val="ListParagraph"/>
        <w:numPr>
          <w:ilvl w:val="0"/>
          <w:numId w:val="6"/>
        </w:numPr>
        <w:spacing w:after="0" w:line="240" w:lineRule="auto"/>
        <w:ind w:left="567" w:right="-46" w:hanging="567"/>
        <w:rPr>
          <w:rFonts w:ascii="Cambria" w:eastAsia="Times New Roman" w:hAnsi="Cambria"/>
          <w:b/>
          <w:noProof/>
        </w:rPr>
      </w:pPr>
      <w:r w:rsidRPr="00F76FE2">
        <w:rPr>
          <w:rFonts w:ascii="Cambria" w:eastAsia="Times New Roman" w:hAnsi="Cambria"/>
          <w:b/>
          <w:noProof/>
        </w:rPr>
        <w:t>KOMPOZIMI I BORXHIT TË JASHTËM</w:t>
      </w:r>
    </w:p>
    <w:p w:rsidR="006109EB" w:rsidRPr="00F76FE2" w:rsidRDefault="006109EB" w:rsidP="008C4584">
      <w:pPr>
        <w:spacing w:after="0" w:line="240" w:lineRule="auto"/>
        <w:ind w:right="-45"/>
        <w:contextualSpacing/>
        <w:rPr>
          <w:rFonts w:ascii="Cambria" w:hAnsi="Cambria"/>
          <w:b/>
          <w:sz w:val="20"/>
          <w:szCs w:val="20"/>
        </w:rPr>
      </w:pPr>
    </w:p>
    <w:p w:rsidR="00600554" w:rsidRPr="00F76FE2" w:rsidRDefault="00823E9A" w:rsidP="00223B39">
      <w:pPr>
        <w:spacing w:after="0" w:line="240" w:lineRule="auto"/>
        <w:contextualSpacing/>
        <w:rPr>
          <w:rFonts w:ascii="Cambria" w:hAnsi="Cambria"/>
          <w:i/>
          <w:sz w:val="20"/>
          <w:szCs w:val="20"/>
        </w:rPr>
      </w:pPr>
      <w:r w:rsidRPr="00F76FE2">
        <w:rPr>
          <w:noProof/>
          <w:lang w:val="en-US"/>
        </w:rPr>
        <w:drawing>
          <wp:anchor distT="0" distB="0" distL="114300" distR="114300" simplePos="0" relativeHeight="251859968" behindDoc="1" locked="0" layoutInCell="1" allowOverlap="1" wp14:anchorId="77B386B4" wp14:editId="7FA5002C">
            <wp:simplePos x="0" y="0"/>
            <wp:positionH relativeFrom="margin">
              <wp:align>right</wp:align>
            </wp:positionH>
            <wp:positionV relativeFrom="paragraph">
              <wp:posOffset>161925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6FE2">
        <w:rPr>
          <w:noProof/>
          <w:lang w:val="en-US"/>
        </w:rPr>
        <w:drawing>
          <wp:anchor distT="0" distB="0" distL="114300" distR="114300" simplePos="0" relativeHeight="251858944" behindDoc="1" locked="0" layoutInCell="1" allowOverlap="1" wp14:anchorId="6425CA8F" wp14:editId="0F3748D7">
            <wp:simplePos x="0" y="0"/>
            <wp:positionH relativeFrom="margin">
              <wp:align>left</wp:align>
            </wp:positionH>
            <wp:positionV relativeFrom="paragraph">
              <wp:posOffset>161925</wp:posOffset>
            </wp:positionV>
            <wp:extent cx="2905125" cy="2181225"/>
            <wp:effectExtent l="0" t="0" r="9525" b="9525"/>
            <wp:wrapTight wrapText="bothSides">
              <wp:wrapPolygon edited="0">
                <wp:start x="0" y="0"/>
                <wp:lineTo x="0" y="21506"/>
                <wp:lineTo x="21529" y="21506"/>
                <wp:lineTo x="21529" y="0"/>
                <wp:lineTo x="0" y="0"/>
              </wp:wrapPolygon>
            </wp:wrapTight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697" w:rsidRPr="00F76FE2">
        <w:rPr>
          <w:rFonts w:ascii="Cambria" w:hAnsi="Cambria"/>
          <w:b/>
          <w:sz w:val="20"/>
          <w:szCs w:val="20"/>
        </w:rPr>
        <w:t xml:space="preserve">Paraqitje Grafike 5.0: </w:t>
      </w:r>
      <w:r w:rsidR="00046697" w:rsidRPr="00F76FE2">
        <w:rPr>
          <w:rFonts w:ascii="Cambria" w:hAnsi="Cambria"/>
          <w:i/>
          <w:sz w:val="20"/>
          <w:szCs w:val="20"/>
        </w:rPr>
        <w:t xml:space="preserve">Stoku i borxhit të jashtëm sipas </w:t>
      </w:r>
      <w:r w:rsidR="00600554" w:rsidRPr="00F76FE2">
        <w:rPr>
          <w:rFonts w:ascii="Cambria" w:hAnsi="Cambria"/>
          <w:i/>
          <w:sz w:val="20"/>
          <w:szCs w:val="20"/>
        </w:rPr>
        <w:t>valutës 2018-2019</w:t>
      </w:r>
      <w:r w:rsidR="00046697" w:rsidRPr="00F76FE2">
        <w:rPr>
          <w:rFonts w:ascii="Cambria" w:hAnsi="Cambria"/>
          <w:i/>
          <w:sz w:val="20"/>
          <w:szCs w:val="20"/>
        </w:rPr>
        <w:t xml:space="preserve"> </w:t>
      </w:r>
    </w:p>
    <w:p w:rsidR="00823E9A" w:rsidRPr="00F76FE2" w:rsidRDefault="00823E9A" w:rsidP="00823E9A">
      <w:pPr>
        <w:spacing w:after="0" w:line="240" w:lineRule="auto"/>
        <w:ind w:right="-46"/>
        <w:rPr>
          <w:rFonts w:ascii="Cambria" w:hAnsi="Cambria"/>
          <w:i/>
          <w:sz w:val="20"/>
          <w:szCs w:val="20"/>
        </w:rPr>
      </w:pPr>
      <w:r w:rsidRPr="00F76FE2">
        <w:rPr>
          <w:rFonts w:ascii="Cambria" w:hAnsi="Cambria"/>
          <w:i/>
          <w:sz w:val="20"/>
          <w:szCs w:val="20"/>
        </w:rPr>
        <w:t>*Përfshihet borxhi shtetëror dhe borxhi shtetëror i garantuar</w:t>
      </w:r>
    </w:p>
    <w:p w:rsidR="00823E9A" w:rsidRPr="00F76FE2" w:rsidRDefault="00823E9A" w:rsidP="00223B39">
      <w:pPr>
        <w:spacing w:after="0" w:line="240" w:lineRule="auto"/>
        <w:contextualSpacing/>
        <w:rPr>
          <w:rFonts w:ascii="Cambria" w:hAnsi="Cambria"/>
          <w:i/>
          <w:sz w:val="20"/>
          <w:szCs w:val="20"/>
        </w:rPr>
      </w:pPr>
    </w:p>
    <w:p w:rsidR="00223B39" w:rsidRPr="00F76FE2" w:rsidRDefault="00223B39" w:rsidP="00223B39">
      <w:pPr>
        <w:spacing w:after="0" w:line="240" w:lineRule="auto"/>
        <w:contextualSpacing/>
        <w:rPr>
          <w:rFonts w:ascii="Cambria" w:hAnsi="Cambria"/>
          <w:i/>
          <w:sz w:val="20"/>
          <w:szCs w:val="20"/>
        </w:rPr>
      </w:pPr>
    </w:p>
    <w:p w:rsidR="00046697" w:rsidRPr="00F76FE2" w:rsidRDefault="008C4584" w:rsidP="00223B39">
      <w:pPr>
        <w:spacing w:after="0" w:line="240" w:lineRule="auto"/>
        <w:contextualSpacing/>
        <w:jc w:val="both"/>
        <w:rPr>
          <w:rFonts w:ascii="Cambria" w:hAnsi="Cambria"/>
          <w:i/>
          <w:sz w:val="20"/>
          <w:szCs w:val="20"/>
        </w:rPr>
      </w:pPr>
      <w:r w:rsidRPr="00F76FE2">
        <w:rPr>
          <w:rFonts w:ascii="Cambria" w:hAnsi="Cambria"/>
          <w:b/>
          <w:sz w:val="20"/>
          <w:szCs w:val="20"/>
        </w:rPr>
        <w:t xml:space="preserve">Paraqitje Grafike 5.1: </w:t>
      </w:r>
      <w:r w:rsidRPr="00F76FE2">
        <w:rPr>
          <w:rFonts w:ascii="Cambria" w:hAnsi="Cambria"/>
          <w:i/>
          <w:sz w:val="20"/>
          <w:szCs w:val="20"/>
        </w:rPr>
        <w:t xml:space="preserve">Stoku i borxhit të jashtëm sipas tipit të interesit </w:t>
      </w:r>
      <w:r w:rsidR="00923100" w:rsidRPr="00F76FE2">
        <w:rPr>
          <w:rFonts w:ascii="Cambria" w:hAnsi="Cambria"/>
          <w:i/>
          <w:sz w:val="20"/>
          <w:szCs w:val="20"/>
        </w:rPr>
        <w:t>2015-2019</w:t>
      </w:r>
    </w:p>
    <w:p w:rsidR="00AD4024" w:rsidRPr="00F76FE2" w:rsidRDefault="00223B39" w:rsidP="00223B39">
      <w:pPr>
        <w:spacing w:after="0" w:line="240" w:lineRule="auto"/>
        <w:contextualSpacing/>
        <w:rPr>
          <w:rFonts w:ascii="Cambria" w:hAnsi="Cambria"/>
          <w:b/>
          <w:sz w:val="32"/>
          <w:szCs w:val="20"/>
        </w:rPr>
      </w:pPr>
      <w:r w:rsidRPr="00F76FE2">
        <w:rPr>
          <w:noProof/>
          <w:lang w:val="en-US"/>
        </w:rPr>
        <w:drawing>
          <wp:inline distT="0" distB="0" distL="0" distR="0" wp14:anchorId="75AE64FF" wp14:editId="3551DD7B">
            <wp:extent cx="5731510" cy="2085975"/>
            <wp:effectExtent l="0" t="0" r="2540" b="9525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823E9A" w:rsidRPr="00F76FE2" w:rsidRDefault="00823E9A" w:rsidP="00823E9A">
      <w:pPr>
        <w:spacing w:after="0" w:line="240" w:lineRule="auto"/>
        <w:ind w:right="-46"/>
        <w:rPr>
          <w:rFonts w:ascii="Cambria" w:hAnsi="Cambria"/>
          <w:i/>
          <w:sz w:val="20"/>
          <w:szCs w:val="20"/>
        </w:rPr>
      </w:pPr>
      <w:r w:rsidRPr="00F76FE2">
        <w:rPr>
          <w:rFonts w:ascii="Cambria" w:hAnsi="Cambria"/>
          <w:i/>
          <w:sz w:val="20"/>
          <w:szCs w:val="20"/>
        </w:rPr>
        <w:t>*Përfshihet borxhi shtetëror dhe borxhi shtetëror i garantuar</w:t>
      </w:r>
    </w:p>
    <w:p w:rsidR="002A210F" w:rsidRPr="00F76FE2" w:rsidRDefault="002A210F" w:rsidP="00223B39">
      <w:pPr>
        <w:spacing w:after="0" w:line="240" w:lineRule="auto"/>
        <w:contextualSpacing/>
        <w:jc w:val="both"/>
        <w:rPr>
          <w:rFonts w:ascii="Cambria" w:hAnsi="Cambria"/>
          <w:b/>
          <w:sz w:val="20"/>
          <w:szCs w:val="20"/>
        </w:rPr>
      </w:pPr>
    </w:p>
    <w:p w:rsidR="00223B39" w:rsidRDefault="00223B39" w:rsidP="00223B39">
      <w:pPr>
        <w:spacing w:after="0" w:line="240" w:lineRule="auto"/>
        <w:contextualSpacing/>
        <w:jc w:val="both"/>
        <w:rPr>
          <w:rFonts w:ascii="Cambria" w:hAnsi="Cambria"/>
          <w:b/>
          <w:sz w:val="20"/>
          <w:szCs w:val="20"/>
        </w:rPr>
      </w:pPr>
    </w:p>
    <w:p w:rsidR="00AF7DA5" w:rsidRDefault="00AF7DA5" w:rsidP="00223B39">
      <w:pPr>
        <w:spacing w:after="0" w:line="240" w:lineRule="auto"/>
        <w:contextualSpacing/>
        <w:jc w:val="both"/>
        <w:rPr>
          <w:rFonts w:ascii="Cambria" w:hAnsi="Cambria"/>
          <w:b/>
          <w:sz w:val="20"/>
          <w:szCs w:val="20"/>
        </w:rPr>
      </w:pPr>
    </w:p>
    <w:p w:rsidR="00AF7DA5" w:rsidRDefault="00AF7DA5" w:rsidP="00223B39">
      <w:pPr>
        <w:spacing w:after="0" w:line="240" w:lineRule="auto"/>
        <w:contextualSpacing/>
        <w:jc w:val="both"/>
        <w:rPr>
          <w:rFonts w:ascii="Cambria" w:hAnsi="Cambria"/>
          <w:b/>
          <w:sz w:val="20"/>
          <w:szCs w:val="20"/>
        </w:rPr>
      </w:pPr>
    </w:p>
    <w:p w:rsidR="00AF7DA5" w:rsidRDefault="00AF7DA5" w:rsidP="00223B39">
      <w:pPr>
        <w:spacing w:after="0" w:line="240" w:lineRule="auto"/>
        <w:contextualSpacing/>
        <w:jc w:val="both"/>
        <w:rPr>
          <w:rFonts w:ascii="Cambria" w:hAnsi="Cambria"/>
          <w:b/>
          <w:sz w:val="20"/>
          <w:szCs w:val="20"/>
        </w:rPr>
      </w:pPr>
    </w:p>
    <w:p w:rsidR="00AF7DA5" w:rsidRPr="00F76FE2" w:rsidRDefault="00AF7DA5" w:rsidP="00223B39">
      <w:pPr>
        <w:spacing w:after="0" w:line="240" w:lineRule="auto"/>
        <w:contextualSpacing/>
        <w:jc w:val="both"/>
        <w:rPr>
          <w:rFonts w:ascii="Cambria" w:hAnsi="Cambria"/>
          <w:b/>
          <w:sz w:val="20"/>
          <w:szCs w:val="20"/>
        </w:rPr>
      </w:pPr>
    </w:p>
    <w:p w:rsidR="00046697" w:rsidRPr="00F76FE2" w:rsidRDefault="00046697" w:rsidP="00223B39">
      <w:pPr>
        <w:spacing w:after="0" w:line="240" w:lineRule="auto"/>
        <w:contextualSpacing/>
        <w:jc w:val="both"/>
        <w:rPr>
          <w:rFonts w:ascii="Cambria" w:hAnsi="Cambria"/>
          <w:i/>
          <w:sz w:val="20"/>
          <w:szCs w:val="20"/>
        </w:rPr>
      </w:pPr>
      <w:r w:rsidRPr="00F76FE2">
        <w:rPr>
          <w:rFonts w:ascii="Cambria" w:hAnsi="Cambria"/>
          <w:b/>
          <w:sz w:val="20"/>
          <w:szCs w:val="20"/>
        </w:rPr>
        <w:lastRenderedPageBreak/>
        <w:t xml:space="preserve">Paraqitje Grafike 5.2: </w:t>
      </w:r>
      <w:r w:rsidRPr="00F76FE2">
        <w:rPr>
          <w:rFonts w:ascii="Cambria" w:hAnsi="Cambria"/>
          <w:i/>
          <w:sz w:val="20"/>
          <w:szCs w:val="20"/>
        </w:rPr>
        <w:t xml:space="preserve">Stoku i borxhit të jashtëm sipas koncesionalitetit </w:t>
      </w:r>
      <w:r w:rsidR="004A57FF" w:rsidRPr="00F76FE2">
        <w:rPr>
          <w:rFonts w:ascii="Cambria" w:hAnsi="Cambria"/>
          <w:i/>
          <w:sz w:val="20"/>
          <w:szCs w:val="20"/>
        </w:rPr>
        <w:t>2015-2019</w:t>
      </w:r>
    </w:p>
    <w:p w:rsidR="00E232CB" w:rsidRPr="00F76FE2" w:rsidRDefault="00223B39" w:rsidP="00223B39">
      <w:pPr>
        <w:spacing w:after="0" w:line="240" w:lineRule="auto"/>
        <w:contextualSpacing/>
        <w:jc w:val="both"/>
        <w:rPr>
          <w:rFonts w:ascii="Cambria" w:hAnsi="Cambria"/>
          <w:b/>
          <w:sz w:val="32"/>
          <w:szCs w:val="32"/>
        </w:rPr>
      </w:pPr>
      <w:r w:rsidRPr="00F76FE2">
        <w:rPr>
          <w:noProof/>
          <w:lang w:val="en-US"/>
        </w:rPr>
        <w:drawing>
          <wp:inline distT="0" distB="0" distL="0" distR="0" wp14:anchorId="261B4737" wp14:editId="6D82ABCC">
            <wp:extent cx="5731510" cy="2105025"/>
            <wp:effectExtent l="0" t="0" r="2540" b="9525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823E9A" w:rsidRPr="00F76FE2" w:rsidRDefault="00823E9A" w:rsidP="00823E9A">
      <w:pPr>
        <w:spacing w:after="0" w:line="240" w:lineRule="auto"/>
        <w:ind w:right="-46"/>
        <w:rPr>
          <w:rFonts w:ascii="Cambria" w:hAnsi="Cambria"/>
          <w:i/>
          <w:sz w:val="20"/>
          <w:szCs w:val="20"/>
        </w:rPr>
      </w:pPr>
      <w:r w:rsidRPr="00F76FE2">
        <w:rPr>
          <w:rFonts w:ascii="Cambria" w:hAnsi="Cambria"/>
          <w:i/>
          <w:sz w:val="20"/>
          <w:szCs w:val="20"/>
        </w:rPr>
        <w:t>*Përfshihet borxhi shtetëror dhe borxhi shtetëror i garantuar</w:t>
      </w:r>
    </w:p>
    <w:p w:rsidR="004A57FF" w:rsidRPr="00F76FE2" w:rsidRDefault="004A57FF" w:rsidP="00223B39">
      <w:pPr>
        <w:spacing w:after="0" w:line="240" w:lineRule="auto"/>
        <w:contextualSpacing/>
        <w:jc w:val="both"/>
        <w:rPr>
          <w:rFonts w:ascii="Cambria" w:hAnsi="Cambria"/>
          <w:b/>
          <w:sz w:val="32"/>
          <w:szCs w:val="32"/>
        </w:rPr>
      </w:pPr>
    </w:p>
    <w:p w:rsidR="004A57FF" w:rsidRPr="00F76FE2" w:rsidRDefault="004A57FF" w:rsidP="00223B39">
      <w:pPr>
        <w:spacing w:after="0" w:line="240" w:lineRule="auto"/>
        <w:contextualSpacing/>
        <w:jc w:val="both"/>
        <w:rPr>
          <w:rFonts w:ascii="Cambria" w:hAnsi="Cambria"/>
          <w:b/>
          <w:sz w:val="20"/>
          <w:szCs w:val="20"/>
        </w:rPr>
      </w:pPr>
    </w:p>
    <w:p w:rsidR="002B24A5" w:rsidRPr="00F76FE2" w:rsidRDefault="00446875" w:rsidP="00223B39">
      <w:pPr>
        <w:spacing w:after="0" w:line="240" w:lineRule="auto"/>
        <w:contextualSpacing/>
        <w:jc w:val="both"/>
        <w:rPr>
          <w:rFonts w:ascii="Cambria" w:hAnsi="Cambria"/>
          <w:i/>
          <w:sz w:val="20"/>
          <w:szCs w:val="20"/>
        </w:rPr>
      </w:pPr>
      <w:r w:rsidRPr="00F76FE2">
        <w:rPr>
          <w:rFonts w:ascii="Cambria" w:hAnsi="Cambria"/>
          <w:b/>
          <w:sz w:val="20"/>
          <w:szCs w:val="20"/>
        </w:rPr>
        <w:t xml:space="preserve">Paraqitje Grafike 5.3: </w:t>
      </w:r>
      <w:r w:rsidRPr="00F76FE2">
        <w:rPr>
          <w:rFonts w:ascii="Cambria" w:hAnsi="Cambria"/>
          <w:i/>
          <w:sz w:val="20"/>
          <w:szCs w:val="20"/>
        </w:rPr>
        <w:t xml:space="preserve">Stoku i borxhit të jashtëm sipas kreditorëve </w:t>
      </w:r>
      <w:r w:rsidR="00B64700" w:rsidRPr="00F76FE2">
        <w:rPr>
          <w:rFonts w:ascii="Cambria" w:hAnsi="Cambria"/>
          <w:i/>
          <w:sz w:val="20"/>
          <w:szCs w:val="20"/>
        </w:rPr>
        <w:t>2015-2019</w:t>
      </w:r>
    </w:p>
    <w:p w:rsidR="00EB550A" w:rsidRPr="00F76FE2" w:rsidRDefault="00EB12DE" w:rsidP="00DD7874">
      <w:pPr>
        <w:spacing w:after="0" w:line="240" w:lineRule="auto"/>
        <w:ind w:right="-46"/>
        <w:rPr>
          <w:rFonts w:ascii="Cambria" w:eastAsia="Times New Roman" w:hAnsi="Cambria"/>
          <w:b/>
          <w:noProof/>
          <w:sz w:val="20"/>
          <w:szCs w:val="20"/>
        </w:rPr>
      </w:pPr>
      <w:r w:rsidRPr="00F76FE2">
        <w:rPr>
          <w:noProof/>
          <w:lang w:val="en-US"/>
        </w:rPr>
        <w:drawing>
          <wp:inline distT="0" distB="0" distL="0" distR="0" wp14:anchorId="5A31D0D0" wp14:editId="6F7808E7">
            <wp:extent cx="5731510" cy="1932317"/>
            <wp:effectExtent l="0" t="0" r="2540" b="10795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823E9A" w:rsidRPr="00F76FE2" w:rsidRDefault="00823E9A" w:rsidP="00823E9A">
      <w:pPr>
        <w:spacing w:after="0" w:line="240" w:lineRule="auto"/>
        <w:ind w:right="-46"/>
        <w:rPr>
          <w:rFonts w:ascii="Cambria" w:hAnsi="Cambria"/>
          <w:i/>
          <w:sz w:val="20"/>
          <w:szCs w:val="20"/>
        </w:rPr>
      </w:pPr>
      <w:r w:rsidRPr="00F76FE2">
        <w:rPr>
          <w:rFonts w:ascii="Cambria" w:hAnsi="Cambria"/>
          <w:i/>
          <w:sz w:val="20"/>
          <w:szCs w:val="20"/>
        </w:rPr>
        <w:t>*Përfshihet borxhi shtetëror dhe borxhi shtetëror i garantuar</w:t>
      </w:r>
    </w:p>
    <w:p w:rsidR="006109EB" w:rsidRPr="00F76FE2" w:rsidRDefault="006109EB" w:rsidP="00DD7874">
      <w:pPr>
        <w:spacing w:after="0" w:line="240" w:lineRule="auto"/>
        <w:ind w:right="-46"/>
        <w:rPr>
          <w:rFonts w:ascii="Cambria" w:eastAsia="Times New Roman" w:hAnsi="Cambria"/>
          <w:b/>
          <w:noProof/>
          <w:sz w:val="20"/>
          <w:szCs w:val="20"/>
        </w:rPr>
      </w:pPr>
    </w:p>
    <w:p w:rsidR="00823E9A" w:rsidRDefault="00823E9A" w:rsidP="00DD7874">
      <w:pPr>
        <w:spacing w:after="0" w:line="240" w:lineRule="auto"/>
        <w:ind w:right="-46"/>
        <w:rPr>
          <w:rFonts w:ascii="Cambria" w:eastAsia="Times New Roman" w:hAnsi="Cambria"/>
          <w:b/>
          <w:noProof/>
          <w:sz w:val="20"/>
          <w:szCs w:val="20"/>
        </w:rPr>
      </w:pPr>
    </w:p>
    <w:p w:rsidR="00AF7DA5" w:rsidRPr="00F76FE2" w:rsidRDefault="00AF7DA5" w:rsidP="00DD7874">
      <w:pPr>
        <w:spacing w:after="0" w:line="240" w:lineRule="auto"/>
        <w:ind w:right="-46"/>
        <w:rPr>
          <w:rFonts w:ascii="Cambria" w:eastAsia="Times New Roman" w:hAnsi="Cambria"/>
          <w:b/>
          <w:noProof/>
          <w:sz w:val="20"/>
          <w:szCs w:val="20"/>
        </w:rPr>
      </w:pPr>
    </w:p>
    <w:p w:rsidR="00046697" w:rsidRPr="00F76FE2" w:rsidRDefault="00046697" w:rsidP="00046697">
      <w:pPr>
        <w:pStyle w:val="ListParagraph"/>
        <w:numPr>
          <w:ilvl w:val="0"/>
          <w:numId w:val="6"/>
        </w:numPr>
        <w:spacing w:after="0" w:line="240" w:lineRule="auto"/>
        <w:ind w:left="567" w:right="-46" w:hanging="567"/>
        <w:rPr>
          <w:rFonts w:ascii="Cambria" w:eastAsia="Times New Roman" w:hAnsi="Cambria"/>
          <w:b/>
          <w:noProof/>
        </w:rPr>
      </w:pPr>
      <w:r w:rsidRPr="00F76FE2">
        <w:rPr>
          <w:rFonts w:ascii="Cambria" w:eastAsia="Times New Roman" w:hAnsi="Cambria"/>
          <w:b/>
          <w:noProof/>
        </w:rPr>
        <w:t>DISBURSIMET E BORXHIT TË JASHTËM</w:t>
      </w:r>
    </w:p>
    <w:p w:rsidR="00046697" w:rsidRPr="00F76FE2" w:rsidRDefault="00046697" w:rsidP="00046697">
      <w:pPr>
        <w:spacing w:after="0" w:line="240" w:lineRule="auto"/>
        <w:ind w:right="-46"/>
        <w:rPr>
          <w:rFonts w:ascii="Cambria" w:hAnsi="Cambria"/>
          <w:b/>
          <w:sz w:val="20"/>
          <w:szCs w:val="20"/>
        </w:rPr>
      </w:pPr>
    </w:p>
    <w:p w:rsidR="00046697" w:rsidRPr="00F76FE2" w:rsidRDefault="00046697" w:rsidP="00046697">
      <w:pPr>
        <w:spacing w:after="0" w:line="240" w:lineRule="auto"/>
        <w:ind w:right="-46"/>
        <w:rPr>
          <w:rFonts w:ascii="Cambria" w:eastAsia="Times New Roman" w:hAnsi="Cambria"/>
          <w:b/>
          <w:noProof/>
        </w:rPr>
      </w:pPr>
      <w:r w:rsidRPr="00F76FE2">
        <w:rPr>
          <w:rFonts w:ascii="Cambria" w:hAnsi="Cambria"/>
          <w:b/>
          <w:sz w:val="20"/>
          <w:szCs w:val="20"/>
        </w:rPr>
        <w:t xml:space="preserve">Tabela 6.0: </w:t>
      </w:r>
      <w:r w:rsidRPr="00F76FE2">
        <w:rPr>
          <w:rFonts w:ascii="Cambria" w:hAnsi="Cambria"/>
          <w:i/>
          <w:sz w:val="20"/>
          <w:szCs w:val="20"/>
        </w:rPr>
        <w:t>Dis</w:t>
      </w:r>
      <w:r w:rsidR="00B633CB" w:rsidRPr="00F76FE2">
        <w:rPr>
          <w:rFonts w:ascii="Cambria" w:hAnsi="Cambria"/>
          <w:i/>
          <w:sz w:val="20"/>
          <w:szCs w:val="20"/>
        </w:rPr>
        <w:t>bursimet sipas kreditorëve</w:t>
      </w:r>
      <w:r w:rsidR="00823E9A" w:rsidRPr="00F76FE2">
        <w:rPr>
          <w:rFonts w:ascii="Cambria" w:hAnsi="Cambria"/>
          <w:i/>
          <w:sz w:val="20"/>
          <w:szCs w:val="20"/>
        </w:rPr>
        <w:t xml:space="preserve"> 2015-2019</w:t>
      </w:r>
      <w:r w:rsidR="00B633CB" w:rsidRPr="00F76FE2">
        <w:rPr>
          <w:rFonts w:ascii="Cambria" w:hAnsi="Cambria"/>
          <w:i/>
          <w:sz w:val="20"/>
          <w:szCs w:val="20"/>
        </w:rPr>
        <w:t xml:space="preserve"> </w:t>
      </w:r>
      <w:r w:rsidR="006109EB" w:rsidRPr="00F76FE2">
        <w:rPr>
          <w:rFonts w:ascii="Cambria" w:hAnsi="Cambria"/>
          <w:i/>
          <w:sz w:val="20"/>
          <w:szCs w:val="20"/>
        </w:rPr>
        <w:t xml:space="preserve">                                                       </w:t>
      </w:r>
      <w:r w:rsidR="00823E9A" w:rsidRPr="00F76FE2">
        <w:rPr>
          <w:rFonts w:ascii="Cambria" w:hAnsi="Cambria"/>
          <w:i/>
          <w:sz w:val="20"/>
          <w:szCs w:val="20"/>
        </w:rPr>
        <w:t xml:space="preserve">           </w:t>
      </w:r>
      <w:r w:rsidR="006109EB" w:rsidRPr="00F76FE2">
        <w:rPr>
          <w:rFonts w:ascii="Cambria" w:hAnsi="Cambria"/>
          <w:i/>
          <w:sz w:val="20"/>
          <w:szCs w:val="20"/>
        </w:rPr>
        <w:t xml:space="preserve">     </w:t>
      </w:r>
      <w:r w:rsidRPr="00F76FE2">
        <w:rPr>
          <w:rFonts w:ascii="Cambria" w:hAnsi="Cambria"/>
          <w:i/>
          <w:sz w:val="20"/>
          <w:szCs w:val="20"/>
        </w:rPr>
        <w:t>(në milion Euro)</w:t>
      </w:r>
    </w:p>
    <w:p w:rsidR="00046697" w:rsidRPr="00F76FE2" w:rsidRDefault="00823E9A" w:rsidP="00046697">
      <w:pPr>
        <w:spacing w:after="0" w:line="240" w:lineRule="auto"/>
        <w:ind w:right="-46"/>
        <w:rPr>
          <w:rFonts w:ascii="Cambria" w:hAnsi="Cambria"/>
          <w:sz w:val="20"/>
          <w:szCs w:val="20"/>
        </w:rPr>
      </w:pPr>
      <w:r w:rsidRPr="00F76FE2">
        <w:rPr>
          <w:noProof/>
          <w:lang w:val="en-US"/>
        </w:rPr>
        <w:drawing>
          <wp:inline distT="0" distB="0" distL="0" distR="0" wp14:anchorId="370135EB" wp14:editId="6B00123D">
            <wp:extent cx="5731168" cy="838200"/>
            <wp:effectExtent l="0" t="0" r="317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956" cy="83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E9A" w:rsidRPr="00F76FE2" w:rsidRDefault="00823E9A" w:rsidP="00823E9A">
      <w:pPr>
        <w:spacing w:after="0" w:line="240" w:lineRule="auto"/>
        <w:ind w:right="-46"/>
        <w:rPr>
          <w:rFonts w:ascii="Cambria" w:hAnsi="Cambria"/>
          <w:i/>
          <w:sz w:val="20"/>
          <w:szCs w:val="20"/>
        </w:rPr>
      </w:pPr>
      <w:r w:rsidRPr="00F76FE2">
        <w:rPr>
          <w:rFonts w:ascii="Cambria" w:hAnsi="Cambria"/>
          <w:i/>
          <w:sz w:val="20"/>
          <w:szCs w:val="20"/>
        </w:rPr>
        <w:t>*Përfshihet borxhi shtetëror dhe borxhi shtetëror i garantuar</w:t>
      </w:r>
    </w:p>
    <w:p w:rsidR="009E0F74" w:rsidRDefault="009E0F74" w:rsidP="00046697">
      <w:pPr>
        <w:spacing w:after="0" w:line="240" w:lineRule="auto"/>
        <w:ind w:right="-46"/>
        <w:rPr>
          <w:rFonts w:ascii="Cambria" w:hAnsi="Cambria"/>
          <w:b/>
          <w:sz w:val="20"/>
          <w:szCs w:val="20"/>
        </w:rPr>
      </w:pPr>
    </w:p>
    <w:p w:rsidR="00AF7DA5" w:rsidRDefault="00AF7DA5" w:rsidP="00046697">
      <w:pPr>
        <w:spacing w:after="0" w:line="240" w:lineRule="auto"/>
        <w:ind w:right="-46"/>
        <w:rPr>
          <w:rFonts w:ascii="Cambria" w:hAnsi="Cambria"/>
          <w:b/>
          <w:sz w:val="20"/>
          <w:szCs w:val="20"/>
        </w:rPr>
      </w:pPr>
    </w:p>
    <w:p w:rsidR="00AF7DA5" w:rsidRDefault="00AF7DA5" w:rsidP="00046697">
      <w:pPr>
        <w:spacing w:after="0" w:line="240" w:lineRule="auto"/>
        <w:ind w:right="-46"/>
        <w:rPr>
          <w:rFonts w:ascii="Cambria" w:hAnsi="Cambria"/>
          <w:b/>
          <w:sz w:val="20"/>
          <w:szCs w:val="20"/>
        </w:rPr>
      </w:pPr>
    </w:p>
    <w:p w:rsidR="00AF7DA5" w:rsidRDefault="00AF7DA5" w:rsidP="00046697">
      <w:pPr>
        <w:spacing w:after="0" w:line="240" w:lineRule="auto"/>
        <w:ind w:right="-46"/>
        <w:rPr>
          <w:rFonts w:ascii="Cambria" w:hAnsi="Cambria"/>
          <w:b/>
          <w:sz w:val="20"/>
          <w:szCs w:val="20"/>
        </w:rPr>
      </w:pPr>
    </w:p>
    <w:p w:rsidR="00AF7DA5" w:rsidRDefault="00AF7DA5" w:rsidP="00046697">
      <w:pPr>
        <w:spacing w:after="0" w:line="240" w:lineRule="auto"/>
        <w:ind w:right="-46"/>
        <w:rPr>
          <w:rFonts w:ascii="Cambria" w:hAnsi="Cambria"/>
          <w:b/>
          <w:sz w:val="20"/>
          <w:szCs w:val="20"/>
        </w:rPr>
      </w:pPr>
    </w:p>
    <w:p w:rsidR="00AF7DA5" w:rsidRDefault="00AF7DA5" w:rsidP="00046697">
      <w:pPr>
        <w:spacing w:after="0" w:line="240" w:lineRule="auto"/>
        <w:ind w:right="-46"/>
        <w:rPr>
          <w:rFonts w:ascii="Cambria" w:hAnsi="Cambria"/>
          <w:b/>
          <w:sz w:val="20"/>
          <w:szCs w:val="20"/>
        </w:rPr>
      </w:pPr>
    </w:p>
    <w:p w:rsidR="00AF7DA5" w:rsidRDefault="00AF7DA5" w:rsidP="00046697">
      <w:pPr>
        <w:spacing w:after="0" w:line="240" w:lineRule="auto"/>
        <w:ind w:right="-46"/>
        <w:rPr>
          <w:rFonts w:ascii="Cambria" w:hAnsi="Cambria"/>
          <w:b/>
          <w:sz w:val="20"/>
          <w:szCs w:val="20"/>
        </w:rPr>
      </w:pPr>
    </w:p>
    <w:p w:rsidR="00AF7DA5" w:rsidRDefault="00AF7DA5" w:rsidP="00046697">
      <w:pPr>
        <w:spacing w:after="0" w:line="240" w:lineRule="auto"/>
        <w:ind w:right="-46"/>
        <w:rPr>
          <w:rFonts w:ascii="Cambria" w:hAnsi="Cambria"/>
          <w:b/>
          <w:sz w:val="20"/>
          <w:szCs w:val="20"/>
        </w:rPr>
      </w:pPr>
    </w:p>
    <w:p w:rsidR="00AF7DA5" w:rsidRDefault="00AF7DA5" w:rsidP="00046697">
      <w:pPr>
        <w:spacing w:after="0" w:line="240" w:lineRule="auto"/>
        <w:ind w:right="-46"/>
        <w:rPr>
          <w:rFonts w:ascii="Cambria" w:hAnsi="Cambria"/>
          <w:b/>
          <w:sz w:val="20"/>
          <w:szCs w:val="20"/>
        </w:rPr>
      </w:pPr>
    </w:p>
    <w:p w:rsidR="00AF7DA5" w:rsidRDefault="00AF7DA5" w:rsidP="00046697">
      <w:pPr>
        <w:spacing w:after="0" w:line="240" w:lineRule="auto"/>
        <w:ind w:right="-46"/>
        <w:rPr>
          <w:rFonts w:ascii="Cambria" w:hAnsi="Cambria"/>
          <w:b/>
          <w:sz w:val="20"/>
          <w:szCs w:val="20"/>
        </w:rPr>
      </w:pPr>
    </w:p>
    <w:p w:rsidR="00AF7DA5" w:rsidRDefault="00AF7DA5" w:rsidP="00046697">
      <w:pPr>
        <w:spacing w:after="0" w:line="240" w:lineRule="auto"/>
        <w:ind w:right="-46"/>
        <w:rPr>
          <w:rFonts w:ascii="Cambria" w:hAnsi="Cambria"/>
          <w:b/>
          <w:sz w:val="20"/>
          <w:szCs w:val="20"/>
        </w:rPr>
      </w:pPr>
    </w:p>
    <w:p w:rsidR="00AF7DA5" w:rsidRDefault="00AF7DA5" w:rsidP="00046697">
      <w:pPr>
        <w:spacing w:after="0" w:line="240" w:lineRule="auto"/>
        <w:ind w:right="-46"/>
        <w:rPr>
          <w:rFonts w:ascii="Cambria" w:hAnsi="Cambria"/>
          <w:b/>
          <w:sz w:val="20"/>
          <w:szCs w:val="20"/>
        </w:rPr>
      </w:pPr>
    </w:p>
    <w:p w:rsidR="00823E9A" w:rsidRPr="00F76FE2" w:rsidRDefault="00823E9A" w:rsidP="00046697">
      <w:pPr>
        <w:spacing w:after="0" w:line="240" w:lineRule="auto"/>
        <w:ind w:right="-46"/>
        <w:rPr>
          <w:rFonts w:ascii="Cambria" w:hAnsi="Cambria"/>
          <w:b/>
          <w:sz w:val="20"/>
          <w:szCs w:val="20"/>
        </w:rPr>
      </w:pPr>
    </w:p>
    <w:p w:rsidR="00046697" w:rsidRPr="00F76FE2" w:rsidRDefault="00046697" w:rsidP="00046697">
      <w:pPr>
        <w:spacing w:after="0" w:line="240" w:lineRule="auto"/>
        <w:ind w:right="-46"/>
        <w:rPr>
          <w:rFonts w:ascii="Cambria" w:eastAsia="Times New Roman" w:hAnsi="Cambria"/>
          <w:b/>
          <w:noProof/>
        </w:rPr>
      </w:pPr>
      <w:r w:rsidRPr="00F76FE2">
        <w:rPr>
          <w:rFonts w:ascii="Cambria" w:hAnsi="Cambria"/>
          <w:b/>
          <w:sz w:val="20"/>
          <w:szCs w:val="20"/>
        </w:rPr>
        <w:lastRenderedPageBreak/>
        <w:t xml:space="preserve">Tabela 6.1: </w:t>
      </w:r>
      <w:r w:rsidRPr="00F76FE2">
        <w:rPr>
          <w:rFonts w:ascii="Cambria" w:hAnsi="Cambria"/>
          <w:i/>
          <w:sz w:val="20"/>
          <w:szCs w:val="20"/>
        </w:rPr>
        <w:t>Disbursimet si</w:t>
      </w:r>
      <w:r w:rsidR="00E232CB" w:rsidRPr="00F76FE2">
        <w:rPr>
          <w:rFonts w:ascii="Cambria" w:hAnsi="Cambria"/>
          <w:i/>
          <w:sz w:val="20"/>
          <w:szCs w:val="20"/>
        </w:rPr>
        <w:t xml:space="preserve">pas sektorëve ekonomik </w:t>
      </w:r>
      <w:r w:rsidR="00823E9A" w:rsidRPr="00F76FE2">
        <w:rPr>
          <w:rFonts w:ascii="Cambria" w:hAnsi="Cambria"/>
          <w:i/>
          <w:sz w:val="20"/>
          <w:szCs w:val="20"/>
        </w:rPr>
        <w:t>2015-2019</w:t>
      </w:r>
      <w:r w:rsidR="006109EB" w:rsidRPr="00F76FE2">
        <w:rPr>
          <w:rFonts w:ascii="Cambria" w:hAnsi="Cambria"/>
          <w:i/>
          <w:sz w:val="20"/>
          <w:szCs w:val="20"/>
        </w:rPr>
        <w:t xml:space="preserve">                                         </w:t>
      </w:r>
      <w:r w:rsidR="00823E9A" w:rsidRPr="00F76FE2">
        <w:rPr>
          <w:rFonts w:ascii="Cambria" w:hAnsi="Cambria"/>
          <w:i/>
          <w:sz w:val="20"/>
          <w:szCs w:val="20"/>
        </w:rPr>
        <w:t xml:space="preserve">            </w:t>
      </w:r>
      <w:r w:rsidR="006109EB" w:rsidRPr="00F76FE2">
        <w:rPr>
          <w:rFonts w:ascii="Cambria" w:hAnsi="Cambria"/>
          <w:i/>
          <w:sz w:val="20"/>
          <w:szCs w:val="20"/>
        </w:rPr>
        <w:t xml:space="preserve">   </w:t>
      </w:r>
      <w:r w:rsidRPr="00F76FE2">
        <w:rPr>
          <w:rFonts w:ascii="Cambria" w:hAnsi="Cambria"/>
          <w:i/>
          <w:sz w:val="20"/>
          <w:szCs w:val="20"/>
        </w:rPr>
        <w:t>(në milion Euro)</w:t>
      </w:r>
    </w:p>
    <w:p w:rsidR="00046697" w:rsidRPr="00F76FE2" w:rsidRDefault="00823E9A" w:rsidP="00046697">
      <w:pPr>
        <w:spacing w:after="0" w:line="240" w:lineRule="auto"/>
        <w:ind w:right="-46"/>
        <w:rPr>
          <w:rFonts w:ascii="Cambria" w:hAnsi="Cambria"/>
          <w:i/>
          <w:sz w:val="20"/>
          <w:szCs w:val="20"/>
        </w:rPr>
      </w:pPr>
      <w:r w:rsidRPr="00F76FE2">
        <w:rPr>
          <w:noProof/>
          <w:lang w:val="en-US"/>
        </w:rPr>
        <w:drawing>
          <wp:inline distT="0" distB="0" distL="0" distR="0" wp14:anchorId="72A16B1E" wp14:editId="764139F3">
            <wp:extent cx="5731260" cy="3810000"/>
            <wp:effectExtent l="0" t="0" r="317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205" cy="381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E9A" w:rsidRPr="00B922A8" w:rsidRDefault="00823E9A" w:rsidP="00823E9A">
      <w:pPr>
        <w:spacing w:after="0" w:line="240" w:lineRule="auto"/>
        <w:ind w:right="-46"/>
        <w:rPr>
          <w:rFonts w:ascii="Cambria" w:hAnsi="Cambria"/>
          <w:i/>
          <w:sz w:val="20"/>
          <w:szCs w:val="20"/>
        </w:rPr>
      </w:pPr>
      <w:r w:rsidRPr="00F76FE2">
        <w:rPr>
          <w:rFonts w:ascii="Cambria" w:hAnsi="Cambria"/>
          <w:i/>
          <w:sz w:val="20"/>
          <w:szCs w:val="20"/>
        </w:rPr>
        <w:t>*Përfshihet borxhi shtetëror dhe borxhi shtetëror i garantuar</w:t>
      </w:r>
    </w:p>
    <w:p w:rsidR="00F255A6" w:rsidRDefault="00F255A6">
      <w:pPr>
        <w:spacing w:after="0" w:line="240" w:lineRule="auto"/>
        <w:ind w:right="-46"/>
        <w:rPr>
          <w:rFonts w:ascii="Cambria" w:hAnsi="Cambria"/>
          <w:i/>
          <w:sz w:val="20"/>
          <w:szCs w:val="20"/>
        </w:rPr>
      </w:pPr>
    </w:p>
    <w:sectPr w:rsidR="00F255A6" w:rsidSect="00016001">
      <w:headerReference w:type="default" r:id="rId51"/>
      <w:footerReference w:type="default" r:id="rId52"/>
      <w:pgSz w:w="11906" w:h="16838"/>
      <w:pgMar w:top="851" w:right="1440" w:bottom="568" w:left="1440" w:header="708" w:footer="283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2690" w:rsidRDefault="00592690" w:rsidP="00F6252F">
      <w:pPr>
        <w:spacing w:after="0" w:line="240" w:lineRule="auto"/>
      </w:pPr>
      <w:r>
        <w:separator/>
      </w:r>
    </w:p>
  </w:endnote>
  <w:endnote w:type="continuationSeparator" w:id="0">
    <w:p w:rsidR="00592690" w:rsidRDefault="00592690" w:rsidP="00F62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3832939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13848" w:rsidRDefault="00513848" w:rsidP="00AD17D0">
        <w:pPr>
          <w:pStyle w:val="Footer"/>
          <w:tabs>
            <w:tab w:val="left" w:pos="1000"/>
            <w:tab w:val="right" w:pos="9192"/>
          </w:tabs>
        </w:pPr>
        <w:r>
          <w:tab/>
        </w:r>
        <w:r>
          <w:tab/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02CC7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513848" w:rsidRDefault="0051384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2690" w:rsidRDefault="00592690" w:rsidP="00F6252F">
      <w:pPr>
        <w:spacing w:after="0" w:line="240" w:lineRule="auto"/>
      </w:pPr>
      <w:r>
        <w:separator/>
      </w:r>
    </w:p>
  </w:footnote>
  <w:footnote w:type="continuationSeparator" w:id="0">
    <w:p w:rsidR="00592690" w:rsidRDefault="00592690" w:rsidP="00F6252F">
      <w:pPr>
        <w:spacing w:after="0" w:line="240" w:lineRule="auto"/>
      </w:pPr>
      <w:r>
        <w:continuationSeparator/>
      </w:r>
    </w:p>
  </w:footnote>
  <w:footnote w:id="1">
    <w:p w:rsidR="00513848" w:rsidRPr="00F76FE2" w:rsidRDefault="00513848" w:rsidP="00640A13">
      <w:pPr>
        <w:pStyle w:val="FootnoteText"/>
        <w:ind w:left="142" w:hanging="142"/>
        <w:jc w:val="both"/>
        <w:rPr>
          <w:lang w:val="en-US"/>
        </w:rPr>
      </w:pPr>
      <w:r w:rsidRPr="00F76FE2">
        <w:rPr>
          <w:rStyle w:val="FootnoteReference"/>
        </w:rPr>
        <w:footnoteRef/>
      </w:r>
      <w:r w:rsidRPr="00F76FE2">
        <w:t xml:space="preserve">  </w:t>
      </w:r>
      <w:proofErr w:type="spellStart"/>
      <w:r w:rsidRPr="00F76FE2">
        <w:rPr>
          <w:rFonts w:ascii="Times New Roman" w:hAnsi="Times New Roman"/>
          <w:lang w:val="en-US"/>
        </w:rPr>
        <w:t>Referuar</w:t>
      </w:r>
      <w:proofErr w:type="spellEnd"/>
      <w:r w:rsidRPr="00F76FE2">
        <w:rPr>
          <w:rFonts w:ascii="Times New Roman" w:hAnsi="Times New Roman"/>
          <w:lang w:val="en-US"/>
        </w:rPr>
        <w:t xml:space="preserve"> </w:t>
      </w:r>
      <w:proofErr w:type="spellStart"/>
      <w:r w:rsidRPr="00F76FE2">
        <w:rPr>
          <w:rFonts w:ascii="Times New Roman" w:hAnsi="Times New Roman"/>
          <w:lang w:val="en-US"/>
        </w:rPr>
        <w:t>të</w:t>
      </w:r>
      <w:proofErr w:type="spellEnd"/>
      <w:r w:rsidRPr="00F76FE2">
        <w:rPr>
          <w:rFonts w:ascii="Times New Roman" w:hAnsi="Times New Roman"/>
          <w:lang w:val="en-US"/>
        </w:rPr>
        <w:t xml:space="preserve"> </w:t>
      </w:r>
      <w:proofErr w:type="spellStart"/>
      <w:r w:rsidRPr="00F76FE2">
        <w:rPr>
          <w:rFonts w:ascii="Times New Roman" w:hAnsi="Times New Roman"/>
          <w:lang w:val="en-US"/>
        </w:rPr>
        <w:t>dhënave</w:t>
      </w:r>
      <w:proofErr w:type="spellEnd"/>
      <w:r w:rsidRPr="00F76FE2">
        <w:rPr>
          <w:rFonts w:ascii="Times New Roman" w:hAnsi="Times New Roman"/>
          <w:lang w:val="en-US"/>
        </w:rPr>
        <w:t xml:space="preserve"> </w:t>
      </w:r>
      <w:proofErr w:type="spellStart"/>
      <w:r w:rsidRPr="00F76FE2">
        <w:rPr>
          <w:rFonts w:ascii="Times New Roman" w:hAnsi="Times New Roman"/>
          <w:lang w:val="en-US"/>
        </w:rPr>
        <w:t>në</w:t>
      </w:r>
      <w:proofErr w:type="spellEnd"/>
      <w:r w:rsidRPr="00F76FE2">
        <w:rPr>
          <w:rFonts w:ascii="Times New Roman" w:hAnsi="Times New Roman"/>
          <w:lang w:val="en-US"/>
        </w:rPr>
        <w:t xml:space="preserve"> “</w:t>
      </w:r>
      <w:proofErr w:type="spellStart"/>
      <w:r w:rsidRPr="00F76FE2">
        <w:rPr>
          <w:rFonts w:ascii="Times New Roman" w:hAnsi="Times New Roman"/>
          <w:lang w:val="en-US"/>
        </w:rPr>
        <w:t>Kuadrin</w:t>
      </w:r>
      <w:proofErr w:type="spellEnd"/>
      <w:r w:rsidRPr="00F76FE2">
        <w:rPr>
          <w:rFonts w:ascii="Times New Roman" w:hAnsi="Times New Roman"/>
          <w:lang w:val="en-US"/>
        </w:rPr>
        <w:t xml:space="preserve"> </w:t>
      </w:r>
      <w:proofErr w:type="spellStart"/>
      <w:r w:rsidRPr="00F76FE2">
        <w:rPr>
          <w:rFonts w:ascii="Times New Roman" w:hAnsi="Times New Roman"/>
          <w:lang w:val="en-US"/>
        </w:rPr>
        <w:t>Makroekonomik</w:t>
      </w:r>
      <w:proofErr w:type="spellEnd"/>
      <w:r w:rsidRPr="00F76FE2">
        <w:rPr>
          <w:rFonts w:ascii="Times New Roman" w:hAnsi="Times New Roman"/>
          <w:lang w:val="en-US"/>
        </w:rPr>
        <w:t xml:space="preserve"> </w:t>
      </w:r>
      <w:proofErr w:type="spellStart"/>
      <w:r w:rsidRPr="00F76FE2">
        <w:rPr>
          <w:rFonts w:ascii="Times New Roman" w:hAnsi="Times New Roman"/>
          <w:lang w:val="en-US"/>
        </w:rPr>
        <w:t>dhe</w:t>
      </w:r>
      <w:proofErr w:type="spellEnd"/>
      <w:r w:rsidRPr="00F76FE2">
        <w:rPr>
          <w:rFonts w:ascii="Times New Roman" w:hAnsi="Times New Roman"/>
          <w:lang w:val="en-US"/>
        </w:rPr>
        <w:t xml:space="preserve"> </w:t>
      </w:r>
      <w:proofErr w:type="spellStart"/>
      <w:r w:rsidRPr="00F76FE2">
        <w:rPr>
          <w:rFonts w:ascii="Times New Roman" w:hAnsi="Times New Roman"/>
          <w:lang w:val="en-US"/>
        </w:rPr>
        <w:t>Fiskal</w:t>
      </w:r>
      <w:proofErr w:type="spellEnd"/>
      <w:r w:rsidRPr="00F76FE2">
        <w:rPr>
          <w:rFonts w:ascii="Times New Roman" w:hAnsi="Times New Roman"/>
          <w:lang w:val="en-US"/>
        </w:rPr>
        <w:t xml:space="preserve"> </w:t>
      </w:r>
      <w:proofErr w:type="spellStart"/>
      <w:r w:rsidRPr="00F76FE2">
        <w:rPr>
          <w:rFonts w:ascii="Times New Roman" w:hAnsi="Times New Roman"/>
          <w:lang w:val="en-US"/>
        </w:rPr>
        <w:t>për</w:t>
      </w:r>
      <w:proofErr w:type="spellEnd"/>
      <w:r w:rsidRPr="00F76FE2">
        <w:rPr>
          <w:rFonts w:ascii="Times New Roman" w:hAnsi="Times New Roman"/>
          <w:lang w:val="en-US"/>
        </w:rPr>
        <w:t xml:space="preserve"> </w:t>
      </w:r>
      <w:proofErr w:type="spellStart"/>
      <w:r w:rsidRPr="00F76FE2">
        <w:rPr>
          <w:rFonts w:ascii="Times New Roman" w:hAnsi="Times New Roman"/>
          <w:lang w:val="en-US"/>
        </w:rPr>
        <w:t>periudhën</w:t>
      </w:r>
      <w:proofErr w:type="spellEnd"/>
      <w:r w:rsidRPr="00F76FE2">
        <w:rPr>
          <w:rFonts w:ascii="Times New Roman" w:hAnsi="Times New Roman"/>
          <w:lang w:val="en-US"/>
        </w:rPr>
        <w:t xml:space="preserve"> 2021-2023”, </w:t>
      </w:r>
      <w:proofErr w:type="spellStart"/>
      <w:r w:rsidRPr="00F76FE2">
        <w:rPr>
          <w:rFonts w:ascii="Times New Roman" w:hAnsi="Times New Roman"/>
          <w:lang w:val="en-US"/>
        </w:rPr>
        <w:t>miratuar</w:t>
      </w:r>
      <w:proofErr w:type="spellEnd"/>
      <w:r w:rsidRPr="00F76FE2">
        <w:rPr>
          <w:rFonts w:ascii="Times New Roman" w:hAnsi="Times New Roman"/>
          <w:lang w:val="en-US"/>
        </w:rPr>
        <w:t xml:space="preserve"> me VKM Nr. 53, </w:t>
      </w:r>
      <w:proofErr w:type="spellStart"/>
      <w:r w:rsidRPr="00F76FE2">
        <w:rPr>
          <w:rFonts w:ascii="Times New Roman" w:hAnsi="Times New Roman"/>
          <w:lang w:val="en-US"/>
        </w:rPr>
        <w:t>datë</w:t>
      </w:r>
      <w:proofErr w:type="spellEnd"/>
      <w:r w:rsidRPr="00F76FE2">
        <w:rPr>
          <w:rFonts w:ascii="Times New Roman" w:hAnsi="Times New Roman"/>
          <w:lang w:val="en-US"/>
        </w:rPr>
        <w:t xml:space="preserve"> 29.01.2020.  </w:t>
      </w:r>
    </w:p>
  </w:footnote>
  <w:footnote w:id="2">
    <w:p w:rsidR="00513848" w:rsidRPr="00B72F39" w:rsidRDefault="00513848" w:rsidP="00640A13">
      <w:pPr>
        <w:pStyle w:val="FootnoteText"/>
        <w:ind w:left="142" w:hanging="142"/>
        <w:jc w:val="both"/>
        <w:rPr>
          <w:lang w:val="en-US"/>
        </w:rPr>
      </w:pPr>
      <w:r w:rsidRPr="00F76FE2">
        <w:rPr>
          <w:rStyle w:val="FootnoteReference"/>
        </w:rPr>
        <w:footnoteRef/>
      </w:r>
      <w:r w:rsidRPr="00F76FE2">
        <w:t xml:space="preserve">  </w:t>
      </w:r>
      <w:proofErr w:type="spellStart"/>
      <w:r w:rsidRPr="00F76FE2">
        <w:rPr>
          <w:rFonts w:ascii="Times New Roman" w:hAnsi="Times New Roman"/>
          <w:lang w:val="en-US"/>
        </w:rPr>
        <w:t>Referuar</w:t>
      </w:r>
      <w:proofErr w:type="spellEnd"/>
      <w:r w:rsidRPr="00F76FE2">
        <w:rPr>
          <w:rFonts w:ascii="Times New Roman" w:hAnsi="Times New Roman"/>
          <w:lang w:val="en-US"/>
        </w:rPr>
        <w:t xml:space="preserve"> </w:t>
      </w:r>
      <w:proofErr w:type="spellStart"/>
      <w:r w:rsidRPr="00F76FE2">
        <w:rPr>
          <w:rFonts w:ascii="Times New Roman" w:hAnsi="Times New Roman"/>
          <w:lang w:val="en-US"/>
        </w:rPr>
        <w:t>planit</w:t>
      </w:r>
      <w:proofErr w:type="spellEnd"/>
      <w:r w:rsidRPr="00F76FE2">
        <w:rPr>
          <w:rFonts w:ascii="Times New Roman" w:hAnsi="Times New Roman"/>
          <w:lang w:val="en-US"/>
        </w:rPr>
        <w:t xml:space="preserve"> </w:t>
      </w:r>
      <w:proofErr w:type="spellStart"/>
      <w:r w:rsidRPr="00F76FE2">
        <w:rPr>
          <w:rFonts w:ascii="Times New Roman" w:hAnsi="Times New Roman"/>
          <w:lang w:val="en-US"/>
        </w:rPr>
        <w:t>vjetor</w:t>
      </w:r>
      <w:proofErr w:type="spellEnd"/>
      <w:r w:rsidRPr="00F76FE2">
        <w:rPr>
          <w:rFonts w:ascii="Times New Roman" w:hAnsi="Times New Roman"/>
          <w:lang w:val="en-US"/>
        </w:rPr>
        <w:t xml:space="preserve"> </w:t>
      </w:r>
      <w:proofErr w:type="spellStart"/>
      <w:r w:rsidRPr="00F76FE2">
        <w:rPr>
          <w:rFonts w:ascii="Times New Roman" w:hAnsi="Times New Roman"/>
          <w:lang w:val="en-US"/>
        </w:rPr>
        <w:t>në</w:t>
      </w:r>
      <w:proofErr w:type="spellEnd"/>
      <w:r w:rsidRPr="00F76FE2">
        <w:rPr>
          <w:rFonts w:ascii="Times New Roman" w:hAnsi="Times New Roman"/>
          <w:lang w:val="en-US"/>
        </w:rPr>
        <w:t xml:space="preserve"> </w:t>
      </w:r>
      <w:proofErr w:type="spellStart"/>
      <w:r w:rsidRPr="00F76FE2">
        <w:rPr>
          <w:rFonts w:ascii="Times New Roman" w:hAnsi="Times New Roman"/>
          <w:lang w:val="en-US"/>
        </w:rPr>
        <w:t>Aktin</w:t>
      </w:r>
      <w:proofErr w:type="spellEnd"/>
      <w:r w:rsidRPr="00F76FE2">
        <w:rPr>
          <w:rFonts w:ascii="Times New Roman" w:hAnsi="Times New Roman"/>
          <w:lang w:val="en-US"/>
        </w:rPr>
        <w:t xml:space="preserve"> </w:t>
      </w:r>
      <w:proofErr w:type="spellStart"/>
      <w:r w:rsidRPr="00F76FE2">
        <w:rPr>
          <w:rFonts w:ascii="Times New Roman" w:hAnsi="Times New Roman"/>
          <w:lang w:val="en-US"/>
        </w:rPr>
        <w:t>Normativ</w:t>
      </w:r>
      <w:proofErr w:type="spellEnd"/>
      <w:r w:rsidRPr="00F76FE2">
        <w:rPr>
          <w:rFonts w:ascii="Times New Roman" w:hAnsi="Times New Roman"/>
          <w:lang w:val="en-US"/>
        </w:rPr>
        <w:t xml:space="preserve"> Nr. 11, </w:t>
      </w:r>
      <w:proofErr w:type="spellStart"/>
      <w:r w:rsidRPr="00F76FE2">
        <w:rPr>
          <w:rFonts w:ascii="Times New Roman" w:hAnsi="Times New Roman"/>
          <w:lang w:val="en-US"/>
        </w:rPr>
        <w:t>datë</w:t>
      </w:r>
      <w:proofErr w:type="spellEnd"/>
      <w:r w:rsidRPr="00F76FE2">
        <w:rPr>
          <w:rFonts w:ascii="Times New Roman" w:hAnsi="Times New Roman"/>
          <w:lang w:val="en-US"/>
        </w:rPr>
        <w:t xml:space="preserve"> 24.12.2019, “</w:t>
      </w:r>
      <w:proofErr w:type="spellStart"/>
      <w:r w:rsidRPr="00F76FE2">
        <w:rPr>
          <w:rFonts w:ascii="Times New Roman" w:hAnsi="Times New Roman"/>
          <w:lang w:val="en-US"/>
        </w:rPr>
        <w:t>Për</w:t>
      </w:r>
      <w:proofErr w:type="spellEnd"/>
      <w:r w:rsidRPr="00F76FE2">
        <w:rPr>
          <w:rFonts w:ascii="Times New Roman" w:hAnsi="Times New Roman"/>
          <w:lang w:val="en-US"/>
        </w:rPr>
        <w:t xml:space="preserve"> </w:t>
      </w:r>
      <w:proofErr w:type="spellStart"/>
      <w:r w:rsidRPr="00F76FE2">
        <w:rPr>
          <w:rFonts w:ascii="Times New Roman" w:hAnsi="Times New Roman"/>
          <w:lang w:val="en-US"/>
        </w:rPr>
        <w:t>disa</w:t>
      </w:r>
      <w:proofErr w:type="spellEnd"/>
      <w:r w:rsidRPr="00F76FE2">
        <w:rPr>
          <w:rFonts w:ascii="Times New Roman" w:hAnsi="Times New Roman"/>
          <w:lang w:val="en-US"/>
        </w:rPr>
        <w:t xml:space="preserve"> </w:t>
      </w:r>
      <w:proofErr w:type="spellStart"/>
      <w:r w:rsidRPr="00F76FE2">
        <w:rPr>
          <w:rFonts w:ascii="Times New Roman" w:hAnsi="Times New Roman"/>
          <w:lang w:val="en-US"/>
        </w:rPr>
        <w:t>ndryshime</w:t>
      </w:r>
      <w:proofErr w:type="spellEnd"/>
      <w:r w:rsidRPr="00F76FE2">
        <w:rPr>
          <w:rFonts w:ascii="Times New Roman" w:hAnsi="Times New Roman"/>
          <w:lang w:val="en-US"/>
        </w:rPr>
        <w:t xml:space="preserve"> </w:t>
      </w:r>
      <w:proofErr w:type="spellStart"/>
      <w:r w:rsidRPr="00F76FE2">
        <w:rPr>
          <w:rFonts w:ascii="Times New Roman" w:hAnsi="Times New Roman"/>
          <w:lang w:val="en-US"/>
        </w:rPr>
        <w:t>në</w:t>
      </w:r>
      <w:proofErr w:type="spellEnd"/>
      <w:r w:rsidRPr="00F76FE2">
        <w:rPr>
          <w:rFonts w:ascii="Times New Roman" w:hAnsi="Times New Roman"/>
          <w:lang w:val="en-US"/>
        </w:rPr>
        <w:t xml:space="preserve"> </w:t>
      </w:r>
      <w:proofErr w:type="spellStart"/>
      <w:r w:rsidRPr="00F76FE2">
        <w:rPr>
          <w:rFonts w:ascii="Times New Roman" w:hAnsi="Times New Roman"/>
          <w:lang w:val="en-US"/>
        </w:rPr>
        <w:t>Ligjin</w:t>
      </w:r>
      <w:proofErr w:type="spellEnd"/>
      <w:r w:rsidRPr="00F76FE2">
        <w:rPr>
          <w:rFonts w:ascii="Times New Roman" w:hAnsi="Times New Roman"/>
          <w:lang w:val="en-US"/>
        </w:rPr>
        <w:t xml:space="preserve"> Nr. 99/2018 “</w:t>
      </w:r>
      <w:proofErr w:type="spellStart"/>
      <w:r w:rsidRPr="00F76FE2">
        <w:rPr>
          <w:rFonts w:ascii="Times New Roman" w:hAnsi="Times New Roman"/>
          <w:lang w:val="en-US"/>
        </w:rPr>
        <w:t>Për</w:t>
      </w:r>
      <w:proofErr w:type="spellEnd"/>
      <w:r w:rsidRPr="00F76FE2">
        <w:rPr>
          <w:rFonts w:ascii="Times New Roman" w:hAnsi="Times New Roman"/>
          <w:lang w:val="en-US"/>
        </w:rPr>
        <w:t xml:space="preserve"> </w:t>
      </w:r>
      <w:proofErr w:type="spellStart"/>
      <w:r w:rsidRPr="00F76FE2">
        <w:rPr>
          <w:rFonts w:ascii="Times New Roman" w:hAnsi="Times New Roman"/>
          <w:lang w:val="en-US"/>
        </w:rPr>
        <w:t>Buxhetin</w:t>
      </w:r>
      <w:proofErr w:type="spellEnd"/>
      <w:r w:rsidRPr="00F76FE2">
        <w:rPr>
          <w:rFonts w:ascii="Times New Roman" w:hAnsi="Times New Roman"/>
          <w:lang w:val="en-US"/>
        </w:rPr>
        <w:t xml:space="preserve"> e </w:t>
      </w:r>
      <w:proofErr w:type="spellStart"/>
      <w:r w:rsidRPr="00F76FE2">
        <w:rPr>
          <w:rFonts w:ascii="Times New Roman" w:hAnsi="Times New Roman"/>
          <w:lang w:val="en-US"/>
        </w:rPr>
        <w:t>Vitit</w:t>
      </w:r>
      <w:proofErr w:type="spellEnd"/>
      <w:r w:rsidRPr="00F76FE2">
        <w:rPr>
          <w:rFonts w:ascii="Times New Roman" w:hAnsi="Times New Roman"/>
          <w:lang w:val="en-US"/>
        </w:rPr>
        <w:t xml:space="preserve"> 2019””, </w:t>
      </w:r>
      <w:proofErr w:type="spellStart"/>
      <w:r w:rsidRPr="00F76FE2">
        <w:rPr>
          <w:rFonts w:ascii="Times New Roman" w:hAnsi="Times New Roman"/>
          <w:lang w:val="en-US"/>
        </w:rPr>
        <w:t>i</w:t>
      </w:r>
      <w:proofErr w:type="spellEnd"/>
      <w:r w:rsidRPr="00F76FE2">
        <w:rPr>
          <w:rFonts w:ascii="Times New Roman" w:hAnsi="Times New Roman"/>
          <w:lang w:val="en-US"/>
        </w:rPr>
        <w:t xml:space="preserve"> </w:t>
      </w:r>
      <w:proofErr w:type="spellStart"/>
      <w:r w:rsidRPr="00F76FE2">
        <w:rPr>
          <w:rFonts w:ascii="Times New Roman" w:hAnsi="Times New Roman"/>
          <w:lang w:val="en-US"/>
        </w:rPr>
        <w:t>ndryshuar</w:t>
      </w:r>
      <w:proofErr w:type="spellEnd"/>
      <w:r w:rsidRPr="00F76FE2">
        <w:rPr>
          <w:rFonts w:ascii="Times New Roman" w:hAnsi="Times New Roman"/>
          <w:lang w:val="en-US"/>
        </w:rPr>
        <w:t>.</w:t>
      </w:r>
      <w:r w:rsidRPr="00B72F39">
        <w:rPr>
          <w:lang w:val="en-US"/>
        </w:rPr>
        <w:t xml:space="preserve">  </w:t>
      </w:r>
    </w:p>
  </w:footnote>
  <w:footnote w:id="3">
    <w:p w:rsidR="00513848" w:rsidRPr="002D48EA" w:rsidRDefault="00513848" w:rsidP="00640A13">
      <w:pPr>
        <w:pStyle w:val="FootnoteText"/>
        <w:ind w:left="90" w:hanging="90"/>
        <w:jc w:val="both"/>
        <w:rPr>
          <w:rFonts w:ascii="Times New Roman" w:hAnsi="Times New Roman"/>
          <w:lang w:val="en-US"/>
        </w:rPr>
      </w:pPr>
      <w:r w:rsidRPr="00F76FE2">
        <w:rPr>
          <w:rStyle w:val="FootnoteReference"/>
          <w:rFonts w:ascii="Times New Roman" w:hAnsi="Times New Roman"/>
          <w:szCs w:val="18"/>
        </w:rPr>
        <w:footnoteRef/>
      </w:r>
      <w:r w:rsidRPr="00F76FE2">
        <w:rPr>
          <w:rFonts w:ascii="Times New Roman" w:hAnsi="Times New Roman"/>
          <w:szCs w:val="18"/>
        </w:rPr>
        <w:t xml:space="preserve"> </w:t>
      </w:r>
      <w:r w:rsidRPr="00F76FE2">
        <w:rPr>
          <w:rFonts w:ascii="Times New Roman" w:hAnsi="Times New Roman"/>
          <w:lang w:val="en-US"/>
        </w:rPr>
        <w:t xml:space="preserve">PBB </w:t>
      </w:r>
      <w:proofErr w:type="spellStart"/>
      <w:r w:rsidRPr="00F76FE2">
        <w:rPr>
          <w:rFonts w:ascii="Times New Roman" w:hAnsi="Times New Roman"/>
          <w:lang w:val="en-US"/>
        </w:rPr>
        <w:t>mbi</w:t>
      </w:r>
      <w:proofErr w:type="spellEnd"/>
      <w:r w:rsidRPr="00F76FE2">
        <w:rPr>
          <w:rFonts w:ascii="Times New Roman" w:hAnsi="Times New Roman"/>
          <w:lang w:val="en-US"/>
        </w:rPr>
        <w:t xml:space="preserve"> </w:t>
      </w:r>
      <w:proofErr w:type="spellStart"/>
      <w:r w:rsidRPr="00F76FE2">
        <w:rPr>
          <w:rFonts w:ascii="Times New Roman" w:hAnsi="Times New Roman"/>
          <w:lang w:val="en-US"/>
        </w:rPr>
        <w:t>bazë</w:t>
      </w:r>
      <w:proofErr w:type="spellEnd"/>
      <w:r w:rsidRPr="00F76FE2">
        <w:rPr>
          <w:rFonts w:ascii="Times New Roman" w:hAnsi="Times New Roman"/>
          <w:lang w:val="en-US"/>
        </w:rPr>
        <w:t xml:space="preserve"> </w:t>
      </w:r>
      <w:proofErr w:type="spellStart"/>
      <w:r w:rsidRPr="00F76FE2">
        <w:rPr>
          <w:rFonts w:ascii="Times New Roman" w:hAnsi="Times New Roman"/>
          <w:lang w:val="en-US"/>
        </w:rPr>
        <w:t>vjetore</w:t>
      </w:r>
      <w:proofErr w:type="spellEnd"/>
      <w:r w:rsidRPr="00F76FE2">
        <w:rPr>
          <w:rFonts w:ascii="Times New Roman" w:hAnsi="Times New Roman"/>
          <w:lang w:val="en-US"/>
        </w:rPr>
        <w:t xml:space="preserve">, </w:t>
      </w:r>
      <w:proofErr w:type="spellStart"/>
      <w:r w:rsidRPr="00F76FE2">
        <w:rPr>
          <w:rFonts w:ascii="Times New Roman" w:hAnsi="Times New Roman"/>
          <w:lang w:val="en-US"/>
        </w:rPr>
        <w:t>referuar</w:t>
      </w:r>
      <w:proofErr w:type="spellEnd"/>
      <w:r w:rsidRPr="00F76FE2">
        <w:rPr>
          <w:rFonts w:ascii="Times New Roman" w:hAnsi="Times New Roman"/>
          <w:lang w:val="en-US"/>
        </w:rPr>
        <w:t xml:space="preserve"> </w:t>
      </w:r>
      <w:proofErr w:type="spellStart"/>
      <w:r w:rsidRPr="00F76FE2">
        <w:rPr>
          <w:rFonts w:ascii="Times New Roman" w:hAnsi="Times New Roman"/>
          <w:lang w:val="en-US"/>
        </w:rPr>
        <w:t>të</w:t>
      </w:r>
      <w:proofErr w:type="spellEnd"/>
      <w:r w:rsidRPr="00F76FE2">
        <w:rPr>
          <w:rFonts w:ascii="Times New Roman" w:hAnsi="Times New Roman"/>
          <w:lang w:val="en-US"/>
        </w:rPr>
        <w:t xml:space="preserve"> </w:t>
      </w:r>
      <w:proofErr w:type="spellStart"/>
      <w:r w:rsidRPr="00F76FE2">
        <w:rPr>
          <w:rFonts w:ascii="Times New Roman" w:hAnsi="Times New Roman"/>
          <w:lang w:val="en-US"/>
        </w:rPr>
        <w:t>dhënave</w:t>
      </w:r>
      <w:proofErr w:type="spellEnd"/>
      <w:r w:rsidRPr="00F76FE2">
        <w:rPr>
          <w:rFonts w:ascii="Times New Roman" w:hAnsi="Times New Roman"/>
          <w:lang w:val="en-US"/>
        </w:rPr>
        <w:t xml:space="preserve"> </w:t>
      </w:r>
      <w:proofErr w:type="spellStart"/>
      <w:r w:rsidRPr="00F76FE2">
        <w:rPr>
          <w:rFonts w:ascii="Times New Roman" w:hAnsi="Times New Roman"/>
          <w:lang w:val="en-US"/>
        </w:rPr>
        <w:t>në</w:t>
      </w:r>
      <w:proofErr w:type="spellEnd"/>
      <w:r w:rsidRPr="00F76FE2">
        <w:rPr>
          <w:rFonts w:ascii="Times New Roman" w:hAnsi="Times New Roman"/>
          <w:lang w:val="en-US"/>
        </w:rPr>
        <w:t xml:space="preserve"> “</w:t>
      </w:r>
      <w:proofErr w:type="spellStart"/>
      <w:r w:rsidRPr="00F76FE2">
        <w:rPr>
          <w:rFonts w:ascii="Times New Roman" w:hAnsi="Times New Roman"/>
          <w:lang w:val="en-US"/>
        </w:rPr>
        <w:t>Kuadrin</w:t>
      </w:r>
      <w:proofErr w:type="spellEnd"/>
      <w:r w:rsidRPr="00F76FE2">
        <w:rPr>
          <w:rFonts w:ascii="Times New Roman" w:hAnsi="Times New Roman"/>
          <w:lang w:val="en-US"/>
        </w:rPr>
        <w:t xml:space="preserve"> </w:t>
      </w:r>
      <w:proofErr w:type="spellStart"/>
      <w:r w:rsidRPr="00F76FE2">
        <w:rPr>
          <w:rFonts w:ascii="Times New Roman" w:hAnsi="Times New Roman"/>
          <w:lang w:val="en-US"/>
        </w:rPr>
        <w:t>Makroekonomik</w:t>
      </w:r>
      <w:proofErr w:type="spellEnd"/>
      <w:r w:rsidRPr="00F76FE2">
        <w:rPr>
          <w:rFonts w:ascii="Times New Roman" w:hAnsi="Times New Roman"/>
          <w:lang w:val="en-US"/>
        </w:rPr>
        <w:t xml:space="preserve"> </w:t>
      </w:r>
      <w:proofErr w:type="spellStart"/>
      <w:r w:rsidRPr="00F76FE2">
        <w:rPr>
          <w:rFonts w:ascii="Times New Roman" w:hAnsi="Times New Roman"/>
          <w:lang w:val="en-US"/>
        </w:rPr>
        <w:t>dhe</w:t>
      </w:r>
      <w:proofErr w:type="spellEnd"/>
      <w:r w:rsidRPr="00F76FE2">
        <w:rPr>
          <w:rFonts w:ascii="Times New Roman" w:hAnsi="Times New Roman"/>
          <w:lang w:val="en-US"/>
        </w:rPr>
        <w:t xml:space="preserve"> </w:t>
      </w:r>
      <w:proofErr w:type="spellStart"/>
      <w:r w:rsidRPr="00F76FE2">
        <w:rPr>
          <w:rFonts w:ascii="Times New Roman" w:hAnsi="Times New Roman"/>
          <w:lang w:val="en-US"/>
        </w:rPr>
        <w:t>Fiskal</w:t>
      </w:r>
      <w:proofErr w:type="spellEnd"/>
      <w:r w:rsidRPr="00F76FE2">
        <w:rPr>
          <w:rFonts w:ascii="Times New Roman" w:hAnsi="Times New Roman"/>
          <w:lang w:val="en-US"/>
        </w:rPr>
        <w:t xml:space="preserve"> </w:t>
      </w:r>
      <w:proofErr w:type="spellStart"/>
      <w:r w:rsidRPr="00F76FE2">
        <w:rPr>
          <w:rFonts w:ascii="Times New Roman" w:hAnsi="Times New Roman"/>
          <w:lang w:val="en-US"/>
        </w:rPr>
        <w:t>për</w:t>
      </w:r>
      <w:proofErr w:type="spellEnd"/>
      <w:r w:rsidRPr="00F76FE2">
        <w:rPr>
          <w:rFonts w:ascii="Times New Roman" w:hAnsi="Times New Roman"/>
          <w:lang w:val="en-US"/>
        </w:rPr>
        <w:t xml:space="preserve"> </w:t>
      </w:r>
      <w:proofErr w:type="spellStart"/>
      <w:r w:rsidRPr="00F76FE2">
        <w:rPr>
          <w:rFonts w:ascii="Times New Roman" w:hAnsi="Times New Roman"/>
          <w:lang w:val="en-US"/>
        </w:rPr>
        <w:t>periudhën</w:t>
      </w:r>
      <w:proofErr w:type="spellEnd"/>
      <w:r w:rsidRPr="00F76FE2">
        <w:rPr>
          <w:rFonts w:ascii="Times New Roman" w:hAnsi="Times New Roman"/>
          <w:lang w:val="en-US"/>
        </w:rPr>
        <w:t xml:space="preserve"> 2021-2023”, </w:t>
      </w:r>
      <w:proofErr w:type="spellStart"/>
      <w:r w:rsidRPr="00F76FE2">
        <w:rPr>
          <w:rFonts w:ascii="Times New Roman" w:hAnsi="Times New Roman"/>
          <w:lang w:val="en-US"/>
        </w:rPr>
        <w:t>miratuar</w:t>
      </w:r>
      <w:proofErr w:type="spellEnd"/>
      <w:r w:rsidRPr="00F76FE2">
        <w:rPr>
          <w:rFonts w:ascii="Times New Roman" w:hAnsi="Times New Roman"/>
          <w:lang w:val="en-US"/>
        </w:rPr>
        <w:t xml:space="preserve"> me VKM Nr. 53, </w:t>
      </w:r>
      <w:proofErr w:type="spellStart"/>
      <w:r w:rsidRPr="00F76FE2">
        <w:rPr>
          <w:rFonts w:ascii="Times New Roman" w:hAnsi="Times New Roman"/>
          <w:lang w:val="en-US"/>
        </w:rPr>
        <w:t>datë</w:t>
      </w:r>
      <w:proofErr w:type="spellEnd"/>
      <w:r w:rsidRPr="00F76FE2">
        <w:rPr>
          <w:rFonts w:ascii="Times New Roman" w:hAnsi="Times New Roman"/>
          <w:lang w:val="en-US"/>
        </w:rPr>
        <w:t xml:space="preserve"> 29.01.2020.</w:t>
      </w:r>
      <w:r w:rsidRPr="00EB5433">
        <w:rPr>
          <w:rFonts w:ascii="Times New Roman" w:hAnsi="Times New Roman"/>
          <w:lang w:val="en-US"/>
        </w:rPr>
        <w:t xml:space="preserve">  </w:t>
      </w:r>
    </w:p>
  </w:footnote>
  <w:footnote w:id="4">
    <w:p w:rsidR="00513848" w:rsidRPr="005D2A14" w:rsidRDefault="00513848" w:rsidP="0015490E">
      <w:pPr>
        <w:pStyle w:val="FootnoteText"/>
        <w:tabs>
          <w:tab w:val="right" w:pos="9026"/>
        </w:tabs>
        <w:ind w:left="142" w:hanging="142"/>
        <w:jc w:val="both"/>
        <w:rPr>
          <w:rFonts w:ascii="Times New Roman" w:hAnsi="Times New Roman"/>
          <w:lang w:val="en-US"/>
        </w:rPr>
      </w:pPr>
      <w:r w:rsidRPr="00F76FE2">
        <w:rPr>
          <w:rStyle w:val="FootnoteReference"/>
          <w:rFonts w:ascii="Times New Roman" w:hAnsi="Times New Roman"/>
        </w:rPr>
        <w:footnoteRef/>
      </w:r>
      <w:r w:rsidR="005D2A14" w:rsidRPr="00F76FE2">
        <w:rPr>
          <w:rFonts w:ascii="Times New Roman" w:hAnsi="Times New Roman"/>
        </w:rPr>
        <w:t xml:space="preserve"> </w:t>
      </w:r>
      <w:r w:rsidR="005D2A14" w:rsidRPr="00F76FE2">
        <w:rPr>
          <w:rFonts w:ascii="Times New Roman" w:hAnsi="Times New Roman"/>
        </w:rPr>
        <w:t>Kjo hua u garantua n</w:t>
      </w:r>
      <w:r w:rsidR="0015490E" w:rsidRPr="00F76FE2">
        <w:rPr>
          <w:rFonts w:ascii="Times New Roman" w:hAnsi="Times New Roman"/>
        </w:rPr>
        <w:t>ë</w:t>
      </w:r>
      <w:r w:rsidR="005D2A14" w:rsidRPr="00F76FE2">
        <w:rPr>
          <w:rFonts w:ascii="Times New Roman" w:hAnsi="Times New Roman"/>
        </w:rPr>
        <w:t>p</w:t>
      </w:r>
      <w:r w:rsidR="0015490E" w:rsidRPr="00F76FE2">
        <w:rPr>
          <w:rFonts w:ascii="Times New Roman" w:hAnsi="Times New Roman"/>
        </w:rPr>
        <w:t>ë</w:t>
      </w:r>
      <w:r w:rsidR="005D2A14" w:rsidRPr="00F76FE2">
        <w:rPr>
          <w:rFonts w:ascii="Times New Roman" w:hAnsi="Times New Roman"/>
        </w:rPr>
        <w:t xml:space="preserve">rmjet </w:t>
      </w:r>
      <w:r w:rsidRPr="00F76FE2">
        <w:rPr>
          <w:rFonts w:ascii="Times New Roman" w:hAnsi="Times New Roman"/>
        </w:rPr>
        <w:t>Garanci</w:t>
      </w:r>
      <w:r w:rsidR="005D2A14" w:rsidRPr="00F76FE2">
        <w:rPr>
          <w:rFonts w:ascii="Times New Roman" w:hAnsi="Times New Roman"/>
        </w:rPr>
        <w:t>s</w:t>
      </w:r>
      <w:r w:rsidR="0015490E" w:rsidRPr="00F76FE2">
        <w:rPr>
          <w:rFonts w:ascii="Times New Roman" w:hAnsi="Times New Roman"/>
        </w:rPr>
        <w:t>ë</w:t>
      </w:r>
      <w:r w:rsidRPr="00F76FE2">
        <w:rPr>
          <w:rFonts w:ascii="Times New Roman" w:hAnsi="Times New Roman"/>
        </w:rPr>
        <w:t xml:space="preserve"> </w:t>
      </w:r>
      <w:r w:rsidR="005D2A14" w:rsidRPr="00F76FE2">
        <w:rPr>
          <w:rFonts w:ascii="Times New Roman" w:hAnsi="Times New Roman"/>
        </w:rPr>
        <w:t>S</w:t>
      </w:r>
      <w:r w:rsidR="008D2DDB" w:rsidRPr="00F76FE2">
        <w:rPr>
          <w:rFonts w:ascii="Times New Roman" w:hAnsi="Times New Roman"/>
        </w:rPr>
        <w:t>htet</w:t>
      </w:r>
      <w:r w:rsidR="0015490E" w:rsidRPr="00F76FE2">
        <w:rPr>
          <w:rFonts w:ascii="Times New Roman" w:hAnsi="Times New Roman"/>
        </w:rPr>
        <w:t>ë</w:t>
      </w:r>
      <w:r w:rsidR="008D2DDB" w:rsidRPr="00F76FE2">
        <w:rPr>
          <w:rFonts w:ascii="Times New Roman" w:hAnsi="Times New Roman"/>
        </w:rPr>
        <w:t>rore</w:t>
      </w:r>
      <w:r w:rsidRPr="00F76FE2">
        <w:rPr>
          <w:rFonts w:ascii="Times New Roman" w:hAnsi="Times New Roman"/>
        </w:rPr>
        <w:t xml:space="preserve"> </w:t>
      </w:r>
      <w:r w:rsidR="005D2A14" w:rsidRPr="00F76FE2">
        <w:rPr>
          <w:rFonts w:ascii="Times New Roman" w:hAnsi="Times New Roman"/>
        </w:rPr>
        <w:t>t</w:t>
      </w:r>
      <w:r w:rsidR="0015490E" w:rsidRPr="00F76FE2">
        <w:rPr>
          <w:rFonts w:ascii="Times New Roman" w:hAnsi="Times New Roman"/>
        </w:rPr>
        <w:t>ë</w:t>
      </w:r>
      <w:r w:rsidR="008D2DDB" w:rsidRPr="00F76FE2">
        <w:rPr>
          <w:rFonts w:ascii="Times New Roman" w:hAnsi="Times New Roman"/>
        </w:rPr>
        <w:t xml:space="preserve"> </w:t>
      </w:r>
      <w:r w:rsidR="0015490E" w:rsidRPr="00F76FE2">
        <w:rPr>
          <w:rFonts w:ascii="Times New Roman" w:hAnsi="Times New Roman"/>
        </w:rPr>
        <w:t>ratifikuar</w:t>
      </w:r>
      <w:r w:rsidR="008D2DDB" w:rsidRPr="00F76FE2">
        <w:rPr>
          <w:rFonts w:ascii="Times New Roman" w:hAnsi="Times New Roman"/>
        </w:rPr>
        <w:t xml:space="preserve"> n</w:t>
      </w:r>
      <w:r w:rsidR="0015490E" w:rsidRPr="00F76FE2">
        <w:rPr>
          <w:rFonts w:ascii="Times New Roman" w:hAnsi="Times New Roman"/>
        </w:rPr>
        <w:t>ë</w:t>
      </w:r>
      <w:r w:rsidR="008D2DDB" w:rsidRPr="00F76FE2">
        <w:rPr>
          <w:rFonts w:ascii="Times New Roman" w:hAnsi="Times New Roman"/>
        </w:rPr>
        <w:t>p</w:t>
      </w:r>
      <w:r w:rsidR="0015490E" w:rsidRPr="00F76FE2">
        <w:rPr>
          <w:rFonts w:ascii="Times New Roman" w:hAnsi="Times New Roman"/>
        </w:rPr>
        <w:t>ë</w:t>
      </w:r>
      <w:r w:rsidR="008D2DDB" w:rsidRPr="00F76FE2">
        <w:rPr>
          <w:rFonts w:ascii="Times New Roman" w:hAnsi="Times New Roman"/>
        </w:rPr>
        <w:t>rmjet Ligjit</w:t>
      </w:r>
      <w:r w:rsidR="0015490E" w:rsidRPr="00F76FE2">
        <w:rPr>
          <w:rFonts w:ascii="Times New Roman" w:hAnsi="Times New Roman"/>
        </w:rPr>
        <w:t xml:space="preserve"> Nr.125/2016, datë</w:t>
      </w:r>
      <w:r w:rsidR="005D2A14" w:rsidRPr="00F76FE2">
        <w:rPr>
          <w:rFonts w:ascii="Times New Roman" w:hAnsi="Times New Roman"/>
        </w:rPr>
        <w:t xml:space="preserve"> </w:t>
      </w:r>
      <w:r w:rsidR="0015490E" w:rsidRPr="00F76FE2">
        <w:rPr>
          <w:rFonts w:ascii="Times New Roman" w:hAnsi="Times New Roman"/>
        </w:rPr>
        <w:t>15.12.2016</w:t>
      </w:r>
      <w:r w:rsidR="0015490E">
        <w:rPr>
          <w:rFonts w:ascii="Times New Roman" w:hAnsi="Times New Roman"/>
        </w:rPr>
        <w:tab/>
      </w:r>
    </w:p>
  </w:footnote>
  <w:footnote w:id="5">
    <w:p w:rsidR="00513848" w:rsidRDefault="00513848" w:rsidP="00D86B99">
      <w:pPr>
        <w:pStyle w:val="FootnoteText"/>
        <w:tabs>
          <w:tab w:val="left" w:pos="8647"/>
        </w:tabs>
        <w:ind w:left="284" w:right="-46" w:hanging="284"/>
        <w:jc w:val="both"/>
        <w:rPr>
          <w:rFonts w:ascii="Times New Roman" w:hAnsi="Times New Roman"/>
        </w:rPr>
      </w:pPr>
      <w:r>
        <w:rPr>
          <w:rStyle w:val="FootnoteReference"/>
        </w:rPr>
        <w:footnoteRef/>
      </w:r>
      <w:r>
        <w:t xml:space="preserve"> </w:t>
      </w:r>
      <w:r>
        <w:tab/>
      </w:r>
      <w:r w:rsidRPr="00396992">
        <w:rPr>
          <w:rFonts w:ascii="Times New Roman" w:hAnsi="Times New Roman"/>
        </w:rPr>
        <w:t>Referuar kufijve t</w:t>
      </w:r>
      <w:r>
        <w:rPr>
          <w:rFonts w:ascii="Times New Roman" w:hAnsi="Times New Roman"/>
        </w:rPr>
        <w:t>ë përcaktuar në analizën e që</w:t>
      </w:r>
      <w:r w:rsidRPr="00396992">
        <w:rPr>
          <w:rFonts w:ascii="Times New Roman" w:hAnsi="Times New Roman"/>
        </w:rPr>
        <w:t xml:space="preserve">ndrueshmërisë së </w:t>
      </w:r>
      <w:r>
        <w:rPr>
          <w:rFonts w:ascii="Times New Roman" w:hAnsi="Times New Roman"/>
        </w:rPr>
        <w:t xml:space="preserve">borxhit të publikuar nga FMN në </w:t>
      </w:r>
      <w:r w:rsidRPr="00396992">
        <w:rPr>
          <w:rFonts w:ascii="Times New Roman" w:hAnsi="Times New Roman"/>
        </w:rPr>
        <w:t>raportin për Shqipërinë</w:t>
      </w:r>
      <w:r>
        <w:rPr>
          <w:rFonts w:ascii="Times New Roman" w:hAnsi="Times New Roman"/>
        </w:rPr>
        <w:t>: Artikulli IV,</w:t>
      </w:r>
      <w:r w:rsidRPr="00396992">
        <w:rPr>
          <w:rFonts w:ascii="Times New Roman" w:hAnsi="Times New Roman"/>
        </w:rPr>
        <w:t xml:space="preserve"> (</w:t>
      </w:r>
      <w:r>
        <w:rPr>
          <w:rFonts w:ascii="Times New Roman" w:hAnsi="Times New Roman"/>
        </w:rPr>
        <w:t>Janar</w:t>
      </w:r>
      <w:r w:rsidRPr="00396992">
        <w:rPr>
          <w:rFonts w:ascii="Times New Roman" w:hAnsi="Times New Roman"/>
        </w:rPr>
        <w:t>, 201</w:t>
      </w:r>
      <w:r>
        <w:rPr>
          <w:rFonts w:ascii="Times New Roman" w:hAnsi="Times New Roman"/>
        </w:rPr>
        <w:t>9</w:t>
      </w:r>
      <w:r w:rsidRPr="00396992">
        <w:rPr>
          <w:rFonts w:ascii="Times New Roman" w:hAnsi="Times New Roman"/>
        </w:rPr>
        <w:t xml:space="preserve">); </w:t>
      </w:r>
    </w:p>
    <w:p w:rsidR="00513848" w:rsidRDefault="00513848" w:rsidP="00D86B99">
      <w:pPr>
        <w:pStyle w:val="FootnoteText"/>
        <w:tabs>
          <w:tab w:val="left" w:pos="8647"/>
        </w:tabs>
        <w:ind w:left="284" w:right="-46" w:hanging="284"/>
        <w:jc w:val="both"/>
        <w:rPr>
          <w:rFonts w:ascii="Times New Roman" w:hAnsi="Times New Roman"/>
          <w:lang w:val="en-US"/>
        </w:rPr>
      </w:pPr>
      <w:r>
        <w:rPr>
          <w:lang w:val="en-US"/>
        </w:rPr>
        <w:t xml:space="preserve">      </w:t>
      </w:r>
      <w:hyperlink r:id="rId1" w:history="1">
        <w:r w:rsidRPr="00952DDE">
          <w:rPr>
            <w:rStyle w:val="Hyperlink"/>
            <w:rFonts w:ascii="Times New Roman" w:hAnsi="Times New Roman"/>
            <w:lang w:val="en-US"/>
          </w:rPr>
          <w:t>https://www.imf.org/en/Publications/CR/Issues/2019/01/28/Albania-2018-Article-IV-Consultation-Press-Release-Staff-Report-and-Statement-by-the-46556</w:t>
        </w:r>
      </w:hyperlink>
    </w:p>
    <w:p w:rsidR="00513848" w:rsidRPr="00D86B99" w:rsidRDefault="00513848">
      <w:pPr>
        <w:pStyle w:val="FootnoteText"/>
        <w:rPr>
          <w:lang w:val="en-US"/>
        </w:rPr>
      </w:pPr>
    </w:p>
  </w:footnote>
  <w:footnote w:id="6">
    <w:p w:rsidR="00513848" w:rsidRPr="00057778" w:rsidRDefault="00513848" w:rsidP="00B236A6">
      <w:pPr>
        <w:pStyle w:val="FootnoteText"/>
        <w:ind w:left="720" w:hanging="720"/>
        <w:jc w:val="both"/>
        <w:rPr>
          <w:rFonts w:ascii="Times New Roman" w:hAnsi="Times New Roman"/>
          <w:lang w:val="en-US"/>
        </w:rPr>
      </w:pPr>
      <w:r w:rsidRPr="00057778">
        <w:rPr>
          <w:rStyle w:val="FootnoteReference"/>
          <w:rFonts w:ascii="Times New Roman" w:hAnsi="Times New Roman"/>
        </w:rPr>
        <w:footnoteRef/>
      </w:r>
      <w:r w:rsidRPr="00057778">
        <w:rPr>
          <w:rFonts w:ascii="Times New Roman" w:hAnsi="Times New Roman"/>
        </w:rPr>
        <w:t xml:space="preserve"> </w:t>
      </w:r>
      <w:r w:rsidRPr="00057778">
        <w:rPr>
          <w:rFonts w:ascii="Times New Roman" w:hAnsi="Times New Roman"/>
          <w:lang w:val="en-US"/>
        </w:rPr>
        <w:t xml:space="preserve">I </w:t>
      </w:r>
      <w:proofErr w:type="spellStart"/>
      <w:r w:rsidRPr="00057778">
        <w:rPr>
          <w:rFonts w:ascii="Times New Roman" w:hAnsi="Times New Roman"/>
          <w:lang w:val="en-US"/>
        </w:rPr>
        <w:t>referohet</w:t>
      </w:r>
      <w:proofErr w:type="spellEnd"/>
      <w:r w:rsidRPr="00057778">
        <w:rPr>
          <w:rFonts w:ascii="Times New Roman" w:hAnsi="Times New Roman"/>
          <w:lang w:val="en-US"/>
        </w:rPr>
        <w:t xml:space="preserve"> </w:t>
      </w:r>
      <w:proofErr w:type="spellStart"/>
      <w:r w:rsidRPr="00057778">
        <w:rPr>
          <w:rFonts w:ascii="Times New Roman" w:hAnsi="Times New Roman"/>
          <w:lang w:val="en-US"/>
        </w:rPr>
        <w:t>normës</w:t>
      </w:r>
      <w:proofErr w:type="spellEnd"/>
      <w:r w:rsidRPr="00057778">
        <w:rPr>
          <w:rFonts w:ascii="Times New Roman" w:hAnsi="Times New Roman"/>
          <w:lang w:val="en-US"/>
        </w:rPr>
        <w:t xml:space="preserve"> </w:t>
      </w:r>
      <w:proofErr w:type="spellStart"/>
      <w:r w:rsidRPr="00057778">
        <w:rPr>
          <w:rFonts w:ascii="Times New Roman" w:hAnsi="Times New Roman"/>
          <w:lang w:val="en-US"/>
        </w:rPr>
        <w:t>mesatare</w:t>
      </w:r>
      <w:proofErr w:type="spellEnd"/>
      <w:r w:rsidRPr="00057778">
        <w:rPr>
          <w:rFonts w:ascii="Times New Roman" w:hAnsi="Times New Roman"/>
          <w:lang w:val="en-US"/>
        </w:rPr>
        <w:t xml:space="preserve"> </w:t>
      </w:r>
      <w:proofErr w:type="spellStart"/>
      <w:r w:rsidRPr="00057778">
        <w:rPr>
          <w:rFonts w:ascii="Times New Roman" w:hAnsi="Times New Roman"/>
          <w:lang w:val="en-US"/>
        </w:rPr>
        <w:t>të</w:t>
      </w:r>
      <w:proofErr w:type="spellEnd"/>
      <w:r w:rsidRPr="00057778">
        <w:rPr>
          <w:rFonts w:ascii="Times New Roman" w:hAnsi="Times New Roman"/>
          <w:lang w:val="en-US"/>
        </w:rPr>
        <w:t xml:space="preserve"> </w:t>
      </w:r>
      <w:proofErr w:type="spellStart"/>
      <w:r w:rsidRPr="00057778">
        <w:rPr>
          <w:rFonts w:ascii="Times New Roman" w:hAnsi="Times New Roman"/>
          <w:lang w:val="en-US"/>
        </w:rPr>
        <w:t>ponderuar</w:t>
      </w:r>
      <w:proofErr w:type="spellEnd"/>
      <w:r w:rsidRPr="00057778">
        <w:rPr>
          <w:rFonts w:ascii="Times New Roman" w:hAnsi="Times New Roman"/>
          <w:lang w:val="en-US"/>
        </w:rPr>
        <w:t xml:space="preserve"> </w:t>
      </w:r>
      <w:proofErr w:type="spellStart"/>
      <w:r w:rsidRPr="00057778">
        <w:rPr>
          <w:rFonts w:ascii="Times New Roman" w:hAnsi="Times New Roman"/>
          <w:lang w:val="en-US"/>
        </w:rPr>
        <w:t>të</w:t>
      </w:r>
      <w:proofErr w:type="spellEnd"/>
      <w:r w:rsidRPr="00057778">
        <w:rPr>
          <w:rFonts w:ascii="Times New Roman" w:hAnsi="Times New Roman"/>
          <w:lang w:val="en-US"/>
        </w:rPr>
        <w:t xml:space="preserve"> </w:t>
      </w:r>
      <w:proofErr w:type="spellStart"/>
      <w:r w:rsidRPr="00057778">
        <w:rPr>
          <w:rFonts w:ascii="Times New Roman" w:hAnsi="Times New Roman"/>
          <w:lang w:val="en-US"/>
        </w:rPr>
        <w:t>titujve</w:t>
      </w:r>
      <w:proofErr w:type="spellEnd"/>
      <w:r w:rsidRPr="00057778">
        <w:rPr>
          <w:rFonts w:ascii="Times New Roman" w:hAnsi="Times New Roman"/>
          <w:lang w:val="en-US"/>
        </w:rPr>
        <w:t xml:space="preserve"> </w:t>
      </w:r>
      <w:proofErr w:type="spellStart"/>
      <w:r w:rsidRPr="00057778">
        <w:rPr>
          <w:rFonts w:ascii="Times New Roman" w:hAnsi="Times New Roman"/>
          <w:lang w:val="en-US"/>
        </w:rPr>
        <w:t>shtetërorë</w:t>
      </w:r>
      <w:proofErr w:type="spellEnd"/>
      <w:r w:rsidRPr="00057778">
        <w:rPr>
          <w:rFonts w:ascii="Times New Roman" w:hAnsi="Times New Roman"/>
          <w:lang w:val="en-US"/>
        </w:rPr>
        <w:t xml:space="preserve"> </w:t>
      </w:r>
      <w:proofErr w:type="spellStart"/>
      <w:r w:rsidRPr="00057778">
        <w:rPr>
          <w:rFonts w:ascii="Times New Roman" w:hAnsi="Times New Roman"/>
          <w:lang w:val="en-US"/>
        </w:rPr>
        <w:t>të</w:t>
      </w:r>
      <w:proofErr w:type="spellEnd"/>
      <w:r w:rsidRPr="00057778">
        <w:rPr>
          <w:rFonts w:ascii="Times New Roman" w:hAnsi="Times New Roman"/>
          <w:lang w:val="en-US"/>
        </w:rPr>
        <w:t xml:space="preserve"> </w:t>
      </w:r>
      <w:proofErr w:type="spellStart"/>
      <w:r w:rsidRPr="00057778">
        <w:rPr>
          <w:rFonts w:ascii="Times New Roman" w:hAnsi="Times New Roman"/>
          <w:lang w:val="en-US"/>
        </w:rPr>
        <w:t>emetuar</w:t>
      </w:r>
      <w:proofErr w:type="spellEnd"/>
      <w:r w:rsidRPr="00057778">
        <w:rPr>
          <w:rFonts w:ascii="Times New Roman" w:hAnsi="Times New Roman"/>
          <w:lang w:val="en-US"/>
        </w:rPr>
        <w:t xml:space="preserve"> </w:t>
      </w:r>
      <w:proofErr w:type="spellStart"/>
      <w:r>
        <w:rPr>
          <w:rFonts w:ascii="Times New Roman" w:hAnsi="Times New Roman"/>
          <w:lang w:val="en-US"/>
        </w:rPr>
        <w:t>vetëm</w:t>
      </w:r>
      <w:proofErr w:type="spellEnd"/>
      <w:r>
        <w:rPr>
          <w:rFonts w:ascii="Times New Roman" w:hAnsi="Times New Roman"/>
          <w:lang w:val="en-US"/>
        </w:rPr>
        <w:t xml:space="preserve"> </w:t>
      </w:r>
      <w:proofErr w:type="spellStart"/>
      <w:r w:rsidRPr="00057778">
        <w:rPr>
          <w:rFonts w:ascii="Times New Roman" w:hAnsi="Times New Roman"/>
          <w:lang w:val="en-US"/>
        </w:rPr>
        <w:t>në</w:t>
      </w:r>
      <w:proofErr w:type="spellEnd"/>
      <w:r w:rsidRPr="00057778">
        <w:rPr>
          <w:rFonts w:ascii="Times New Roman" w:hAnsi="Times New Roman"/>
          <w:lang w:val="en-US"/>
        </w:rPr>
        <w:t xml:space="preserve"> </w:t>
      </w:r>
      <w:proofErr w:type="spellStart"/>
      <w:r w:rsidRPr="00057778">
        <w:rPr>
          <w:rFonts w:ascii="Times New Roman" w:hAnsi="Times New Roman"/>
          <w:lang w:val="en-US"/>
        </w:rPr>
        <w:t>tregun</w:t>
      </w:r>
      <w:proofErr w:type="spellEnd"/>
      <w:r w:rsidRPr="00057778">
        <w:rPr>
          <w:rFonts w:ascii="Times New Roman" w:hAnsi="Times New Roman"/>
          <w:lang w:val="en-US"/>
        </w:rPr>
        <w:t xml:space="preserve"> </w:t>
      </w:r>
      <w:proofErr w:type="spellStart"/>
      <w:r w:rsidRPr="00057778">
        <w:rPr>
          <w:rFonts w:ascii="Times New Roman" w:hAnsi="Times New Roman"/>
          <w:lang w:val="en-US"/>
        </w:rPr>
        <w:t>primar</w:t>
      </w:r>
      <w:proofErr w:type="spellEnd"/>
      <w:r w:rsidRPr="00057778">
        <w:rPr>
          <w:rFonts w:ascii="Times New Roman" w:hAnsi="Times New Roman"/>
          <w:lang w:val="en-US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3848" w:rsidRDefault="00513848">
    <w:pPr>
      <w:pStyle w:val="Header"/>
    </w:pPr>
  </w:p>
  <w:tbl>
    <w:tblPr>
      <w:tblW w:w="5022" w:type="pct"/>
      <w:jc w:val="center"/>
      <w:tblBorders>
        <w:bottom w:val="single" w:sz="12" w:space="0" w:color="A6A6A6"/>
        <w:insideH w:val="single" w:sz="4" w:space="0" w:color="auto"/>
        <w:insideV w:val="single" w:sz="4" w:space="0" w:color="auto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6840"/>
      <w:gridCol w:w="2226"/>
    </w:tblGrid>
    <w:tr w:rsidR="00513848" w:rsidRPr="005B570E" w:rsidTr="008F2F19">
      <w:trPr>
        <w:trHeight w:val="355"/>
        <w:jc w:val="center"/>
      </w:trPr>
      <w:tc>
        <w:tcPr>
          <w:tcW w:w="6839" w:type="dxa"/>
          <w:tcBorders>
            <w:right w:val="single" w:sz="12" w:space="0" w:color="A6A6A6"/>
          </w:tcBorders>
        </w:tcPr>
        <w:p w:rsidR="00513848" w:rsidRPr="003C58AE" w:rsidRDefault="00513848" w:rsidP="00A345B1">
          <w:pPr>
            <w:pStyle w:val="Header"/>
            <w:jc w:val="right"/>
            <w:rPr>
              <w:rFonts w:ascii="Cambria" w:eastAsia="Times New Roman" w:hAnsi="Cambria"/>
              <w:color w:val="A6A6A6" w:themeColor="background1" w:themeShade="A6"/>
              <w:sz w:val="20"/>
              <w:szCs w:val="20"/>
            </w:rPr>
          </w:pPr>
          <w:r>
            <w:rPr>
              <w:rFonts w:ascii="Cambria" w:eastAsia="Times New Roman" w:hAnsi="Cambria"/>
              <w:color w:val="A6A6A6" w:themeColor="background1" w:themeShade="A6"/>
              <w:sz w:val="20"/>
              <w:szCs w:val="20"/>
            </w:rPr>
            <w:t>ANALIZA E BORXHIT PUBLIK</w:t>
          </w:r>
        </w:p>
      </w:tc>
      <w:tc>
        <w:tcPr>
          <w:tcW w:w="2226" w:type="dxa"/>
          <w:tcBorders>
            <w:left w:val="single" w:sz="12" w:space="0" w:color="A6A6A6"/>
          </w:tcBorders>
        </w:tcPr>
        <w:p w:rsidR="00513848" w:rsidRPr="003C58AE" w:rsidRDefault="00513848" w:rsidP="005E7219">
          <w:pPr>
            <w:pStyle w:val="Header"/>
            <w:rPr>
              <w:rFonts w:ascii="Cambria" w:eastAsia="Times New Roman" w:hAnsi="Cambria"/>
              <w:bCs/>
              <w:color w:val="A6A6A6" w:themeColor="background1" w:themeShade="A6"/>
              <w:sz w:val="20"/>
              <w:szCs w:val="20"/>
            </w:rPr>
          </w:pPr>
          <w:r>
            <w:rPr>
              <w:rFonts w:ascii="Cambria" w:eastAsia="Times New Roman" w:hAnsi="Cambria"/>
              <w:bCs/>
              <w:color w:val="A6A6A6" w:themeColor="background1" w:themeShade="A6"/>
              <w:sz w:val="20"/>
              <w:szCs w:val="20"/>
            </w:rPr>
            <w:t>VITI 2019</w:t>
          </w:r>
        </w:p>
      </w:tc>
    </w:tr>
  </w:tbl>
  <w:p w:rsidR="00513848" w:rsidRDefault="00513848" w:rsidP="008F2F19">
    <w:pPr>
      <w:pStyle w:val="Header"/>
      <w:tabs>
        <w:tab w:val="clear" w:pos="4513"/>
        <w:tab w:val="clear" w:pos="9026"/>
        <w:tab w:val="left" w:pos="6263"/>
      </w:tabs>
    </w:pPr>
    <w:r>
      <w:tab/>
    </w:r>
  </w:p>
  <w:p w:rsidR="00513848" w:rsidRDefault="0051384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D1256F"/>
    <w:multiLevelType w:val="hybridMultilevel"/>
    <w:tmpl w:val="9C944E32"/>
    <w:lvl w:ilvl="0" w:tplc="FBA45AB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F94569F"/>
    <w:multiLevelType w:val="hybridMultilevel"/>
    <w:tmpl w:val="326E2F36"/>
    <w:lvl w:ilvl="0" w:tplc="354AE596">
      <w:start w:val="1"/>
      <w:numFmt w:val="decimal"/>
      <w:lvlText w:val="%1."/>
      <w:lvlJc w:val="left"/>
      <w:pPr>
        <w:ind w:left="1080" w:hanging="360"/>
      </w:pPr>
      <w:rPr>
        <w:rFonts w:eastAsia="Times New Roman" w:cstheme="min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55E7769"/>
    <w:multiLevelType w:val="hybridMultilevel"/>
    <w:tmpl w:val="4C0AABE2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2B0FFA"/>
    <w:multiLevelType w:val="multilevel"/>
    <w:tmpl w:val="4E1E57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Cambria" w:hAnsi="Cambria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2A117745"/>
    <w:multiLevelType w:val="hybridMultilevel"/>
    <w:tmpl w:val="326E2F36"/>
    <w:lvl w:ilvl="0" w:tplc="354AE596">
      <w:start w:val="1"/>
      <w:numFmt w:val="decimal"/>
      <w:lvlText w:val="%1."/>
      <w:lvlJc w:val="left"/>
      <w:pPr>
        <w:ind w:left="1080" w:hanging="360"/>
      </w:pPr>
      <w:rPr>
        <w:rFonts w:eastAsia="Times New Roman" w:cstheme="min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EB479A8"/>
    <w:multiLevelType w:val="hybridMultilevel"/>
    <w:tmpl w:val="C49A0112"/>
    <w:lvl w:ilvl="0" w:tplc="A33826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E84719"/>
    <w:multiLevelType w:val="multilevel"/>
    <w:tmpl w:val="636C9A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33E175E1"/>
    <w:multiLevelType w:val="hybridMultilevel"/>
    <w:tmpl w:val="326E2F36"/>
    <w:lvl w:ilvl="0" w:tplc="354AE596">
      <w:start w:val="1"/>
      <w:numFmt w:val="decimal"/>
      <w:lvlText w:val="%1."/>
      <w:lvlJc w:val="left"/>
      <w:pPr>
        <w:ind w:left="1080" w:hanging="360"/>
      </w:pPr>
      <w:rPr>
        <w:rFonts w:eastAsia="Times New Roman" w:cstheme="min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F310E25"/>
    <w:multiLevelType w:val="hybridMultilevel"/>
    <w:tmpl w:val="885A67CC"/>
    <w:lvl w:ilvl="0" w:tplc="44CCA09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7F2563"/>
    <w:multiLevelType w:val="hybridMultilevel"/>
    <w:tmpl w:val="79E85092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F17119"/>
    <w:multiLevelType w:val="hybridMultilevel"/>
    <w:tmpl w:val="326E2F36"/>
    <w:lvl w:ilvl="0" w:tplc="354AE596">
      <w:start w:val="1"/>
      <w:numFmt w:val="decimal"/>
      <w:lvlText w:val="%1."/>
      <w:lvlJc w:val="left"/>
      <w:pPr>
        <w:ind w:left="1080" w:hanging="360"/>
      </w:pPr>
      <w:rPr>
        <w:rFonts w:eastAsia="Times New Roman" w:cstheme="min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EBE7C4D"/>
    <w:multiLevelType w:val="hybridMultilevel"/>
    <w:tmpl w:val="EBE2C232"/>
    <w:lvl w:ilvl="0" w:tplc="71F4379C">
      <w:start w:val="5"/>
      <w:numFmt w:val="bullet"/>
      <w:lvlText w:val="-"/>
      <w:lvlJc w:val="left"/>
      <w:pPr>
        <w:ind w:left="720" w:hanging="360"/>
      </w:pPr>
      <w:rPr>
        <w:rFonts w:ascii="Times New Roman" w:eastAsia="Batang" w:hAnsi="Times New Roman" w:cs="Times New Roman" w:hint="default"/>
        <w:b w:val="0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E66811"/>
    <w:multiLevelType w:val="hybridMultilevel"/>
    <w:tmpl w:val="F87C40E4"/>
    <w:lvl w:ilvl="0" w:tplc="B686DE84">
      <w:start w:val="1"/>
      <w:numFmt w:val="lowerRoman"/>
      <w:lvlText w:val="%1)"/>
      <w:lvlJc w:val="left"/>
      <w:pPr>
        <w:ind w:left="1080" w:hanging="720"/>
      </w:pPr>
      <w:rPr>
        <w:rFonts w:ascii="Times New Roman" w:eastAsia="MS Mincho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8A0BF9"/>
    <w:multiLevelType w:val="hybridMultilevel"/>
    <w:tmpl w:val="326E2F36"/>
    <w:lvl w:ilvl="0" w:tplc="354AE596">
      <w:start w:val="1"/>
      <w:numFmt w:val="decimal"/>
      <w:lvlText w:val="%1."/>
      <w:lvlJc w:val="left"/>
      <w:pPr>
        <w:ind w:left="1080" w:hanging="360"/>
      </w:pPr>
      <w:rPr>
        <w:rFonts w:eastAsia="Times New Roman" w:cstheme="min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BB47273"/>
    <w:multiLevelType w:val="multilevel"/>
    <w:tmpl w:val="90B0425E"/>
    <w:lvl w:ilvl="0">
      <w:start w:val="1"/>
      <w:numFmt w:val="decimal"/>
      <w:lvlText w:val="%1."/>
      <w:lvlJc w:val="left"/>
      <w:pPr>
        <w:ind w:left="720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1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9"/>
  </w:num>
  <w:num w:numId="4">
    <w:abstractNumId w:val="2"/>
  </w:num>
  <w:num w:numId="5">
    <w:abstractNumId w:val="3"/>
  </w:num>
  <w:num w:numId="6">
    <w:abstractNumId w:val="7"/>
  </w:num>
  <w:num w:numId="7">
    <w:abstractNumId w:val="1"/>
  </w:num>
  <w:num w:numId="8">
    <w:abstractNumId w:val="13"/>
  </w:num>
  <w:num w:numId="9">
    <w:abstractNumId w:val="10"/>
  </w:num>
  <w:num w:numId="10">
    <w:abstractNumId w:val="4"/>
  </w:num>
  <w:num w:numId="11">
    <w:abstractNumId w:val="8"/>
  </w:num>
  <w:num w:numId="12">
    <w:abstractNumId w:val="14"/>
  </w:num>
  <w:num w:numId="13">
    <w:abstractNumId w:val="14"/>
    <w:lvlOverride w:ilvl="0">
      <w:startOverride w:val="5"/>
    </w:lvlOverride>
    <w:lvlOverride w:ilvl="1">
      <w:startOverride w:val="2"/>
    </w:lvlOverride>
  </w:num>
  <w:num w:numId="14">
    <w:abstractNumId w:val="11"/>
  </w:num>
  <w:num w:numId="15">
    <w:abstractNumId w:val="12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Q2szCzMDI2NTE0tjBU0lEKTi0uzszPAykwrAUAuWsAxywAAAA="/>
  </w:docVars>
  <w:rsids>
    <w:rsidRoot w:val="00BD4441"/>
    <w:rsid w:val="000012B6"/>
    <w:rsid w:val="000035DC"/>
    <w:rsid w:val="00003C4C"/>
    <w:rsid w:val="00005C16"/>
    <w:rsid w:val="000078A5"/>
    <w:rsid w:val="00007B03"/>
    <w:rsid w:val="000119D5"/>
    <w:rsid w:val="0001336A"/>
    <w:rsid w:val="000135D8"/>
    <w:rsid w:val="0001373B"/>
    <w:rsid w:val="00014398"/>
    <w:rsid w:val="00014AC1"/>
    <w:rsid w:val="000158E7"/>
    <w:rsid w:val="00016001"/>
    <w:rsid w:val="00020054"/>
    <w:rsid w:val="00020B98"/>
    <w:rsid w:val="000216E3"/>
    <w:rsid w:val="00021B12"/>
    <w:rsid w:val="00022758"/>
    <w:rsid w:val="000235C7"/>
    <w:rsid w:val="00024E11"/>
    <w:rsid w:val="000260A0"/>
    <w:rsid w:val="00026334"/>
    <w:rsid w:val="00026982"/>
    <w:rsid w:val="00030A5F"/>
    <w:rsid w:val="0003109A"/>
    <w:rsid w:val="00031A31"/>
    <w:rsid w:val="00031F32"/>
    <w:rsid w:val="0003201C"/>
    <w:rsid w:val="0003348F"/>
    <w:rsid w:val="00036EE2"/>
    <w:rsid w:val="0004090F"/>
    <w:rsid w:val="00040D9E"/>
    <w:rsid w:val="00041FEC"/>
    <w:rsid w:val="0004201D"/>
    <w:rsid w:val="00042D05"/>
    <w:rsid w:val="00042F7B"/>
    <w:rsid w:val="0004346D"/>
    <w:rsid w:val="00043484"/>
    <w:rsid w:val="00043775"/>
    <w:rsid w:val="000443B5"/>
    <w:rsid w:val="00044A37"/>
    <w:rsid w:val="000451D7"/>
    <w:rsid w:val="00045AB4"/>
    <w:rsid w:val="00046697"/>
    <w:rsid w:val="000479CC"/>
    <w:rsid w:val="00047B4C"/>
    <w:rsid w:val="00050097"/>
    <w:rsid w:val="00050209"/>
    <w:rsid w:val="00050D7D"/>
    <w:rsid w:val="00050E07"/>
    <w:rsid w:val="00052620"/>
    <w:rsid w:val="00053491"/>
    <w:rsid w:val="000535E2"/>
    <w:rsid w:val="0005379B"/>
    <w:rsid w:val="00055B0F"/>
    <w:rsid w:val="00055C97"/>
    <w:rsid w:val="00057033"/>
    <w:rsid w:val="00057778"/>
    <w:rsid w:val="000605C7"/>
    <w:rsid w:val="00061FDC"/>
    <w:rsid w:val="0006390C"/>
    <w:rsid w:val="000643FA"/>
    <w:rsid w:val="00065F44"/>
    <w:rsid w:val="000678A6"/>
    <w:rsid w:val="00067AD8"/>
    <w:rsid w:val="0007107A"/>
    <w:rsid w:val="0007109A"/>
    <w:rsid w:val="00072177"/>
    <w:rsid w:val="00072314"/>
    <w:rsid w:val="00073659"/>
    <w:rsid w:val="000746D8"/>
    <w:rsid w:val="00075634"/>
    <w:rsid w:val="00075FBF"/>
    <w:rsid w:val="000823AF"/>
    <w:rsid w:val="0008273D"/>
    <w:rsid w:val="00082D2F"/>
    <w:rsid w:val="0008327D"/>
    <w:rsid w:val="0008639D"/>
    <w:rsid w:val="00086FEE"/>
    <w:rsid w:val="00087610"/>
    <w:rsid w:val="00087899"/>
    <w:rsid w:val="000900E7"/>
    <w:rsid w:val="000903DF"/>
    <w:rsid w:val="0009072D"/>
    <w:rsid w:val="000908B1"/>
    <w:rsid w:val="00092AE3"/>
    <w:rsid w:val="00095921"/>
    <w:rsid w:val="0009624A"/>
    <w:rsid w:val="000A0033"/>
    <w:rsid w:val="000A016F"/>
    <w:rsid w:val="000A0B97"/>
    <w:rsid w:val="000A2857"/>
    <w:rsid w:val="000A2AE4"/>
    <w:rsid w:val="000A3A4E"/>
    <w:rsid w:val="000A3FAD"/>
    <w:rsid w:val="000A4305"/>
    <w:rsid w:val="000A45D5"/>
    <w:rsid w:val="000A685E"/>
    <w:rsid w:val="000A7636"/>
    <w:rsid w:val="000A7E21"/>
    <w:rsid w:val="000B0740"/>
    <w:rsid w:val="000B164A"/>
    <w:rsid w:val="000B16C6"/>
    <w:rsid w:val="000B2835"/>
    <w:rsid w:val="000B40FC"/>
    <w:rsid w:val="000B5276"/>
    <w:rsid w:val="000B7F2C"/>
    <w:rsid w:val="000C0DE8"/>
    <w:rsid w:val="000C144E"/>
    <w:rsid w:val="000C1953"/>
    <w:rsid w:val="000C1CDE"/>
    <w:rsid w:val="000C22A8"/>
    <w:rsid w:val="000C4680"/>
    <w:rsid w:val="000C5549"/>
    <w:rsid w:val="000C5694"/>
    <w:rsid w:val="000C68B8"/>
    <w:rsid w:val="000C779C"/>
    <w:rsid w:val="000D1493"/>
    <w:rsid w:val="000D1771"/>
    <w:rsid w:val="000D367F"/>
    <w:rsid w:val="000D43F1"/>
    <w:rsid w:val="000D56DF"/>
    <w:rsid w:val="000D7F11"/>
    <w:rsid w:val="000E3DD0"/>
    <w:rsid w:val="000E451C"/>
    <w:rsid w:val="000E53F2"/>
    <w:rsid w:val="000E5ED4"/>
    <w:rsid w:val="000E632B"/>
    <w:rsid w:val="000E7172"/>
    <w:rsid w:val="000F00C1"/>
    <w:rsid w:val="000F0903"/>
    <w:rsid w:val="000F0AF2"/>
    <w:rsid w:val="000F126F"/>
    <w:rsid w:val="000F1E03"/>
    <w:rsid w:val="000F2998"/>
    <w:rsid w:val="000F3D66"/>
    <w:rsid w:val="000F572D"/>
    <w:rsid w:val="000F5DA0"/>
    <w:rsid w:val="000F63F8"/>
    <w:rsid w:val="000F7370"/>
    <w:rsid w:val="000F7529"/>
    <w:rsid w:val="000F7576"/>
    <w:rsid w:val="000F7F13"/>
    <w:rsid w:val="001018E7"/>
    <w:rsid w:val="00101B44"/>
    <w:rsid w:val="00101CF9"/>
    <w:rsid w:val="001023C0"/>
    <w:rsid w:val="00102DA8"/>
    <w:rsid w:val="001031C1"/>
    <w:rsid w:val="0010660A"/>
    <w:rsid w:val="00106831"/>
    <w:rsid w:val="001071CE"/>
    <w:rsid w:val="0010736D"/>
    <w:rsid w:val="00110F6E"/>
    <w:rsid w:val="00111296"/>
    <w:rsid w:val="001118C6"/>
    <w:rsid w:val="00113008"/>
    <w:rsid w:val="00113426"/>
    <w:rsid w:val="00113757"/>
    <w:rsid w:val="0011384F"/>
    <w:rsid w:val="00113EA3"/>
    <w:rsid w:val="0011423E"/>
    <w:rsid w:val="001146B6"/>
    <w:rsid w:val="00114D25"/>
    <w:rsid w:val="00114E45"/>
    <w:rsid w:val="0011574A"/>
    <w:rsid w:val="0012045F"/>
    <w:rsid w:val="00122850"/>
    <w:rsid w:val="00122A78"/>
    <w:rsid w:val="001231C5"/>
    <w:rsid w:val="001241C2"/>
    <w:rsid w:val="001245C1"/>
    <w:rsid w:val="001259BD"/>
    <w:rsid w:val="00126DF8"/>
    <w:rsid w:val="00127E5D"/>
    <w:rsid w:val="00131F79"/>
    <w:rsid w:val="00132058"/>
    <w:rsid w:val="00133159"/>
    <w:rsid w:val="00134D37"/>
    <w:rsid w:val="00136E72"/>
    <w:rsid w:val="00137933"/>
    <w:rsid w:val="00140B37"/>
    <w:rsid w:val="00142176"/>
    <w:rsid w:val="00142285"/>
    <w:rsid w:val="00144195"/>
    <w:rsid w:val="001443A6"/>
    <w:rsid w:val="00145289"/>
    <w:rsid w:val="00145865"/>
    <w:rsid w:val="00145C09"/>
    <w:rsid w:val="0014708A"/>
    <w:rsid w:val="001478D0"/>
    <w:rsid w:val="00150D13"/>
    <w:rsid w:val="001517D3"/>
    <w:rsid w:val="0015193E"/>
    <w:rsid w:val="00151A21"/>
    <w:rsid w:val="00151F4A"/>
    <w:rsid w:val="0015221B"/>
    <w:rsid w:val="0015378C"/>
    <w:rsid w:val="0015490E"/>
    <w:rsid w:val="00154E13"/>
    <w:rsid w:val="00154F62"/>
    <w:rsid w:val="001579F8"/>
    <w:rsid w:val="00160856"/>
    <w:rsid w:val="00163EA8"/>
    <w:rsid w:val="00163F98"/>
    <w:rsid w:val="00164AAA"/>
    <w:rsid w:val="00165416"/>
    <w:rsid w:val="0016587F"/>
    <w:rsid w:val="001712B2"/>
    <w:rsid w:val="0017159C"/>
    <w:rsid w:val="00171757"/>
    <w:rsid w:val="001729BC"/>
    <w:rsid w:val="00172C2C"/>
    <w:rsid w:val="00173283"/>
    <w:rsid w:val="001735F1"/>
    <w:rsid w:val="001744AF"/>
    <w:rsid w:val="001748B8"/>
    <w:rsid w:val="0017548A"/>
    <w:rsid w:val="001756D9"/>
    <w:rsid w:val="00175847"/>
    <w:rsid w:val="001760B9"/>
    <w:rsid w:val="001761BD"/>
    <w:rsid w:val="0017729B"/>
    <w:rsid w:val="00177F5D"/>
    <w:rsid w:val="00180950"/>
    <w:rsid w:val="001813A1"/>
    <w:rsid w:val="001833CC"/>
    <w:rsid w:val="001834E5"/>
    <w:rsid w:val="0018395D"/>
    <w:rsid w:val="00186140"/>
    <w:rsid w:val="00187A17"/>
    <w:rsid w:val="0019083A"/>
    <w:rsid w:val="001916B7"/>
    <w:rsid w:val="00191C67"/>
    <w:rsid w:val="00191EA6"/>
    <w:rsid w:val="00192E23"/>
    <w:rsid w:val="001936AA"/>
    <w:rsid w:val="00193E03"/>
    <w:rsid w:val="00195A23"/>
    <w:rsid w:val="001962D3"/>
    <w:rsid w:val="0019673A"/>
    <w:rsid w:val="001967F2"/>
    <w:rsid w:val="00197C26"/>
    <w:rsid w:val="00197E59"/>
    <w:rsid w:val="001A061C"/>
    <w:rsid w:val="001A078E"/>
    <w:rsid w:val="001A1BA2"/>
    <w:rsid w:val="001A209B"/>
    <w:rsid w:val="001A2746"/>
    <w:rsid w:val="001A276F"/>
    <w:rsid w:val="001A5079"/>
    <w:rsid w:val="001A509C"/>
    <w:rsid w:val="001A58B7"/>
    <w:rsid w:val="001A64DB"/>
    <w:rsid w:val="001A6CC1"/>
    <w:rsid w:val="001A6F39"/>
    <w:rsid w:val="001A71AB"/>
    <w:rsid w:val="001B07AF"/>
    <w:rsid w:val="001B17D9"/>
    <w:rsid w:val="001B18F3"/>
    <w:rsid w:val="001B1BC5"/>
    <w:rsid w:val="001B21F0"/>
    <w:rsid w:val="001B2539"/>
    <w:rsid w:val="001B37A5"/>
    <w:rsid w:val="001B382B"/>
    <w:rsid w:val="001B3CF2"/>
    <w:rsid w:val="001B3D8C"/>
    <w:rsid w:val="001B48C0"/>
    <w:rsid w:val="001B4E49"/>
    <w:rsid w:val="001B63D3"/>
    <w:rsid w:val="001B6AA6"/>
    <w:rsid w:val="001B760D"/>
    <w:rsid w:val="001C03D4"/>
    <w:rsid w:val="001C085C"/>
    <w:rsid w:val="001C0CA5"/>
    <w:rsid w:val="001C18C1"/>
    <w:rsid w:val="001C2A48"/>
    <w:rsid w:val="001C2E0F"/>
    <w:rsid w:val="001C3A24"/>
    <w:rsid w:val="001C4917"/>
    <w:rsid w:val="001C5519"/>
    <w:rsid w:val="001C5BC6"/>
    <w:rsid w:val="001C5CB3"/>
    <w:rsid w:val="001C5D27"/>
    <w:rsid w:val="001C7940"/>
    <w:rsid w:val="001D0504"/>
    <w:rsid w:val="001D1A83"/>
    <w:rsid w:val="001D1D00"/>
    <w:rsid w:val="001D25E7"/>
    <w:rsid w:val="001D2DDD"/>
    <w:rsid w:val="001D415C"/>
    <w:rsid w:val="001D41B8"/>
    <w:rsid w:val="001D50FA"/>
    <w:rsid w:val="001D53A9"/>
    <w:rsid w:val="001D572D"/>
    <w:rsid w:val="001D622A"/>
    <w:rsid w:val="001D74F4"/>
    <w:rsid w:val="001E0E20"/>
    <w:rsid w:val="001E12F5"/>
    <w:rsid w:val="001E1BEC"/>
    <w:rsid w:val="001E3D18"/>
    <w:rsid w:val="001E46A9"/>
    <w:rsid w:val="001E54FA"/>
    <w:rsid w:val="001E6140"/>
    <w:rsid w:val="001E6298"/>
    <w:rsid w:val="001E7929"/>
    <w:rsid w:val="001F15D1"/>
    <w:rsid w:val="001F212C"/>
    <w:rsid w:val="001F2C78"/>
    <w:rsid w:val="001F3412"/>
    <w:rsid w:val="001F361F"/>
    <w:rsid w:val="001F4E30"/>
    <w:rsid w:val="001F5665"/>
    <w:rsid w:val="00200637"/>
    <w:rsid w:val="00200D11"/>
    <w:rsid w:val="00201489"/>
    <w:rsid w:val="0020161E"/>
    <w:rsid w:val="00202232"/>
    <w:rsid w:val="00203A87"/>
    <w:rsid w:val="00205F7D"/>
    <w:rsid w:val="00206432"/>
    <w:rsid w:val="00206881"/>
    <w:rsid w:val="00206B62"/>
    <w:rsid w:val="0021160B"/>
    <w:rsid w:val="00211918"/>
    <w:rsid w:val="00211EA0"/>
    <w:rsid w:val="00212997"/>
    <w:rsid w:val="00212A5C"/>
    <w:rsid w:val="00212CF5"/>
    <w:rsid w:val="00214A57"/>
    <w:rsid w:val="002173B7"/>
    <w:rsid w:val="00217506"/>
    <w:rsid w:val="00220331"/>
    <w:rsid w:val="00220DDA"/>
    <w:rsid w:val="002211C9"/>
    <w:rsid w:val="0022392E"/>
    <w:rsid w:val="00223B39"/>
    <w:rsid w:val="00224715"/>
    <w:rsid w:val="00224878"/>
    <w:rsid w:val="00224CF2"/>
    <w:rsid w:val="002262C5"/>
    <w:rsid w:val="002307A3"/>
    <w:rsid w:val="00230C66"/>
    <w:rsid w:val="0023294D"/>
    <w:rsid w:val="00233E8E"/>
    <w:rsid w:val="00233EA7"/>
    <w:rsid w:val="00236805"/>
    <w:rsid w:val="00236FFC"/>
    <w:rsid w:val="00237303"/>
    <w:rsid w:val="00237F90"/>
    <w:rsid w:val="002401F3"/>
    <w:rsid w:val="00241702"/>
    <w:rsid w:val="00241968"/>
    <w:rsid w:val="00241A28"/>
    <w:rsid w:val="00242066"/>
    <w:rsid w:val="00243837"/>
    <w:rsid w:val="00243B50"/>
    <w:rsid w:val="00244928"/>
    <w:rsid w:val="00244B84"/>
    <w:rsid w:val="00244D6F"/>
    <w:rsid w:val="00245713"/>
    <w:rsid w:val="00245EE4"/>
    <w:rsid w:val="00250DD4"/>
    <w:rsid w:val="00251715"/>
    <w:rsid w:val="00253184"/>
    <w:rsid w:val="0025375B"/>
    <w:rsid w:val="00253F18"/>
    <w:rsid w:val="00253F5D"/>
    <w:rsid w:val="0025468A"/>
    <w:rsid w:val="0025506B"/>
    <w:rsid w:val="002550C3"/>
    <w:rsid w:val="0025559D"/>
    <w:rsid w:val="002564AB"/>
    <w:rsid w:val="002569C4"/>
    <w:rsid w:val="0025745D"/>
    <w:rsid w:val="00260B95"/>
    <w:rsid w:val="00262175"/>
    <w:rsid w:val="002630D0"/>
    <w:rsid w:val="00263BB7"/>
    <w:rsid w:val="00263F17"/>
    <w:rsid w:val="00264316"/>
    <w:rsid w:val="0026542D"/>
    <w:rsid w:val="00265DA2"/>
    <w:rsid w:val="00266321"/>
    <w:rsid w:val="002666D8"/>
    <w:rsid w:val="00267758"/>
    <w:rsid w:val="00267DAE"/>
    <w:rsid w:val="002703F5"/>
    <w:rsid w:val="00272DB5"/>
    <w:rsid w:val="00273B2F"/>
    <w:rsid w:val="00273B41"/>
    <w:rsid w:val="0027678A"/>
    <w:rsid w:val="002768F1"/>
    <w:rsid w:val="00276B74"/>
    <w:rsid w:val="0027751E"/>
    <w:rsid w:val="0027780A"/>
    <w:rsid w:val="002801CA"/>
    <w:rsid w:val="002810F5"/>
    <w:rsid w:val="002819A7"/>
    <w:rsid w:val="00281EB0"/>
    <w:rsid w:val="00284A78"/>
    <w:rsid w:val="00285652"/>
    <w:rsid w:val="00285871"/>
    <w:rsid w:val="00285DCA"/>
    <w:rsid w:val="002860AC"/>
    <w:rsid w:val="00286720"/>
    <w:rsid w:val="00286C35"/>
    <w:rsid w:val="002872E9"/>
    <w:rsid w:val="0029049A"/>
    <w:rsid w:val="00291A56"/>
    <w:rsid w:val="002924BF"/>
    <w:rsid w:val="002934E6"/>
    <w:rsid w:val="00293B87"/>
    <w:rsid w:val="002949AA"/>
    <w:rsid w:val="0029516E"/>
    <w:rsid w:val="00297344"/>
    <w:rsid w:val="002973EC"/>
    <w:rsid w:val="002A0B66"/>
    <w:rsid w:val="002A143A"/>
    <w:rsid w:val="002A14B4"/>
    <w:rsid w:val="002A210F"/>
    <w:rsid w:val="002A363D"/>
    <w:rsid w:val="002A4301"/>
    <w:rsid w:val="002A54D0"/>
    <w:rsid w:val="002A55BD"/>
    <w:rsid w:val="002A5EBD"/>
    <w:rsid w:val="002A6E2C"/>
    <w:rsid w:val="002A7724"/>
    <w:rsid w:val="002B027C"/>
    <w:rsid w:val="002B02D9"/>
    <w:rsid w:val="002B064D"/>
    <w:rsid w:val="002B0658"/>
    <w:rsid w:val="002B128A"/>
    <w:rsid w:val="002B24A5"/>
    <w:rsid w:val="002B2A0F"/>
    <w:rsid w:val="002B465C"/>
    <w:rsid w:val="002B66AC"/>
    <w:rsid w:val="002B6E8F"/>
    <w:rsid w:val="002B768F"/>
    <w:rsid w:val="002B7772"/>
    <w:rsid w:val="002C02F4"/>
    <w:rsid w:val="002C1666"/>
    <w:rsid w:val="002C4F39"/>
    <w:rsid w:val="002C5815"/>
    <w:rsid w:val="002C583E"/>
    <w:rsid w:val="002C6E09"/>
    <w:rsid w:val="002C7BFE"/>
    <w:rsid w:val="002C7F0D"/>
    <w:rsid w:val="002C7FDF"/>
    <w:rsid w:val="002D1247"/>
    <w:rsid w:val="002D1744"/>
    <w:rsid w:val="002D188E"/>
    <w:rsid w:val="002D35F7"/>
    <w:rsid w:val="002D382F"/>
    <w:rsid w:val="002D48EA"/>
    <w:rsid w:val="002D50F1"/>
    <w:rsid w:val="002D56A2"/>
    <w:rsid w:val="002D56AC"/>
    <w:rsid w:val="002D58F2"/>
    <w:rsid w:val="002D608B"/>
    <w:rsid w:val="002D6562"/>
    <w:rsid w:val="002D68DF"/>
    <w:rsid w:val="002D7856"/>
    <w:rsid w:val="002D7AEB"/>
    <w:rsid w:val="002E074E"/>
    <w:rsid w:val="002E0F5E"/>
    <w:rsid w:val="002E17F4"/>
    <w:rsid w:val="002E180C"/>
    <w:rsid w:val="002E191E"/>
    <w:rsid w:val="002E1C4C"/>
    <w:rsid w:val="002E2B51"/>
    <w:rsid w:val="002E3221"/>
    <w:rsid w:val="002E37B5"/>
    <w:rsid w:val="002E52C2"/>
    <w:rsid w:val="002E5958"/>
    <w:rsid w:val="002E5BC5"/>
    <w:rsid w:val="002E5F1D"/>
    <w:rsid w:val="002E5FCF"/>
    <w:rsid w:val="002E67F6"/>
    <w:rsid w:val="002E7134"/>
    <w:rsid w:val="002F016E"/>
    <w:rsid w:val="002F0822"/>
    <w:rsid w:val="002F0B6F"/>
    <w:rsid w:val="002F3909"/>
    <w:rsid w:val="002F40DB"/>
    <w:rsid w:val="002F5E00"/>
    <w:rsid w:val="002F6229"/>
    <w:rsid w:val="00301B20"/>
    <w:rsid w:val="00303C29"/>
    <w:rsid w:val="00304D20"/>
    <w:rsid w:val="00304EA7"/>
    <w:rsid w:val="00305862"/>
    <w:rsid w:val="003073C1"/>
    <w:rsid w:val="003079D8"/>
    <w:rsid w:val="00310CD6"/>
    <w:rsid w:val="00311439"/>
    <w:rsid w:val="003116E9"/>
    <w:rsid w:val="00311ACF"/>
    <w:rsid w:val="003120F4"/>
    <w:rsid w:val="003127BA"/>
    <w:rsid w:val="003137DF"/>
    <w:rsid w:val="0031409D"/>
    <w:rsid w:val="003143DF"/>
    <w:rsid w:val="00314E23"/>
    <w:rsid w:val="00314EB0"/>
    <w:rsid w:val="00316548"/>
    <w:rsid w:val="0031714E"/>
    <w:rsid w:val="00317F0C"/>
    <w:rsid w:val="003204C2"/>
    <w:rsid w:val="00320CB8"/>
    <w:rsid w:val="0032106D"/>
    <w:rsid w:val="00321EF1"/>
    <w:rsid w:val="003224B9"/>
    <w:rsid w:val="0032251C"/>
    <w:rsid w:val="00322F06"/>
    <w:rsid w:val="003234A8"/>
    <w:rsid w:val="00325E6F"/>
    <w:rsid w:val="00326334"/>
    <w:rsid w:val="0033048F"/>
    <w:rsid w:val="00331255"/>
    <w:rsid w:val="00331336"/>
    <w:rsid w:val="0033203B"/>
    <w:rsid w:val="00332577"/>
    <w:rsid w:val="003329C8"/>
    <w:rsid w:val="00333773"/>
    <w:rsid w:val="00334098"/>
    <w:rsid w:val="00335A1A"/>
    <w:rsid w:val="00335C07"/>
    <w:rsid w:val="0033694E"/>
    <w:rsid w:val="00336E06"/>
    <w:rsid w:val="00337C22"/>
    <w:rsid w:val="003418FE"/>
    <w:rsid w:val="003430A8"/>
    <w:rsid w:val="003432B8"/>
    <w:rsid w:val="00343C81"/>
    <w:rsid w:val="00343F6E"/>
    <w:rsid w:val="0034428B"/>
    <w:rsid w:val="00345BCE"/>
    <w:rsid w:val="00345CDA"/>
    <w:rsid w:val="0034621C"/>
    <w:rsid w:val="003471D2"/>
    <w:rsid w:val="003476E5"/>
    <w:rsid w:val="00350184"/>
    <w:rsid w:val="00350ACB"/>
    <w:rsid w:val="00351493"/>
    <w:rsid w:val="00351879"/>
    <w:rsid w:val="003519C6"/>
    <w:rsid w:val="003534A5"/>
    <w:rsid w:val="00353AE2"/>
    <w:rsid w:val="00354FA0"/>
    <w:rsid w:val="003558C7"/>
    <w:rsid w:val="00355A33"/>
    <w:rsid w:val="00357CEF"/>
    <w:rsid w:val="003602E5"/>
    <w:rsid w:val="00360EDE"/>
    <w:rsid w:val="00361794"/>
    <w:rsid w:val="0036235C"/>
    <w:rsid w:val="003631C5"/>
    <w:rsid w:val="00363989"/>
    <w:rsid w:val="003639D3"/>
    <w:rsid w:val="003647E3"/>
    <w:rsid w:val="0036551C"/>
    <w:rsid w:val="00366957"/>
    <w:rsid w:val="00366E12"/>
    <w:rsid w:val="003706FC"/>
    <w:rsid w:val="0037248B"/>
    <w:rsid w:val="00372E7D"/>
    <w:rsid w:val="0037490A"/>
    <w:rsid w:val="00374965"/>
    <w:rsid w:val="00374FA4"/>
    <w:rsid w:val="00374FCE"/>
    <w:rsid w:val="00376910"/>
    <w:rsid w:val="00376A93"/>
    <w:rsid w:val="003771C7"/>
    <w:rsid w:val="003775A7"/>
    <w:rsid w:val="00381B12"/>
    <w:rsid w:val="00382F49"/>
    <w:rsid w:val="00383070"/>
    <w:rsid w:val="00383222"/>
    <w:rsid w:val="0038340E"/>
    <w:rsid w:val="00383467"/>
    <w:rsid w:val="00384739"/>
    <w:rsid w:val="003850D3"/>
    <w:rsid w:val="003900F3"/>
    <w:rsid w:val="003905F1"/>
    <w:rsid w:val="00390B72"/>
    <w:rsid w:val="00392296"/>
    <w:rsid w:val="00392C93"/>
    <w:rsid w:val="00393B6A"/>
    <w:rsid w:val="00393E55"/>
    <w:rsid w:val="0039438E"/>
    <w:rsid w:val="00394AD4"/>
    <w:rsid w:val="003968CF"/>
    <w:rsid w:val="00397DEF"/>
    <w:rsid w:val="003A010B"/>
    <w:rsid w:val="003A04D0"/>
    <w:rsid w:val="003A09AB"/>
    <w:rsid w:val="003A0BA0"/>
    <w:rsid w:val="003A1219"/>
    <w:rsid w:val="003A21C9"/>
    <w:rsid w:val="003A3C30"/>
    <w:rsid w:val="003A55EE"/>
    <w:rsid w:val="003A6149"/>
    <w:rsid w:val="003A62F5"/>
    <w:rsid w:val="003A646D"/>
    <w:rsid w:val="003A6CD8"/>
    <w:rsid w:val="003A78EC"/>
    <w:rsid w:val="003B01AA"/>
    <w:rsid w:val="003B0AA4"/>
    <w:rsid w:val="003B0B0D"/>
    <w:rsid w:val="003B0C87"/>
    <w:rsid w:val="003B0FED"/>
    <w:rsid w:val="003B20D1"/>
    <w:rsid w:val="003B2965"/>
    <w:rsid w:val="003B2B05"/>
    <w:rsid w:val="003B3BBB"/>
    <w:rsid w:val="003B3CC3"/>
    <w:rsid w:val="003B614F"/>
    <w:rsid w:val="003B73A5"/>
    <w:rsid w:val="003B7E78"/>
    <w:rsid w:val="003C0520"/>
    <w:rsid w:val="003C1363"/>
    <w:rsid w:val="003C1892"/>
    <w:rsid w:val="003C1F2C"/>
    <w:rsid w:val="003C365C"/>
    <w:rsid w:val="003C3C14"/>
    <w:rsid w:val="003C3F0C"/>
    <w:rsid w:val="003C46D0"/>
    <w:rsid w:val="003C6C95"/>
    <w:rsid w:val="003D012A"/>
    <w:rsid w:val="003D16A0"/>
    <w:rsid w:val="003D1BA8"/>
    <w:rsid w:val="003D2D67"/>
    <w:rsid w:val="003D2F3C"/>
    <w:rsid w:val="003D564A"/>
    <w:rsid w:val="003E0C38"/>
    <w:rsid w:val="003E22CA"/>
    <w:rsid w:val="003E3A5E"/>
    <w:rsid w:val="003E3BF6"/>
    <w:rsid w:val="003E3F34"/>
    <w:rsid w:val="003E403B"/>
    <w:rsid w:val="003E48C0"/>
    <w:rsid w:val="003E4A48"/>
    <w:rsid w:val="003E5172"/>
    <w:rsid w:val="003E5539"/>
    <w:rsid w:val="003E5714"/>
    <w:rsid w:val="003E5DAA"/>
    <w:rsid w:val="003E6A9F"/>
    <w:rsid w:val="003E6AB6"/>
    <w:rsid w:val="003E7221"/>
    <w:rsid w:val="003E7C26"/>
    <w:rsid w:val="003E7CEF"/>
    <w:rsid w:val="003F0299"/>
    <w:rsid w:val="003F03FA"/>
    <w:rsid w:val="003F045B"/>
    <w:rsid w:val="003F0D39"/>
    <w:rsid w:val="003F1179"/>
    <w:rsid w:val="003F259B"/>
    <w:rsid w:val="003F2F98"/>
    <w:rsid w:val="003F4603"/>
    <w:rsid w:val="003F46BC"/>
    <w:rsid w:val="003F5CF1"/>
    <w:rsid w:val="003F5D3F"/>
    <w:rsid w:val="003F64B2"/>
    <w:rsid w:val="003F6674"/>
    <w:rsid w:val="003F6909"/>
    <w:rsid w:val="003F691F"/>
    <w:rsid w:val="00401C8B"/>
    <w:rsid w:val="004024B0"/>
    <w:rsid w:val="004025D7"/>
    <w:rsid w:val="004064CE"/>
    <w:rsid w:val="0040664B"/>
    <w:rsid w:val="00406A07"/>
    <w:rsid w:val="00406EB7"/>
    <w:rsid w:val="00406EC9"/>
    <w:rsid w:val="00410A77"/>
    <w:rsid w:val="00411A74"/>
    <w:rsid w:val="00412C4F"/>
    <w:rsid w:val="0041455B"/>
    <w:rsid w:val="00414614"/>
    <w:rsid w:val="0041652D"/>
    <w:rsid w:val="00416612"/>
    <w:rsid w:val="0041686F"/>
    <w:rsid w:val="00416B7F"/>
    <w:rsid w:val="00417277"/>
    <w:rsid w:val="00420146"/>
    <w:rsid w:val="00422A2F"/>
    <w:rsid w:val="00424126"/>
    <w:rsid w:val="004244E1"/>
    <w:rsid w:val="0042611B"/>
    <w:rsid w:val="004262A9"/>
    <w:rsid w:val="004308D6"/>
    <w:rsid w:val="00430A52"/>
    <w:rsid w:val="00430D43"/>
    <w:rsid w:val="00430D7B"/>
    <w:rsid w:val="004317D1"/>
    <w:rsid w:val="004321CF"/>
    <w:rsid w:val="0043282B"/>
    <w:rsid w:val="00433A77"/>
    <w:rsid w:val="0043481D"/>
    <w:rsid w:val="0043532C"/>
    <w:rsid w:val="00435BE0"/>
    <w:rsid w:val="00435E4F"/>
    <w:rsid w:val="00440CB8"/>
    <w:rsid w:val="00440FE5"/>
    <w:rsid w:val="00441059"/>
    <w:rsid w:val="00441ED3"/>
    <w:rsid w:val="0044224A"/>
    <w:rsid w:val="004426B7"/>
    <w:rsid w:val="004458A0"/>
    <w:rsid w:val="00446172"/>
    <w:rsid w:val="004461D5"/>
    <w:rsid w:val="00446875"/>
    <w:rsid w:val="004501F5"/>
    <w:rsid w:val="00452F4F"/>
    <w:rsid w:val="0045381B"/>
    <w:rsid w:val="0045394E"/>
    <w:rsid w:val="00453DF5"/>
    <w:rsid w:val="0045556A"/>
    <w:rsid w:val="00456D6A"/>
    <w:rsid w:val="0045729D"/>
    <w:rsid w:val="004604F6"/>
    <w:rsid w:val="00460B88"/>
    <w:rsid w:val="00461B4A"/>
    <w:rsid w:val="004629A2"/>
    <w:rsid w:val="00463205"/>
    <w:rsid w:val="00463AC7"/>
    <w:rsid w:val="00463C40"/>
    <w:rsid w:val="0046423B"/>
    <w:rsid w:val="004677AA"/>
    <w:rsid w:val="00467FE7"/>
    <w:rsid w:val="004706D1"/>
    <w:rsid w:val="00470B7D"/>
    <w:rsid w:val="00471A07"/>
    <w:rsid w:val="00472505"/>
    <w:rsid w:val="00473C4E"/>
    <w:rsid w:val="00475116"/>
    <w:rsid w:val="0047608F"/>
    <w:rsid w:val="0047672D"/>
    <w:rsid w:val="004769A2"/>
    <w:rsid w:val="00477109"/>
    <w:rsid w:val="00477E44"/>
    <w:rsid w:val="004809AE"/>
    <w:rsid w:val="00480A54"/>
    <w:rsid w:val="00480D26"/>
    <w:rsid w:val="00481297"/>
    <w:rsid w:val="00481323"/>
    <w:rsid w:val="0048163C"/>
    <w:rsid w:val="004817EA"/>
    <w:rsid w:val="004818AF"/>
    <w:rsid w:val="00482EE8"/>
    <w:rsid w:val="00483369"/>
    <w:rsid w:val="00483B77"/>
    <w:rsid w:val="00483B91"/>
    <w:rsid w:val="004847AF"/>
    <w:rsid w:val="00484EAB"/>
    <w:rsid w:val="00485CB3"/>
    <w:rsid w:val="004865CC"/>
    <w:rsid w:val="00486D3E"/>
    <w:rsid w:val="004874AD"/>
    <w:rsid w:val="00487807"/>
    <w:rsid w:val="00487837"/>
    <w:rsid w:val="004905BF"/>
    <w:rsid w:val="00490A13"/>
    <w:rsid w:val="0049197C"/>
    <w:rsid w:val="00492126"/>
    <w:rsid w:val="004925A9"/>
    <w:rsid w:val="00492B91"/>
    <w:rsid w:val="0049352C"/>
    <w:rsid w:val="00493756"/>
    <w:rsid w:val="00494308"/>
    <w:rsid w:val="00494D9B"/>
    <w:rsid w:val="004952BF"/>
    <w:rsid w:val="00495397"/>
    <w:rsid w:val="0049690E"/>
    <w:rsid w:val="0049761E"/>
    <w:rsid w:val="004A1106"/>
    <w:rsid w:val="004A2218"/>
    <w:rsid w:val="004A28B5"/>
    <w:rsid w:val="004A3E07"/>
    <w:rsid w:val="004A52D1"/>
    <w:rsid w:val="004A57FF"/>
    <w:rsid w:val="004A5FF7"/>
    <w:rsid w:val="004B17D9"/>
    <w:rsid w:val="004B1B67"/>
    <w:rsid w:val="004B3387"/>
    <w:rsid w:val="004B419B"/>
    <w:rsid w:val="004B46DB"/>
    <w:rsid w:val="004B4D48"/>
    <w:rsid w:val="004B551A"/>
    <w:rsid w:val="004B56C4"/>
    <w:rsid w:val="004B6FA7"/>
    <w:rsid w:val="004B7B88"/>
    <w:rsid w:val="004B7F70"/>
    <w:rsid w:val="004B7F72"/>
    <w:rsid w:val="004C0208"/>
    <w:rsid w:val="004C05EF"/>
    <w:rsid w:val="004C1EE2"/>
    <w:rsid w:val="004C1F0A"/>
    <w:rsid w:val="004C3A73"/>
    <w:rsid w:val="004C408A"/>
    <w:rsid w:val="004C4733"/>
    <w:rsid w:val="004C4DBA"/>
    <w:rsid w:val="004C6ACF"/>
    <w:rsid w:val="004C756E"/>
    <w:rsid w:val="004C7713"/>
    <w:rsid w:val="004D127A"/>
    <w:rsid w:val="004D1481"/>
    <w:rsid w:val="004D1954"/>
    <w:rsid w:val="004D195F"/>
    <w:rsid w:val="004D20F4"/>
    <w:rsid w:val="004D2997"/>
    <w:rsid w:val="004D4153"/>
    <w:rsid w:val="004D5142"/>
    <w:rsid w:val="004D68CD"/>
    <w:rsid w:val="004D6B74"/>
    <w:rsid w:val="004E14E7"/>
    <w:rsid w:val="004E2932"/>
    <w:rsid w:val="004E3460"/>
    <w:rsid w:val="004E3F24"/>
    <w:rsid w:val="004E4132"/>
    <w:rsid w:val="004E5408"/>
    <w:rsid w:val="004E6689"/>
    <w:rsid w:val="004E6EA2"/>
    <w:rsid w:val="004E7254"/>
    <w:rsid w:val="004E7F60"/>
    <w:rsid w:val="004F0F12"/>
    <w:rsid w:val="004F21A5"/>
    <w:rsid w:val="004F22DE"/>
    <w:rsid w:val="004F2D3C"/>
    <w:rsid w:val="004F378B"/>
    <w:rsid w:val="004F51D3"/>
    <w:rsid w:val="004F6E1A"/>
    <w:rsid w:val="004F70EA"/>
    <w:rsid w:val="004F74FA"/>
    <w:rsid w:val="004F7AA9"/>
    <w:rsid w:val="004F7EA2"/>
    <w:rsid w:val="00502FE5"/>
    <w:rsid w:val="00503143"/>
    <w:rsid w:val="0050323A"/>
    <w:rsid w:val="00503383"/>
    <w:rsid w:val="0050371A"/>
    <w:rsid w:val="00504251"/>
    <w:rsid w:val="00504588"/>
    <w:rsid w:val="005049CD"/>
    <w:rsid w:val="00504C66"/>
    <w:rsid w:val="00505339"/>
    <w:rsid w:val="005060D8"/>
    <w:rsid w:val="0050613C"/>
    <w:rsid w:val="00506686"/>
    <w:rsid w:val="005067A0"/>
    <w:rsid w:val="005077C5"/>
    <w:rsid w:val="00511323"/>
    <w:rsid w:val="0051155A"/>
    <w:rsid w:val="00511601"/>
    <w:rsid w:val="005120E4"/>
    <w:rsid w:val="00512C68"/>
    <w:rsid w:val="00512E73"/>
    <w:rsid w:val="00513848"/>
    <w:rsid w:val="005140C5"/>
    <w:rsid w:val="0051423B"/>
    <w:rsid w:val="0051463E"/>
    <w:rsid w:val="00514B09"/>
    <w:rsid w:val="00514E7D"/>
    <w:rsid w:val="0051503E"/>
    <w:rsid w:val="005156B1"/>
    <w:rsid w:val="00516135"/>
    <w:rsid w:val="0051680B"/>
    <w:rsid w:val="00520498"/>
    <w:rsid w:val="00520C13"/>
    <w:rsid w:val="00520DCB"/>
    <w:rsid w:val="005227BC"/>
    <w:rsid w:val="00522CFC"/>
    <w:rsid w:val="00522F98"/>
    <w:rsid w:val="005244C9"/>
    <w:rsid w:val="005251DB"/>
    <w:rsid w:val="00526B4B"/>
    <w:rsid w:val="005277E7"/>
    <w:rsid w:val="0053006D"/>
    <w:rsid w:val="00530977"/>
    <w:rsid w:val="005317EE"/>
    <w:rsid w:val="00532119"/>
    <w:rsid w:val="00532510"/>
    <w:rsid w:val="005326A8"/>
    <w:rsid w:val="00532CD2"/>
    <w:rsid w:val="00534818"/>
    <w:rsid w:val="00534832"/>
    <w:rsid w:val="005350E5"/>
    <w:rsid w:val="00537064"/>
    <w:rsid w:val="005409A2"/>
    <w:rsid w:val="005415C3"/>
    <w:rsid w:val="00543729"/>
    <w:rsid w:val="005455D9"/>
    <w:rsid w:val="005465F2"/>
    <w:rsid w:val="00550497"/>
    <w:rsid w:val="00550EE5"/>
    <w:rsid w:val="0055231F"/>
    <w:rsid w:val="00553388"/>
    <w:rsid w:val="005536AF"/>
    <w:rsid w:val="00553733"/>
    <w:rsid w:val="00553D8B"/>
    <w:rsid w:val="00554271"/>
    <w:rsid w:val="005542F0"/>
    <w:rsid w:val="00555012"/>
    <w:rsid w:val="0055605A"/>
    <w:rsid w:val="00556CC6"/>
    <w:rsid w:val="00556DBE"/>
    <w:rsid w:val="0056058D"/>
    <w:rsid w:val="0056170E"/>
    <w:rsid w:val="0056224A"/>
    <w:rsid w:val="005639E7"/>
    <w:rsid w:val="00564B54"/>
    <w:rsid w:val="00567332"/>
    <w:rsid w:val="0056784B"/>
    <w:rsid w:val="00570044"/>
    <w:rsid w:val="00571F02"/>
    <w:rsid w:val="0057276A"/>
    <w:rsid w:val="00573DFC"/>
    <w:rsid w:val="00574095"/>
    <w:rsid w:val="00574A37"/>
    <w:rsid w:val="00574B4C"/>
    <w:rsid w:val="0057581A"/>
    <w:rsid w:val="00577246"/>
    <w:rsid w:val="005772D5"/>
    <w:rsid w:val="0057742C"/>
    <w:rsid w:val="00580735"/>
    <w:rsid w:val="00581486"/>
    <w:rsid w:val="00584D00"/>
    <w:rsid w:val="00584D05"/>
    <w:rsid w:val="00585709"/>
    <w:rsid w:val="00586912"/>
    <w:rsid w:val="00586D58"/>
    <w:rsid w:val="00587140"/>
    <w:rsid w:val="005916FF"/>
    <w:rsid w:val="00591F30"/>
    <w:rsid w:val="00592690"/>
    <w:rsid w:val="005927D6"/>
    <w:rsid w:val="00593021"/>
    <w:rsid w:val="0059355B"/>
    <w:rsid w:val="00593627"/>
    <w:rsid w:val="00594060"/>
    <w:rsid w:val="005940A6"/>
    <w:rsid w:val="0059458C"/>
    <w:rsid w:val="0059511E"/>
    <w:rsid w:val="00595C1F"/>
    <w:rsid w:val="005964C3"/>
    <w:rsid w:val="00596796"/>
    <w:rsid w:val="00596B18"/>
    <w:rsid w:val="005A0456"/>
    <w:rsid w:val="005A091E"/>
    <w:rsid w:val="005A1452"/>
    <w:rsid w:val="005A2129"/>
    <w:rsid w:val="005A2511"/>
    <w:rsid w:val="005A68D2"/>
    <w:rsid w:val="005A6D7F"/>
    <w:rsid w:val="005B09E4"/>
    <w:rsid w:val="005B1B84"/>
    <w:rsid w:val="005B2D91"/>
    <w:rsid w:val="005B2F49"/>
    <w:rsid w:val="005B383F"/>
    <w:rsid w:val="005B4AC3"/>
    <w:rsid w:val="005B4B6E"/>
    <w:rsid w:val="005B5314"/>
    <w:rsid w:val="005B72BF"/>
    <w:rsid w:val="005B73DA"/>
    <w:rsid w:val="005B7EA6"/>
    <w:rsid w:val="005C17E6"/>
    <w:rsid w:val="005C1CAB"/>
    <w:rsid w:val="005C1EC7"/>
    <w:rsid w:val="005C313E"/>
    <w:rsid w:val="005C34D3"/>
    <w:rsid w:val="005C3934"/>
    <w:rsid w:val="005C3C41"/>
    <w:rsid w:val="005C400D"/>
    <w:rsid w:val="005C5374"/>
    <w:rsid w:val="005C59FF"/>
    <w:rsid w:val="005C5B1F"/>
    <w:rsid w:val="005C5C36"/>
    <w:rsid w:val="005C7153"/>
    <w:rsid w:val="005C783F"/>
    <w:rsid w:val="005C7DBC"/>
    <w:rsid w:val="005D10D9"/>
    <w:rsid w:val="005D1D2E"/>
    <w:rsid w:val="005D27A3"/>
    <w:rsid w:val="005D2A14"/>
    <w:rsid w:val="005D3DBC"/>
    <w:rsid w:val="005D43EF"/>
    <w:rsid w:val="005D47F9"/>
    <w:rsid w:val="005D583D"/>
    <w:rsid w:val="005D5C1D"/>
    <w:rsid w:val="005D5FCA"/>
    <w:rsid w:val="005E25F8"/>
    <w:rsid w:val="005E29F6"/>
    <w:rsid w:val="005E3C94"/>
    <w:rsid w:val="005E7219"/>
    <w:rsid w:val="005F28B7"/>
    <w:rsid w:val="005F3E97"/>
    <w:rsid w:val="005F4470"/>
    <w:rsid w:val="005F5E30"/>
    <w:rsid w:val="005F670F"/>
    <w:rsid w:val="00600554"/>
    <w:rsid w:val="00600D86"/>
    <w:rsid w:val="006010F7"/>
    <w:rsid w:val="006040BA"/>
    <w:rsid w:val="006041E3"/>
    <w:rsid w:val="00604392"/>
    <w:rsid w:val="00607C75"/>
    <w:rsid w:val="006101BF"/>
    <w:rsid w:val="006109EB"/>
    <w:rsid w:val="00610D43"/>
    <w:rsid w:val="006116A0"/>
    <w:rsid w:val="00612DD0"/>
    <w:rsid w:val="00614B63"/>
    <w:rsid w:val="00616B69"/>
    <w:rsid w:val="00620FF3"/>
    <w:rsid w:val="00621BF4"/>
    <w:rsid w:val="00622B5E"/>
    <w:rsid w:val="00622BF7"/>
    <w:rsid w:val="00622CB4"/>
    <w:rsid w:val="00622CD9"/>
    <w:rsid w:val="00622FDE"/>
    <w:rsid w:val="0062381A"/>
    <w:rsid w:val="006241F4"/>
    <w:rsid w:val="0062557E"/>
    <w:rsid w:val="00625983"/>
    <w:rsid w:val="00626129"/>
    <w:rsid w:val="006274BE"/>
    <w:rsid w:val="00630E85"/>
    <w:rsid w:val="00630EB7"/>
    <w:rsid w:val="00631817"/>
    <w:rsid w:val="00635234"/>
    <w:rsid w:val="0063583A"/>
    <w:rsid w:val="00636069"/>
    <w:rsid w:val="00636921"/>
    <w:rsid w:val="00636C90"/>
    <w:rsid w:val="00636F66"/>
    <w:rsid w:val="0064086F"/>
    <w:rsid w:val="00640A13"/>
    <w:rsid w:val="0064197A"/>
    <w:rsid w:val="0064240D"/>
    <w:rsid w:val="00643DE0"/>
    <w:rsid w:val="006448EF"/>
    <w:rsid w:val="00647F65"/>
    <w:rsid w:val="006503C2"/>
    <w:rsid w:val="00650B73"/>
    <w:rsid w:val="0065111E"/>
    <w:rsid w:val="00651536"/>
    <w:rsid w:val="0065232D"/>
    <w:rsid w:val="00655165"/>
    <w:rsid w:val="0065542B"/>
    <w:rsid w:val="00655458"/>
    <w:rsid w:val="006564A5"/>
    <w:rsid w:val="00656AAB"/>
    <w:rsid w:val="00657590"/>
    <w:rsid w:val="00657EB4"/>
    <w:rsid w:val="00660621"/>
    <w:rsid w:val="006611E7"/>
    <w:rsid w:val="00661BD9"/>
    <w:rsid w:val="006626B0"/>
    <w:rsid w:val="00663068"/>
    <w:rsid w:val="00663289"/>
    <w:rsid w:val="00663539"/>
    <w:rsid w:val="00663595"/>
    <w:rsid w:val="00663C36"/>
    <w:rsid w:val="006653F9"/>
    <w:rsid w:val="00667236"/>
    <w:rsid w:val="006677FF"/>
    <w:rsid w:val="00670CB4"/>
    <w:rsid w:val="006718B4"/>
    <w:rsid w:val="00671D27"/>
    <w:rsid w:val="00674E3F"/>
    <w:rsid w:val="006754FF"/>
    <w:rsid w:val="0067566A"/>
    <w:rsid w:val="006771AC"/>
    <w:rsid w:val="006771FD"/>
    <w:rsid w:val="00677E2B"/>
    <w:rsid w:val="0068134F"/>
    <w:rsid w:val="006815CE"/>
    <w:rsid w:val="00682C7D"/>
    <w:rsid w:val="006835FC"/>
    <w:rsid w:val="0068427E"/>
    <w:rsid w:val="00684B65"/>
    <w:rsid w:val="00686E67"/>
    <w:rsid w:val="0069007B"/>
    <w:rsid w:val="006913DA"/>
    <w:rsid w:val="00692519"/>
    <w:rsid w:val="00692E1F"/>
    <w:rsid w:val="00693504"/>
    <w:rsid w:val="0069412A"/>
    <w:rsid w:val="006951C8"/>
    <w:rsid w:val="00695369"/>
    <w:rsid w:val="00695626"/>
    <w:rsid w:val="006968E4"/>
    <w:rsid w:val="00696B73"/>
    <w:rsid w:val="00696C4E"/>
    <w:rsid w:val="006973BE"/>
    <w:rsid w:val="0069754C"/>
    <w:rsid w:val="006975DB"/>
    <w:rsid w:val="00697ED9"/>
    <w:rsid w:val="006A1475"/>
    <w:rsid w:val="006A1481"/>
    <w:rsid w:val="006A1788"/>
    <w:rsid w:val="006A288B"/>
    <w:rsid w:val="006A32B7"/>
    <w:rsid w:val="006A3317"/>
    <w:rsid w:val="006A33C6"/>
    <w:rsid w:val="006A3A59"/>
    <w:rsid w:val="006A7201"/>
    <w:rsid w:val="006A7B0A"/>
    <w:rsid w:val="006B0843"/>
    <w:rsid w:val="006B253D"/>
    <w:rsid w:val="006B2B32"/>
    <w:rsid w:val="006B5C79"/>
    <w:rsid w:val="006B6B94"/>
    <w:rsid w:val="006B708A"/>
    <w:rsid w:val="006B7311"/>
    <w:rsid w:val="006B7E69"/>
    <w:rsid w:val="006C00E3"/>
    <w:rsid w:val="006C11E6"/>
    <w:rsid w:val="006C199B"/>
    <w:rsid w:val="006C1CED"/>
    <w:rsid w:val="006C1ED5"/>
    <w:rsid w:val="006C3EC9"/>
    <w:rsid w:val="006C592B"/>
    <w:rsid w:val="006C6295"/>
    <w:rsid w:val="006C6BD8"/>
    <w:rsid w:val="006C78A7"/>
    <w:rsid w:val="006C7D0F"/>
    <w:rsid w:val="006D0BBB"/>
    <w:rsid w:val="006D13BD"/>
    <w:rsid w:val="006D1991"/>
    <w:rsid w:val="006D1A7C"/>
    <w:rsid w:val="006D2A5B"/>
    <w:rsid w:val="006D2BC7"/>
    <w:rsid w:val="006D36A0"/>
    <w:rsid w:val="006D40CE"/>
    <w:rsid w:val="006D6351"/>
    <w:rsid w:val="006D7EE5"/>
    <w:rsid w:val="006E05C0"/>
    <w:rsid w:val="006E07E2"/>
    <w:rsid w:val="006E0ECF"/>
    <w:rsid w:val="006E130B"/>
    <w:rsid w:val="006E2CC9"/>
    <w:rsid w:val="006E3712"/>
    <w:rsid w:val="006E3AAB"/>
    <w:rsid w:val="006E3D06"/>
    <w:rsid w:val="006E609D"/>
    <w:rsid w:val="006E686C"/>
    <w:rsid w:val="006F068B"/>
    <w:rsid w:val="006F09C1"/>
    <w:rsid w:val="006F0E08"/>
    <w:rsid w:val="006F0F43"/>
    <w:rsid w:val="006F1227"/>
    <w:rsid w:val="006F3D35"/>
    <w:rsid w:val="006F4BD2"/>
    <w:rsid w:val="006F4E56"/>
    <w:rsid w:val="006F5477"/>
    <w:rsid w:val="006F55AD"/>
    <w:rsid w:val="006F7139"/>
    <w:rsid w:val="006F7E72"/>
    <w:rsid w:val="007000CD"/>
    <w:rsid w:val="00700BF0"/>
    <w:rsid w:val="00701592"/>
    <w:rsid w:val="0070185D"/>
    <w:rsid w:val="00703599"/>
    <w:rsid w:val="00703DE7"/>
    <w:rsid w:val="00703F6D"/>
    <w:rsid w:val="00705AB9"/>
    <w:rsid w:val="007061A4"/>
    <w:rsid w:val="00712A00"/>
    <w:rsid w:val="0071409E"/>
    <w:rsid w:val="00714371"/>
    <w:rsid w:val="00714CA0"/>
    <w:rsid w:val="0071526B"/>
    <w:rsid w:val="00716905"/>
    <w:rsid w:val="0071702B"/>
    <w:rsid w:val="00717D9C"/>
    <w:rsid w:val="00717E92"/>
    <w:rsid w:val="00720358"/>
    <w:rsid w:val="007215B9"/>
    <w:rsid w:val="007228B6"/>
    <w:rsid w:val="00722F5C"/>
    <w:rsid w:val="0072318D"/>
    <w:rsid w:val="0072350E"/>
    <w:rsid w:val="00724721"/>
    <w:rsid w:val="00725C93"/>
    <w:rsid w:val="00726D32"/>
    <w:rsid w:val="00730A61"/>
    <w:rsid w:val="00730D70"/>
    <w:rsid w:val="00730DE3"/>
    <w:rsid w:val="00731138"/>
    <w:rsid w:val="00731262"/>
    <w:rsid w:val="00731414"/>
    <w:rsid w:val="007321B0"/>
    <w:rsid w:val="007332C2"/>
    <w:rsid w:val="00733F85"/>
    <w:rsid w:val="00734581"/>
    <w:rsid w:val="007349CF"/>
    <w:rsid w:val="0073503D"/>
    <w:rsid w:val="0074084D"/>
    <w:rsid w:val="007409C4"/>
    <w:rsid w:val="007410FC"/>
    <w:rsid w:val="0074204E"/>
    <w:rsid w:val="007426E5"/>
    <w:rsid w:val="007439C9"/>
    <w:rsid w:val="007444B7"/>
    <w:rsid w:val="00744FE1"/>
    <w:rsid w:val="00745459"/>
    <w:rsid w:val="00746F6C"/>
    <w:rsid w:val="0074741C"/>
    <w:rsid w:val="00747435"/>
    <w:rsid w:val="00747ED6"/>
    <w:rsid w:val="0075039D"/>
    <w:rsid w:val="00750677"/>
    <w:rsid w:val="00750B7B"/>
    <w:rsid w:val="00751329"/>
    <w:rsid w:val="007517E1"/>
    <w:rsid w:val="0075256A"/>
    <w:rsid w:val="00752DE1"/>
    <w:rsid w:val="00753C64"/>
    <w:rsid w:val="00753D3F"/>
    <w:rsid w:val="00753EB4"/>
    <w:rsid w:val="00754461"/>
    <w:rsid w:val="00754D67"/>
    <w:rsid w:val="00756CDC"/>
    <w:rsid w:val="00757A7B"/>
    <w:rsid w:val="00760394"/>
    <w:rsid w:val="00760FA2"/>
    <w:rsid w:val="00761C2E"/>
    <w:rsid w:val="00762F38"/>
    <w:rsid w:val="007630CC"/>
    <w:rsid w:val="00763AF4"/>
    <w:rsid w:val="0076486D"/>
    <w:rsid w:val="007648B4"/>
    <w:rsid w:val="00764F2D"/>
    <w:rsid w:val="007658C9"/>
    <w:rsid w:val="0076596D"/>
    <w:rsid w:val="00765B7C"/>
    <w:rsid w:val="00765CB2"/>
    <w:rsid w:val="00765E79"/>
    <w:rsid w:val="00766FA9"/>
    <w:rsid w:val="0076703F"/>
    <w:rsid w:val="00767C04"/>
    <w:rsid w:val="00770385"/>
    <w:rsid w:val="0077198B"/>
    <w:rsid w:val="00772B83"/>
    <w:rsid w:val="007730CD"/>
    <w:rsid w:val="007733C8"/>
    <w:rsid w:val="007767A2"/>
    <w:rsid w:val="00777B81"/>
    <w:rsid w:val="007839C8"/>
    <w:rsid w:val="00783B4A"/>
    <w:rsid w:val="00783DBA"/>
    <w:rsid w:val="0078402F"/>
    <w:rsid w:val="00784CB7"/>
    <w:rsid w:val="00785F2A"/>
    <w:rsid w:val="007860FF"/>
    <w:rsid w:val="00786A7D"/>
    <w:rsid w:val="00787304"/>
    <w:rsid w:val="007906A9"/>
    <w:rsid w:val="00791B53"/>
    <w:rsid w:val="00791D6E"/>
    <w:rsid w:val="0079207E"/>
    <w:rsid w:val="00792D78"/>
    <w:rsid w:val="00792ED3"/>
    <w:rsid w:val="0079343A"/>
    <w:rsid w:val="00794031"/>
    <w:rsid w:val="0079456E"/>
    <w:rsid w:val="0079478E"/>
    <w:rsid w:val="007955F6"/>
    <w:rsid w:val="00795D75"/>
    <w:rsid w:val="00796E8F"/>
    <w:rsid w:val="00797256"/>
    <w:rsid w:val="00797743"/>
    <w:rsid w:val="007979F1"/>
    <w:rsid w:val="00797D6E"/>
    <w:rsid w:val="007A3454"/>
    <w:rsid w:val="007A36D1"/>
    <w:rsid w:val="007A42BA"/>
    <w:rsid w:val="007A5B98"/>
    <w:rsid w:val="007A71EB"/>
    <w:rsid w:val="007A73CE"/>
    <w:rsid w:val="007B0881"/>
    <w:rsid w:val="007B1699"/>
    <w:rsid w:val="007B26BD"/>
    <w:rsid w:val="007B43C0"/>
    <w:rsid w:val="007B51BF"/>
    <w:rsid w:val="007B5398"/>
    <w:rsid w:val="007B5499"/>
    <w:rsid w:val="007B6288"/>
    <w:rsid w:val="007C04FF"/>
    <w:rsid w:val="007C2391"/>
    <w:rsid w:val="007C4429"/>
    <w:rsid w:val="007C454E"/>
    <w:rsid w:val="007C5BD9"/>
    <w:rsid w:val="007C6C94"/>
    <w:rsid w:val="007C7244"/>
    <w:rsid w:val="007C735A"/>
    <w:rsid w:val="007D1248"/>
    <w:rsid w:val="007D1FD9"/>
    <w:rsid w:val="007D26DC"/>
    <w:rsid w:val="007D29A2"/>
    <w:rsid w:val="007D3357"/>
    <w:rsid w:val="007D355A"/>
    <w:rsid w:val="007D395E"/>
    <w:rsid w:val="007D39A2"/>
    <w:rsid w:val="007D3E38"/>
    <w:rsid w:val="007D4411"/>
    <w:rsid w:val="007D489B"/>
    <w:rsid w:val="007D4F13"/>
    <w:rsid w:val="007D607C"/>
    <w:rsid w:val="007E071E"/>
    <w:rsid w:val="007E07A6"/>
    <w:rsid w:val="007E1274"/>
    <w:rsid w:val="007E2592"/>
    <w:rsid w:val="007E2A74"/>
    <w:rsid w:val="007E2B91"/>
    <w:rsid w:val="007E4B0A"/>
    <w:rsid w:val="007E52C6"/>
    <w:rsid w:val="007E5BFB"/>
    <w:rsid w:val="007F105F"/>
    <w:rsid w:val="007F2E2E"/>
    <w:rsid w:val="007F30E2"/>
    <w:rsid w:val="007F353C"/>
    <w:rsid w:val="007F452C"/>
    <w:rsid w:val="007F4851"/>
    <w:rsid w:val="007F4D80"/>
    <w:rsid w:val="007F53F5"/>
    <w:rsid w:val="007F7593"/>
    <w:rsid w:val="00801585"/>
    <w:rsid w:val="008034AE"/>
    <w:rsid w:val="00804BB7"/>
    <w:rsid w:val="00805B4F"/>
    <w:rsid w:val="0080634F"/>
    <w:rsid w:val="0080644F"/>
    <w:rsid w:val="00806476"/>
    <w:rsid w:val="008069B2"/>
    <w:rsid w:val="00806F5C"/>
    <w:rsid w:val="00807800"/>
    <w:rsid w:val="00810A8E"/>
    <w:rsid w:val="008121C1"/>
    <w:rsid w:val="008127BA"/>
    <w:rsid w:val="00812B08"/>
    <w:rsid w:val="00814786"/>
    <w:rsid w:val="00814D6F"/>
    <w:rsid w:val="0081588B"/>
    <w:rsid w:val="008159BD"/>
    <w:rsid w:val="008161D3"/>
    <w:rsid w:val="00816448"/>
    <w:rsid w:val="008165E6"/>
    <w:rsid w:val="00816649"/>
    <w:rsid w:val="00816C0E"/>
    <w:rsid w:val="00816E8B"/>
    <w:rsid w:val="00817510"/>
    <w:rsid w:val="008176A9"/>
    <w:rsid w:val="008177AA"/>
    <w:rsid w:val="00817986"/>
    <w:rsid w:val="008179C8"/>
    <w:rsid w:val="00820232"/>
    <w:rsid w:val="008206F5"/>
    <w:rsid w:val="008208D8"/>
    <w:rsid w:val="00821703"/>
    <w:rsid w:val="00822A62"/>
    <w:rsid w:val="008236A8"/>
    <w:rsid w:val="00823959"/>
    <w:rsid w:val="00823E9A"/>
    <w:rsid w:val="008253B7"/>
    <w:rsid w:val="008255A6"/>
    <w:rsid w:val="0082653F"/>
    <w:rsid w:val="008266B5"/>
    <w:rsid w:val="00826D17"/>
    <w:rsid w:val="008303F2"/>
    <w:rsid w:val="00830B75"/>
    <w:rsid w:val="0083102C"/>
    <w:rsid w:val="00832D70"/>
    <w:rsid w:val="00833B29"/>
    <w:rsid w:val="00834A41"/>
    <w:rsid w:val="00835214"/>
    <w:rsid w:val="00835EAC"/>
    <w:rsid w:val="008361A4"/>
    <w:rsid w:val="00836CB3"/>
    <w:rsid w:val="0083744E"/>
    <w:rsid w:val="00837A9D"/>
    <w:rsid w:val="008406E4"/>
    <w:rsid w:val="008410E4"/>
    <w:rsid w:val="00841E62"/>
    <w:rsid w:val="008421E5"/>
    <w:rsid w:val="00842633"/>
    <w:rsid w:val="008426C1"/>
    <w:rsid w:val="00842934"/>
    <w:rsid w:val="00842E3C"/>
    <w:rsid w:val="008462C8"/>
    <w:rsid w:val="00846920"/>
    <w:rsid w:val="008500DC"/>
    <w:rsid w:val="00850563"/>
    <w:rsid w:val="00852502"/>
    <w:rsid w:val="00853C5F"/>
    <w:rsid w:val="0085587D"/>
    <w:rsid w:val="008565AD"/>
    <w:rsid w:val="00861CA7"/>
    <w:rsid w:val="00863D38"/>
    <w:rsid w:val="00867A01"/>
    <w:rsid w:val="0087085D"/>
    <w:rsid w:val="00870C79"/>
    <w:rsid w:val="00871F72"/>
    <w:rsid w:val="00872545"/>
    <w:rsid w:val="00873718"/>
    <w:rsid w:val="00873A11"/>
    <w:rsid w:val="00875F1D"/>
    <w:rsid w:val="00876D3E"/>
    <w:rsid w:val="00876FD3"/>
    <w:rsid w:val="0088177C"/>
    <w:rsid w:val="00884BFF"/>
    <w:rsid w:val="008858B6"/>
    <w:rsid w:val="008862D1"/>
    <w:rsid w:val="00886D6D"/>
    <w:rsid w:val="00890493"/>
    <w:rsid w:val="008911A0"/>
    <w:rsid w:val="00892875"/>
    <w:rsid w:val="00892F39"/>
    <w:rsid w:val="00893806"/>
    <w:rsid w:val="0089427A"/>
    <w:rsid w:val="00895C35"/>
    <w:rsid w:val="0089625D"/>
    <w:rsid w:val="008962D3"/>
    <w:rsid w:val="0089747C"/>
    <w:rsid w:val="00897BF3"/>
    <w:rsid w:val="00897F16"/>
    <w:rsid w:val="008A11A8"/>
    <w:rsid w:val="008A11AD"/>
    <w:rsid w:val="008A1ED3"/>
    <w:rsid w:val="008A225A"/>
    <w:rsid w:val="008A38BA"/>
    <w:rsid w:val="008A394C"/>
    <w:rsid w:val="008A55AC"/>
    <w:rsid w:val="008A5A45"/>
    <w:rsid w:val="008A5B01"/>
    <w:rsid w:val="008A63FC"/>
    <w:rsid w:val="008A66B5"/>
    <w:rsid w:val="008A753E"/>
    <w:rsid w:val="008A7A0E"/>
    <w:rsid w:val="008B07B7"/>
    <w:rsid w:val="008B1889"/>
    <w:rsid w:val="008B282F"/>
    <w:rsid w:val="008B4B92"/>
    <w:rsid w:val="008B6127"/>
    <w:rsid w:val="008B6ADB"/>
    <w:rsid w:val="008B6B40"/>
    <w:rsid w:val="008C01EC"/>
    <w:rsid w:val="008C053C"/>
    <w:rsid w:val="008C05FC"/>
    <w:rsid w:val="008C06BA"/>
    <w:rsid w:val="008C08E1"/>
    <w:rsid w:val="008C37D9"/>
    <w:rsid w:val="008C427A"/>
    <w:rsid w:val="008C4584"/>
    <w:rsid w:val="008C5EB2"/>
    <w:rsid w:val="008C7680"/>
    <w:rsid w:val="008D0C8F"/>
    <w:rsid w:val="008D1380"/>
    <w:rsid w:val="008D14B4"/>
    <w:rsid w:val="008D1E06"/>
    <w:rsid w:val="008D2D07"/>
    <w:rsid w:val="008D2DDB"/>
    <w:rsid w:val="008D3FC3"/>
    <w:rsid w:val="008D4366"/>
    <w:rsid w:val="008D5652"/>
    <w:rsid w:val="008D5A90"/>
    <w:rsid w:val="008D66B7"/>
    <w:rsid w:val="008D6B4F"/>
    <w:rsid w:val="008D6B70"/>
    <w:rsid w:val="008D6C38"/>
    <w:rsid w:val="008D72BA"/>
    <w:rsid w:val="008D7F2E"/>
    <w:rsid w:val="008E0EB1"/>
    <w:rsid w:val="008E14D7"/>
    <w:rsid w:val="008E1AD5"/>
    <w:rsid w:val="008E1FB6"/>
    <w:rsid w:val="008E278D"/>
    <w:rsid w:val="008E3668"/>
    <w:rsid w:val="008E434C"/>
    <w:rsid w:val="008E446B"/>
    <w:rsid w:val="008E5F56"/>
    <w:rsid w:val="008E6765"/>
    <w:rsid w:val="008E6FA8"/>
    <w:rsid w:val="008E781B"/>
    <w:rsid w:val="008F00F2"/>
    <w:rsid w:val="008F1406"/>
    <w:rsid w:val="008F27E4"/>
    <w:rsid w:val="008F2C34"/>
    <w:rsid w:val="008F2CEE"/>
    <w:rsid w:val="008F2F19"/>
    <w:rsid w:val="008F3F98"/>
    <w:rsid w:val="008F506F"/>
    <w:rsid w:val="008F515C"/>
    <w:rsid w:val="008F5AC6"/>
    <w:rsid w:val="008F7134"/>
    <w:rsid w:val="008F74BF"/>
    <w:rsid w:val="008F7ACA"/>
    <w:rsid w:val="008F7BEF"/>
    <w:rsid w:val="00901A99"/>
    <w:rsid w:val="00902CC7"/>
    <w:rsid w:val="00903513"/>
    <w:rsid w:val="0090536D"/>
    <w:rsid w:val="009053F0"/>
    <w:rsid w:val="00905B88"/>
    <w:rsid w:val="0090614B"/>
    <w:rsid w:val="00906756"/>
    <w:rsid w:val="0090733F"/>
    <w:rsid w:val="00910118"/>
    <w:rsid w:val="00910220"/>
    <w:rsid w:val="009113C3"/>
    <w:rsid w:val="00912550"/>
    <w:rsid w:val="00912967"/>
    <w:rsid w:val="00912B31"/>
    <w:rsid w:val="00912DC2"/>
    <w:rsid w:val="00912EA4"/>
    <w:rsid w:val="00913955"/>
    <w:rsid w:val="00913A2E"/>
    <w:rsid w:val="0091618F"/>
    <w:rsid w:val="00920944"/>
    <w:rsid w:val="00920C8D"/>
    <w:rsid w:val="009218D3"/>
    <w:rsid w:val="0092229A"/>
    <w:rsid w:val="00923100"/>
    <w:rsid w:val="00923D97"/>
    <w:rsid w:val="009258E5"/>
    <w:rsid w:val="00925A7B"/>
    <w:rsid w:val="009267F5"/>
    <w:rsid w:val="009303BB"/>
    <w:rsid w:val="009306C4"/>
    <w:rsid w:val="00931B7C"/>
    <w:rsid w:val="00931BD2"/>
    <w:rsid w:val="00932D46"/>
    <w:rsid w:val="00934F9C"/>
    <w:rsid w:val="009354F2"/>
    <w:rsid w:val="009354F9"/>
    <w:rsid w:val="009404B7"/>
    <w:rsid w:val="00940727"/>
    <w:rsid w:val="00941990"/>
    <w:rsid w:val="00942E24"/>
    <w:rsid w:val="009431BC"/>
    <w:rsid w:val="00943771"/>
    <w:rsid w:val="0094485E"/>
    <w:rsid w:val="00945204"/>
    <w:rsid w:val="009453B1"/>
    <w:rsid w:val="009474C6"/>
    <w:rsid w:val="009514FC"/>
    <w:rsid w:val="009525A7"/>
    <w:rsid w:val="009527BC"/>
    <w:rsid w:val="00953225"/>
    <w:rsid w:val="00954018"/>
    <w:rsid w:val="00955A06"/>
    <w:rsid w:val="00960991"/>
    <w:rsid w:val="009610FD"/>
    <w:rsid w:val="0096146B"/>
    <w:rsid w:val="00963771"/>
    <w:rsid w:val="009643FE"/>
    <w:rsid w:val="00964B97"/>
    <w:rsid w:val="00965010"/>
    <w:rsid w:val="0096692D"/>
    <w:rsid w:val="0096777E"/>
    <w:rsid w:val="00967D90"/>
    <w:rsid w:val="00970028"/>
    <w:rsid w:val="00970075"/>
    <w:rsid w:val="0097009D"/>
    <w:rsid w:val="00970DDF"/>
    <w:rsid w:val="009713D1"/>
    <w:rsid w:val="00971FAE"/>
    <w:rsid w:val="009724C4"/>
    <w:rsid w:val="00972852"/>
    <w:rsid w:val="00972CED"/>
    <w:rsid w:val="009745C9"/>
    <w:rsid w:val="00975562"/>
    <w:rsid w:val="00975918"/>
    <w:rsid w:val="00975959"/>
    <w:rsid w:val="00975E68"/>
    <w:rsid w:val="00976C49"/>
    <w:rsid w:val="009775F4"/>
    <w:rsid w:val="00977D93"/>
    <w:rsid w:val="0098129F"/>
    <w:rsid w:val="009824B2"/>
    <w:rsid w:val="009836DB"/>
    <w:rsid w:val="00984F4C"/>
    <w:rsid w:val="009859A1"/>
    <w:rsid w:val="00985F16"/>
    <w:rsid w:val="00986189"/>
    <w:rsid w:val="009865F5"/>
    <w:rsid w:val="00986B36"/>
    <w:rsid w:val="00987998"/>
    <w:rsid w:val="00987DED"/>
    <w:rsid w:val="0099062E"/>
    <w:rsid w:val="00990C41"/>
    <w:rsid w:val="00992BCA"/>
    <w:rsid w:val="0099495A"/>
    <w:rsid w:val="0099579A"/>
    <w:rsid w:val="0099595A"/>
    <w:rsid w:val="00996D53"/>
    <w:rsid w:val="00997154"/>
    <w:rsid w:val="00997F0A"/>
    <w:rsid w:val="009A1CA5"/>
    <w:rsid w:val="009A3511"/>
    <w:rsid w:val="009A3BDA"/>
    <w:rsid w:val="009A4040"/>
    <w:rsid w:val="009A470D"/>
    <w:rsid w:val="009A5D6C"/>
    <w:rsid w:val="009A602E"/>
    <w:rsid w:val="009B16DE"/>
    <w:rsid w:val="009B30F3"/>
    <w:rsid w:val="009B3871"/>
    <w:rsid w:val="009B4C6B"/>
    <w:rsid w:val="009B5D05"/>
    <w:rsid w:val="009B613A"/>
    <w:rsid w:val="009B6F8C"/>
    <w:rsid w:val="009B7677"/>
    <w:rsid w:val="009B7861"/>
    <w:rsid w:val="009B7FCF"/>
    <w:rsid w:val="009C0644"/>
    <w:rsid w:val="009C2957"/>
    <w:rsid w:val="009C2CEB"/>
    <w:rsid w:val="009C49CD"/>
    <w:rsid w:val="009C787D"/>
    <w:rsid w:val="009C7E7A"/>
    <w:rsid w:val="009D043F"/>
    <w:rsid w:val="009D06F4"/>
    <w:rsid w:val="009D13F9"/>
    <w:rsid w:val="009D23EC"/>
    <w:rsid w:val="009D5385"/>
    <w:rsid w:val="009D5AD5"/>
    <w:rsid w:val="009D6471"/>
    <w:rsid w:val="009D6626"/>
    <w:rsid w:val="009D6C56"/>
    <w:rsid w:val="009D7C75"/>
    <w:rsid w:val="009D7F04"/>
    <w:rsid w:val="009E0485"/>
    <w:rsid w:val="009E0F74"/>
    <w:rsid w:val="009E14F6"/>
    <w:rsid w:val="009E16E0"/>
    <w:rsid w:val="009E1AF5"/>
    <w:rsid w:val="009E3614"/>
    <w:rsid w:val="009E55CC"/>
    <w:rsid w:val="009F2B55"/>
    <w:rsid w:val="009F3A05"/>
    <w:rsid w:val="009F5160"/>
    <w:rsid w:val="009F54C2"/>
    <w:rsid w:val="009F5CFE"/>
    <w:rsid w:val="009F6A3B"/>
    <w:rsid w:val="009F79E8"/>
    <w:rsid w:val="00A01A98"/>
    <w:rsid w:val="00A01D99"/>
    <w:rsid w:val="00A02716"/>
    <w:rsid w:val="00A039A0"/>
    <w:rsid w:val="00A0441B"/>
    <w:rsid w:val="00A0454E"/>
    <w:rsid w:val="00A04CAB"/>
    <w:rsid w:val="00A0525A"/>
    <w:rsid w:val="00A05E88"/>
    <w:rsid w:val="00A1051B"/>
    <w:rsid w:val="00A10A67"/>
    <w:rsid w:val="00A10B20"/>
    <w:rsid w:val="00A110AF"/>
    <w:rsid w:val="00A12A0F"/>
    <w:rsid w:val="00A1326B"/>
    <w:rsid w:val="00A1376A"/>
    <w:rsid w:val="00A13BBF"/>
    <w:rsid w:val="00A13C8C"/>
    <w:rsid w:val="00A154CB"/>
    <w:rsid w:val="00A16293"/>
    <w:rsid w:val="00A1677F"/>
    <w:rsid w:val="00A17954"/>
    <w:rsid w:val="00A17D66"/>
    <w:rsid w:val="00A2036E"/>
    <w:rsid w:val="00A2248A"/>
    <w:rsid w:val="00A23F14"/>
    <w:rsid w:val="00A24A84"/>
    <w:rsid w:val="00A25B86"/>
    <w:rsid w:val="00A262C5"/>
    <w:rsid w:val="00A26EE9"/>
    <w:rsid w:val="00A27383"/>
    <w:rsid w:val="00A27BA8"/>
    <w:rsid w:val="00A305AB"/>
    <w:rsid w:val="00A31682"/>
    <w:rsid w:val="00A3296B"/>
    <w:rsid w:val="00A33107"/>
    <w:rsid w:val="00A3371E"/>
    <w:rsid w:val="00A34204"/>
    <w:rsid w:val="00A345B1"/>
    <w:rsid w:val="00A347A0"/>
    <w:rsid w:val="00A34D5C"/>
    <w:rsid w:val="00A3514F"/>
    <w:rsid w:val="00A35738"/>
    <w:rsid w:val="00A3623F"/>
    <w:rsid w:val="00A36319"/>
    <w:rsid w:val="00A366E3"/>
    <w:rsid w:val="00A36A2F"/>
    <w:rsid w:val="00A36F31"/>
    <w:rsid w:val="00A378DD"/>
    <w:rsid w:val="00A37DEC"/>
    <w:rsid w:val="00A40011"/>
    <w:rsid w:val="00A4128D"/>
    <w:rsid w:val="00A41BDF"/>
    <w:rsid w:val="00A41E4C"/>
    <w:rsid w:val="00A421B2"/>
    <w:rsid w:val="00A425AF"/>
    <w:rsid w:val="00A42A38"/>
    <w:rsid w:val="00A42D6B"/>
    <w:rsid w:val="00A432FA"/>
    <w:rsid w:val="00A436AF"/>
    <w:rsid w:val="00A44C82"/>
    <w:rsid w:val="00A456B4"/>
    <w:rsid w:val="00A456CD"/>
    <w:rsid w:val="00A45E02"/>
    <w:rsid w:val="00A46736"/>
    <w:rsid w:val="00A47106"/>
    <w:rsid w:val="00A50326"/>
    <w:rsid w:val="00A505F2"/>
    <w:rsid w:val="00A507B5"/>
    <w:rsid w:val="00A50F54"/>
    <w:rsid w:val="00A51486"/>
    <w:rsid w:val="00A5157F"/>
    <w:rsid w:val="00A535D6"/>
    <w:rsid w:val="00A53BA6"/>
    <w:rsid w:val="00A54301"/>
    <w:rsid w:val="00A5542C"/>
    <w:rsid w:val="00A558E9"/>
    <w:rsid w:val="00A56E81"/>
    <w:rsid w:val="00A57213"/>
    <w:rsid w:val="00A5785A"/>
    <w:rsid w:val="00A578B3"/>
    <w:rsid w:val="00A5797F"/>
    <w:rsid w:val="00A603A8"/>
    <w:rsid w:val="00A604AC"/>
    <w:rsid w:val="00A60767"/>
    <w:rsid w:val="00A607A6"/>
    <w:rsid w:val="00A62E43"/>
    <w:rsid w:val="00A62FFA"/>
    <w:rsid w:val="00A64CFD"/>
    <w:rsid w:val="00A64E51"/>
    <w:rsid w:val="00A6540C"/>
    <w:rsid w:val="00A65674"/>
    <w:rsid w:val="00A65D2B"/>
    <w:rsid w:val="00A65D71"/>
    <w:rsid w:val="00A66B2B"/>
    <w:rsid w:val="00A66F5A"/>
    <w:rsid w:val="00A67845"/>
    <w:rsid w:val="00A70F29"/>
    <w:rsid w:val="00A72310"/>
    <w:rsid w:val="00A72B06"/>
    <w:rsid w:val="00A73815"/>
    <w:rsid w:val="00A73CBE"/>
    <w:rsid w:val="00A74558"/>
    <w:rsid w:val="00A75EDF"/>
    <w:rsid w:val="00A76C0A"/>
    <w:rsid w:val="00A7716E"/>
    <w:rsid w:val="00A77739"/>
    <w:rsid w:val="00A77888"/>
    <w:rsid w:val="00A77DE7"/>
    <w:rsid w:val="00A80900"/>
    <w:rsid w:val="00A81042"/>
    <w:rsid w:val="00A810E9"/>
    <w:rsid w:val="00A81455"/>
    <w:rsid w:val="00A82347"/>
    <w:rsid w:val="00A824D1"/>
    <w:rsid w:val="00A8332E"/>
    <w:rsid w:val="00A84C39"/>
    <w:rsid w:val="00A855A9"/>
    <w:rsid w:val="00A8588E"/>
    <w:rsid w:val="00A87E51"/>
    <w:rsid w:val="00A905E6"/>
    <w:rsid w:val="00A911CB"/>
    <w:rsid w:val="00A91A47"/>
    <w:rsid w:val="00A91A72"/>
    <w:rsid w:val="00A91B43"/>
    <w:rsid w:val="00A91C99"/>
    <w:rsid w:val="00A92E7E"/>
    <w:rsid w:val="00A934EE"/>
    <w:rsid w:val="00A94367"/>
    <w:rsid w:val="00AA012A"/>
    <w:rsid w:val="00AA036C"/>
    <w:rsid w:val="00AA03D6"/>
    <w:rsid w:val="00AA1FFA"/>
    <w:rsid w:val="00AA203D"/>
    <w:rsid w:val="00AA3644"/>
    <w:rsid w:val="00AA3A91"/>
    <w:rsid w:val="00AA41EE"/>
    <w:rsid w:val="00AA5BBC"/>
    <w:rsid w:val="00AA629A"/>
    <w:rsid w:val="00AA7380"/>
    <w:rsid w:val="00AA7410"/>
    <w:rsid w:val="00AB19F8"/>
    <w:rsid w:val="00AB1A8D"/>
    <w:rsid w:val="00AB2111"/>
    <w:rsid w:val="00AB2CC5"/>
    <w:rsid w:val="00AB31D4"/>
    <w:rsid w:val="00AB40CD"/>
    <w:rsid w:val="00AB574E"/>
    <w:rsid w:val="00AB5AAB"/>
    <w:rsid w:val="00AB6487"/>
    <w:rsid w:val="00AB6648"/>
    <w:rsid w:val="00AB6C1C"/>
    <w:rsid w:val="00AC100B"/>
    <w:rsid w:val="00AC25E4"/>
    <w:rsid w:val="00AC3BF7"/>
    <w:rsid w:val="00AC3EF3"/>
    <w:rsid w:val="00AC40CA"/>
    <w:rsid w:val="00AC4461"/>
    <w:rsid w:val="00AC4856"/>
    <w:rsid w:val="00AC4B68"/>
    <w:rsid w:val="00AC5AD4"/>
    <w:rsid w:val="00AC6249"/>
    <w:rsid w:val="00AC71C7"/>
    <w:rsid w:val="00AC7520"/>
    <w:rsid w:val="00AC7C18"/>
    <w:rsid w:val="00AD1675"/>
    <w:rsid w:val="00AD17D0"/>
    <w:rsid w:val="00AD1FE8"/>
    <w:rsid w:val="00AD281D"/>
    <w:rsid w:val="00AD4024"/>
    <w:rsid w:val="00AD4773"/>
    <w:rsid w:val="00AD53A9"/>
    <w:rsid w:val="00AD5C99"/>
    <w:rsid w:val="00AD63F4"/>
    <w:rsid w:val="00AD64BA"/>
    <w:rsid w:val="00AD7C45"/>
    <w:rsid w:val="00AE0271"/>
    <w:rsid w:val="00AE0300"/>
    <w:rsid w:val="00AE0551"/>
    <w:rsid w:val="00AE0F9D"/>
    <w:rsid w:val="00AE2458"/>
    <w:rsid w:val="00AE2788"/>
    <w:rsid w:val="00AE4D4E"/>
    <w:rsid w:val="00AE52AC"/>
    <w:rsid w:val="00AE57A3"/>
    <w:rsid w:val="00AE6FB8"/>
    <w:rsid w:val="00AF1E18"/>
    <w:rsid w:val="00AF4396"/>
    <w:rsid w:val="00AF484D"/>
    <w:rsid w:val="00AF631C"/>
    <w:rsid w:val="00AF6C73"/>
    <w:rsid w:val="00AF7DA5"/>
    <w:rsid w:val="00B02C6C"/>
    <w:rsid w:val="00B0320B"/>
    <w:rsid w:val="00B03350"/>
    <w:rsid w:val="00B03DDA"/>
    <w:rsid w:val="00B062C2"/>
    <w:rsid w:val="00B11A2D"/>
    <w:rsid w:val="00B1244A"/>
    <w:rsid w:val="00B12AB8"/>
    <w:rsid w:val="00B135DC"/>
    <w:rsid w:val="00B1486F"/>
    <w:rsid w:val="00B15AB0"/>
    <w:rsid w:val="00B16453"/>
    <w:rsid w:val="00B16586"/>
    <w:rsid w:val="00B1662B"/>
    <w:rsid w:val="00B166AC"/>
    <w:rsid w:val="00B16B0F"/>
    <w:rsid w:val="00B17730"/>
    <w:rsid w:val="00B20761"/>
    <w:rsid w:val="00B21860"/>
    <w:rsid w:val="00B22A5A"/>
    <w:rsid w:val="00B236A6"/>
    <w:rsid w:val="00B24240"/>
    <w:rsid w:val="00B247E1"/>
    <w:rsid w:val="00B24833"/>
    <w:rsid w:val="00B24CEF"/>
    <w:rsid w:val="00B25024"/>
    <w:rsid w:val="00B2634B"/>
    <w:rsid w:val="00B308B7"/>
    <w:rsid w:val="00B309FF"/>
    <w:rsid w:val="00B3231F"/>
    <w:rsid w:val="00B326DB"/>
    <w:rsid w:val="00B327D5"/>
    <w:rsid w:val="00B32908"/>
    <w:rsid w:val="00B33B78"/>
    <w:rsid w:val="00B34E05"/>
    <w:rsid w:val="00B36173"/>
    <w:rsid w:val="00B36709"/>
    <w:rsid w:val="00B379B8"/>
    <w:rsid w:val="00B37B16"/>
    <w:rsid w:val="00B37C7C"/>
    <w:rsid w:val="00B37FB6"/>
    <w:rsid w:val="00B40667"/>
    <w:rsid w:val="00B41258"/>
    <w:rsid w:val="00B416A7"/>
    <w:rsid w:val="00B41E29"/>
    <w:rsid w:val="00B42A98"/>
    <w:rsid w:val="00B437E1"/>
    <w:rsid w:val="00B44DEC"/>
    <w:rsid w:val="00B4730D"/>
    <w:rsid w:val="00B47628"/>
    <w:rsid w:val="00B51661"/>
    <w:rsid w:val="00B51DFB"/>
    <w:rsid w:val="00B52899"/>
    <w:rsid w:val="00B53AD9"/>
    <w:rsid w:val="00B54965"/>
    <w:rsid w:val="00B54D9F"/>
    <w:rsid w:val="00B553DF"/>
    <w:rsid w:val="00B55860"/>
    <w:rsid w:val="00B612CB"/>
    <w:rsid w:val="00B6140D"/>
    <w:rsid w:val="00B631E6"/>
    <w:rsid w:val="00B633CB"/>
    <w:rsid w:val="00B6343A"/>
    <w:rsid w:val="00B63BED"/>
    <w:rsid w:val="00B64206"/>
    <w:rsid w:val="00B64700"/>
    <w:rsid w:val="00B6517A"/>
    <w:rsid w:val="00B6712E"/>
    <w:rsid w:val="00B672C4"/>
    <w:rsid w:val="00B67690"/>
    <w:rsid w:val="00B703DC"/>
    <w:rsid w:val="00B71B39"/>
    <w:rsid w:val="00B71E53"/>
    <w:rsid w:val="00B72383"/>
    <w:rsid w:val="00B73F4F"/>
    <w:rsid w:val="00B74864"/>
    <w:rsid w:val="00B768C1"/>
    <w:rsid w:val="00B80490"/>
    <w:rsid w:val="00B804C3"/>
    <w:rsid w:val="00B806D7"/>
    <w:rsid w:val="00B8078A"/>
    <w:rsid w:val="00B80A48"/>
    <w:rsid w:val="00B80E18"/>
    <w:rsid w:val="00B8148C"/>
    <w:rsid w:val="00B81E45"/>
    <w:rsid w:val="00B8287A"/>
    <w:rsid w:val="00B82F44"/>
    <w:rsid w:val="00B83721"/>
    <w:rsid w:val="00B84A73"/>
    <w:rsid w:val="00B855A5"/>
    <w:rsid w:val="00B86FA8"/>
    <w:rsid w:val="00B8743D"/>
    <w:rsid w:val="00B90CF0"/>
    <w:rsid w:val="00B91A97"/>
    <w:rsid w:val="00B922A8"/>
    <w:rsid w:val="00B92540"/>
    <w:rsid w:val="00B92E8B"/>
    <w:rsid w:val="00B93C92"/>
    <w:rsid w:val="00B949B8"/>
    <w:rsid w:val="00B94BF4"/>
    <w:rsid w:val="00B950D9"/>
    <w:rsid w:val="00B963D5"/>
    <w:rsid w:val="00B96822"/>
    <w:rsid w:val="00B970E4"/>
    <w:rsid w:val="00BA14BF"/>
    <w:rsid w:val="00BA4258"/>
    <w:rsid w:val="00BA531B"/>
    <w:rsid w:val="00BA757F"/>
    <w:rsid w:val="00BA7792"/>
    <w:rsid w:val="00BA77E2"/>
    <w:rsid w:val="00BB01F2"/>
    <w:rsid w:val="00BB0B49"/>
    <w:rsid w:val="00BB0D1C"/>
    <w:rsid w:val="00BB1577"/>
    <w:rsid w:val="00BB2073"/>
    <w:rsid w:val="00BB247F"/>
    <w:rsid w:val="00BB26BD"/>
    <w:rsid w:val="00BB47D4"/>
    <w:rsid w:val="00BB5612"/>
    <w:rsid w:val="00BB6380"/>
    <w:rsid w:val="00BB7BC2"/>
    <w:rsid w:val="00BC10E3"/>
    <w:rsid w:val="00BC1301"/>
    <w:rsid w:val="00BC2324"/>
    <w:rsid w:val="00BC3501"/>
    <w:rsid w:val="00BC3518"/>
    <w:rsid w:val="00BC3590"/>
    <w:rsid w:val="00BC4DB3"/>
    <w:rsid w:val="00BC5BC9"/>
    <w:rsid w:val="00BC761C"/>
    <w:rsid w:val="00BC7773"/>
    <w:rsid w:val="00BD0118"/>
    <w:rsid w:val="00BD1C60"/>
    <w:rsid w:val="00BD3F2A"/>
    <w:rsid w:val="00BD4441"/>
    <w:rsid w:val="00BD4B32"/>
    <w:rsid w:val="00BD5A43"/>
    <w:rsid w:val="00BD68CA"/>
    <w:rsid w:val="00BD771B"/>
    <w:rsid w:val="00BE0CBA"/>
    <w:rsid w:val="00BE0CDF"/>
    <w:rsid w:val="00BE26D1"/>
    <w:rsid w:val="00BE3BAC"/>
    <w:rsid w:val="00BE4AB0"/>
    <w:rsid w:val="00BE5C62"/>
    <w:rsid w:val="00BF0690"/>
    <w:rsid w:val="00BF0A0B"/>
    <w:rsid w:val="00BF0B26"/>
    <w:rsid w:val="00BF162C"/>
    <w:rsid w:val="00BF17C1"/>
    <w:rsid w:val="00BF2CB5"/>
    <w:rsid w:val="00BF322C"/>
    <w:rsid w:val="00BF33D4"/>
    <w:rsid w:val="00BF4C37"/>
    <w:rsid w:val="00BF5410"/>
    <w:rsid w:val="00BF6578"/>
    <w:rsid w:val="00BF6D85"/>
    <w:rsid w:val="00BF7758"/>
    <w:rsid w:val="00C0046D"/>
    <w:rsid w:val="00C01791"/>
    <w:rsid w:val="00C02582"/>
    <w:rsid w:val="00C03920"/>
    <w:rsid w:val="00C046F7"/>
    <w:rsid w:val="00C04FF4"/>
    <w:rsid w:val="00C059FA"/>
    <w:rsid w:val="00C05F68"/>
    <w:rsid w:val="00C064AA"/>
    <w:rsid w:val="00C071FD"/>
    <w:rsid w:val="00C077C0"/>
    <w:rsid w:val="00C07BEB"/>
    <w:rsid w:val="00C10AA6"/>
    <w:rsid w:val="00C114CC"/>
    <w:rsid w:val="00C1199D"/>
    <w:rsid w:val="00C12B20"/>
    <w:rsid w:val="00C12F40"/>
    <w:rsid w:val="00C134D4"/>
    <w:rsid w:val="00C14AF8"/>
    <w:rsid w:val="00C14C15"/>
    <w:rsid w:val="00C160D1"/>
    <w:rsid w:val="00C1753B"/>
    <w:rsid w:val="00C177D5"/>
    <w:rsid w:val="00C17C22"/>
    <w:rsid w:val="00C20967"/>
    <w:rsid w:val="00C220C9"/>
    <w:rsid w:val="00C22DFD"/>
    <w:rsid w:val="00C23495"/>
    <w:rsid w:val="00C23938"/>
    <w:rsid w:val="00C23C82"/>
    <w:rsid w:val="00C23CE4"/>
    <w:rsid w:val="00C24582"/>
    <w:rsid w:val="00C2502F"/>
    <w:rsid w:val="00C252D4"/>
    <w:rsid w:val="00C259AE"/>
    <w:rsid w:val="00C25DC3"/>
    <w:rsid w:val="00C25DE2"/>
    <w:rsid w:val="00C275D4"/>
    <w:rsid w:val="00C276A8"/>
    <w:rsid w:val="00C27879"/>
    <w:rsid w:val="00C3026E"/>
    <w:rsid w:val="00C304A0"/>
    <w:rsid w:val="00C3097C"/>
    <w:rsid w:val="00C331B4"/>
    <w:rsid w:val="00C33531"/>
    <w:rsid w:val="00C355A8"/>
    <w:rsid w:val="00C357ED"/>
    <w:rsid w:val="00C35B22"/>
    <w:rsid w:val="00C3646C"/>
    <w:rsid w:val="00C3773D"/>
    <w:rsid w:val="00C3787C"/>
    <w:rsid w:val="00C37BF5"/>
    <w:rsid w:val="00C400AF"/>
    <w:rsid w:val="00C414A7"/>
    <w:rsid w:val="00C42A23"/>
    <w:rsid w:val="00C42D0C"/>
    <w:rsid w:val="00C433ED"/>
    <w:rsid w:val="00C459E8"/>
    <w:rsid w:val="00C463CE"/>
    <w:rsid w:val="00C47AD2"/>
    <w:rsid w:val="00C51385"/>
    <w:rsid w:val="00C51D7B"/>
    <w:rsid w:val="00C51EDB"/>
    <w:rsid w:val="00C51FCC"/>
    <w:rsid w:val="00C52CA8"/>
    <w:rsid w:val="00C53165"/>
    <w:rsid w:val="00C537C2"/>
    <w:rsid w:val="00C53AC8"/>
    <w:rsid w:val="00C54EBE"/>
    <w:rsid w:val="00C552F9"/>
    <w:rsid w:val="00C56E31"/>
    <w:rsid w:val="00C56E88"/>
    <w:rsid w:val="00C5705E"/>
    <w:rsid w:val="00C5765A"/>
    <w:rsid w:val="00C60336"/>
    <w:rsid w:val="00C6099C"/>
    <w:rsid w:val="00C61AB2"/>
    <w:rsid w:val="00C6221D"/>
    <w:rsid w:val="00C634DE"/>
    <w:rsid w:val="00C645A0"/>
    <w:rsid w:val="00C6600F"/>
    <w:rsid w:val="00C7011D"/>
    <w:rsid w:val="00C70844"/>
    <w:rsid w:val="00C7114E"/>
    <w:rsid w:val="00C713AF"/>
    <w:rsid w:val="00C716A8"/>
    <w:rsid w:val="00C72950"/>
    <w:rsid w:val="00C742AE"/>
    <w:rsid w:val="00C75420"/>
    <w:rsid w:val="00C75B00"/>
    <w:rsid w:val="00C75F2D"/>
    <w:rsid w:val="00C816FC"/>
    <w:rsid w:val="00C820C6"/>
    <w:rsid w:val="00C82469"/>
    <w:rsid w:val="00C82AC0"/>
    <w:rsid w:val="00C82BBA"/>
    <w:rsid w:val="00C8371B"/>
    <w:rsid w:val="00C83D6C"/>
    <w:rsid w:val="00C84251"/>
    <w:rsid w:val="00C84C96"/>
    <w:rsid w:val="00C863EA"/>
    <w:rsid w:val="00C92632"/>
    <w:rsid w:val="00C92672"/>
    <w:rsid w:val="00C949C9"/>
    <w:rsid w:val="00C95A4C"/>
    <w:rsid w:val="00C95C62"/>
    <w:rsid w:val="00C95E66"/>
    <w:rsid w:val="00C976E2"/>
    <w:rsid w:val="00C97BCD"/>
    <w:rsid w:val="00CA0115"/>
    <w:rsid w:val="00CA015F"/>
    <w:rsid w:val="00CA0221"/>
    <w:rsid w:val="00CA22BC"/>
    <w:rsid w:val="00CA2537"/>
    <w:rsid w:val="00CA3589"/>
    <w:rsid w:val="00CA388B"/>
    <w:rsid w:val="00CA4B6A"/>
    <w:rsid w:val="00CA52F7"/>
    <w:rsid w:val="00CA5B11"/>
    <w:rsid w:val="00CB0C95"/>
    <w:rsid w:val="00CB134A"/>
    <w:rsid w:val="00CB1C0E"/>
    <w:rsid w:val="00CB2A83"/>
    <w:rsid w:val="00CB3B00"/>
    <w:rsid w:val="00CB3FDF"/>
    <w:rsid w:val="00CB44E9"/>
    <w:rsid w:val="00CB5ACB"/>
    <w:rsid w:val="00CB5FAB"/>
    <w:rsid w:val="00CB6370"/>
    <w:rsid w:val="00CB6B88"/>
    <w:rsid w:val="00CC08F7"/>
    <w:rsid w:val="00CC0D04"/>
    <w:rsid w:val="00CC1E58"/>
    <w:rsid w:val="00CC2661"/>
    <w:rsid w:val="00CC33C7"/>
    <w:rsid w:val="00CC3445"/>
    <w:rsid w:val="00CC36B3"/>
    <w:rsid w:val="00CC44E1"/>
    <w:rsid w:val="00CC5B8E"/>
    <w:rsid w:val="00CC74D6"/>
    <w:rsid w:val="00CD0143"/>
    <w:rsid w:val="00CD2478"/>
    <w:rsid w:val="00CD2735"/>
    <w:rsid w:val="00CD27BE"/>
    <w:rsid w:val="00CD2A1C"/>
    <w:rsid w:val="00CD2BA7"/>
    <w:rsid w:val="00CD2C3B"/>
    <w:rsid w:val="00CD32D2"/>
    <w:rsid w:val="00CD57A9"/>
    <w:rsid w:val="00CD69AA"/>
    <w:rsid w:val="00CE039B"/>
    <w:rsid w:val="00CE1C9A"/>
    <w:rsid w:val="00CE30C4"/>
    <w:rsid w:val="00CE4465"/>
    <w:rsid w:val="00CE4CC9"/>
    <w:rsid w:val="00CE510B"/>
    <w:rsid w:val="00CE6D88"/>
    <w:rsid w:val="00CE7C62"/>
    <w:rsid w:val="00CF0F83"/>
    <w:rsid w:val="00CF53AC"/>
    <w:rsid w:val="00CF5DF8"/>
    <w:rsid w:val="00CF66DB"/>
    <w:rsid w:val="00CF7FC6"/>
    <w:rsid w:val="00D00404"/>
    <w:rsid w:val="00D01508"/>
    <w:rsid w:val="00D01569"/>
    <w:rsid w:val="00D01606"/>
    <w:rsid w:val="00D03CAC"/>
    <w:rsid w:val="00D077FF"/>
    <w:rsid w:val="00D11173"/>
    <w:rsid w:val="00D11A5E"/>
    <w:rsid w:val="00D12711"/>
    <w:rsid w:val="00D12D4C"/>
    <w:rsid w:val="00D133E1"/>
    <w:rsid w:val="00D1454A"/>
    <w:rsid w:val="00D14978"/>
    <w:rsid w:val="00D15B21"/>
    <w:rsid w:val="00D16FC6"/>
    <w:rsid w:val="00D1793A"/>
    <w:rsid w:val="00D17F79"/>
    <w:rsid w:val="00D2133F"/>
    <w:rsid w:val="00D22996"/>
    <w:rsid w:val="00D22DF2"/>
    <w:rsid w:val="00D242DB"/>
    <w:rsid w:val="00D24C34"/>
    <w:rsid w:val="00D2510F"/>
    <w:rsid w:val="00D2558D"/>
    <w:rsid w:val="00D26059"/>
    <w:rsid w:val="00D26A70"/>
    <w:rsid w:val="00D2789A"/>
    <w:rsid w:val="00D27A86"/>
    <w:rsid w:val="00D27C3D"/>
    <w:rsid w:val="00D27ECB"/>
    <w:rsid w:val="00D302EB"/>
    <w:rsid w:val="00D3037F"/>
    <w:rsid w:val="00D309AD"/>
    <w:rsid w:val="00D30C1A"/>
    <w:rsid w:val="00D3227A"/>
    <w:rsid w:val="00D322D2"/>
    <w:rsid w:val="00D32A13"/>
    <w:rsid w:val="00D32C19"/>
    <w:rsid w:val="00D34076"/>
    <w:rsid w:val="00D341A0"/>
    <w:rsid w:val="00D3483E"/>
    <w:rsid w:val="00D34FC9"/>
    <w:rsid w:val="00D35149"/>
    <w:rsid w:val="00D352B7"/>
    <w:rsid w:val="00D35EA9"/>
    <w:rsid w:val="00D3735D"/>
    <w:rsid w:val="00D40702"/>
    <w:rsid w:val="00D428C5"/>
    <w:rsid w:val="00D437BA"/>
    <w:rsid w:val="00D457CF"/>
    <w:rsid w:val="00D45A6A"/>
    <w:rsid w:val="00D46D7A"/>
    <w:rsid w:val="00D47221"/>
    <w:rsid w:val="00D4722B"/>
    <w:rsid w:val="00D50788"/>
    <w:rsid w:val="00D50ADF"/>
    <w:rsid w:val="00D51071"/>
    <w:rsid w:val="00D51397"/>
    <w:rsid w:val="00D51931"/>
    <w:rsid w:val="00D51BF8"/>
    <w:rsid w:val="00D526CC"/>
    <w:rsid w:val="00D527A8"/>
    <w:rsid w:val="00D53CF4"/>
    <w:rsid w:val="00D54458"/>
    <w:rsid w:val="00D562BF"/>
    <w:rsid w:val="00D60FFC"/>
    <w:rsid w:val="00D6574D"/>
    <w:rsid w:val="00D65B88"/>
    <w:rsid w:val="00D65B9D"/>
    <w:rsid w:val="00D6680C"/>
    <w:rsid w:val="00D66853"/>
    <w:rsid w:val="00D71A1B"/>
    <w:rsid w:val="00D71BE6"/>
    <w:rsid w:val="00D72AC5"/>
    <w:rsid w:val="00D73FF4"/>
    <w:rsid w:val="00D747F1"/>
    <w:rsid w:val="00D74EAF"/>
    <w:rsid w:val="00D7649A"/>
    <w:rsid w:val="00D76D59"/>
    <w:rsid w:val="00D773EF"/>
    <w:rsid w:val="00D77AD0"/>
    <w:rsid w:val="00D77C4F"/>
    <w:rsid w:val="00D80B26"/>
    <w:rsid w:val="00D81888"/>
    <w:rsid w:val="00D82CD2"/>
    <w:rsid w:val="00D834C7"/>
    <w:rsid w:val="00D84E52"/>
    <w:rsid w:val="00D85037"/>
    <w:rsid w:val="00D855F6"/>
    <w:rsid w:val="00D8614A"/>
    <w:rsid w:val="00D86B99"/>
    <w:rsid w:val="00D87996"/>
    <w:rsid w:val="00D900F2"/>
    <w:rsid w:val="00D91960"/>
    <w:rsid w:val="00D9234C"/>
    <w:rsid w:val="00D926C4"/>
    <w:rsid w:val="00D96185"/>
    <w:rsid w:val="00D96495"/>
    <w:rsid w:val="00D97441"/>
    <w:rsid w:val="00DA00C7"/>
    <w:rsid w:val="00DA0856"/>
    <w:rsid w:val="00DA1667"/>
    <w:rsid w:val="00DA19CA"/>
    <w:rsid w:val="00DA1DA3"/>
    <w:rsid w:val="00DA3161"/>
    <w:rsid w:val="00DA3C12"/>
    <w:rsid w:val="00DA3CA6"/>
    <w:rsid w:val="00DA5EEA"/>
    <w:rsid w:val="00DA612B"/>
    <w:rsid w:val="00DA6E21"/>
    <w:rsid w:val="00DB04B0"/>
    <w:rsid w:val="00DB35EB"/>
    <w:rsid w:val="00DB363D"/>
    <w:rsid w:val="00DB38A6"/>
    <w:rsid w:val="00DB6F23"/>
    <w:rsid w:val="00DB7A5F"/>
    <w:rsid w:val="00DC0DE1"/>
    <w:rsid w:val="00DC1036"/>
    <w:rsid w:val="00DC1327"/>
    <w:rsid w:val="00DC18A8"/>
    <w:rsid w:val="00DC23AC"/>
    <w:rsid w:val="00DC39EE"/>
    <w:rsid w:val="00DC7518"/>
    <w:rsid w:val="00DC7967"/>
    <w:rsid w:val="00DD1E75"/>
    <w:rsid w:val="00DD20B7"/>
    <w:rsid w:val="00DD3664"/>
    <w:rsid w:val="00DD3F55"/>
    <w:rsid w:val="00DD51A0"/>
    <w:rsid w:val="00DD5F53"/>
    <w:rsid w:val="00DD6651"/>
    <w:rsid w:val="00DD7874"/>
    <w:rsid w:val="00DD7ED5"/>
    <w:rsid w:val="00DE03A9"/>
    <w:rsid w:val="00DE1E47"/>
    <w:rsid w:val="00DE31EE"/>
    <w:rsid w:val="00DE350A"/>
    <w:rsid w:val="00DE36A4"/>
    <w:rsid w:val="00DE38A2"/>
    <w:rsid w:val="00DE3F48"/>
    <w:rsid w:val="00DE3F65"/>
    <w:rsid w:val="00DE414A"/>
    <w:rsid w:val="00DE53D9"/>
    <w:rsid w:val="00DE561F"/>
    <w:rsid w:val="00DE6E03"/>
    <w:rsid w:val="00DE72DF"/>
    <w:rsid w:val="00DE79EA"/>
    <w:rsid w:val="00DF1661"/>
    <w:rsid w:val="00DF1741"/>
    <w:rsid w:val="00DF1B15"/>
    <w:rsid w:val="00DF2470"/>
    <w:rsid w:val="00DF2578"/>
    <w:rsid w:val="00DF28B7"/>
    <w:rsid w:val="00DF28BD"/>
    <w:rsid w:val="00DF2A10"/>
    <w:rsid w:val="00DF339B"/>
    <w:rsid w:val="00DF73AB"/>
    <w:rsid w:val="00E01C67"/>
    <w:rsid w:val="00E042E7"/>
    <w:rsid w:val="00E04642"/>
    <w:rsid w:val="00E04BEF"/>
    <w:rsid w:val="00E054F1"/>
    <w:rsid w:val="00E05926"/>
    <w:rsid w:val="00E05A22"/>
    <w:rsid w:val="00E05B85"/>
    <w:rsid w:val="00E069DB"/>
    <w:rsid w:val="00E06B0C"/>
    <w:rsid w:val="00E10579"/>
    <w:rsid w:val="00E10582"/>
    <w:rsid w:val="00E11602"/>
    <w:rsid w:val="00E11957"/>
    <w:rsid w:val="00E12EBB"/>
    <w:rsid w:val="00E14096"/>
    <w:rsid w:val="00E16C1A"/>
    <w:rsid w:val="00E173CF"/>
    <w:rsid w:val="00E17C97"/>
    <w:rsid w:val="00E20D7B"/>
    <w:rsid w:val="00E21A1E"/>
    <w:rsid w:val="00E22390"/>
    <w:rsid w:val="00E22B13"/>
    <w:rsid w:val="00E232CB"/>
    <w:rsid w:val="00E241BA"/>
    <w:rsid w:val="00E24652"/>
    <w:rsid w:val="00E24CF8"/>
    <w:rsid w:val="00E24DDC"/>
    <w:rsid w:val="00E25339"/>
    <w:rsid w:val="00E25C55"/>
    <w:rsid w:val="00E26264"/>
    <w:rsid w:val="00E26769"/>
    <w:rsid w:val="00E26E44"/>
    <w:rsid w:val="00E27354"/>
    <w:rsid w:val="00E2745C"/>
    <w:rsid w:val="00E32585"/>
    <w:rsid w:val="00E329B6"/>
    <w:rsid w:val="00E32B02"/>
    <w:rsid w:val="00E33396"/>
    <w:rsid w:val="00E33840"/>
    <w:rsid w:val="00E33DA4"/>
    <w:rsid w:val="00E340A0"/>
    <w:rsid w:val="00E34408"/>
    <w:rsid w:val="00E34783"/>
    <w:rsid w:val="00E34B21"/>
    <w:rsid w:val="00E35CAE"/>
    <w:rsid w:val="00E35DFC"/>
    <w:rsid w:val="00E363F9"/>
    <w:rsid w:val="00E36B17"/>
    <w:rsid w:val="00E37254"/>
    <w:rsid w:val="00E377ED"/>
    <w:rsid w:val="00E4001F"/>
    <w:rsid w:val="00E4197D"/>
    <w:rsid w:val="00E41B25"/>
    <w:rsid w:val="00E42AE7"/>
    <w:rsid w:val="00E434B1"/>
    <w:rsid w:val="00E43E82"/>
    <w:rsid w:val="00E44B98"/>
    <w:rsid w:val="00E454B4"/>
    <w:rsid w:val="00E455D1"/>
    <w:rsid w:val="00E47E0C"/>
    <w:rsid w:val="00E50E5B"/>
    <w:rsid w:val="00E52402"/>
    <w:rsid w:val="00E527D6"/>
    <w:rsid w:val="00E54CFF"/>
    <w:rsid w:val="00E60430"/>
    <w:rsid w:val="00E6100C"/>
    <w:rsid w:val="00E618C2"/>
    <w:rsid w:val="00E61A56"/>
    <w:rsid w:val="00E632DA"/>
    <w:rsid w:val="00E632F5"/>
    <w:rsid w:val="00E64523"/>
    <w:rsid w:val="00E648C2"/>
    <w:rsid w:val="00E665D1"/>
    <w:rsid w:val="00E6723C"/>
    <w:rsid w:val="00E70911"/>
    <w:rsid w:val="00E71344"/>
    <w:rsid w:val="00E71C95"/>
    <w:rsid w:val="00E72462"/>
    <w:rsid w:val="00E73923"/>
    <w:rsid w:val="00E74F3E"/>
    <w:rsid w:val="00E756AD"/>
    <w:rsid w:val="00E75E2B"/>
    <w:rsid w:val="00E76D18"/>
    <w:rsid w:val="00E77129"/>
    <w:rsid w:val="00E772E1"/>
    <w:rsid w:val="00E81820"/>
    <w:rsid w:val="00E8276D"/>
    <w:rsid w:val="00E828C6"/>
    <w:rsid w:val="00E83821"/>
    <w:rsid w:val="00E84822"/>
    <w:rsid w:val="00E854D6"/>
    <w:rsid w:val="00E863CD"/>
    <w:rsid w:val="00E87AA5"/>
    <w:rsid w:val="00E9063D"/>
    <w:rsid w:val="00E91A14"/>
    <w:rsid w:val="00E91CD6"/>
    <w:rsid w:val="00E931E7"/>
    <w:rsid w:val="00E93614"/>
    <w:rsid w:val="00E93B2E"/>
    <w:rsid w:val="00E93EC8"/>
    <w:rsid w:val="00E942FB"/>
    <w:rsid w:val="00E95BD2"/>
    <w:rsid w:val="00EA16EB"/>
    <w:rsid w:val="00EA19D0"/>
    <w:rsid w:val="00EA2EA8"/>
    <w:rsid w:val="00EA32C1"/>
    <w:rsid w:val="00EA3FDF"/>
    <w:rsid w:val="00EA6076"/>
    <w:rsid w:val="00EA62FD"/>
    <w:rsid w:val="00EB102B"/>
    <w:rsid w:val="00EB12DE"/>
    <w:rsid w:val="00EB14B5"/>
    <w:rsid w:val="00EB21A4"/>
    <w:rsid w:val="00EB2996"/>
    <w:rsid w:val="00EB33EF"/>
    <w:rsid w:val="00EB3BB3"/>
    <w:rsid w:val="00EB4C27"/>
    <w:rsid w:val="00EB550A"/>
    <w:rsid w:val="00EB62A6"/>
    <w:rsid w:val="00EB62F9"/>
    <w:rsid w:val="00EB6591"/>
    <w:rsid w:val="00EB6B8E"/>
    <w:rsid w:val="00EB73DB"/>
    <w:rsid w:val="00EB76CA"/>
    <w:rsid w:val="00EB79EE"/>
    <w:rsid w:val="00EC15B4"/>
    <w:rsid w:val="00EC3617"/>
    <w:rsid w:val="00EC3FF8"/>
    <w:rsid w:val="00EC485E"/>
    <w:rsid w:val="00EC48A8"/>
    <w:rsid w:val="00EC5B58"/>
    <w:rsid w:val="00EC6B54"/>
    <w:rsid w:val="00EC7015"/>
    <w:rsid w:val="00ED0956"/>
    <w:rsid w:val="00ED2FBE"/>
    <w:rsid w:val="00ED3A1C"/>
    <w:rsid w:val="00ED3A6D"/>
    <w:rsid w:val="00ED4FDE"/>
    <w:rsid w:val="00ED6F48"/>
    <w:rsid w:val="00ED7204"/>
    <w:rsid w:val="00ED7840"/>
    <w:rsid w:val="00ED7A3C"/>
    <w:rsid w:val="00ED7AD0"/>
    <w:rsid w:val="00ED7E5E"/>
    <w:rsid w:val="00ED7EF7"/>
    <w:rsid w:val="00EE00EB"/>
    <w:rsid w:val="00EE06E0"/>
    <w:rsid w:val="00EE07CF"/>
    <w:rsid w:val="00EE1492"/>
    <w:rsid w:val="00EE244A"/>
    <w:rsid w:val="00EE26F3"/>
    <w:rsid w:val="00EE39FE"/>
    <w:rsid w:val="00EE4142"/>
    <w:rsid w:val="00EE48BF"/>
    <w:rsid w:val="00EE4B34"/>
    <w:rsid w:val="00EE4D16"/>
    <w:rsid w:val="00EE4E9A"/>
    <w:rsid w:val="00EE5A52"/>
    <w:rsid w:val="00EE769B"/>
    <w:rsid w:val="00EF0839"/>
    <w:rsid w:val="00EF1378"/>
    <w:rsid w:val="00EF2333"/>
    <w:rsid w:val="00EF3D17"/>
    <w:rsid w:val="00EF5C3C"/>
    <w:rsid w:val="00EF6EE7"/>
    <w:rsid w:val="00EF7304"/>
    <w:rsid w:val="00EF74F7"/>
    <w:rsid w:val="00EF7C5B"/>
    <w:rsid w:val="00F001F6"/>
    <w:rsid w:val="00F017E7"/>
    <w:rsid w:val="00F0333C"/>
    <w:rsid w:val="00F03865"/>
    <w:rsid w:val="00F04BB8"/>
    <w:rsid w:val="00F05648"/>
    <w:rsid w:val="00F0687E"/>
    <w:rsid w:val="00F07530"/>
    <w:rsid w:val="00F07C99"/>
    <w:rsid w:val="00F07D3B"/>
    <w:rsid w:val="00F10516"/>
    <w:rsid w:val="00F10732"/>
    <w:rsid w:val="00F10DE3"/>
    <w:rsid w:val="00F11226"/>
    <w:rsid w:val="00F112CC"/>
    <w:rsid w:val="00F11E6B"/>
    <w:rsid w:val="00F1329C"/>
    <w:rsid w:val="00F13A44"/>
    <w:rsid w:val="00F14505"/>
    <w:rsid w:val="00F1578C"/>
    <w:rsid w:val="00F15851"/>
    <w:rsid w:val="00F16AE3"/>
    <w:rsid w:val="00F16BFC"/>
    <w:rsid w:val="00F21A98"/>
    <w:rsid w:val="00F22B21"/>
    <w:rsid w:val="00F23A60"/>
    <w:rsid w:val="00F23B8A"/>
    <w:rsid w:val="00F24300"/>
    <w:rsid w:val="00F250CD"/>
    <w:rsid w:val="00F252B7"/>
    <w:rsid w:val="00F255A6"/>
    <w:rsid w:val="00F25809"/>
    <w:rsid w:val="00F25D79"/>
    <w:rsid w:val="00F261E1"/>
    <w:rsid w:val="00F2727C"/>
    <w:rsid w:val="00F279BA"/>
    <w:rsid w:val="00F30299"/>
    <w:rsid w:val="00F305A1"/>
    <w:rsid w:val="00F30AD8"/>
    <w:rsid w:val="00F30F45"/>
    <w:rsid w:val="00F30F69"/>
    <w:rsid w:val="00F31B11"/>
    <w:rsid w:val="00F325B9"/>
    <w:rsid w:val="00F3447A"/>
    <w:rsid w:val="00F3550E"/>
    <w:rsid w:val="00F358D1"/>
    <w:rsid w:val="00F35EDF"/>
    <w:rsid w:val="00F36694"/>
    <w:rsid w:val="00F40EAE"/>
    <w:rsid w:val="00F417DE"/>
    <w:rsid w:val="00F418EC"/>
    <w:rsid w:val="00F422CD"/>
    <w:rsid w:val="00F42E4B"/>
    <w:rsid w:val="00F43957"/>
    <w:rsid w:val="00F43D54"/>
    <w:rsid w:val="00F45BB6"/>
    <w:rsid w:val="00F471E6"/>
    <w:rsid w:val="00F474E7"/>
    <w:rsid w:val="00F51276"/>
    <w:rsid w:val="00F51A7E"/>
    <w:rsid w:val="00F521CC"/>
    <w:rsid w:val="00F5249B"/>
    <w:rsid w:val="00F53F98"/>
    <w:rsid w:val="00F540BB"/>
    <w:rsid w:val="00F54B1B"/>
    <w:rsid w:val="00F55003"/>
    <w:rsid w:val="00F552B0"/>
    <w:rsid w:val="00F553A1"/>
    <w:rsid w:val="00F608C0"/>
    <w:rsid w:val="00F6202A"/>
    <w:rsid w:val="00F6252F"/>
    <w:rsid w:val="00F62FF4"/>
    <w:rsid w:val="00F63C47"/>
    <w:rsid w:val="00F6628A"/>
    <w:rsid w:val="00F66E61"/>
    <w:rsid w:val="00F6780C"/>
    <w:rsid w:val="00F67AA0"/>
    <w:rsid w:val="00F67C70"/>
    <w:rsid w:val="00F70169"/>
    <w:rsid w:val="00F70F6E"/>
    <w:rsid w:val="00F71A9B"/>
    <w:rsid w:val="00F71C54"/>
    <w:rsid w:val="00F72FB2"/>
    <w:rsid w:val="00F7418B"/>
    <w:rsid w:val="00F74F69"/>
    <w:rsid w:val="00F751F4"/>
    <w:rsid w:val="00F75621"/>
    <w:rsid w:val="00F767F8"/>
    <w:rsid w:val="00F76FE2"/>
    <w:rsid w:val="00F80C40"/>
    <w:rsid w:val="00F8264C"/>
    <w:rsid w:val="00F8324E"/>
    <w:rsid w:val="00F83A97"/>
    <w:rsid w:val="00F8514A"/>
    <w:rsid w:val="00F85CF7"/>
    <w:rsid w:val="00F85D2D"/>
    <w:rsid w:val="00F862DC"/>
    <w:rsid w:val="00F8707F"/>
    <w:rsid w:val="00F87CDC"/>
    <w:rsid w:val="00F91B40"/>
    <w:rsid w:val="00F92433"/>
    <w:rsid w:val="00F92639"/>
    <w:rsid w:val="00F95B1C"/>
    <w:rsid w:val="00F96490"/>
    <w:rsid w:val="00F964F9"/>
    <w:rsid w:val="00F967A0"/>
    <w:rsid w:val="00F96D08"/>
    <w:rsid w:val="00FA024F"/>
    <w:rsid w:val="00FA1B47"/>
    <w:rsid w:val="00FA461E"/>
    <w:rsid w:val="00FA47EA"/>
    <w:rsid w:val="00FA485C"/>
    <w:rsid w:val="00FA4CC9"/>
    <w:rsid w:val="00FA4D60"/>
    <w:rsid w:val="00FA4F87"/>
    <w:rsid w:val="00FB0635"/>
    <w:rsid w:val="00FB22A6"/>
    <w:rsid w:val="00FB2667"/>
    <w:rsid w:val="00FB2866"/>
    <w:rsid w:val="00FB30DE"/>
    <w:rsid w:val="00FB389E"/>
    <w:rsid w:val="00FB3F2A"/>
    <w:rsid w:val="00FB4102"/>
    <w:rsid w:val="00FB4E5C"/>
    <w:rsid w:val="00FB4FEC"/>
    <w:rsid w:val="00FB5DBF"/>
    <w:rsid w:val="00FB6598"/>
    <w:rsid w:val="00FB6F30"/>
    <w:rsid w:val="00FB7139"/>
    <w:rsid w:val="00FB7262"/>
    <w:rsid w:val="00FB78F8"/>
    <w:rsid w:val="00FB7FE3"/>
    <w:rsid w:val="00FC1742"/>
    <w:rsid w:val="00FC18F4"/>
    <w:rsid w:val="00FC1EAC"/>
    <w:rsid w:val="00FC2052"/>
    <w:rsid w:val="00FC27F7"/>
    <w:rsid w:val="00FC2E52"/>
    <w:rsid w:val="00FC2F2F"/>
    <w:rsid w:val="00FC3398"/>
    <w:rsid w:val="00FC3C1D"/>
    <w:rsid w:val="00FC3C2C"/>
    <w:rsid w:val="00FC4A41"/>
    <w:rsid w:val="00FC4AE2"/>
    <w:rsid w:val="00FC595E"/>
    <w:rsid w:val="00FC5F42"/>
    <w:rsid w:val="00FC64CC"/>
    <w:rsid w:val="00FC7D10"/>
    <w:rsid w:val="00FD1729"/>
    <w:rsid w:val="00FD2884"/>
    <w:rsid w:val="00FD3229"/>
    <w:rsid w:val="00FD3E52"/>
    <w:rsid w:val="00FD4929"/>
    <w:rsid w:val="00FD56EC"/>
    <w:rsid w:val="00FD715A"/>
    <w:rsid w:val="00FD7EE7"/>
    <w:rsid w:val="00FE1AB3"/>
    <w:rsid w:val="00FE1BF3"/>
    <w:rsid w:val="00FE24A1"/>
    <w:rsid w:val="00FE2B49"/>
    <w:rsid w:val="00FE3412"/>
    <w:rsid w:val="00FE422B"/>
    <w:rsid w:val="00FE4DE1"/>
    <w:rsid w:val="00FE4E95"/>
    <w:rsid w:val="00FE5B26"/>
    <w:rsid w:val="00FE6116"/>
    <w:rsid w:val="00FE7F9E"/>
    <w:rsid w:val="00FF044F"/>
    <w:rsid w:val="00FF1346"/>
    <w:rsid w:val="00FF16F1"/>
    <w:rsid w:val="00FF3F72"/>
    <w:rsid w:val="00FF48F6"/>
    <w:rsid w:val="00FF490D"/>
    <w:rsid w:val="00FF4EB6"/>
    <w:rsid w:val="00FF687E"/>
    <w:rsid w:val="00FF6CDA"/>
    <w:rsid w:val="00FF7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306E231-48E3-4868-9108-00F6D172C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MS Mincho" w:hAnsiTheme="minorHAnsi" w:cstheme="minorBidi"/>
        <w:sz w:val="22"/>
        <w:szCs w:val="22"/>
        <w:lang w:val="sq-A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7C97"/>
  </w:style>
  <w:style w:type="paragraph" w:styleId="Heading1">
    <w:name w:val="heading 1"/>
    <w:basedOn w:val="Normal"/>
    <w:next w:val="Normal"/>
    <w:link w:val="Heading1Char"/>
    <w:uiPriority w:val="9"/>
    <w:qFormat/>
    <w:rsid w:val="00506686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color w:val="A4000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6686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470B7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9438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 (numbered (a)),Normal 1,List Paragraph 1,Akapit z listą BS,Bullets,List Paragraph1,Bullet1,NumberedParas,Dot pt,F5 List Paragraph,List Paragraph Char Char Char,Indicator Text,Numbered Para 1,Bullet 1,Bullet Points"/>
    <w:basedOn w:val="Normal"/>
    <w:link w:val="ListParagraphChar"/>
    <w:uiPriority w:val="34"/>
    <w:qFormat/>
    <w:rsid w:val="00463C40"/>
    <w:pPr>
      <w:ind w:left="720"/>
      <w:contextualSpacing/>
    </w:pPr>
  </w:style>
  <w:style w:type="paragraph" w:styleId="FootnoteText">
    <w:name w:val="footnote text"/>
    <w:aliases w:val="Footnote Text Char Char Char,Footnote Text Char Char,Fußnote,Testo nota a piè di pagina Carattere,Geneva 9,Font: Geneva 9,Boston 10,f,single space,FOOTNOTES,fn,ADB,pod carou,Char Char,Footnote Text1 Char Char,Char,Char Cha,C,Footnote text"/>
    <w:basedOn w:val="Normal"/>
    <w:link w:val="FootnoteTextChar"/>
    <w:uiPriority w:val="99"/>
    <w:unhideWhenUsed/>
    <w:rsid w:val="00F6252F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aliases w:val="Footnote Text Char Char Char Char,Footnote Text Char Char Char1,Fußnote Char,Testo nota a piè di pagina Carattere Char,Geneva 9 Char,Font: Geneva 9 Char,Boston 10 Char,f Char,single space Char,FOOTNOTES Char,fn Char,ADB Char,C Char"/>
    <w:basedOn w:val="DefaultParagraphFont"/>
    <w:link w:val="FootnoteText"/>
    <w:uiPriority w:val="99"/>
    <w:rsid w:val="00F6252F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aliases w:val="BVI fnr,16 Point,Superscript 6 Point,ftref,fr,Footnote symbol,Footnote Reference Arial,nota pié di pagina,Footnote reference number,Times 10 Point,Exposant 3 Point,EN Footnote Reference,note TESI,Footnote Reference Char Char Char"/>
    <w:basedOn w:val="DefaultParagraphFont"/>
    <w:uiPriority w:val="99"/>
    <w:unhideWhenUsed/>
    <w:rsid w:val="00F6252F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F625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252F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252F"/>
    <w:rPr>
      <w:rFonts w:ascii="Calibri" w:eastAsia="Calibri" w:hAnsi="Calibri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25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52F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06686"/>
    <w:rPr>
      <w:rFonts w:ascii="Times New Roman" w:eastAsiaTheme="majorEastAsia" w:hAnsi="Times New Roman" w:cstheme="majorBidi"/>
      <w:b/>
      <w:color w:val="A4000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686"/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506686"/>
    <w:pPr>
      <w:outlineLvl w:val="9"/>
    </w:pPr>
    <w:rPr>
      <w:rFonts w:asciiTheme="majorHAnsi" w:hAnsiTheme="majorHAnsi"/>
      <w:b w:val="0"/>
      <w:color w:val="2E74B5" w:themeColor="accent1" w:themeShade="BF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513848"/>
    <w:pPr>
      <w:tabs>
        <w:tab w:val="left" w:pos="567"/>
        <w:tab w:val="right" w:leader="dot" w:pos="9016"/>
      </w:tabs>
      <w:spacing w:after="100"/>
    </w:pPr>
    <w:rPr>
      <w:rFonts w:ascii="Cambria" w:hAnsi="Cambria"/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506686"/>
    <w:pPr>
      <w:tabs>
        <w:tab w:val="left" w:pos="567"/>
        <w:tab w:val="right" w:leader="dot" w:pos="9016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506686"/>
    <w:rPr>
      <w:color w:val="0563C1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447A"/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447A"/>
    <w:rPr>
      <w:rFonts w:ascii="Calibri" w:eastAsia="Calibri" w:hAnsi="Calibri" w:cs="Times New Roman"/>
      <w:b/>
      <w:bCs/>
      <w:sz w:val="20"/>
      <w:szCs w:val="20"/>
    </w:rPr>
  </w:style>
  <w:style w:type="paragraph" w:customStyle="1" w:styleId="Default">
    <w:name w:val="Default"/>
    <w:rsid w:val="005C1EC7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D17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17D0"/>
  </w:style>
  <w:style w:type="paragraph" w:styleId="Footer">
    <w:name w:val="footer"/>
    <w:basedOn w:val="Normal"/>
    <w:link w:val="FooterChar"/>
    <w:uiPriority w:val="99"/>
    <w:unhideWhenUsed/>
    <w:rsid w:val="00AD17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17D0"/>
  </w:style>
  <w:style w:type="character" w:customStyle="1" w:styleId="ListParagraphChar">
    <w:name w:val="List Paragraph Char"/>
    <w:aliases w:val="List Paragraph (numbered (a)) Char,Normal 1 Char,List Paragraph 1 Char,Akapit z listą BS Char,Bullets Char,List Paragraph1 Char,Bullet1 Char,NumberedParas Char,Dot pt Char,F5 List Paragraph Char,List Paragraph Char Char Char Char"/>
    <w:link w:val="ListParagraph"/>
    <w:uiPriority w:val="34"/>
    <w:qFormat/>
    <w:locked/>
    <w:rsid w:val="00C04FF4"/>
  </w:style>
  <w:style w:type="character" w:customStyle="1" w:styleId="Heading3Char">
    <w:name w:val="Heading 3 Char"/>
    <w:basedOn w:val="DefaultParagraphFont"/>
    <w:link w:val="Heading3"/>
    <w:uiPriority w:val="9"/>
    <w:semiHidden/>
    <w:rsid w:val="00470B7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9438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OC3">
    <w:name w:val="toc 3"/>
    <w:basedOn w:val="Normal"/>
    <w:next w:val="Normal"/>
    <w:autoRedefine/>
    <w:uiPriority w:val="39"/>
    <w:unhideWhenUsed/>
    <w:rsid w:val="003F691F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05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0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6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8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1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7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5.xml"/><Relationship Id="rId39" Type="http://schemas.openxmlformats.org/officeDocument/2006/relationships/image" Target="media/image7.emf"/><Relationship Id="rId21" Type="http://schemas.openxmlformats.org/officeDocument/2006/relationships/chart" Target="charts/chart12.xml"/><Relationship Id="rId34" Type="http://schemas.openxmlformats.org/officeDocument/2006/relationships/chart" Target="charts/chart23.xml"/><Relationship Id="rId42" Type="http://schemas.openxmlformats.org/officeDocument/2006/relationships/image" Target="media/image9.emf"/><Relationship Id="rId47" Type="http://schemas.openxmlformats.org/officeDocument/2006/relationships/chart" Target="charts/chart29.xml"/><Relationship Id="rId50" Type="http://schemas.openxmlformats.org/officeDocument/2006/relationships/image" Target="media/image12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9" Type="http://schemas.openxmlformats.org/officeDocument/2006/relationships/chart" Target="charts/chart18.xml"/><Relationship Id="rId11" Type="http://schemas.openxmlformats.org/officeDocument/2006/relationships/chart" Target="charts/chart2.xml"/><Relationship Id="rId24" Type="http://schemas.openxmlformats.org/officeDocument/2006/relationships/chart" Target="charts/chart14.xml"/><Relationship Id="rId32" Type="http://schemas.openxmlformats.org/officeDocument/2006/relationships/chart" Target="charts/chart21.xml"/><Relationship Id="rId37" Type="http://schemas.openxmlformats.org/officeDocument/2006/relationships/image" Target="media/image5.emf"/><Relationship Id="rId40" Type="http://schemas.openxmlformats.org/officeDocument/2006/relationships/image" Target="media/image8.emf"/><Relationship Id="rId45" Type="http://schemas.openxmlformats.org/officeDocument/2006/relationships/chart" Target="charts/chart27.xm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chart" Target="charts/chart20.xml"/><Relationship Id="rId44" Type="http://schemas.openxmlformats.org/officeDocument/2006/relationships/chart" Target="charts/chart26.xml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cid:image001.jpg@01D4C9C9.A12AE760" TargetMode="External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6.xml"/><Relationship Id="rId30" Type="http://schemas.openxmlformats.org/officeDocument/2006/relationships/chart" Target="charts/chart19.xml"/><Relationship Id="rId35" Type="http://schemas.openxmlformats.org/officeDocument/2006/relationships/chart" Target="charts/chart24.xml"/><Relationship Id="rId43" Type="http://schemas.openxmlformats.org/officeDocument/2006/relationships/image" Target="media/image10.emf"/><Relationship Id="rId48" Type="http://schemas.openxmlformats.org/officeDocument/2006/relationships/chart" Target="charts/chart30.xml"/><Relationship Id="rId8" Type="http://schemas.openxmlformats.org/officeDocument/2006/relationships/image" Target="media/image1.jpeg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image" Target="media/image3.emf"/><Relationship Id="rId33" Type="http://schemas.openxmlformats.org/officeDocument/2006/relationships/chart" Target="charts/chart22.xml"/><Relationship Id="rId38" Type="http://schemas.openxmlformats.org/officeDocument/2006/relationships/image" Target="media/image6.emf"/><Relationship Id="rId46" Type="http://schemas.openxmlformats.org/officeDocument/2006/relationships/chart" Target="charts/chart28.xml"/><Relationship Id="rId20" Type="http://schemas.openxmlformats.org/officeDocument/2006/relationships/chart" Target="charts/chart11.xml"/><Relationship Id="rId41" Type="http://schemas.openxmlformats.org/officeDocument/2006/relationships/chart" Target="charts/chart25.xm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6.xml"/><Relationship Id="rId23" Type="http://schemas.openxmlformats.org/officeDocument/2006/relationships/image" Target="media/image2.emf"/><Relationship Id="rId28" Type="http://schemas.openxmlformats.org/officeDocument/2006/relationships/chart" Target="charts/chart17.xml"/><Relationship Id="rId36" Type="http://schemas.openxmlformats.org/officeDocument/2006/relationships/image" Target="media/image4.emf"/><Relationship Id="rId49" Type="http://schemas.openxmlformats.org/officeDocument/2006/relationships/image" Target="media/image11.em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imf.org/en/Publications/CR/Issues/2019/01/28/Albania-2018-Article-IV-Consultation-Press-Release-Staff-Report-and-Statement-by-the-46556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jus.borokoci\Desktop\WORD%20FILES\Raporte\Analizat%20Periodike\Analiza%202019\Analiza%2012-mujori\Grafiket%20per%20analizen%20e%20Vitit%202019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3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jus.borokoci\Desktop\WORD%20FILES\Raporte\Analizat%20Periodike\Analiza%202019\Analiza%2012-mujori\Grafiket%20per%20analizen%20e%20Vitit%202019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jus.borokoci\Desktop\WORD%20FILES\Raporte\Analizat%20Periodike\Analiza%202019\Analiza%2012-mujori\Grafiket%20per%20analizen%20e%20Vitit%202019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jus.borokoci\Desktop\WORD%20FILES\Raporte\Analizat%20Periodike\Analiza%202019\Analiza%2012-mujori\Grafiket%20per%20analizen%20e%20Vitit%202019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jus.borokoci\Desktop\WORD%20FILES\Raporte\Analizat%20Periodike\Analiza%202019\Analiza%2012-mujori\Grafiket%20per%20analizen%20e%20Vitit%202019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jus.borokoci\Desktop\WORD%20FILES\Raporte\Raporte%20te%20tjera\Viti%202020\Analiza%20e%20Drejtorise%20se%20Borxhit\Tabelat%20dhe%20Grafiket_dt_21.02.2020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jus.borokoci\Desktop\WORD%20FILES\Raporte\Analizat%20Periodike\Analiza%202019\Analiza%2012-mujori\Grafiket%20per%20analizen%20e%20Vitit%202019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jus.borokoci\Desktop\WORD%20FILES\Raporte\Analizat%20Periodike\Analiza%202019\Analiza%2012-mujori\Grafiket%20per%20analizen%20e%20Vitit%202019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jus.borokoci\Desktop\WORD%20FILES\Raporte\Analizat%20Periodike\Analiza%202019\Analiza%2012-mujori\Grafiket%20per%20analizen%20e%20Vitit%202019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jus.borokoci\Desktop\WORD%20FILES\Raporte\Analizat%20Periodike\Analiza%202019\Analiza%2012-mujori\Grafiket%20per%20analizen%20e%20Vitit%202019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jus.borokoci\Desktop\WORD%20FILES\Raporte\Analizat%20Periodike\Analiza%202019\Analiza%2012-mujori\Grafiket%20per%20analizen%20e%20Vitit%202019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jus.borokoci\Desktop\WORD%20FILES\Raporte\Analizat%20Periodike\Analiza%202019\Analiza%2012-mujori\Grafiket%20per%20analizen%20e%20Vitit%202019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jus.borokoci\Desktop\WORD%20FILES\Raporte\Analizat%20Periodike\Analiza%202019\Analiza%2012-mujori\Grafiket%20per%20analizen%20e%20Vitit%202019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jus.borokoci\Desktop\WORD%20FILES\Raporte\Analizat%20Periodike\Analiza%202019\Analiza%2012-mujori\Grafiket%20per%20analizen%20e%20Vitit%202019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rjus.borokoci\Desktop\WORD%20FILES\Raporte\Analizat%20Periodike\Analiza%202019\Analiza%2012-mujori\Grafiket%20per%20analizen%20e%20Vitit%202019.xlsx" TargetMode="Externa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jus.borokoci\Desktop\WORD%20FILES\Raporte\Analizat%20Periodike\Analiza%202019\Analiza%2012-mujori\Grafiket%20per%20analizen%20e%20Vitit%202019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24.xml"/><Relationship Id="rId1" Type="http://schemas.microsoft.com/office/2011/relationships/chartStyle" Target="style24.xml"/><Relationship Id="rId4" Type="http://schemas.openxmlformats.org/officeDocument/2006/relationships/package" Target="../embeddings/Microsoft_Excel_Worksheet4.xlsx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25.xml"/><Relationship Id="rId1" Type="http://schemas.microsoft.com/office/2011/relationships/chartStyle" Target="style25.xml"/><Relationship Id="rId4" Type="http://schemas.openxmlformats.org/officeDocument/2006/relationships/package" Target="../embeddings/Microsoft_Excel_Worksheet5.xlsx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26.xml"/><Relationship Id="rId1" Type="http://schemas.microsoft.com/office/2011/relationships/chartStyle" Target="style26.xml"/><Relationship Id="rId4" Type="http://schemas.openxmlformats.org/officeDocument/2006/relationships/package" Target="../embeddings/Microsoft_Excel_Worksheet6.xlsx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27.xml"/><Relationship Id="rId1" Type="http://schemas.microsoft.com/office/2011/relationships/chartStyle" Target="style27.xml"/><Relationship Id="rId4" Type="http://schemas.openxmlformats.org/officeDocument/2006/relationships/package" Target="../embeddings/Microsoft_Excel_Worksheet7.xlsx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28.xml"/><Relationship Id="rId1" Type="http://schemas.microsoft.com/office/2011/relationships/chartStyle" Target="style28.xml"/><Relationship Id="rId4" Type="http://schemas.openxmlformats.org/officeDocument/2006/relationships/package" Target="../embeddings/Microsoft_Excel_Worksheet8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jus.borokoci\Desktop\WORD%20FILES\Raporte\Analizat%20Periodike\Analiza%202019\Analiza%2012-mujori\Grafiket%20per%20analizen%20e%20Vitit%202019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29.xml"/><Relationship Id="rId1" Type="http://schemas.microsoft.com/office/2011/relationships/chartStyle" Target="style29.xml"/><Relationship Id="rId4" Type="http://schemas.openxmlformats.org/officeDocument/2006/relationships/package" Target="../embeddings/Microsoft_Excel_Worksheet9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jus.borokoci\Desktop\WORD%20FILES\Raporte\Analizat%20Periodike\Analiza%202019\Analiza%2012-mujori\Grafiket%20per%20analizen%20e%20Vitit%202019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jus.borokoci\Desktop\WORD%20FILES\Raporte\Analizat%20Periodike\Analiza%202019\Analiza%2012-mujori\Grafiket%20per%20analizen%20e%20Vitit%202019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jus.borokoci\Desktop\WORD%20FILES\Raporte\Analizat%20Periodike\Analiza%202019\Analiza%2012-mujori\Grafiket%20per%20analizen%20e%20Vitit%202019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jus.borokoci\Desktop\WORD%20FILES\Raporte\Analizat%20Periodike\Analiza%202019\Analiza%2012-mujori\Grafiket%20per%20analizen%20e%20Vitit%202019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1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3903875244045615E-2"/>
          <c:y val="4.8198956119078276E-2"/>
          <c:w val="0.81103426496682374"/>
          <c:h val="0.7177645347523049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'Stoku i Borxhit'!$A$26</c:f>
              <c:strCache>
                <c:ptCount val="1"/>
                <c:pt idx="0">
                  <c:v>Borxhi Shtetëror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0.3904809771119035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5650623885918001E-3"/>
                  <c:y val="0.40584174126523159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8.1245830035669357E-17"/>
                  <c:y val="0.3980178009663685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3321916911948159E-4"/>
                  <c:y val="0.3862049158748772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7826017925469783E-3"/>
                  <c:y val="0.38729680066587419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'Stoku i Borxhit'!$B$25:$F$25</c:f>
              <c:strCach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strCache>
            </c:strRef>
          </c:cat>
          <c:val>
            <c:numRef>
              <c:f>'Stoku i Borxhit'!$B$26:$F$26</c:f>
              <c:numCache>
                <c:formatCode>_(* #\,##0.0_);_(* \(#\,##0.0\);_(* "-"??_);_(@_)</c:formatCode>
                <c:ptCount val="5"/>
                <c:pt idx="0">
                  <c:v>986.24173660700285</c:v>
                </c:pt>
                <c:pt idx="1">
                  <c:v>1012.241</c:v>
                </c:pt>
                <c:pt idx="2">
                  <c:v>1037.4566964684852</c:v>
                </c:pt>
                <c:pt idx="3">
                  <c:v>1061.8967513634955</c:v>
                </c:pt>
                <c:pt idx="4">
                  <c:v>1070.1914054458098</c:v>
                </c:pt>
              </c:numCache>
            </c:numRef>
          </c:val>
          <c:extLst/>
        </c:ser>
        <c:ser>
          <c:idx val="1"/>
          <c:order val="1"/>
          <c:tx>
            <c:strRef>
              <c:f>'Stoku i Borxhit'!$A$27</c:f>
              <c:strCache>
                <c:ptCount val="1"/>
                <c:pt idx="0">
                  <c:v>Borxhi i Garantuar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accen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'Stoku i Borxhit'!$B$25:$F$25</c:f>
              <c:strCach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strCache>
            </c:strRef>
          </c:cat>
          <c:val>
            <c:numRef>
              <c:f>'Stoku i Borxhit'!$B$27:$F$27</c:f>
              <c:numCache>
                <c:formatCode>_(* #\,##0.0_);_(* \(#\,##0.0\);_(* "-"??_);_(@_)</c:formatCode>
                <c:ptCount val="5"/>
                <c:pt idx="0">
                  <c:v>56.030081178239996</c:v>
                </c:pt>
                <c:pt idx="1">
                  <c:v>53.468000000000004</c:v>
                </c:pt>
                <c:pt idx="2">
                  <c:v>49.885175518906451</c:v>
                </c:pt>
                <c:pt idx="3">
                  <c:v>44.672074609123086</c:v>
                </c:pt>
                <c:pt idx="4">
                  <c:v>41.852794389665405</c:v>
                </c:pt>
              </c:numCache>
            </c:numRef>
          </c:val>
        </c:ser>
        <c:ser>
          <c:idx val="2"/>
          <c:order val="2"/>
          <c:tx>
            <c:strRef>
              <c:f>'Stoku i Borxhit'!$A$28</c:f>
              <c:strCache>
                <c:ptCount val="1"/>
                <c:pt idx="0">
                  <c:v>Borxhi i Pushtetit Lokal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7030A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'Stoku i Borxhit'!$B$25:$F$25</c:f>
              <c:strCach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strCache>
            </c:strRef>
          </c:cat>
          <c:val>
            <c:numRef>
              <c:f>'Stoku i Borxhit'!$B$28:$F$28</c:f>
              <c:numCache>
                <c:formatCode>_(* #\,##0.0_);_(* \(#\,##0.0\);_(* "-"??_);_(@_)</c:formatCode>
                <c:ptCount val="5"/>
                <c:pt idx="0">
                  <c:v>0.95677000000000001</c:v>
                </c:pt>
                <c:pt idx="1">
                  <c:v>0.90134000000000003</c:v>
                </c:pt>
                <c:pt idx="2">
                  <c:v>0.82746000000000008</c:v>
                </c:pt>
                <c:pt idx="3">
                  <c:v>0.71565968409814007</c:v>
                </c:pt>
                <c:pt idx="4">
                  <c:v>0.58171127166869285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8"/>
        <c:axId val="-295954096"/>
        <c:axId val="-295955728"/>
      </c:barChart>
      <c:lineChart>
        <c:grouping val="standard"/>
        <c:varyColors val="0"/>
        <c:ser>
          <c:idx val="3"/>
          <c:order val="3"/>
          <c:tx>
            <c:strRef>
              <c:f>'Stoku i Borxhit'!$A$29</c:f>
              <c:strCache>
                <c:ptCount val="1"/>
                <c:pt idx="0">
                  <c:v>Borxhi Publik/PBB</c:v>
                </c:pt>
              </c:strCache>
            </c:strRef>
          </c:tx>
          <c:spPr>
            <a:ln w="22225" cap="rnd">
              <a:solidFill>
                <a:schemeClr val="bg1">
                  <a:lumMod val="50000"/>
                </a:schemeClr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bg1">
                  <a:lumMod val="50000"/>
                </a:schemeClr>
              </a:solidFill>
              <a:ln w="9525"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2.7063599458728042E-2"/>
                  <c:y val="-6.14657210401891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532443471304055E-2"/>
                  <c:y val="-5.1326207798169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7079546382818587E-2"/>
                  <c:y val="-5.17950149848290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9364164068456735E-2"/>
                  <c:y val="-6.424941563155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3255651652007936E-2"/>
                  <c:y val="-5.38789034349429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0"/>
              <c:layout>
                <c:manualLayout>
                  <c:x val="-7.5011720581340839E-3"/>
                  <c:y val="-4.94845467942845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2"/>
              <c:layout>
                <c:manualLayout>
                  <c:x val="-1.6877637130801686E-2"/>
                  <c:y val="-7.14776787028555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'Stoku i Borxhit'!$B$25:$F$25</c:f>
              <c:strCach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strCache>
            </c:strRef>
          </c:cat>
          <c:val>
            <c:numRef>
              <c:f>'Stoku i Borxhit'!$B$29:$F$29</c:f>
              <c:numCache>
                <c:formatCode>0.0%</c:formatCode>
                <c:ptCount val="5"/>
                <c:pt idx="0">
                  <c:v>0.72733930772556721</c:v>
                </c:pt>
                <c:pt idx="1">
                  <c:v>0.72436340713990199</c:v>
                </c:pt>
                <c:pt idx="2">
                  <c:v>0.70146482255726894</c:v>
                </c:pt>
                <c:pt idx="3">
                  <c:v>0.67893877488466858</c:v>
                </c:pt>
                <c:pt idx="4">
                  <c:v>0.65878962228777238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95947568"/>
        <c:axId val="-295959536"/>
      </c:lineChart>
      <c:catAx>
        <c:axId val="-295954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95955728"/>
        <c:crosses val="autoZero"/>
        <c:auto val="1"/>
        <c:lblAlgn val="ctr"/>
        <c:lblOffset val="100"/>
        <c:noMultiLvlLbl val="0"/>
      </c:catAx>
      <c:valAx>
        <c:axId val="-295955728"/>
        <c:scaling>
          <c:orientation val="minMax"/>
          <c:max val="130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900" b="1">
                    <a:solidFill>
                      <a:sysClr val="windowText" lastClr="000000"/>
                    </a:solidFill>
                  </a:rPr>
                  <a:t>në miliard Lekë</a:t>
                </a:r>
              </a:p>
            </c:rich>
          </c:tx>
          <c:layout>
            <c:manualLayout>
              <c:xMode val="edge"/>
              <c:yMode val="edge"/>
              <c:x val="2.0631561316302332E-3"/>
              <c:y val="0.241406408357371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95954096"/>
        <c:crosses val="autoZero"/>
        <c:crossBetween val="between"/>
        <c:majorUnit val="300"/>
      </c:valAx>
      <c:valAx>
        <c:axId val="-295959536"/>
        <c:scaling>
          <c:orientation val="minMax"/>
          <c:max val="0.8"/>
          <c:min val="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>
                    <a:solidFill>
                      <a:sysClr val="windowText" lastClr="000000"/>
                    </a:solidFill>
                  </a:rPr>
                  <a:t>në % të PBB</a:t>
                </a:r>
              </a:p>
            </c:rich>
          </c:tx>
          <c:layout>
            <c:manualLayout>
              <c:xMode val="edge"/>
              <c:yMode val="edge"/>
              <c:x val="0.96409253407915207"/>
              <c:y val="0.2595936146279587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%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95947568"/>
        <c:crosses val="max"/>
        <c:crossBetween val="between"/>
        <c:majorUnit val="0.2"/>
      </c:valAx>
      <c:catAx>
        <c:axId val="-29594756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2959595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8337855120203924E-2"/>
          <c:y val="0.89923919084582515"/>
          <c:w val="0.87502990278707826"/>
          <c:h val="8.55519295829466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solidFill>
        <a:schemeClr val="bg1">
          <a:lumMod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800">
                <a:solidFill>
                  <a:sysClr val="windowText" lastClr="000000"/>
                </a:solidFill>
              </a:rPr>
              <a:t>Borxhi i Jashtëm</a:t>
            </a:r>
            <a:endParaRPr lang="en-US" sz="800" baseline="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34659267739900468"/>
          <c:y val="8.0784960019532441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30509264235145683"/>
          <c:y val="0.1733145638771898"/>
          <c:w val="0.49444473001705647"/>
          <c:h val="0.80730559116156997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C0000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</c:dPt>
          <c:dPt>
            <c:idx val="1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</c:dPt>
          <c:dPt>
            <c:idx val="2"/>
            <c:bubble3D val="0"/>
            <c:spPr>
              <a:solidFill>
                <a:srgbClr val="7030A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</c:dPt>
          <c:dPt>
            <c:idx val="3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</c:dPt>
          <c:dLbls>
            <c:dLbl>
              <c:idx val="0"/>
              <c:layout>
                <c:manualLayout>
                  <c:x val="-0.2090305848267483"/>
                  <c:y val="-0.1696491790270402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66.2%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7886212294679776"/>
                  <c:y val="4.399530000610379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22.6%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0766139395780223E-2"/>
                  <c:y val="3.459760117194653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3.7%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6.0281782284632761E-2"/>
                  <c:y val="0.131732588658975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'B.Shteteror sipas Monedhes '!$A$41:$A$44</c:f>
              <c:strCache>
                <c:ptCount val="4"/>
                <c:pt idx="0">
                  <c:v>EUR</c:v>
                </c:pt>
                <c:pt idx="1">
                  <c:v>USD</c:v>
                </c:pt>
                <c:pt idx="2">
                  <c:v>JPY</c:v>
                </c:pt>
                <c:pt idx="3">
                  <c:v>Të tjera</c:v>
                </c:pt>
              </c:strCache>
            </c:strRef>
          </c:cat>
          <c:val>
            <c:numRef>
              <c:f>'B.Shteteror sipas Monedhes '!$I$41:$I$44</c:f>
              <c:numCache>
                <c:formatCode>0.0%</c:formatCode>
                <c:ptCount val="4"/>
                <c:pt idx="0">
                  <c:v>0.66317104160853202</c:v>
                </c:pt>
                <c:pt idx="1">
                  <c:v>0.22425153434389178</c:v>
                </c:pt>
                <c:pt idx="2">
                  <c:v>3.7510321721001855E-2</c:v>
                </c:pt>
                <c:pt idx="3">
                  <c:v>7.5067102326574486E-2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416736601698306E-2"/>
          <c:y val="4.0348067845231143E-2"/>
          <c:w val="0.87820923281997243"/>
          <c:h val="0.73362985740319575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'Garancite '!$A$27</c:f>
              <c:strCache>
                <c:ptCount val="1"/>
                <c:pt idx="0">
                  <c:v>Garanci të Brendshme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'Garancite '!$B$23:$F$23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'Garancite '!$B$27:$F$27</c:f>
              <c:numCache>
                <c:formatCode>0.0%</c:formatCode>
                <c:ptCount val="5"/>
                <c:pt idx="0">
                  <c:v>0.54325675351370484</c:v>
                </c:pt>
                <c:pt idx="1">
                  <c:v>0.56643225854716839</c:v>
                </c:pt>
                <c:pt idx="2">
                  <c:v>0.60372585014932323</c:v>
                </c:pt>
                <c:pt idx="3">
                  <c:v>0.34065539673485801</c:v>
                </c:pt>
                <c:pt idx="4">
                  <c:v>0.36208871464582637</c:v>
                </c:pt>
              </c:numCache>
            </c:numRef>
          </c:val>
        </c:ser>
        <c:ser>
          <c:idx val="1"/>
          <c:order val="1"/>
          <c:tx>
            <c:strRef>
              <c:f>'Garancite '!$A$28</c:f>
              <c:strCache>
                <c:ptCount val="1"/>
                <c:pt idx="0">
                  <c:v>Garanci të Huaja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'Garancite '!$B$23:$F$23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'Garancite '!$B$28:$F$28</c:f>
              <c:numCache>
                <c:formatCode>0.0%</c:formatCode>
                <c:ptCount val="5"/>
                <c:pt idx="0">
                  <c:v>0.45674324648629522</c:v>
                </c:pt>
                <c:pt idx="1">
                  <c:v>0.43356774145283161</c:v>
                </c:pt>
                <c:pt idx="2">
                  <c:v>0.39627414985067683</c:v>
                </c:pt>
                <c:pt idx="3">
                  <c:v>0.65934460326514188</c:v>
                </c:pt>
                <c:pt idx="4">
                  <c:v>0.63791128535417363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70"/>
        <c:overlap val="100"/>
        <c:axId val="-217860064"/>
        <c:axId val="-217857344"/>
      </c:barChart>
      <c:catAx>
        <c:axId val="-217860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17857344"/>
        <c:crosses val="autoZero"/>
        <c:auto val="1"/>
        <c:lblAlgn val="ctr"/>
        <c:lblOffset val="100"/>
        <c:noMultiLvlLbl val="0"/>
      </c:catAx>
      <c:valAx>
        <c:axId val="-217857344"/>
        <c:scaling>
          <c:orientation val="minMax"/>
          <c:max val="1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900" b="1">
                    <a:solidFill>
                      <a:sysClr val="windowText" lastClr="000000"/>
                    </a:solidFill>
                  </a:rPr>
                  <a:t>në % të totalit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%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17860064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823590990855813"/>
          <c:y val="0.88794824511584314"/>
          <c:w val="0.42795964763212485"/>
          <c:h val="0.1001787955490425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solidFill>
        <a:schemeClr val="bg1">
          <a:lumMod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3152415332085264E-2"/>
          <c:y val="4.691525810329835E-2"/>
          <c:w val="0.88627726375771831"/>
          <c:h val="0.74472982669562204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'Garancite '!$A$16</c:f>
              <c:strCache>
                <c:ptCount val="1"/>
                <c:pt idx="0">
                  <c:v>Energjia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'Garancite '!$B$15:$F$15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'Garancite '!$B$16:$F$16</c:f>
              <c:numCache>
                <c:formatCode>0.0%</c:formatCode>
                <c:ptCount val="5"/>
                <c:pt idx="0">
                  <c:v>0.84436772276290106</c:v>
                </c:pt>
                <c:pt idx="1">
                  <c:v>0.83266211012656999</c:v>
                </c:pt>
                <c:pt idx="2">
                  <c:v>0.83116455796483601</c:v>
                </c:pt>
                <c:pt idx="3">
                  <c:v>0.84032379084761044</c:v>
                </c:pt>
                <c:pt idx="4">
                  <c:v>0.83189498470392853</c:v>
                </c:pt>
              </c:numCache>
            </c:numRef>
          </c:val>
        </c:ser>
        <c:ser>
          <c:idx val="1"/>
          <c:order val="1"/>
          <c:tx>
            <c:strRef>
              <c:f>'Garancite '!$A$17</c:f>
              <c:strCache>
                <c:ptCount val="1"/>
                <c:pt idx="0">
                  <c:v>Media Vizive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4.179728317659352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1.25391849529780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3713412883072886E-16"/>
                  <c:y val="8.359456635318705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8700324502165069E-3"/>
                  <c:y val="1.25391849529780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'Garancite '!$B$15:$F$15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'Garancite '!$B$17:$F$17</c:f>
              <c:numCache>
                <c:formatCode>0.0%</c:formatCode>
                <c:ptCount val="5"/>
                <c:pt idx="0">
                  <c:v>8.466156929913763E-3</c:v>
                </c:pt>
                <c:pt idx="1">
                  <c:v>4.6308088234649256E-2</c:v>
                </c:pt>
                <c:pt idx="2">
                  <c:v>4.5538059484233638E-2</c:v>
                </c:pt>
                <c:pt idx="3">
                  <c:v>4.0371644912797981E-2</c:v>
                </c:pt>
                <c:pt idx="4">
                  <c:v>3.5429221536443012E-2</c:v>
                </c:pt>
              </c:numCache>
            </c:numRef>
          </c:val>
        </c:ser>
        <c:ser>
          <c:idx val="2"/>
          <c:order val="2"/>
          <c:tx>
            <c:strRef>
              <c:f>'Garancite '!$A$18</c:f>
              <c:strCache>
                <c:ptCount val="1"/>
                <c:pt idx="0">
                  <c:v>Ujesjellës Kanalizime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'Garancite '!$B$15:$F$15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'Garancite '!$B$18:$F$18</c:f>
              <c:numCache>
                <c:formatCode>0.0%</c:formatCode>
                <c:ptCount val="5"/>
                <c:pt idx="0">
                  <c:v>7.3518422805808559E-2</c:v>
                </c:pt>
                <c:pt idx="1">
                  <c:v>7.214946337766151E-2</c:v>
                </c:pt>
                <c:pt idx="2">
                  <c:v>7.5923629417130711E-2</c:v>
                </c:pt>
                <c:pt idx="3">
                  <c:v>7.7570636400784584E-2</c:v>
                </c:pt>
                <c:pt idx="4">
                  <c:v>9.755049456664068E-2</c:v>
                </c:pt>
              </c:numCache>
            </c:numRef>
          </c:val>
        </c:ser>
        <c:ser>
          <c:idx val="4"/>
          <c:order val="3"/>
          <c:tx>
            <c:strRef>
              <c:f>'Garancite '!$A$19</c:f>
              <c:strCache>
                <c:ptCount val="1"/>
                <c:pt idx="0">
                  <c:v>Të Tjera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6.8567064415364431E-17"/>
                  <c:y val="1.3348801619233333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3713412883072886E-16"/>
                  <c:y val="-2.6789754728934745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1.8923966792551227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'Garancite '!$B$15:$F$15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'Garancite '!$B$19:$F$19</c:f>
              <c:numCache>
                <c:formatCode>0.0%</c:formatCode>
                <c:ptCount val="5"/>
                <c:pt idx="0">
                  <c:v>7.3647697501376772E-2</c:v>
                </c:pt>
                <c:pt idx="1">
                  <c:v>4.8880338261119198E-2</c:v>
                </c:pt>
                <c:pt idx="2">
                  <c:v>4.7373753133799747E-2</c:v>
                </c:pt>
                <c:pt idx="3">
                  <c:v>4.1733927838806917E-2</c:v>
                </c:pt>
                <c:pt idx="4">
                  <c:v>3.512529919298777E-2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70"/>
        <c:overlap val="100"/>
        <c:axId val="-217858976"/>
        <c:axId val="-217854624"/>
      </c:barChart>
      <c:catAx>
        <c:axId val="-217858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17854624"/>
        <c:crosses val="autoZero"/>
        <c:auto val="1"/>
        <c:lblAlgn val="ctr"/>
        <c:lblOffset val="100"/>
        <c:noMultiLvlLbl val="0"/>
      </c:catAx>
      <c:valAx>
        <c:axId val="-217854624"/>
        <c:scaling>
          <c:orientation val="minMax"/>
          <c:max val="1"/>
          <c:min val="0.5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900" b="1">
                    <a:solidFill>
                      <a:sysClr val="windowText" lastClr="000000"/>
                    </a:solidFill>
                  </a:rPr>
                  <a:t>në</a:t>
                </a:r>
                <a:r>
                  <a:rPr lang="en-US" sz="900" b="1" baseline="0">
                    <a:solidFill>
                      <a:sysClr val="windowText" lastClr="000000"/>
                    </a:solidFill>
                  </a:rPr>
                  <a:t> % të totalit</a:t>
                </a:r>
                <a:endParaRPr lang="en-US" sz="900" b="1">
                  <a:solidFill>
                    <a:sysClr val="windowText" lastClr="000000"/>
                  </a:solidFill>
                </a:endParaRPr>
              </a:p>
            </c:rich>
          </c:tx>
          <c:layout>
            <c:manualLayout>
              <c:xMode val="edge"/>
              <c:yMode val="edge"/>
              <c:x val="0"/>
              <c:y val="0.2304297207266714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17858976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584680127924398"/>
          <c:y val="0.90061775621439"/>
          <c:w val="0.58830622296742041"/>
          <c:h val="9.938232102612615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solidFill>
        <a:schemeClr val="bg1">
          <a:lumMod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2751124921704731E-2"/>
          <c:y val="9.1189747569763391E-2"/>
          <c:w val="0.83457121584730276"/>
          <c:h val="0.6318271351452247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'Huamarrja Total'!$A$18</c:f>
              <c:strCache>
                <c:ptCount val="1"/>
                <c:pt idx="0">
                  <c:v>Huamarrja e Brendshme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'Huamarrja Total'!$B$17:$F$17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'Huamarrja Total'!$B$18:$F$18</c:f>
              <c:numCache>
                <c:formatCode>_(* #\,##0.0_);_(* \(#\,##0.0\);_(* "-"??_);_(@_)</c:formatCode>
                <c:ptCount val="5"/>
                <c:pt idx="0">
                  <c:v>410.36811816922506</c:v>
                </c:pt>
                <c:pt idx="1">
                  <c:v>341.94574581115995</c:v>
                </c:pt>
                <c:pt idx="2">
                  <c:v>322.98814272017</c:v>
                </c:pt>
                <c:pt idx="3">
                  <c:v>302.97028800759</c:v>
                </c:pt>
                <c:pt idx="4">
                  <c:v>301.19120821613001</c:v>
                </c:pt>
              </c:numCache>
            </c:numRef>
          </c:val>
        </c:ser>
        <c:ser>
          <c:idx val="1"/>
          <c:order val="1"/>
          <c:tx>
            <c:strRef>
              <c:f>'Huamarrja Total'!$A$19</c:f>
              <c:strCache>
                <c:ptCount val="1"/>
                <c:pt idx="0">
                  <c:v>Huamarrja e Huaj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1.7754105636927238E-3"/>
                  <c:y val="1.077440848921583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'Huamarrja Total'!$B$17:$F$17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'Huamarrja Total'!$B$19:$F$19</c:f>
              <c:numCache>
                <c:formatCode>_(* #\,##0.0_);_(* \(#\,##0.0\);_(* "-"??_);_(@_)</c:formatCode>
                <c:ptCount val="5"/>
                <c:pt idx="0">
                  <c:v>100.4</c:v>
                </c:pt>
                <c:pt idx="1">
                  <c:v>40.099108000000001</c:v>
                </c:pt>
                <c:pt idx="2">
                  <c:v>58.653800046744003</c:v>
                </c:pt>
                <c:pt idx="3">
                  <c:v>82.060717000000011</c:v>
                </c:pt>
                <c:pt idx="4">
                  <c:v>21.389974999999996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2"/>
        <c:overlap val="100"/>
        <c:axId val="-372619104"/>
        <c:axId val="-372619648"/>
      </c:barChart>
      <c:lineChart>
        <c:grouping val="standard"/>
        <c:varyColors val="0"/>
        <c:ser>
          <c:idx val="2"/>
          <c:order val="2"/>
          <c:tx>
            <c:strRef>
              <c:f>'Huamarrja Total'!$A$23</c:f>
              <c:strCache>
                <c:ptCount val="1"/>
                <c:pt idx="0">
                  <c:v>Total Huamarrja/Të ardhura tatimore</c:v>
                </c:pt>
              </c:strCache>
            </c:strRef>
          </c:tx>
          <c:spPr>
            <a:ln w="19050" cap="rnd">
              <a:solidFill>
                <a:schemeClr val="accent1">
                  <a:lumMod val="75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75000"/>
                </a:schemeClr>
              </a:solidFill>
              <a:ln w="6350">
                <a:solidFill>
                  <a:schemeClr val="accent1">
                    <a:lumMod val="75000"/>
                  </a:schemeClr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2.7281990260856193E-2"/>
                  <c:y val="-5.74532986870091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284852043294861E-2"/>
                  <c:y val="-4.62964455480907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1830896221065654E-2"/>
                  <c:y val="-5.41435595659712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3816503629456438E-2"/>
                  <c:y val="-6.01008382829156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6504608029189557E-2"/>
                  <c:y val="-6.481485409160282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79.4%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'Huamarrja Total'!$B$17:$F$17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'Huamarrja Total'!$B$23:$F$23</c:f>
              <c:numCache>
                <c:formatCode>0.0%</c:formatCode>
                <c:ptCount val="5"/>
                <c:pt idx="0">
                  <c:v>1.4780495882710112</c:v>
                </c:pt>
                <c:pt idx="1">
                  <c:v>1.0328383873693827</c:v>
                </c:pt>
                <c:pt idx="2">
                  <c:v>0.95738629845524026</c:v>
                </c:pt>
                <c:pt idx="3">
                  <c:v>0.91819867505679253</c:v>
                </c:pt>
                <c:pt idx="4">
                  <c:v>0.74937174056678435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'Huamarrja Total'!$A$24</c:f>
              <c:strCache>
                <c:ptCount val="1"/>
                <c:pt idx="0">
                  <c:v>Total Huamarrja/PBB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5508211273857081E-2"/>
                  <c:y val="5.92592466906870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5508211273857081E-2"/>
                  <c:y val="4.84848382014712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0181979582778583E-2"/>
                  <c:y val="5.38720424460790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0181979582778518E-2"/>
                  <c:y val="4.84848382014712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5084157578020615E-2"/>
                  <c:y val="3.51570136702344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'Huamarrja Total'!$B$17:$F$17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'Huamarrja Total'!$B$24:$F$24</c:f>
              <c:numCache>
                <c:formatCode>0.0%</c:formatCode>
                <c:ptCount val="5"/>
                <c:pt idx="0">
                  <c:v>0.35610769665178266</c:v>
                </c:pt>
                <c:pt idx="1">
                  <c:v>0.2594568059286933</c:v>
                </c:pt>
                <c:pt idx="2">
                  <c:v>0.24601722341730781</c:v>
                </c:pt>
                <c:pt idx="3">
                  <c:v>0.23608429650978574</c:v>
                </c:pt>
                <c:pt idx="4">
                  <c:v>0.19100142619960281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372614208"/>
        <c:axId val="-372622912"/>
      </c:lineChart>
      <c:catAx>
        <c:axId val="-372619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372619648"/>
        <c:crosses val="autoZero"/>
        <c:auto val="1"/>
        <c:lblAlgn val="ctr"/>
        <c:lblOffset val="100"/>
        <c:noMultiLvlLbl val="0"/>
      </c:catAx>
      <c:valAx>
        <c:axId val="-37261964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900" b="1">
                    <a:solidFill>
                      <a:sysClr val="windowText" lastClr="000000"/>
                    </a:solidFill>
                  </a:rPr>
                  <a:t>miliard Lekë</a:t>
                </a:r>
              </a:p>
            </c:rich>
          </c:tx>
          <c:layout>
            <c:manualLayout>
              <c:xMode val="edge"/>
              <c:yMode val="edge"/>
              <c:x val="2.1915690629519969E-3"/>
              <c:y val="0.2564718711471110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372619104"/>
        <c:crosses val="autoZero"/>
        <c:crossBetween val="between"/>
        <c:majorUnit val="100"/>
      </c:valAx>
      <c:valAx>
        <c:axId val="-372622912"/>
        <c:scaling>
          <c:orientation val="minMax"/>
          <c:max val="1.5"/>
        </c:scaling>
        <c:delete val="0"/>
        <c:axPos val="r"/>
        <c:numFmt formatCode="0%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372614208"/>
        <c:crosses val="max"/>
        <c:crossBetween val="between"/>
        <c:majorUnit val="0.30000000000000004"/>
      </c:valAx>
      <c:catAx>
        <c:axId val="-37261420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37262291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903037768406581"/>
          <c:y val="0.8362430678697913"/>
          <c:w val="0.84824103944684737"/>
          <c:h val="0.1637569321302085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3887474679447469E-2"/>
          <c:y val="5.3236529481300143E-2"/>
          <c:w val="0.88747642418839012"/>
          <c:h val="0.78281858652250758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'HB '!$A$12</c:f>
              <c:strCache>
                <c:ptCount val="1"/>
                <c:pt idx="0">
                  <c:v>Tituj Afatshkurtër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Pt>
            <c:idx val="4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</c:dPt>
          <c:dPt>
            <c:idx val="5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</c:dPt>
          <c:dLbls>
            <c:dLbl>
              <c:idx val="0"/>
              <c:layout>
                <c:manualLayout>
                  <c:x val="0"/>
                  <c:y val="-0.22292419116466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0622915017834678E-17"/>
                  <c:y val="-0.1038428354077586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-0.1209141805770649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8.1245830035669357E-17"/>
                  <c:y val="-2.07386278581751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2157780989218306E-3"/>
                  <c:y val="-2.07380835086591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'HB '!$B$11:$F$11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'HB '!$B$12:$F$12</c:f>
              <c:numCache>
                <c:formatCode>_(* #\,##0.0_);_(* \(#\,##0.0\);_(* "-"??_);_(@_)</c:formatCode>
                <c:ptCount val="5"/>
                <c:pt idx="0">
                  <c:v>-36.659507842763567</c:v>
                </c:pt>
                <c:pt idx="1">
                  <c:v>-14.384717895468873</c:v>
                </c:pt>
                <c:pt idx="2">
                  <c:v>-14.36227226301998</c:v>
                </c:pt>
                <c:pt idx="3">
                  <c:v>-0.501596713590025</c:v>
                </c:pt>
                <c:pt idx="4">
                  <c:v>-0.80566663792998838</c:v>
                </c:pt>
              </c:numCache>
            </c:numRef>
          </c:val>
        </c:ser>
        <c:ser>
          <c:idx val="1"/>
          <c:order val="1"/>
          <c:tx>
            <c:strRef>
              <c:f>'HB '!$A$13</c:f>
              <c:strCache>
                <c:ptCount val="1"/>
                <c:pt idx="0">
                  <c:v>Tituj Afatgjatë 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4"/>
            <c:invertIfNegative val="0"/>
            <c:bubble3D val="0"/>
            <c:spPr>
              <a:solidFill>
                <a:schemeClr val="accent1">
                  <a:lumMod val="75000"/>
                </a:schemeClr>
              </a:solidFill>
              <a:ln>
                <a:noFill/>
              </a:ln>
              <a:effectLst/>
            </c:spPr>
          </c:dPt>
          <c:dPt>
            <c:idx val="5"/>
            <c:invertIfNegative val="0"/>
            <c:bubble3D val="0"/>
            <c:spPr>
              <a:solidFill>
                <a:schemeClr val="accent1">
                  <a:lumMod val="75000"/>
                </a:schemeClr>
              </a:solidFill>
              <a:ln>
                <a:noFill/>
              </a:ln>
              <a:effectLst/>
            </c:spPr>
          </c:dPt>
          <c:dLbls>
            <c:dLbl>
              <c:idx val="0"/>
              <c:layout>
                <c:manualLayout>
                  <c:x val="-2.2158209616662972E-3"/>
                  <c:y val="-0.1393992014392601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0622915017834678E-17"/>
                  <c:y val="-0.1717090669577122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2158209616663788E-3"/>
                  <c:y val="-0.1869470429573420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1823184466222687E-3"/>
                  <c:y val="-0.1684636551436946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2158209616664599E-3"/>
                  <c:y val="-0.1659177324576564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'HB '!$B$11:$F$11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'HB '!$B$13:$F$13</c:f>
              <c:numCache>
                <c:formatCode>_(* #\,##0.0_);_(* \(#\,##0.0\);_(* "-"??_);_(@_)</c:formatCode>
                <c:ptCount val="5"/>
                <c:pt idx="0">
                  <c:v>19.307504897485</c:v>
                </c:pt>
                <c:pt idx="1">
                  <c:v>25.076536516439997</c:v>
                </c:pt>
                <c:pt idx="2">
                  <c:v>30.75088222239</c:v>
                </c:pt>
                <c:pt idx="3">
                  <c:v>20.233857760449997</c:v>
                </c:pt>
                <c:pt idx="4">
                  <c:v>18.813243995559986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-372616928"/>
        <c:axId val="-372622368"/>
      </c:barChart>
      <c:lineChart>
        <c:grouping val="standard"/>
        <c:varyColors val="0"/>
        <c:ser>
          <c:idx val="2"/>
          <c:order val="2"/>
          <c:tx>
            <c:strRef>
              <c:f>'HB '!$A$14</c:f>
              <c:strCache>
                <c:ptCount val="1"/>
                <c:pt idx="0">
                  <c:v>Financimi Neto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2"/>
              </a:solidFill>
              <a:ln w="9525">
                <a:noFill/>
              </a:ln>
              <a:effectLst/>
            </c:spPr>
          </c:marker>
          <c:dPt>
            <c:idx val="4"/>
            <c:marker>
              <c:symbol val="diamond"/>
              <c:size val="5"/>
              <c:spPr>
                <a:solidFill>
                  <a:schemeClr val="accent2"/>
                </a:solidFill>
                <a:ln w="9525">
                  <a:noFill/>
                </a:ln>
                <a:effectLst/>
              </c:spPr>
            </c:marker>
            <c:bubble3D val="0"/>
            <c:spPr>
              <a:ln w="19050" cap="rnd">
                <a:solidFill>
                  <a:schemeClr val="accent2"/>
                </a:solidFill>
                <a:prstDash val="solid"/>
                <a:round/>
              </a:ln>
              <a:effectLst/>
            </c:spPr>
          </c:dPt>
          <c:dPt>
            <c:idx val="5"/>
            <c:marker>
              <c:symbol val="diamond"/>
              <c:size val="5"/>
              <c:spPr>
                <a:solidFill>
                  <a:schemeClr val="accent2"/>
                </a:solidFill>
                <a:ln w="9525">
                  <a:noFill/>
                </a:ln>
                <a:effectLst/>
              </c:spPr>
            </c:marker>
            <c:bubble3D val="0"/>
            <c:spPr>
              <a:ln w="19050" cap="rnd">
                <a:solidFill>
                  <a:schemeClr val="accent2"/>
                </a:solidFill>
                <a:prstDash val="dash"/>
                <a:round/>
              </a:ln>
              <a:effectLst/>
            </c:spPr>
          </c:dPt>
          <c:dLbls>
            <c:dLbl>
              <c:idx val="0"/>
              <c:layout>
                <c:manualLayout>
                  <c:x val="-3.3930151042220968E-2"/>
                  <c:y val="5.07937976816154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2787694691276778E-2"/>
                  <c:y val="4.53965722310981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4202505099005402E-2"/>
                  <c:y val="6.16922193401939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977430031527466E-2"/>
                  <c:y val="6.16573809711739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3368518941779737E-2"/>
                  <c:y val="5.96857470244494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5.8651026392960446E-3"/>
                  <c:y val="-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'HB '!$B$11:$F$11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'HB '!$B$14:$F$14</c:f>
              <c:numCache>
                <c:formatCode>_(* #\,##0.0_);_(* \(#\,##0.0\);_(* "-"??_);_(@_)</c:formatCode>
                <c:ptCount val="5"/>
                <c:pt idx="0">
                  <c:v>-17.352002945278567</c:v>
                </c:pt>
                <c:pt idx="1">
                  <c:v>10.691818620971125</c:v>
                </c:pt>
                <c:pt idx="2">
                  <c:v>16.388609959370022</c:v>
                </c:pt>
                <c:pt idx="3">
                  <c:v>19.732261046859971</c:v>
                </c:pt>
                <c:pt idx="4">
                  <c:v>18.007577357629998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372616928"/>
        <c:axId val="-372622368"/>
      </c:lineChart>
      <c:catAx>
        <c:axId val="-372616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372622368"/>
        <c:crosses val="autoZero"/>
        <c:auto val="1"/>
        <c:lblAlgn val="ctr"/>
        <c:lblOffset val="100"/>
        <c:noMultiLvlLbl val="0"/>
      </c:catAx>
      <c:valAx>
        <c:axId val="-372622368"/>
        <c:scaling>
          <c:orientation val="minMax"/>
          <c:min val="-4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900" b="1">
                    <a:solidFill>
                      <a:sysClr val="windowText" lastClr="000000"/>
                    </a:solidFill>
                  </a:rPr>
                  <a:t>në miliardë Lekë</a:t>
                </a:r>
              </a:p>
            </c:rich>
          </c:tx>
          <c:layout>
            <c:manualLayout>
              <c:xMode val="edge"/>
              <c:yMode val="edge"/>
              <c:x val="5.7684624121741033E-3"/>
              <c:y val="0.2407304081804845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372616928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8300692138720862"/>
          <c:y val="0.89741515632357238"/>
          <c:w val="0.69427759874797379"/>
          <c:h val="8.16702475250920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186666272371531E-2"/>
          <c:y val="6.3553181254272464E-2"/>
          <c:w val="0.91761971753949734"/>
          <c:h val="0.71026153885105203"/>
        </c:manualLayout>
      </c:layout>
      <c:lineChart>
        <c:grouping val="standard"/>
        <c:varyColors val="0"/>
        <c:ser>
          <c:idx val="0"/>
          <c:order val="0"/>
          <c:tx>
            <c:strRef>
              <c:f>'Kosto Mesatare e Borxhit'!$B$3</c:f>
              <c:strCache>
                <c:ptCount val="1"/>
                <c:pt idx="0">
                  <c:v>Borxhi i Jashtëm Shtetëror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triang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2.879730550922514E-2"/>
                  <c:y val="-4.80460937207186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7155269384430455E-2"/>
                  <c:y val="-4.80460937207187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7155269384430514E-2"/>
                  <c:y val="-5.34551550484004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7155269384430393E-2"/>
                  <c:y val="-4.26370323930368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1869211145911683E-2"/>
                  <c:y val="-3.18191255032028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'Kosto Mesatare e Borxhit'!$C$2:$I$2</c:f>
              <c:strCach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strCache>
            </c:strRef>
          </c:cat>
          <c:val>
            <c:numRef>
              <c:f>'Kosto Mesatare e Borxhit'!$C$3:$I$3</c:f>
              <c:numCache>
                <c:formatCode>0.00%</c:formatCode>
                <c:ptCount val="5"/>
                <c:pt idx="0">
                  <c:v>2.4194288450940887E-2</c:v>
                </c:pt>
                <c:pt idx="1">
                  <c:v>2.229506003024612E-2</c:v>
                </c:pt>
                <c:pt idx="2">
                  <c:v>2.1383894376851547E-2</c:v>
                </c:pt>
                <c:pt idx="3">
                  <c:v>2.3699999999999999E-2</c:v>
                </c:pt>
                <c:pt idx="4">
                  <c:v>2.47E-2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'Kosto Mesatare e Borxhit'!$B$4</c:f>
              <c:strCache>
                <c:ptCount val="1"/>
                <c:pt idx="0">
                  <c:v>Borxhit i Brendshëm Shtetëror</c:v>
                </c:pt>
              </c:strCache>
            </c:strRef>
          </c:tx>
          <c:spPr>
            <a:ln w="22225" cap="rnd">
              <a:solidFill>
                <a:srgbClr val="C00000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rgbClr val="C00000"/>
              </a:solidFill>
              <a:ln w="9525">
                <a:solidFill>
                  <a:srgbClr val="C00000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6534806837425451E-2"/>
                  <c:y val="-6.35531812542724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9907169590104119E-2"/>
                  <c:y val="-6.99840494214750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4325594421651673E-2"/>
                  <c:y val="-5.71223130870699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6534806837425528E-2"/>
                  <c:y val="-6.35531812542724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4027125919604998E-2"/>
                  <c:y val="-5.67546824582863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3.8%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'Kosto Mesatare e Borxhit'!$C$2:$I$2</c:f>
              <c:strCach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strCache>
            </c:strRef>
          </c:cat>
          <c:val>
            <c:numRef>
              <c:f>'Kosto Mesatare e Borxhit'!$C$4:$I$4</c:f>
              <c:numCache>
                <c:formatCode>0.00%</c:formatCode>
                <c:ptCount val="5"/>
                <c:pt idx="0">
                  <c:v>5.3100000000000001E-2</c:v>
                </c:pt>
                <c:pt idx="1">
                  <c:v>4.3700000000000003E-2</c:v>
                </c:pt>
                <c:pt idx="2">
                  <c:v>4.3297894393838514E-2</c:v>
                </c:pt>
                <c:pt idx="3">
                  <c:v>4.1829999999999999E-2</c:v>
                </c:pt>
                <c:pt idx="4">
                  <c:v>3.8399999999999997E-2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'Kosto Mesatare e Borxhit'!$B$5</c:f>
              <c:strCache>
                <c:ptCount val="1"/>
                <c:pt idx="0">
                  <c:v> Borxhi Shtetëror</c:v>
                </c:pt>
              </c:strCache>
            </c:strRef>
          </c:tx>
          <c:spPr>
            <a:ln w="22225" cap="rnd">
              <a:solidFill>
                <a:schemeClr val="accent2"/>
              </a:solidFill>
              <a:prstDash val="sysDash"/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2.2988505747126436E-2"/>
                  <c:y val="-4.86815519491360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7914614121510611E-2"/>
                  <c:y val="-4.86815519491361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6272577996715927E-2"/>
                  <c:y val="-4.32724906214543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4630541871921301E-2"/>
                  <c:y val="-4.32724906214543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9261083743843571E-3"/>
                  <c:y val="-3.24543679660907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'Kosto Mesatare e Borxhit'!$C$2:$I$2</c:f>
              <c:strCach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strCache>
            </c:strRef>
          </c:cat>
          <c:val>
            <c:numRef>
              <c:f>'Kosto Mesatare e Borxhit'!$C$5:$I$5</c:f>
              <c:numCache>
                <c:formatCode>0.00%</c:formatCode>
                <c:ptCount val="5"/>
                <c:pt idx="0">
                  <c:v>3.9462363508662383E-2</c:v>
                </c:pt>
                <c:pt idx="1">
                  <c:v>3.3520126444222198E-2</c:v>
                </c:pt>
                <c:pt idx="2">
                  <c:v>3.2936777281518323E-2</c:v>
                </c:pt>
                <c:pt idx="3">
                  <c:v>3.3347950623521694E-2</c:v>
                </c:pt>
                <c:pt idx="4">
                  <c:v>3.2152178514660339E-2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372614752"/>
        <c:axId val="-372613664"/>
      </c:lineChart>
      <c:catAx>
        <c:axId val="-372614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372613664"/>
        <c:crosses val="autoZero"/>
        <c:auto val="1"/>
        <c:lblAlgn val="ctr"/>
        <c:lblOffset val="100"/>
        <c:noMultiLvlLbl val="0"/>
      </c:catAx>
      <c:valAx>
        <c:axId val="-372613664"/>
        <c:scaling>
          <c:orientation val="minMax"/>
        </c:scaling>
        <c:delete val="0"/>
        <c:axPos val="l"/>
        <c:numFmt formatCode="0.0%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372614752"/>
        <c:crosses val="autoZero"/>
        <c:crossBetween val="between"/>
        <c:majorUnit val="2.0000000000000004E-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4067160057439523E-2"/>
          <c:y val="0.92095906018178586"/>
          <c:w val="0.86523804263779958"/>
          <c:h val="7.90409398182140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339264870863001"/>
          <c:y val="6.716048639235582E-2"/>
          <c:w val="0.83115444272102812"/>
          <c:h val="0.7102773721162484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'Sherbimi i Borxhit'!$A$21</c:f>
              <c:strCache>
                <c:ptCount val="1"/>
                <c:pt idx="0">
                  <c:v>Borxhi Shtetëror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'Sherbimi i Borxhit'!$B$20:$F$20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'Sherbimi i Borxhit'!$B$21:$F$21</c:f>
              <c:numCache>
                <c:formatCode>_(* #,##0.00_);_(* \(#,##0.00\);_(* "-"??_);_(@_)</c:formatCode>
                <c:ptCount val="5"/>
                <c:pt idx="0">
                  <c:v>986.24173660700285</c:v>
                </c:pt>
                <c:pt idx="1">
                  <c:v>1012.241</c:v>
                </c:pt>
                <c:pt idx="2">
                  <c:v>1037.4566964684852</c:v>
                </c:pt>
                <c:pt idx="3">
                  <c:v>1061.8967513634955</c:v>
                </c:pt>
                <c:pt idx="4">
                  <c:v>1070.1914054458098</c:v>
                </c:pt>
              </c:numCache>
            </c:numRef>
          </c:val>
        </c:ser>
        <c:ser>
          <c:idx val="1"/>
          <c:order val="1"/>
          <c:tx>
            <c:strRef>
              <c:f>'Sherbimi i Borxhit'!$A$22</c:f>
              <c:strCache>
                <c:ptCount val="1"/>
                <c:pt idx="0">
                  <c:v>Interesa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2.04813075008676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2.04813075008676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2.04813075008676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2437809727170277E-3"/>
                  <c:y val="2.45775690010410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2.04813075008676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'Sherbimi i Borxhit'!$B$20:$F$20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'Sherbimi i Borxhit'!$B$22:$F$22</c:f>
              <c:numCache>
                <c:formatCode>_(* #,##0.00_);_(* \(#,##0.00\);_(* "-"??_);_(@_)</c:formatCode>
                <c:ptCount val="5"/>
                <c:pt idx="0">
                  <c:v>38.642352000000002</c:v>
                </c:pt>
                <c:pt idx="1">
                  <c:v>36.259449999999994</c:v>
                </c:pt>
                <c:pt idx="2">
                  <c:v>31.903782</c:v>
                </c:pt>
                <c:pt idx="3">
                  <c:v>36.513370000000002</c:v>
                </c:pt>
                <c:pt idx="4">
                  <c:v>35.142821032270191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372611488"/>
        <c:axId val="-372610944"/>
      </c:barChart>
      <c:lineChart>
        <c:grouping val="standard"/>
        <c:varyColors val="0"/>
        <c:ser>
          <c:idx val="2"/>
          <c:order val="2"/>
          <c:tx>
            <c:strRef>
              <c:f>'Sherbimi i Borxhit'!$A$23</c:f>
              <c:strCache>
                <c:ptCount val="1"/>
                <c:pt idx="0">
                  <c:v>Interesa/PBB</c:v>
                </c:pt>
              </c:strCache>
            </c:strRef>
          </c:tx>
          <c:spPr>
            <a:ln w="22225" cap="rnd">
              <a:solidFill>
                <a:schemeClr val="bg1">
                  <a:lumMod val="50000"/>
                </a:schemeClr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bg1">
                  <a:lumMod val="50000"/>
                </a:schemeClr>
              </a:solidFill>
              <a:ln w="9525"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2.0047594698985906E-2"/>
                  <c:y val="-4.62961409991264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6076407717670774E-2"/>
                  <c:y val="-4.45589390747222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3285911294986514E-2"/>
                  <c:y val="-5.29497409530555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0427388605458084E-2"/>
                  <c:y val="-5.73144393540420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4925386154782946E-2"/>
                  <c:y val="-6.3908204937572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'Sherbimi i Borxhit'!$B$20:$F$20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'Sherbimi i Borxhit'!$B$23:$F$23</c:f>
              <c:numCache>
                <c:formatCode>0.00%</c:formatCode>
                <c:ptCount val="5"/>
                <c:pt idx="0">
                  <c:v>2.6941460272131228E-2</c:v>
                </c:pt>
                <c:pt idx="1">
                  <c:v>2.4624755412570736E-2</c:v>
                </c:pt>
                <c:pt idx="2">
                  <c:v>2.0566082981462938E-2</c:v>
                </c:pt>
                <c:pt idx="3">
                  <c:v>2.2388413290201362E-2</c:v>
                </c:pt>
                <c:pt idx="4">
                  <c:v>2.0808184999878718E-2</c:v>
                </c:pt>
              </c:numCache>
            </c:numRef>
          </c:val>
          <c:smooth val="1"/>
        </c:ser>
        <c:ser>
          <c:idx val="3"/>
          <c:order val="3"/>
          <c:tx>
            <c:strRef>
              <c:f>'Sherbimi i Borxhit'!$A$24</c:f>
              <c:strCache>
                <c:ptCount val="1"/>
                <c:pt idx="0">
                  <c:v>Interesa/Të Ardhura Tatimore</c:v>
                </c:pt>
              </c:strCache>
            </c:strRef>
          </c:tx>
          <c:spPr>
            <a:ln w="22225" cap="rnd">
              <a:solidFill>
                <a:srgbClr val="C0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C00000"/>
              </a:solidFill>
              <a:ln w="9525"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3.1021493463328182E-2"/>
                  <c:y val="-5.55709506268797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1724641499360594E-2"/>
                  <c:y val="-6.21737898477447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3294925769997783E-2"/>
                  <c:y val="-5.77873209889701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7076128280331095E-2"/>
                  <c:y val="-5.63383357205803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4643436022967769E-2"/>
                  <c:y val="-5.633833572058035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8.2%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'Sherbimi i Borxhit'!$B$20:$F$20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'Sherbimi i Borxhit'!$B$24:$F$24</c:f>
              <c:numCache>
                <c:formatCode>0.00%</c:formatCode>
                <c:ptCount val="5"/>
                <c:pt idx="0">
                  <c:v>0.11182239147608726</c:v>
                </c:pt>
                <c:pt idx="1">
                  <c:v>9.8025536769595939E-2</c:v>
                </c:pt>
                <c:pt idx="2">
                  <c:v>8.0033770749243033E-2</c:v>
                </c:pt>
                <c:pt idx="3">
                  <c:v>8.7074878437900197E-2</c:v>
                </c:pt>
                <c:pt idx="4">
                  <c:v>8.1638478422142766E-2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370087952"/>
        <c:axId val="-370092304"/>
      </c:lineChart>
      <c:catAx>
        <c:axId val="-372611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372610944"/>
        <c:crosses val="autoZero"/>
        <c:auto val="1"/>
        <c:lblAlgn val="ctr"/>
        <c:lblOffset val="100"/>
        <c:noMultiLvlLbl val="0"/>
      </c:catAx>
      <c:valAx>
        <c:axId val="-372610944"/>
        <c:scaling>
          <c:orientation val="minMax"/>
          <c:max val="120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900" b="1">
                    <a:solidFill>
                      <a:sysClr val="windowText" lastClr="000000"/>
                    </a:solidFill>
                  </a:rPr>
                  <a:t>në miliard Lekë</a:t>
                </a:r>
              </a:p>
            </c:rich>
          </c:tx>
          <c:layout>
            <c:manualLayout>
              <c:xMode val="edge"/>
              <c:yMode val="edge"/>
              <c:x val="6.1418369679194463E-3"/>
              <c:y val="0.2167100766323903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372611488"/>
        <c:crosses val="autoZero"/>
        <c:crossBetween val="between"/>
        <c:majorUnit val="200"/>
      </c:valAx>
      <c:valAx>
        <c:axId val="-370092304"/>
        <c:scaling>
          <c:orientation val="minMax"/>
          <c:max val="0.12000000000000001"/>
        </c:scaling>
        <c:delete val="0"/>
        <c:axPos val="r"/>
        <c:numFmt formatCode="0%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370087952"/>
        <c:crosses val="max"/>
        <c:crossBetween val="between"/>
        <c:majorUnit val="3.0000000000000006E-2"/>
      </c:valAx>
      <c:catAx>
        <c:axId val="-37008795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3700923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010646409061486E-2"/>
          <c:y val="0.90037989993124667"/>
          <c:w val="0.82487738024613511"/>
          <c:h val="7.92259066208273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en-US" sz="900" b="1">
                <a:solidFill>
                  <a:sysClr val="windowText" lastClr="000000"/>
                </a:solidFill>
                <a:latin typeface="+mj-lt"/>
              </a:rPr>
              <a:t>Borxhi që maturohet brenda një viti</a:t>
            </a:r>
          </a:p>
        </c:rich>
      </c:tx>
      <c:layout>
        <c:manualLayout>
          <c:xMode val="edge"/>
          <c:yMode val="edge"/>
          <c:x val="0.21792704626334519"/>
          <c:y val="1.05932866911154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2604169585563371"/>
          <c:y val="0.12818116615855132"/>
          <c:w val="0.86063762714714043"/>
          <c:h val="0.63212165383329044"/>
        </c:manualLayout>
      </c:layout>
      <c:lineChart>
        <c:grouping val="standard"/>
        <c:varyColors val="0"/>
        <c:ser>
          <c:idx val="0"/>
          <c:order val="0"/>
          <c:tx>
            <c:strRef>
              <c:f>'Slide 8 Risqet'!$A$4</c:f>
              <c:strCache>
                <c:ptCount val="1"/>
                <c:pt idx="0">
                  <c:v>Borxhi që maturuhet brenda një viti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7208442694663169E-2"/>
                  <c:y val="-4.75805040498969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4430664916885387E-2"/>
                  <c:y val="-3.68278158778539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5541776027996549E-2"/>
                  <c:y val="-4.39962746592160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8319553805774275E-2"/>
                  <c:y val="-4.39962746592159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8741278336649362E-2"/>
                  <c:y val="-5.27301936509102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1859991033149328E-2"/>
                  <c:y val="-4.78198081856512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accen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'Slide 8 Risqet'!$B$3:$G$3</c:f>
              <c:strCach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strCache>
            </c:strRef>
          </c:cat>
          <c:val>
            <c:numRef>
              <c:f>'Slide 8 Risqet'!$B$4:$G$4</c:f>
              <c:numCache>
                <c:formatCode>0.0%</c:formatCode>
                <c:ptCount val="6"/>
                <c:pt idx="0">
                  <c:v>0.60270000000000001</c:v>
                </c:pt>
                <c:pt idx="1">
                  <c:v>0.55889999999999995</c:v>
                </c:pt>
                <c:pt idx="2">
                  <c:v>0.53500000000000003</c:v>
                </c:pt>
                <c:pt idx="3" formatCode="0.00%">
                  <c:v>0.50037776722366856</c:v>
                </c:pt>
                <c:pt idx="4" formatCode="0.00%">
                  <c:v>0.49418902417538746</c:v>
                </c:pt>
                <c:pt idx="5">
                  <c:v>0.47710000000000002</c:v>
                </c:pt>
              </c:numCache>
            </c:numRef>
          </c:val>
          <c:smooth val="1"/>
        </c:ser>
        <c:ser>
          <c:idx val="1"/>
          <c:order val="1"/>
          <c:tx>
            <c:strRef>
              <c:f>'Slide 8 Risqet'!$A$5</c:f>
              <c:strCache>
                <c:ptCount val="1"/>
                <c:pt idx="0">
                  <c:v>Objektivi strategjik 2022</c:v>
                </c:pt>
              </c:strCache>
            </c:strRef>
          </c:tx>
          <c:spPr>
            <a:ln w="25400" cap="sq" cmpd="sng">
              <a:solidFill>
                <a:srgbClr val="C00000"/>
              </a:solidFill>
              <a:prstDash val="sysDash"/>
              <a:round/>
            </a:ln>
            <a:effectLst/>
          </c:spPr>
          <c:marker>
            <c:symbol val="diamond"/>
            <c:size val="4"/>
            <c:spPr>
              <a:solidFill>
                <a:srgbClr val="C00000"/>
              </a:solidFill>
              <a:ln w="9525">
                <a:solidFill>
                  <a:srgbClr val="C00000"/>
                </a:solidFill>
              </a:ln>
              <a:effectLst/>
            </c:spPr>
          </c:marker>
          <c:dLbls>
            <c:dLbl>
              <c:idx val="3"/>
              <c:layout>
                <c:manualLayout>
                  <c:x val="0.13734623252164654"/>
                  <c:y val="5.8290133662117861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1" i="0" u="none" strike="noStrike" kern="1200" baseline="0">
                        <a:solidFill>
                          <a:srgbClr val="C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800" b="1">
                        <a:solidFill>
                          <a:srgbClr val="C00000"/>
                        </a:solidFill>
                        <a:latin typeface="+mn-lt"/>
                      </a:rPr>
                      <a:t>Max 48%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rgbClr val="C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'Slide 8 Risqet'!$B$3:$G$3</c:f>
              <c:strCach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strCache>
            </c:strRef>
          </c:cat>
          <c:val>
            <c:numRef>
              <c:f>'Slide 8 Risqet'!$B$5:$G$5</c:f>
              <c:numCache>
                <c:formatCode>0.0%</c:formatCode>
                <c:ptCount val="6"/>
                <c:pt idx="0">
                  <c:v>0.45</c:v>
                </c:pt>
                <c:pt idx="1">
                  <c:v>0.45</c:v>
                </c:pt>
                <c:pt idx="2">
                  <c:v>0.45</c:v>
                </c:pt>
                <c:pt idx="3">
                  <c:v>0.45</c:v>
                </c:pt>
                <c:pt idx="4">
                  <c:v>0.45</c:v>
                </c:pt>
                <c:pt idx="5">
                  <c:v>0.45</c:v>
                </c:pt>
              </c:numCache>
            </c:numRef>
          </c:val>
          <c:smooth val="0"/>
          <c:extLst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370086864"/>
        <c:axId val="-370087408"/>
      </c:lineChart>
      <c:catAx>
        <c:axId val="-370086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-370087408"/>
        <c:crosses val="autoZero"/>
        <c:auto val="1"/>
        <c:lblAlgn val="ctr"/>
        <c:lblOffset val="100"/>
        <c:noMultiLvlLbl val="0"/>
      </c:catAx>
      <c:valAx>
        <c:axId val="-370087408"/>
        <c:scaling>
          <c:orientation val="minMax"/>
          <c:min val="0.4"/>
        </c:scaling>
        <c:delete val="0"/>
        <c:axPos val="l"/>
        <c:numFmt formatCode="0%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-370086864"/>
        <c:crosses val="autoZero"/>
        <c:crossBetween val="between"/>
        <c:majorUnit val="8.0000000000000016E-2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8.1292557513940655E-2"/>
          <c:y val="0.87906725874831571"/>
          <c:w val="0.9027777777777779"/>
          <c:h val="0.1085928726470100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 algn="just">
        <a:defRPr/>
      </a:pPr>
      <a:endParaRPr lang="en-US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en-US" sz="900" b="1">
                <a:solidFill>
                  <a:sysClr val="windowText" lastClr="000000"/>
                </a:solidFill>
                <a:latin typeface="+mj-lt"/>
              </a:rPr>
              <a:t>Koha mesatare në maturim (KMM)</a:t>
            </a:r>
          </a:p>
        </c:rich>
      </c:tx>
      <c:layout>
        <c:manualLayout>
          <c:xMode val="edge"/>
          <c:yMode val="edge"/>
          <c:x val="0.2395775780552683"/>
          <c:y val="2.621698149800239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9.5035393303109839E-2"/>
          <c:y val="0.12831426244133276"/>
          <c:w val="0.87461286089238843"/>
          <c:h val="0.62694115821729179"/>
        </c:manualLayout>
      </c:layout>
      <c:lineChart>
        <c:grouping val="standard"/>
        <c:varyColors val="0"/>
        <c:ser>
          <c:idx val="0"/>
          <c:order val="0"/>
          <c:tx>
            <c:strRef>
              <c:f>'Slide 8 Risqet'!$A$6</c:f>
              <c:strCache>
                <c:ptCount val="1"/>
                <c:pt idx="0">
                  <c:v>KMM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1.916664457346872E-2"/>
                  <c:y val="2.47100577944998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263465804148219E-2"/>
                  <c:y val="3.45622745432682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8835600095442617E-2"/>
                  <c:y val="3.45622745432682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9301413080940638E-2"/>
                  <c:y val="3.45622745432682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7.426495930432947E-2"/>
                  <c:y val="4.18350723400954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3662433609940337E-2"/>
                  <c:y val="3.19828555913269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accen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'Slide 8 Risqet'!$B$3:$G$3</c:f>
              <c:strCach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strCache>
            </c:strRef>
          </c:cat>
          <c:val>
            <c:numRef>
              <c:f>'Slide 8 Risqet'!$B$6:$G$6</c:f>
              <c:numCache>
                <c:formatCode>0.00</c:formatCode>
                <c:ptCount val="6"/>
                <c:pt idx="0">
                  <c:v>1.75</c:v>
                </c:pt>
                <c:pt idx="1">
                  <c:v>1.9583333333333333</c:v>
                </c:pt>
                <c:pt idx="2">
                  <c:v>2.0920507427879671</c:v>
                </c:pt>
                <c:pt idx="3">
                  <c:v>2.1667770659807037</c:v>
                </c:pt>
                <c:pt idx="4">
                  <c:v>2.1740274747397952</c:v>
                </c:pt>
                <c:pt idx="5">
                  <c:v>2.19</c:v>
                </c:pt>
              </c:numCache>
            </c:numRef>
          </c:val>
          <c:smooth val="1"/>
        </c:ser>
        <c:ser>
          <c:idx val="1"/>
          <c:order val="1"/>
          <c:tx>
            <c:strRef>
              <c:f>'Slide 8 Risqet'!$A$7</c:f>
              <c:strCache>
                <c:ptCount val="1"/>
                <c:pt idx="0">
                  <c:v>Objektivi strategjik 2022</c:v>
                </c:pt>
              </c:strCache>
            </c:strRef>
          </c:tx>
          <c:spPr>
            <a:ln w="25400" cap="rnd">
              <a:solidFill>
                <a:srgbClr val="C00000"/>
              </a:solidFill>
              <a:prstDash val="sysDash"/>
              <a:round/>
            </a:ln>
            <a:effectLst/>
          </c:spPr>
          <c:marker>
            <c:symbol val="diamond"/>
            <c:size val="4"/>
            <c:spPr>
              <a:solidFill>
                <a:srgbClr val="C00000"/>
              </a:solidFill>
              <a:ln w="9525">
                <a:solidFill>
                  <a:srgbClr val="C00000"/>
                </a:solidFill>
              </a:ln>
              <a:effectLst/>
            </c:spPr>
          </c:marker>
          <c:dLbls>
            <c:dLbl>
              <c:idx val="4"/>
              <c:layout>
                <c:manualLayout>
                  <c:x val="-5.3516088266744435E-2"/>
                  <c:y val="4.3074744967223903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1" i="0" u="none" strike="noStrike" kern="1200" baseline="0">
                        <a:solidFill>
                          <a:srgbClr val="C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800" b="1">
                        <a:solidFill>
                          <a:srgbClr val="C00000"/>
                        </a:solidFill>
                        <a:latin typeface="+mn-lt"/>
                      </a:rPr>
                      <a:t>2.2-2.4 vite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rgbClr val="C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C00000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'Slide 8 Risqet'!$B$3:$G$3</c:f>
              <c:strCach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strCache>
            </c:strRef>
          </c:cat>
          <c:val>
            <c:numRef>
              <c:f>'Slide 8 Risqet'!$B$7:$G$7</c:f>
              <c:numCache>
                <c:formatCode>0.00</c:formatCode>
                <c:ptCount val="6"/>
                <c:pt idx="0" formatCode="General">
                  <c:v>2.4</c:v>
                </c:pt>
                <c:pt idx="1">
                  <c:v>2.4</c:v>
                </c:pt>
                <c:pt idx="2">
                  <c:v>2.4</c:v>
                </c:pt>
                <c:pt idx="3">
                  <c:v>2.4</c:v>
                </c:pt>
                <c:pt idx="4">
                  <c:v>2.4</c:v>
                </c:pt>
                <c:pt idx="5">
                  <c:v>2.4</c:v>
                </c:pt>
              </c:numCache>
            </c:numRef>
          </c:val>
          <c:smooth val="0"/>
          <c:extLst/>
        </c:ser>
        <c:ser>
          <c:idx val="2"/>
          <c:order val="2"/>
          <c:spPr>
            <a:ln w="28575" cap="rnd">
              <a:solidFill>
                <a:srgbClr val="C00000"/>
              </a:solidFill>
              <a:prstDash val="sysDash"/>
              <a:round/>
            </a:ln>
            <a:effectLst/>
          </c:spPr>
          <c:marker>
            <c:symbol val="diamond"/>
            <c:size val="4"/>
            <c:spPr>
              <a:solidFill>
                <a:srgbClr val="C00000"/>
              </a:solidFill>
              <a:ln w="9525">
                <a:solidFill>
                  <a:srgbClr val="C00000"/>
                </a:solidFill>
              </a:ln>
              <a:effectLst/>
            </c:spPr>
          </c:marker>
          <c:cat>
            <c:strRef>
              <c:f>'Slide 8 Risqet'!$B$3:$G$3</c:f>
              <c:strCach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strCache>
            </c:strRef>
          </c:cat>
          <c:val>
            <c:numRef>
              <c:f>'Slide 8 Risqet'!$B$8:$G$8</c:f>
              <c:numCache>
                <c:formatCode>General</c:formatCode>
                <c:ptCount val="6"/>
                <c:pt idx="0">
                  <c:v>2.2000000000000002</c:v>
                </c:pt>
                <c:pt idx="1">
                  <c:v>2.2000000000000002</c:v>
                </c:pt>
                <c:pt idx="2">
                  <c:v>2.2000000000000002</c:v>
                </c:pt>
                <c:pt idx="3">
                  <c:v>2.2000000000000002</c:v>
                </c:pt>
                <c:pt idx="4">
                  <c:v>2.2000000000000002</c:v>
                </c:pt>
                <c:pt idx="5">
                  <c:v>2.2000000000000002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370093936"/>
        <c:axId val="-370091216"/>
      </c:lineChart>
      <c:catAx>
        <c:axId val="-370093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-370091216"/>
        <c:crosses val="autoZero"/>
        <c:auto val="1"/>
        <c:lblAlgn val="ctr"/>
        <c:lblOffset val="100"/>
        <c:noMultiLvlLbl val="0"/>
      </c:catAx>
      <c:valAx>
        <c:axId val="-370091216"/>
        <c:scaling>
          <c:orientation val="minMax"/>
          <c:min val="1"/>
        </c:scaling>
        <c:delete val="0"/>
        <c:axPos val="l"/>
        <c:numFmt formatCode="0.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-370093936"/>
        <c:crosses val="autoZero"/>
        <c:crossBetween val="between"/>
        <c:majorUnit val="0.5"/>
      </c:valAx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20754420848909039"/>
          <c:y val="0.88723788836740236"/>
          <c:w val="0.64848909037885416"/>
          <c:h val="0.1029095070012800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en-US" sz="900" b="1">
                <a:solidFill>
                  <a:sysClr val="windowText" lastClr="000000"/>
                </a:solidFill>
                <a:latin typeface="+mj-lt"/>
              </a:rPr>
              <a:t>Borxhi që rifiksohet brenda një viti</a:t>
            </a:r>
          </a:p>
        </c:rich>
      </c:tx>
      <c:layout>
        <c:manualLayout>
          <c:xMode val="edge"/>
          <c:yMode val="edge"/>
          <c:x val="0.22993447924046084"/>
          <c:y val="1.48684366715467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2197233417282159"/>
          <c:y val="0.102103327608794"/>
          <c:w val="0.86820667003365859"/>
          <c:h val="0.66480504908286608"/>
        </c:manualLayout>
      </c:layout>
      <c:lineChart>
        <c:grouping val="standard"/>
        <c:varyColors val="0"/>
        <c:ser>
          <c:idx val="0"/>
          <c:order val="0"/>
          <c:tx>
            <c:strRef>
              <c:f>'Slide 8 Risqet'!$A$12</c:f>
              <c:strCache>
                <c:ptCount val="1"/>
                <c:pt idx="0">
                  <c:v>Borxhi që rifiksohet brenda një viti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2.8884763929223654E-2"/>
                  <c:y val="-5.68285214348206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9024180912747168E-2"/>
                  <c:y val="-5.21988918051910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3954472420985399E-2"/>
                  <c:y val="-5.21988918051910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accen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'Slide 8 Risqet'!$B$11:$G$11</c:f>
              <c:strCach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strCache>
            </c:strRef>
          </c:cat>
          <c:val>
            <c:numRef>
              <c:f>'Slide 8 Risqet'!$B$12:$G$12</c:f>
              <c:numCache>
                <c:formatCode>0.0%</c:formatCode>
                <c:ptCount val="6"/>
                <c:pt idx="0">
                  <c:v>0.72740000000000005</c:v>
                </c:pt>
                <c:pt idx="1">
                  <c:v>0.67689999999999995</c:v>
                </c:pt>
                <c:pt idx="2">
                  <c:v>0.626</c:v>
                </c:pt>
                <c:pt idx="3">
                  <c:v>0.5673896585724667</c:v>
                </c:pt>
                <c:pt idx="4">
                  <c:v>0.54329850433666915</c:v>
                </c:pt>
                <c:pt idx="5">
                  <c:v>0.50870000000000004</c:v>
                </c:pt>
              </c:numCache>
            </c:numRef>
          </c:val>
          <c:smooth val="1"/>
          <c:extLst/>
        </c:ser>
        <c:ser>
          <c:idx val="1"/>
          <c:order val="1"/>
          <c:tx>
            <c:strRef>
              <c:f>'Slide 8 Risqet'!$A$13</c:f>
              <c:strCache>
                <c:ptCount val="1"/>
                <c:pt idx="0">
                  <c:v>Objektivi strategjik 2022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ash"/>
              <a:round/>
            </a:ln>
            <a:effectLst/>
          </c:spPr>
          <c:marker>
            <c:symbol val="diamond"/>
            <c:size val="4"/>
            <c:spPr>
              <a:solidFill>
                <a:srgbClr val="C00000"/>
              </a:solidFill>
              <a:ln w="9525">
                <a:solidFill>
                  <a:srgbClr val="C00000"/>
                </a:solidFill>
              </a:ln>
              <a:effectLst/>
            </c:spPr>
          </c:marker>
          <c:dLbls>
            <c:dLbl>
              <c:idx val="4"/>
              <c:layout>
                <c:manualLayout>
                  <c:x val="-3.2551581073889814E-2"/>
                  <c:y val="4.3222491369130964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rgbClr val="C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>
                        <a:latin typeface="+mn-lt"/>
                      </a:rPr>
                      <a:t>Max 50%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C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73192077852085"/>
                      <c:h val="8.1344594422588484E-2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'Slide 8 Risqet'!$B$11:$G$11</c:f>
              <c:strCach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strCache>
            </c:strRef>
          </c:cat>
          <c:val>
            <c:numRef>
              <c:f>'Slide 8 Risqet'!$B$13:$G$13</c:f>
              <c:numCache>
                <c:formatCode>0.0%</c:formatCode>
                <c:ptCount val="6"/>
                <c:pt idx="0">
                  <c:v>0.48</c:v>
                </c:pt>
                <c:pt idx="1">
                  <c:v>0.48</c:v>
                </c:pt>
                <c:pt idx="2">
                  <c:v>0.48</c:v>
                </c:pt>
                <c:pt idx="3">
                  <c:v>0.48</c:v>
                </c:pt>
                <c:pt idx="4">
                  <c:v>0.48</c:v>
                </c:pt>
                <c:pt idx="5">
                  <c:v>0.48</c:v>
                </c:pt>
              </c:numCache>
            </c:numRef>
          </c:val>
          <c:smooth val="0"/>
          <c:extLst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733854144"/>
        <c:axId val="-733853600"/>
      </c:lineChart>
      <c:catAx>
        <c:axId val="-733854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-733853600"/>
        <c:crosses val="autoZero"/>
        <c:auto val="1"/>
        <c:lblAlgn val="ctr"/>
        <c:lblOffset val="100"/>
        <c:noMultiLvlLbl val="0"/>
      </c:catAx>
      <c:valAx>
        <c:axId val="-733853600"/>
        <c:scaling>
          <c:orientation val="minMax"/>
          <c:max val="0.8"/>
          <c:min val="0.4"/>
        </c:scaling>
        <c:delete val="0"/>
        <c:axPos val="l"/>
        <c:numFmt formatCode="0%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-733854144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5.4644923581711136E-2"/>
          <c:y val="0.88865855831686791"/>
          <c:w val="0.9391530185549205"/>
          <c:h val="9.67542449384824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65782713415803E-2"/>
          <c:y val="3.6434624776380563E-2"/>
          <c:w val="0.93283994610162779"/>
          <c:h val="0.682401117770726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'Kompozimi '!$A$15</c:f>
              <c:strCache>
                <c:ptCount val="1"/>
                <c:pt idx="0">
                  <c:v>Instrumente të tregtueshme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accen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'Kompozimi '!$B$14:$F$14</c:f>
              <c:strCach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strCache>
            </c:strRef>
          </c:cat>
          <c:val>
            <c:numRef>
              <c:f>'Kompozimi '!$B$15:$F$15</c:f>
              <c:numCache>
                <c:formatCode>0.0%</c:formatCode>
                <c:ptCount val="5"/>
                <c:pt idx="0">
                  <c:v>0.55856531001046983</c:v>
                </c:pt>
                <c:pt idx="1">
                  <c:v>0.5547363819572344</c:v>
                </c:pt>
                <c:pt idx="2">
                  <c:v>0.55760278269323005</c:v>
                </c:pt>
                <c:pt idx="3">
                  <c:v>0.59393726202654296</c:v>
                </c:pt>
                <c:pt idx="4">
                  <c:v>0.60529156436625553</c:v>
                </c:pt>
              </c:numCache>
            </c:numRef>
          </c:val>
        </c:ser>
        <c:ser>
          <c:idx val="1"/>
          <c:order val="1"/>
          <c:tx>
            <c:strRef>
              <c:f>'Kompozimi '!$A$16</c:f>
              <c:strCache>
                <c:ptCount val="1"/>
                <c:pt idx="0">
                  <c:v>Hua për financim projektesh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4288983107880746E-3"/>
                  <c:y val="1.51802626304964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5="http://schemas.microsoft.com/office/drawing/2012/chart"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2074836799252516E-4"/>
                  <c:y val="1.6096656437586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8.0838500765100104E-4"/>
                  <c:y val="1.60966564375867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610305958132045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9.6230999013569517E-4"/>
                  <c:y val="5.36568495655894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'Kompozimi '!$B$14:$F$14</c:f>
              <c:strCach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strCache>
            </c:strRef>
          </c:cat>
          <c:val>
            <c:numRef>
              <c:f>'Kompozimi '!$B$16:$F$16</c:f>
              <c:numCache>
                <c:formatCode>0.0%</c:formatCode>
                <c:ptCount val="5"/>
                <c:pt idx="0">
                  <c:v>0.28175899713644759</c:v>
                </c:pt>
                <c:pt idx="1">
                  <c:v>0.27457813143227411</c:v>
                </c:pt>
                <c:pt idx="2">
                  <c:v>0.25970334956782659</c:v>
                </c:pt>
                <c:pt idx="3">
                  <c:v>0.24189824736914217</c:v>
                </c:pt>
                <c:pt idx="4">
                  <c:v>0.23866664262345219</c:v>
                </c:pt>
              </c:numCache>
            </c:numRef>
          </c:val>
          <c:extLst/>
        </c:ser>
        <c:ser>
          <c:idx val="2"/>
          <c:order val="2"/>
          <c:tx>
            <c:strRef>
              <c:f>'Kompozimi '!$A$17</c:f>
              <c:strCache>
                <c:ptCount val="1"/>
                <c:pt idx="0">
                  <c:v>Mbështetje Buxhetore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09151146943287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5="http://schemas.microsoft.com/office/drawing/2012/chart"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7932399884277411E-3"/>
                  <c:y val="-4.638359998810075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7017285189949517E-3"/>
                  <c:y val="1.60966564375867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0915114694328549E-3"/>
                  <c:y val="1.51802626304964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5413899955732625E-3"/>
                  <c:y val="1.51802626304964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7030A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'Kompozimi '!$B$14:$F$14</c:f>
              <c:strCach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strCache>
            </c:strRef>
          </c:cat>
          <c:val>
            <c:numRef>
              <c:f>'Kompozimi '!$B$17:$F$17</c:f>
              <c:numCache>
                <c:formatCode>0.0%</c:formatCode>
                <c:ptCount val="5"/>
                <c:pt idx="0">
                  <c:v>0.10505024039156673</c:v>
                </c:pt>
                <c:pt idx="1">
                  <c:v>0.11971156343127334</c:v>
                </c:pt>
                <c:pt idx="2">
                  <c:v>0.136090242664443</c:v>
                </c:pt>
                <c:pt idx="3">
                  <c:v>0.12317436165022319</c:v>
                </c:pt>
                <c:pt idx="4">
                  <c:v>0.11790273355684378</c:v>
                </c:pt>
              </c:numCache>
            </c:numRef>
          </c:val>
          <c:extLst/>
        </c:ser>
        <c:ser>
          <c:idx val="3"/>
          <c:order val="3"/>
          <c:tx>
            <c:strRef>
              <c:f>'Kompozimi '!$A$18</c:f>
              <c:strCache>
                <c:ptCount val="1"/>
                <c:pt idx="0">
                  <c:v>Garanci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3.2081647164625599E-4"/>
                  <c:y val="5.36568495655894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5="http://schemas.microsoft.com/office/drawing/2012/chart"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251849992854479E-3"/>
                  <c:y val="1.51802626304964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2081647164622351E-4"/>
                  <c:y val="5.36568495655894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2518499928546086E-3"/>
                  <c:y val="1.51802626304964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'Kompozimi '!$B$14:$F$14</c:f>
              <c:strCach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strCache>
            </c:strRef>
          </c:cat>
          <c:val>
            <c:numRef>
              <c:f>'Kompozimi '!$B$18:$F$18</c:f>
              <c:numCache>
                <c:formatCode>0.0%</c:formatCode>
                <c:ptCount val="5"/>
                <c:pt idx="0">
                  <c:v>5.3708328720319255E-2</c:v>
                </c:pt>
                <c:pt idx="1">
                  <c:v>5.0128872716616181E-2</c:v>
                </c:pt>
                <c:pt idx="2">
                  <c:v>4.5843210333488496E-2</c:v>
                </c:pt>
                <c:pt idx="3">
                  <c:v>4.0343809343843788E-2</c:v>
                </c:pt>
                <c:pt idx="4">
                  <c:v>3.7616232088568298E-2</c:v>
                </c:pt>
              </c:numCache>
            </c:numRef>
          </c:val>
          <c:extLst/>
        </c:ser>
        <c:ser>
          <c:idx val="4"/>
          <c:order val="4"/>
          <c:tx>
            <c:strRef>
              <c:f>'Kompozimi '!$A$19</c:f>
              <c:strCache>
                <c:ptCount val="1"/>
                <c:pt idx="0">
                  <c:v>Borxhi i Pushtetit Lokal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933627034828335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4004405522425306E-3"/>
                  <c:y val="9.400701573618226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9336270348283896E-3"/>
                  <c:y val="9.400701573618226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6.26713438241215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9.400701573618226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accent6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'Kompozimi '!$B$14:$F$14</c:f>
              <c:strCach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strCache>
            </c:strRef>
          </c:cat>
          <c:val>
            <c:numRef>
              <c:f>'Kompozimi '!$B$19:$F$19</c:f>
              <c:numCache>
                <c:formatCode>0.0%</c:formatCode>
                <c:ptCount val="5"/>
                <c:pt idx="0">
                  <c:v>9.1712374119665683E-4</c:v>
                </c:pt>
                <c:pt idx="1">
                  <c:v>8.4505046260183344E-4</c:v>
                </c:pt>
                <c:pt idx="2">
                  <c:v>7.604147410120197E-4</c:v>
                </c:pt>
                <c:pt idx="3">
                  <c:v>6.4631961024783937E-4</c:v>
                </c:pt>
                <c:pt idx="4">
                  <c:v>5.2282736488029971E-4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8"/>
        <c:axId val="-295944848"/>
        <c:axId val="-295960080"/>
      </c:barChart>
      <c:catAx>
        <c:axId val="-295944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95960080"/>
        <c:crosses val="autoZero"/>
        <c:auto val="1"/>
        <c:lblAlgn val="ctr"/>
        <c:lblOffset val="100"/>
        <c:noMultiLvlLbl val="0"/>
      </c:catAx>
      <c:valAx>
        <c:axId val="-295960080"/>
        <c:scaling>
          <c:orientation val="minMax"/>
          <c:max val="0.8"/>
        </c:scaling>
        <c:delete val="0"/>
        <c:axPos val="l"/>
        <c:numFmt formatCode="0%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9594484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3346971391483227E-2"/>
          <c:y val="0.84426267612070871"/>
          <c:w val="0.8889250609826207"/>
          <c:h val="0.1515603086927566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solidFill>
        <a:schemeClr val="bg1">
          <a:lumMod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en-US" sz="900" b="1">
                <a:solidFill>
                  <a:sysClr val="windowText" lastClr="000000"/>
                </a:solidFill>
                <a:latin typeface="+mj-lt"/>
              </a:rPr>
              <a:t>Koha Mesatare në Rifiksim (KMR)</a:t>
            </a:r>
          </a:p>
        </c:rich>
      </c:tx>
      <c:layout>
        <c:manualLayout>
          <c:xMode val="edge"/>
          <c:yMode val="edge"/>
          <c:x val="0.23497481997286335"/>
          <c:y val="8.4695328825571872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9.8323891585079967E-2"/>
          <c:y val="9.7255421197350325E-2"/>
          <c:w val="0.88976012229776436"/>
          <c:h val="0.66836137670291218"/>
        </c:manualLayout>
      </c:layout>
      <c:lineChart>
        <c:grouping val="standard"/>
        <c:varyColors val="0"/>
        <c:ser>
          <c:idx val="0"/>
          <c:order val="0"/>
          <c:tx>
            <c:strRef>
              <c:f>'Slide 8 Risqet'!$A$15</c:f>
              <c:strCache>
                <c:ptCount val="1"/>
                <c:pt idx="0">
                  <c:v>KMR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1406250000000026E-2"/>
                  <c:y val="4.13999340936721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9568264022733344E-2"/>
                  <c:y val="4.13999031371078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8802083333333334E-2"/>
                  <c:y val="4.61448908024805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0131843134099727E-2"/>
                  <c:y val="4.09690976127983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5950495737498759E-2"/>
                  <c:y val="4.63942007249093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4010371903697824E-2"/>
                  <c:y val="4.09690976127983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accen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'Slide 8 Risqet'!$B$11:$G$11</c:f>
              <c:strCach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strCache>
            </c:strRef>
          </c:cat>
          <c:val>
            <c:numRef>
              <c:f>'Slide 8 Risqet'!$B$15:$G$15</c:f>
              <c:numCache>
                <c:formatCode>0.00</c:formatCode>
                <c:ptCount val="6"/>
                <c:pt idx="0" formatCode="General">
                  <c:v>1.4100000000000001</c:v>
                </c:pt>
                <c:pt idx="1">
                  <c:v>1.6247856706948505</c:v>
                </c:pt>
                <c:pt idx="2">
                  <c:v>1.8005221567574401</c:v>
                </c:pt>
                <c:pt idx="3">
                  <c:v>1.9559997436502097</c:v>
                </c:pt>
                <c:pt idx="4">
                  <c:v>2.0556297124619634</c:v>
                </c:pt>
                <c:pt idx="5">
                  <c:v>2.11</c:v>
                </c:pt>
              </c:numCache>
            </c:numRef>
          </c:val>
          <c:smooth val="1"/>
        </c:ser>
        <c:ser>
          <c:idx val="1"/>
          <c:order val="1"/>
          <c:tx>
            <c:strRef>
              <c:f>'Slide 8 Risqet'!$A$16</c:f>
              <c:strCache>
                <c:ptCount val="1"/>
                <c:pt idx="0">
                  <c:v>Objektivi strategjik 2022</c:v>
                </c:pt>
              </c:strCache>
            </c:strRef>
          </c:tx>
          <c:spPr>
            <a:ln w="25400" cap="rnd">
              <a:solidFill>
                <a:srgbClr val="C00000"/>
              </a:solidFill>
              <a:prstDash val="sysDash"/>
              <a:round/>
            </a:ln>
            <a:effectLst/>
          </c:spPr>
          <c:marker>
            <c:symbol val="diamond"/>
            <c:size val="4"/>
            <c:spPr>
              <a:solidFill>
                <a:srgbClr val="C00000"/>
              </a:solidFill>
              <a:ln w="9525">
                <a:solidFill>
                  <a:srgbClr val="C00000"/>
                </a:solidFill>
              </a:ln>
              <a:effectLst/>
            </c:spPr>
          </c:marker>
          <c:dLbls>
            <c:dLbl>
              <c:idx val="4"/>
              <c:layout>
                <c:manualLayout>
                  <c:x val="-6.7787302829598772E-2"/>
                  <c:y val="-4.8956380452443445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1" i="0" u="none" strike="noStrike" kern="1200" baseline="0">
                        <a:solidFill>
                          <a:srgbClr val="C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800" b="1">
                        <a:solidFill>
                          <a:srgbClr val="C00000"/>
                        </a:solidFill>
                        <a:latin typeface="+mn-lt"/>
                      </a:rPr>
                      <a:t>Min </a:t>
                    </a:r>
                    <a:r>
                      <a:rPr lang="en-US" sz="800" b="1" baseline="0">
                        <a:solidFill>
                          <a:srgbClr val="C00000"/>
                        </a:solidFill>
                        <a:latin typeface="+mn-lt"/>
                      </a:rPr>
                      <a:t> </a:t>
                    </a:r>
                    <a:r>
                      <a:rPr lang="en-US" sz="800" b="1">
                        <a:solidFill>
                          <a:srgbClr val="C00000"/>
                        </a:solidFill>
                        <a:latin typeface="+mn-lt"/>
                      </a:rPr>
                      <a:t>2.2 vite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rgbClr val="C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6407576317242737"/>
                      <c:h val="6.3651809148856389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-4.7337268304157992E-2"/>
                  <c:y val="-7.4807506668228191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1" i="0" u="none" strike="noStrike" kern="1200" baseline="0">
                        <a:solidFill>
                          <a:srgbClr val="C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800" b="1">
                        <a:solidFill>
                          <a:srgbClr val="C00000"/>
                        </a:solidFill>
                        <a:latin typeface="+mn-lt"/>
                      </a:rPr>
                      <a:t>Min </a:t>
                    </a:r>
                  </a:p>
                  <a:p>
                    <a:pPr>
                      <a:defRPr sz="800" b="1">
                        <a:solidFill>
                          <a:srgbClr val="C00000"/>
                        </a:solidFill>
                      </a:defRPr>
                    </a:pPr>
                    <a:fld id="{8D2D8FFB-4786-401C-883A-2D8946E5577A}" type="VALUE">
                      <a:rPr lang="en-US" sz="800" b="1">
                        <a:solidFill>
                          <a:srgbClr val="C00000"/>
                        </a:solidFill>
                        <a:latin typeface="+mn-lt"/>
                      </a:rPr>
                      <a:pPr>
                        <a:defRPr sz="800" b="1">
                          <a:solidFill>
                            <a:srgbClr val="C00000"/>
                          </a:solidFill>
                        </a:defRPr>
                      </a:pPr>
                      <a:t>[VALUE]</a:t>
                    </a:fld>
                    <a:endParaRPr lang="en-US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rgbClr val="C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'Slide 8 Risqet'!$B$11:$G$11</c:f>
              <c:strCach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strCache>
            </c:strRef>
          </c:cat>
          <c:val>
            <c:numRef>
              <c:f>'Slide 8 Risqet'!$B$16:$G$16</c:f>
              <c:numCache>
                <c:formatCode>0.00</c:formatCode>
                <c:ptCount val="6"/>
                <c:pt idx="0" formatCode="General">
                  <c:v>2.2000000000000002</c:v>
                </c:pt>
                <c:pt idx="1">
                  <c:v>2.2000000000000002</c:v>
                </c:pt>
                <c:pt idx="2">
                  <c:v>2.2000000000000002</c:v>
                </c:pt>
                <c:pt idx="3">
                  <c:v>2.2000000000000002</c:v>
                </c:pt>
                <c:pt idx="4">
                  <c:v>2.2000000000000002</c:v>
                </c:pt>
                <c:pt idx="5">
                  <c:v>2.2000000000000002</c:v>
                </c:pt>
              </c:numCache>
            </c:numRef>
          </c:val>
          <c:smooth val="0"/>
          <c:extLst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733855776"/>
        <c:axId val="-733852512"/>
      </c:lineChart>
      <c:catAx>
        <c:axId val="-733855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-733852512"/>
        <c:crosses val="autoZero"/>
        <c:auto val="1"/>
        <c:lblAlgn val="ctr"/>
        <c:lblOffset val="100"/>
        <c:noMultiLvlLbl val="0"/>
      </c:catAx>
      <c:valAx>
        <c:axId val="-733852512"/>
        <c:scaling>
          <c:orientation val="minMax"/>
          <c:min val="1"/>
        </c:scaling>
        <c:delete val="0"/>
        <c:axPos val="l"/>
        <c:numFmt formatCode="#,##0.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-733855776"/>
        <c:crosses val="autoZero"/>
        <c:crossBetween val="between"/>
        <c:majorUnit val="0.5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24047456213816282"/>
          <c:y val="0.88262092238470191"/>
          <c:w val="0.6389443771920521"/>
          <c:h val="0.10648356455443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7370204361503344E-2"/>
          <c:y val="4.775347154263461E-2"/>
          <c:w val="0.90825576506016736"/>
          <c:h val="0.72048047053391751"/>
        </c:manualLayout>
      </c:layout>
      <c:lineChart>
        <c:grouping val="standard"/>
        <c:varyColors val="0"/>
        <c:ser>
          <c:idx val="0"/>
          <c:order val="0"/>
          <c:tx>
            <c:strRef>
              <c:f>'Slide 8 Risqet'!$A$21</c:f>
              <c:strCache>
                <c:ptCount val="1"/>
                <c:pt idx="0">
                  <c:v>Borxhi në monedhë të huaj/Totalit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'Slide 8 Risqet'!$B$20:$G$20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  <c:extLst/>
            </c:numRef>
          </c:cat>
          <c:val>
            <c:numRef>
              <c:f>'Slide 8 Risqet'!$B$21:$G$21</c:f>
              <c:numCache>
                <c:formatCode>0.0%</c:formatCode>
                <c:ptCount val="5"/>
                <c:pt idx="0">
                  <c:v>0.48633812462363102</c:v>
                </c:pt>
                <c:pt idx="1">
                  <c:v>0.4859587183289355</c:v>
                </c:pt>
                <c:pt idx="2">
                  <c:v>0.48742541080493795</c:v>
                </c:pt>
                <c:pt idx="3">
                  <c:v>0.47703536860947149</c:v>
                </c:pt>
                <c:pt idx="4">
                  <c:v>0.45604536389340583</c:v>
                </c:pt>
              </c:numCache>
              <c:extLst/>
            </c:numRef>
          </c:val>
          <c:smooth val="1"/>
        </c:ser>
        <c:ser>
          <c:idx val="1"/>
          <c:order val="1"/>
          <c:tx>
            <c:strRef>
              <c:f>'Slide 8 Risqet'!$A$22</c:f>
              <c:strCache>
                <c:ptCount val="1"/>
                <c:pt idx="0">
                  <c:v>Kufiri strategjik 2022</c:v>
                </c:pt>
              </c:strCache>
            </c:strRef>
          </c:tx>
          <c:spPr>
            <a:ln w="25400" cap="rnd">
              <a:solidFill>
                <a:schemeClr val="bg1">
                  <a:lumMod val="50000"/>
                </a:schemeClr>
              </a:solidFill>
              <a:prstDash val="sysDash"/>
              <a:round/>
            </a:ln>
            <a:effectLst/>
          </c:spPr>
          <c:marker>
            <c:symbol val="diamond"/>
            <c:size val="4"/>
            <c:spPr>
              <a:solidFill>
                <a:schemeClr val="bg1">
                  <a:lumMod val="50000"/>
                </a:schemeClr>
              </a:solidFill>
              <a:ln w="9525">
                <a:solidFill>
                  <a:schemeClr val="bg1">
                    <a:lumMod val="50000"/>
                  </a:schemeClr>
                </a:solidFill>
              </a:ln>
              <a:effectLst/>
            </c:spPr>
          </c:marker>
          <c:dLbls>
            <c:dLbl>
              <c:idx val="3"/>
              <c:layout>
                <c:manualLayout>
                  <c:x val="9.4513662193732542E-2"/>
                  <c:y val="-4.7656614624892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Max </a:t>
                    </a:r>
                    <a:fld id="{0C85D8EA-1DCE-4645-BF88-E22F0C792BC5}" type="VALUE">
                      <a:rPr lang="en-US"/>
                      <a:pPr/>
                      <a:t>[VALUE]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'Slide 8 Risqet'!$B$20:$G$20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  <c:extLst/>
            </c:numRef>
          </c:cat>
          <c:val>
            <c:numRef>
              <c:f>'Slide 8 Risqet'!$B$22:$G$22</c:f>
              <c:numCache>
                <c:formatCode>0%</c:formatCode>
                <c:ptCount val="5"/>
                <c:pt idx="0">
                  <c:v>0.55000000000000004</c:v>
                </c:pt>
                <c:pt idx="1">
                  <c:v>0.55000000000000004</c:v>
                </c:pt>
                <c:pt idx="2">
                  <c:v>0.55000000000000004</c:v>
                </c:pt>
                <c:pt idx="3">
                  <c:v>0.55000000000000004</c:v>
                </c:pt>
                <c:pt idx="4">
                  <c:v>0.55000000000000004</c:v>
                </c:pt>
              </c:numCache>
              <c:extLst/>
            </c:numRef>
          </c:val>
          <c:smooth val="0"/>
        </c:ser>
        <c:ser>
          <c:idx val="2"/>
          <c:order val="2"/>
          <c:tx>
            <c:strRef>
              <c:f>'Slide 8 Risqet'!$A$23</c:f>
              <c:strCache>
                <c:ptCount val="1"/>
                <c:pt idx="0">
                  <c:v>Kufizimi i Qendrueshmërisë së Borxhit</c:v>
                </c:pt>
              </c:strCache>
            </c:strRef>
          </c:tx>
          <c:spPr>
            <a:ln w="25400" cap="rnd">
              <a:solidFill>
                <a:srgbClr val="C00000"/>
              </a:solidFill>
              <a:prstDash val="sysDash"/>
              <a:round/>
            </a:ln>
            <a:effectLst/>
          </c:spPr>
          <c:marker>
            <c:symbol val="circle"/>
            <c:size val="4"/>
            <c:spPr>
              <a:solidFill>
                <a:srgbClr val="C00000"/>
              </a:solidFill>
              <a:ln w="9525">
                <a:solidFill>
                  <a:srgbClr val="C00000"/>
                </a:solidFill>
              </a:ln>
              <a:effectLst/>
            </c:spPr>
          </c:marker>
          <c:dLbls>
            <c:dLbl>
              <c:idx val="3"/>
              <c:layout>
                <c:manualLayout>
                  <c:x val="9.6801715429267174E-2"/>
                  <c:y val="-4.75473864796597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Max </a:t>
                    </a:r>
                    <a:fld id="{AE11AB0C-9A5D-4C95-B250-0BE2682539DD}" type="VALUE">
                      <a:rPr lang="en-US"/>
                      <a:pPr/>
                      <a:t>[VALUE]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'Slide 8 Risqet'!$B$20:$G$20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  <c:extLst/>
            </c:numRef>
          </c:cat>
          <c:val>
            <c:numRef>
              <c:f>'Slide 8 Risqet'!$B$23:$G$23</c:f>
              <c:numCache>
                <c:formatCode>0%</c:formatCode>
                <c:ptCount val="5"/>
                <c:pt idx="0">
                  <c:v>0.6</c:v>
                </c:pt>
                <c:pt idx="1">
                  <c:v>0.6</c:v>
                </c:pt>
                <c:pt idx="2">
                  <c:v>0.6</c:v>
                </c:pt>
                <c:pt idx="3">
                  <c:v>0.6</c:v>
                </c:pt>
                <c:pt idx="4">
                  <c:v>0.6</c:v>
                </c:pt>
              </c:numCache>
              <c:extLst/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733851968"/>
        <c:axId val="-733851424"/>
      </c:lineChart>
      <c:catAx>
        <c:axId val="-733851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733851424"/>
        <c:crosses val="autoZero"/>
        <c:auto val="1"/>
        <c:lblAlgn val="ctr"/>
        <c:lblOffset val="100"/>
        <c:noMultiLvlLbl val="0"/>
      </c:catAx>
      <c:valAx>
        <c:axId val="-733851424"/>
        <c:scaling>
          <c:orientation val="minMax"/>
          <c:min val="0.30000000000000004"/>
        </c:scaling>
        <c:delete val="0"/>
        <c:axPos val="l"/>
        <c:numFmt formatCode="0%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733851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6800810988492594"/>
          <c:w val="1"/>
          <c:h val="0.1319918901150740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5680649567926814E-2"/>
          <c:y val="8.2597624061527194E-2"/>
          <c:w val="0.86317094135162931"/>
          <c:h val="0.671462415308551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'Tregu primar ankandet'!$H$51</c:f>
              <c:strCache>
                <c:ptCount val="1"/>
                <c:pt idx="0">
                  <c:v>Kerkesa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'Tregu primar ankandet'!$A$70:$A$81</c:f>
              <c:strCache>
                <c:ptCount val="12"/>
                <c:pt idx="0">
                  <c:v>Janar</c:v>
                </c:pt>
                <c:pt idx="1">
                  <c:v>Shkurt</c:v>
                </c:pt>
                <c:pt idx="2">
                  <c:v>Mars</c:v>
                </c:pt>
                <c:pt idx="3">
                  <c:v>Prill</c:v>
                </c:pt>
                <c:pt idx="4">
                  <c:v>Maj</c:v>
                </c:pt>
                <c:pt idx="5">
                  <c:v>Qershor</c:v>
                </c:pt>
                <c:pt idx="6">
                  <c:v>Korrik</c:v>
                </c:pt>
                <c:pt idx="7">
                  <c:v>Gusht</c:v>
                </c:pt>
                <c:pt idx="8">
                  <c:v>Shtator</c:v>
                </c:pt>
                <c:pt idx="9">
                  <c:v>Tetor</c:v>
                </c:pt>
                <c:pt idx="10">
                  <c:v>Nentor</c:v>
                </c:pt>
                <c:pt idx="11">
                  <c:v>Dhjetor</c:v>
                </c:pt>
              </c:strCache>
            </c:strRef>
          </c:cat>
          <c:val>
            <c:numRef>
              <c:f>'Tregu primar ankandet'!$H$70:$H$81</c:f>
              <c:numCache>
                <c:formatCode>_-* #\,##0.0_L_e_k_-;\-* #\,##0.0_L_e_k_-;_-* "-"??_L_e_k_-;_-@_-</c:formatCode>
                <c:ptCount val="12"/>
                <c:pt idx="0">
                  <c:v>49.044110000000003</c:v>
                </c:pt>
                <c:pt idx="1">
                  <c:v>47.09778</c:v>
                </c:pt>
                <c:pt idx="2">
                  <c:v>39.259259999999998</c:v>
                </c:pt>
                <c:pt idx="3">
                  <c:v>31.767609999999998</c:v>
                </c:pt>
                <c:pt idx="4">
                  <c:v>32.096829999999997</c:v>
                </c:pt>
                <c:pt idx="5">
                  <c:v>30.929109999999998</c:v>
                </c:pt>
                <c:pt idx="6">
                  <c:v>32.781059999999997</c:v>
                </c:pt>
                <c:pt idx="7">
                  <c:v>29.48865</c:v>
                </c:pt>
                <c:pt idx="8">
                  <c:v>26.265270000000001</c:v>
                </c:pt>
                <c:pt idx="9" formatCode="_(* #,##0.00_);_(* \(#,##0.00\);_(* &quot;-&quot;??_);_(@_)">
                  <c:v>38.119779999999999</c:v>
                </c:pt>
                <c:pt idx="10" formatCode="_(* #,##0.00_);_(* \(#,##0.00\);_(* &quot;-&quot;??_);_(@_)">
                  <c:v>22.782339999999998</c:v>
                </c:pt>
                <c:pt idx="11" formatCode="_(* #,##0.00_);_(* \(#,##0.00\);_(* &quot;-&quot;??_);_(@_)">
                  <c:v>18.760460000000002</c:v>
                </c:pt>
              </c:numCache>
            </c:numRef>
          </c:val>
        </c:ser>
        <c:ser>
          <c:idx val="1"/>
          <c:order val="1"/>
          <c:tx>
            <c:strRef>
              <c:f>'Tregu primar ankandet'!$I$51</c:f>
              <c:strCache>
                <c:ptCount val="1"/>
                <c:pt idx="0">
                  <c:v>Oferta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numFmt formatCode="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'Tregu primar ankandet'!$A$70:$A$81</c:f>
              <c:strCache>
                <c:ptCount val="12"/>
                <c:pt idx="0">
                  <c:v>Janar</c:v>
                </c:pt>
                <c:pt idx="1">
                  <c:v>Shkurt</c:v>
                </c:pt>
                <c:pt idx="2">
                  <c:v>Mars</c:v>
                </c:pt>
                <c:pt idx="3">
                  <c:v>Prill</c:v>
                </c:pt>
                <c:pt idx="4">
                  <c:v>Maj</c:v>
                </c:pt>
                <c:pt idx="5">
                  <c:v>Qershor</c:v>
                </c:pt>
                <c:pt idx="6">
                  <c:v>Korrik</c:v>
                </c:pt>
                <c:pt idx="7">
                  <c:v>Gusht</c:v>
                </c:pt>
                <c:pt idx="8">
                  <c:v>Shtator</c:v>
                </c:pt>
                <c:pt idx="9">
                  <c:v>Tetor</c:v>
                </c:pt>
                <c:pt idx="10">
                  <c:v>Nentor</c:v>
                </c:pt>
                <c:pt idx="11">
                  <c:v>Dhjetor</c:v>
                </c:pt>
              </c:strCache>
            </c:strRef>
          </c:cat>
          <c:val>
            <c:numRef>
              <c:f>'Tregu primar ankandet'!$I$70:$I$81</c:f>
              <c:numCache>
                <c:formatCode>_-* #\,##0.0_L_e_k_-;\-* #\,##0.0_L_e_k_-;_-* "-"??_L_e_k_-;_-@_-</c:formatCode>
                <c:ptCount val="12"/>
                <c:pt idx="0">
                  <c:v>33.1</c:v>
                </c:pt>
                <c:pt idx="1">
                  <c:v>29</c:v>
                </c:pt>
                <c:pt idx="2">
                  <c:v>27</c:v>
                </c:pt>
                <c:pt idx="3">
                  <c:v>27.5</c:v>
                </c:pt>
                <c:pt idx="4">
                  <c:v>31</c:v>
                </c:pt>
                <c:pt idx="5">
                  <c:v>27.2</c:v>
                </c:pt>
                <c:pt idx="6">
                  <c:v>29.4</c:v>
                </c:pt>
                <c:pt idx="7">
                  <c:v>30.1</c:v>
                </c:pt>
                <c:pt idx="8">
                  <c:v>18.7</c:v>
                </c:pt>
                <c:pt idx="9" formatCode="_(* #,##0.00_);_(* \(#,##0.00\);_(* &quot;-&quot;??_);_(@_)">
                  <c:v>24.9</c:v>
                </c:pt>
                <c:pt idx="10" formatCode="_(* #,##0.00_);_(* \(#,##0.00\);_(* &quot;-&quot;??_);_(@_)">
                  <c:v>17.7</c:v>
                </c:pt>
                <c:pt idx="11" formatCode="_(* #,##0.00_);_(* \(#,##0.00\);_(* &quot;-&quot;??_);_(@_)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733849248"/>
        <c:axId val="-733855232"/>
      </c:barChart>
      <c:lineChart>
        <c:grouping val="standard"/>
        <c:varyColors val="0"/>
        <c:ser>
          <c:idx val="2"/>
          <c:order val="2"/>
          <c:tx>
            <c:strRef>
              <c:f>'Tregu primar ankandet'!$J$51</c:f>
              <c:strCache>
                <c:ptCount val="1"/>
                <c:pt idx="0">
                  <c:v>Raporti i Mbulimit</c:v>
                </c:pt>
              </c:strCache>
            </c:strRef>
          </c:tx>
          <c:spPr>
            <a:ln w="25400" cap="rnd">
              <a:solidFill>
                <a:schemeClr val="bg1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>
                  <a:lumMod val="50000"/>
                </a:schemeClr>
              </a:solidFill>
              <a:ln w="9525"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3.7161585690332913E-2"/>
                  <c:y val="-7.60763825306720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2251361334098692E-2"/>
                  <c:y val="-7.18206372459256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8915067757013461E-2"/>
                  <c:y val="-7.64843893059879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707572698992063E-2"/>
                  <c:y val="-5.5883766709393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4945764728666617E-2"/>
                  <c:y val="-5.6612227613990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4467182295764988E-2"/>
                  <c:y val="-5.72857535249954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4.1114645180763881E-2"/>
                  <c:y val="-7.18206372459256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4.9977929027429153E-2"/>
                  <c:y val="-5.72857535249954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668300325743145E-2"/>
                  <c:y val="-5.72857535249954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3.4467182295764988E-2"/>
                  <c:y val="-7.18206372459256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3.668300325743129E-2"/>
                  <c:y val="-7.18206372459256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'Tregu primar ankandet'!$A$70:$A$78</c:f>
              <c:strCache>
                <c:ptCount val="9"/>
                <c:pt idx="0">
                  <c:v>Janar</c:v>
                </c:pt>
                <c:pt idx="1">
                  <c:v>Shkurt</c:v>
                </c:pt>
                <c:pt idx="2">
                  <c:v>Mars</c:v>
                </c:pt>
                <c:pt idx="3">
                  <c:v>Prill</c:v>
                </c:pt>
                <c:pt idx="4">
                  <c:v>Maj</c:v>
                </c:pt>
                <c:pt idx="5">
                  <c:v>Qershor</c:v>
                </c:pt>
                <c:pt idx="6">
                  <c:v>Korrik</c:v>
                </c:pt>
                <c:pt idx="7">
                  <c:v>Gusht</c:v>
                </c:pt>
                <c:pt idx="8">
                  <c:v>Shtator</c:v>
                </c:pt>
              </c:strCache>
            </c:strRef>
          </c:cat>
          <c:val>
            <c:numRef>
              <c:f>'Tregu primar ankandet'!$J$70:$J$81</c:f>
              <c:numCache>
                <c:formatCode>_(* #,##0.00_);_(* \(#,##0.00\);_(* "-"??_);_(@_)</c:formatCode>
                <c:ptCount val="12"/>
                <c:pt idx="0">
                  <c:v>1.4816951661631421</c:v>
                </c:pt>
                <c:pt idx="1">
                  <c:v>1.6240613793103449</c:v>
                </c:pt>
                <c:pt idx="2">
                  <c:v>1.4540466666666665</c:v>
                </c:pt>
                <c:pt idx="3">
                  <c:v>1.1551858181818182</c:v>
                </c:pt>
                <c:pt idx="4">
                  <c:v>1.0353816129032256</c:v>
                </c:pt>
                <c:pt idx="5">
                  <c:v>1.1370996323529412</c:v>
                </c:pt>
                <c:pt idx="6">
                  <c:v>1.1150020408163264</c:v>
                </c:pt>
                <c:pt idx="7">
                  <c:v>0.97968936877076407</c:v>
                </c:pt>
                <c:pt idx="8">
                  <c:v>1.4045598930481284</c:v>
                </c:pt>
                <c:pt idx="9">
                  <c:v>1.5309148594377511</c:v>
                </c:pt>
                <c:pt idx="10">
                  <c:v>1.2871378531073445</c:v>
                </c:pt>
                <c:pt idx="11">
                  <c:v>1.4431123076923078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753156304"/>
        <c:axId val="-753153584"/>
      </c:lineChart>
      <c:catAx>
        <c:axId val="-733849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733855232"/>
        <c:crosses val="autoZero"/>
        <c:auto val="1"/>
        <c:lblAlgn val="ctr"/>
        <c:lblOffset val="100"/>
        <c:noMultiLvlLbl val="0"/>
      </c:catAx>
      <c:valAx>
        <c:axId val="-73385523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900" b="1">
                    <a:solidFill>
                      <a:sysClr val="windowText" lastClr="000000"/>
                    </a:solidFill>
                  </a:rPr>
                  <a:t>në miliard Lekë</a:t>
                </a:r>
              </a:p>
            </c:rich>
          </c:tx>
          <c:layout>
            <c:manualLayout>
              <c:xMode val="edge"/>
              <c:yMode val="edge"/>
              <c:x val="4.4944525962617183E-4"/>
              <c:y val="0.2212483977293535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733849248"/>
        <c:crosses val="autoZero"/>
        <c:crossBetween val="between"/>
        <c:majorUnit val="10"/>
      </c:valAx>
      <c:valAx>
        <c:axId val="-753153584"/>
        <c:scaling>
          <c:orientation val="minMax"/>
          <c:max val="1.7000000000000002"/>
          <c:min val="0"/>
        </c:scaling>
        <c:delete val="0"/>
        <c:axPos val="r"/>
        <c:numFmt formatCode="#,##0.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753156304"/>
        <c:crosses val="max"/>
        <c:crossBetween val="between"/>
        <c:majorUnit val="0.2"/>
      </c:valAx>
      <c:catAx>
        <c:axId val="-75315630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75315358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387562788863663"/>
          <c:y val="0.91541784929500092"/>
          <c:w val="0.44660956854077449"/>
          <c:h val="8.211736306684291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solidFill>
        <a:schemeClr val="bg1">
          <a:lumMod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640586861054063E-2"/>
          <c:y val="0.11000006118443896"/>
          <c:w val="0.87791506950175435"/>
          <c:h val="0.6662438566999255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'Mbajtesit e Borxhit'!$A$3</c:f>
              <c:strCache>
                <c:ptCount val="1"/>
                <c:pt idx="0">
                  <c:v>BSH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-2.3335909734084038E-3"/>
                  <c:y val="1.30075777504782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1151459214064006E-3"/>
                  <c:y val="1.30407798927825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004707310987936E-3"/>
                  <c:y val="1.51810410659420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4324288014852861E-3"/>
                  <c:y val="1.08341144350144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220621524737743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rgbClr val="7030A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'Mbajtesit e Borxhit'!$B$2:$F$2</c:f>
              <c:strCach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strCache>
            </c:strRef>
          </c:cat>
          <c:val>
            <c:numRef>
              <c:f>'Mbajtesit e Borxhit'!$B$3:$F$3</c:f>
              <c:numCache>
                <c:formatCode>0.0%</c:formatCode>
                <c:ptCount val="5"/>
                <c:pt idx="0">
                  <c:v>9.9099999999999994E-2</c:v>
                </c:pt>
                <c:pt idx="1">
                  <c:v>9.2799999999999994E-2</c:v>
                </c:pt>
                <c:pt idx="2">
                  <c:v>7.9399999999999998E-2</c:v>
                </c:pt>
                <c:pt idx="3">
                  <c:v>8.0199999999999994E-2</c:v>
                </c:pt>
                <c:pt idx="4">
                  <c:v>8.1000000000000003E-2</c:v>
                </c:pt>
              </c:numCache>
            </c:numRef>
          </c:val>
          <c:extLst/>
        </c:ser>
        <c:ser>
          <c:idx val="1"/>
          <c:order val="1"/>
          <c:tx>
            <c:strRef>
              <c:f>'Mbajtesit e Borxhit'!$A$4</c:f>
              <c:strCache>
                <c:ptCount val="1"/>
                <c:pt idx="0">
                  <c:v>Institucione Financiare_Banka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rgbClr val="0070C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dLbl>
              <c:idx val="1"/>
              <c:layout>
                <c:manualLayout>
                  <c:x val="2.0481513597638318E-3"/>
                  <c:y val="1.94947655545651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6766960190246549E-4"/>
                  <c:y val="1.30407798927826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2816866759369754E-3"/>
                  <c:y val="8.72705540415946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0481513597638318E-3"/>
                  <c:y val="1.08673165773188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'Mbajtesit e Borxhit'!$B$2:$F$2</c:f>
              <c:strCach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strCache>
            </c:strRef>
          </c:cat>
          <c:val>
            <c:numRef>
              <c:f>'Mbajtesit e Borxhit'!$B$4:$F$4</c:f>
              <c:numCache>
                <c:formatCode>0.0%</c:formatCode>
                <c:ptCount val="5"/>
                <c:pt idx="0">
                  <c:v>0.58199999999999996</c:v>
                </c:pt>
                <c:pt idx="1">
                  <c:v>0.60329999999999995</c:v>
                </c:pt>
                <c:pt idx="2">
                  <c:v>0.60960000000000003</c:v>
                </c:pt>
                <c:pt idx="3">
                  <c:v>0.61246</c:v>
                </c:pt>
                <c:pt idx="4">
                  <c:v>0.62219999999999998</c:v>
                </c:pt>
              </c:numCache>
            </c:numRef>
          </c:val>
          <c:extLst/>
        </c:ser>
        <c:ser>
          <c:idx val="3"/>
          <c:order val="3"/>
          <c:tx>
            <c:strRef>
              <c:f>'Mbajtesit e Borxhit'!$A$6</c:f>
              <c:strCache>
                <c:ptCount val="1"/>
                <c:pt idx="0">
                  <c:v>Institucione Financiare_Jo Banka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6.3299200385240827E-4"/>
                  <c:y val="6.487187804086868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5="http://schemas.microsoft.com/office/drawing/2012/chart"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7992623235412249E-3"/>
                  <c:y val="1.3015750585506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3717153071354669E-3"/>
                  <c:y val="1.30280098380501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0103759742197084E-3"/>
                  <c:y val="1.30157505855070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8090328726635739E-5"/>
                  <c:y val="1.73545043814057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6882486098950975E-2"/>
                  <c:y val="7.885216239303430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'Mbajtesit e Borxhit'!$B$2:$F$2</c:f>
              <c:strCach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strCache>
            </c:strRef>
          </c:cat>
          <c:val>
            <c:numRef>
              <c:f>'Mbajtesit e Borxhit'!$B$6:$F$6</c:f>
              <c:numCache>
                <c:formatCode>0.0%</c:formatCode>
                <c:ptCount val="5"/>
                <c:pt idx="0">
                  <c:v>0.1588</c:v>
                </c:pt>
                <c:pt idx="1">
                  <c:v>0.13950000000000001</c:v>
                </c:pt>
                <c:pt idx="2">
                  <c:v>0.14973</c:v>
                </c:pt>
                <c:pt idx="3">
                  <c:v>0.1398934</c:v>
                </c:pt>
                <c:pt idx="4">
                  <c:v>0.1416451</c:v>
                </c:pt>
              </c:numCache>
            </c:numRef>
          </c:val>
          <c:extLst/>
        </c:ser>
        <c:ser>
          <c:idx val="4"/>
          <c:order val="4"/>
          <c:tx>
            <c:strRef>
              <c:f>'Mbajtesit e Borxhit'!$A$7</c:f>
              <c:strCache>
                <c:ptCount val="1"/>
                <c:pt idx="0">
                  <c:v>Institucione Jo Financiare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898538081587534E-3"/>
                  <c:y val="6.48718780408680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8271711992127734E-4"/>
                  <c:y val="6.48718780408692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8985494015521468E-3"/>
                  <c:y val="-7.9084078154495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1320733977608806E-3"/>
                  <c:y val="1.94615634122607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8271711992111482E-4"/>
                  <c:y val="1.29743756081737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5.5632790872250613E-3"/>
                  <c:y val="-7.9084078154495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>
                  <a:defRPr sz="800" b="1">
                    <a:solidFill>
                      <a:schemeClr val="accent2"/>
                    </a:solidFill>
                    <a:latin typeface="+mn-lt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'Mbajtesit e Borxhit'!$B$2:$F$2</c:f>
              <c:strCach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strCache>
            </c:strRef>
          </c:cat>
          <c:val>
            <c:numRef>
              <c:f>'Mbajtesit e Borxhit'!$B$7:$F$7</c:f>
              <c:numCache>
                <c:formatCode>0.0%</c:formatCode>
                <c:ptCount val="5"/>
                <c:pt idx="0">
                  <c:v>1.18E-2</c:v>
                </c:pt>
                <c:pt idx="1">
                  <c:v>1.374E-2</c:v>
                </c:pt>
                <c:pt idx="2">
                  <c:v>1.269E-2</c:v>
                </c:pt>
                <c:pt idx="3">
                  <c:v>1.5949999999999999E-2</c:v>
                </c:pt>
                <c:pt idx="4">
                  <c:v>2.1090000000000001E-2</c:v>
                </c:pt>
              </c:numCache>
            </c:numRef>
          </c:val>
        </c:ser>
        <c:ser>
          <c:idx val="5"/>
          <c:order val="5"/>
          <c:tx>
            <c:strRef>
              <c:f>'Mbajtesit e Borxhit'!$A$8</c:f>
              <c:strCache>
                <c:ptCount val="1"/>
                <c:pt idx="0">
                  <c:v>Individë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6.8271711992123668E-4"/>
                  <c:y val="1.57296426172483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6397930039379616E-3"/>
                  <c:y val="7.102193640002000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7277279460386529E-3"/>
                  <c:y val="1.60606424359134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277584790046602E-3"/>
                  <c:y val="1.8062476215773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9.156400320336057E-4"/>
                  <c:y val="1.60478723811809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3.5367811380091728E-2"/>
                  <c:y val="-2.25627034333090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-540000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accent4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'Mbajtesit e Borxhit'!$B$2:$F$2</c:f>
              <c:strCach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strCache>
            </c:strRef>
          </c:cat>
          <c:val>
            <c:numRef>
              <c:f>'Mbajtesit e Borxhit'!$B$8:$F$8</c:f>
              <c:numCache>
                <c:formatCode>0.0%</c:formatCode>
                <c:ptCount val="5"/>
                <c:pt idx="0">
                  <c:v>0.14829999999999999</c:v>
                </c:pt>
                <c:pt idx="1">
                  <c:v>0.1507</c:v>
                </c:pt>
                <c:pt idx="2">
                  <c:v>0.14859</c:v>
                </c:pt>
                <c:pt idx="3">
                  <c:v>0.15146999999999999</c:v>
                </c:pt>
                <c:pt idx="4">
                  <c:v>0.13406000000000001</c:v>
                </c:pt>
              </c:numCache>
            </c:numRef>
          </c:val>
          <c:extLst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9"/>
        <c:axId val="-753159024"/>
        <c:axId val="-753160112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'Mbajtesit e Borxhit'!$A$5</c15:sqref>
                        </c15:formulaRef>
                      </c:ext>
                    </c:extLst>
                    <c:strCache>
                      <c:ptCount val="1"/>
                      <c:pt idx="0">
                        <c:v> -Kliente të Bankës</c:v>
                      </c:pt>
                    </c:strCache>
                  </c:strRef>
                </c:tx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-5400000" vert="horz" wrap="square" lIns="38100" tIns="19050" rIns="38100" bIns="19050" anchor="ctr">
                      <a:spAutoFit/>
                    </a:bodyPr>
                    <a:lstStyle/>
                    <a:p>
                      <a:pPr>
                        <a:defRPr b="1">
                          <a:solidFill>
                            <a:schemeClr val="accent3"/>
                          </a:solidFill>
                        </a:defRPr>
                      </a:pPr>
                      <a:endParaRPr lang="en-US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'Mbajtesit e Borxhit'!$B$2:$F$2</c15:sqref>
                        </c15:formulaRef>
                      </c:ext>
                    </c:extLst>
                    <c:strCache>
                      <c:ptCount val="5"/>
                      <c:pt idx="0">
                        <c:v>2015</c:v>
                      </c:pt>
                      <c:pt idx="1">
                        <c:v>2016</c:v>
                      </c:pt>
                      <c:pt idx="2">
                        <c:v>2017</c:v>
                      </c:pt>
                      <c:pt idx="3">
                        <c:v>2018</c:v>
                      </c:pt>
                      <c:pt idx="4">
                        <c:v>2019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'Mbajtesit e Borxhit'!$B$5:$F$5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3" formatCode="0.0%">
                        <c:v>0.01</c:v>
                      </c:pt>
                      <c:pt idx="4" formatCode="0.0%">
                        <c:v>3.6720000000000003E-2</c:v>
                      </c:pt>
                    </c:numCache>
                  </c:numRef>
                </c:val>
              </c15:ser>
            </c15:filteredBarSeries>
          </c:ext>
        </c:extLst>
      </c:barChart>
      <c:catAx>
        <c:axId val="-753159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753160112"/>
        <c:crosses val="autoZero"/>
        <c:auto val="1"/>
        <c:lblAlgn val="ctr"/>
        <c:lblOffset val="100"/>
        <c:noMultiLvlLbl val="0"/>
      </c:catAx>
      <c:valAx>
        <c:axId val="-753160112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US" sz="900"/>
                  <a:t>në % të</a:t>
                </a:r>
                <a:r>
                  <a:rPr lang="en-US" sz="900" baseline="0"/>
                  <a:t> totalit</a:t>
                </a:r>
                <a:endParaRPr lang="en-US" sz="900"/>
              </a:p>
            </c:rich>
          </c:tx>
          <c:layout>
            <c:manualLayout>
              <c:xMode val="edge"/>
              <c:yMode val="edge"/>
              <c:x val="3.7136810369344199E-3"/>
              <c:y val="0.25259321501451953"/>
            </c:manualLayout>
          </c:layout>
          <c:overlay val="0"/>
        </c:title>
        <c:numFmt formatCode="0%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753159024"/>
        <c:crosses val="autoZero"/>
        <c:crossBetween val="between"/>
        <c:majorUnit val="0.2"/>
      </c:valAx>
      <c:spPr>
        <a:noFill/>
        <a:ln>
          <a:noFill/>
        </a:ln>
        <a:effectLst/>
        <a:sp3d/>
      </c:spPr>
    </c:plotArea>
    <c:legend>
      <c:legendPos val="b"/>
      <c:layout>
        <c:manualLayout>
          <c:xMode val="edge"/>
          <c:yMode val="edge"/>
          <c:x val="4.4039877798346332E-2"/>
          <c:y val="0.90756063860489722"/>
          <c:w val="0.94044937546998963"/>
          <c:h val="7.27946496200863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solidFill>
        <a:schemeClr val="bg1">
          <a:lumMod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6028178769320498E-2"/>
          <c:y val="5.7172017352253905E-2"/>
          <c:w val="0.91671314523184599"/>
          <c:h val="0.71290765529831523"/>
        </c:manualLayout>
      </c:layout>
      <c:lineChart>
        <c:grouping val="standard"/>
        <c:varyColors val="0"/>
        <c:ser>
          <c:idx val="0"/>
          <c:order val="0"/>
          <c:tx>
            <c:strRef>
              <c:f>'Yeld Mesatar i Ponderuar'!$C$4</c:f>
              <c:strCache>
                <c:ptCount val="1"/>
                <c:pt idx="0">
                  <c:v>2017</c:v>
                </c:pt>
              </c:strCache>
            </c:strRef>
          </c:tx>
          <c:spPr>
            <a:ln w="25400" cap="rnd">
              <a:solidFill>
                <a:srgbClr val="C00000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rgbClr val="C00000"/>
              </a:solidFill>
              <a:ln w="9525"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3.1245586687450869E-2"/>
                  <c:y val="3.43861671023930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506265993891026E-2"/>
                  <c:y val="-5.40208403662899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9829240888036287E-2"/>
                  <c:y val="-4.41989078477175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0914815851064384E-2"/>
                  <c:y val="-4.91081787664557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7777777777777776E-2"/>
                  <c:y val="-4.4198869390600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2.0050123942840562E-2"/>
                  <c:y val="1.96439419513781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2710917480492605E-2"/>
                  <c:y val="4.41989078477174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1.6292684226654409E-2"/>
                  <c:y val="2.45571832990424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'Yeld Mesatar i Ponderuar'!$A$5:$A$12</c:f>
              <c:strCache>
                <c:ptCount val="8"/>
                <c:pt idx="0">
                  <c:v>Bono 3 m</c:v>
                </c:pt>
                <c:pt idx="1">
                  <c:v>Bono 6m</c:v>
                </c:pt>
                <c:pt idx="2">
                  <c:v>Bono 12m</c:v>
                </c:pt>
                <c:pt idx="3">
                  <c:v>OB 2vj</c:v>
                </c:pt>
                <c:pt idx="4">
                  <c:v>OB 3vj</c:v>
                </c:pt>
                <c:pt idx="5">
                  <c:v>OB 5vj</c:v>
                </c:pt>
                <c:pt idx="6">
                  <c:v>OB 7vj</c:v>
                </c:pt>
                <c:pt idx="7">
                  <c:v>OB 10vj</c:v>
                </c:pt>
              </c:strCache>
            </c:strRef>
          </c:cat>
          <c:val>
            <c:numRef>
              <c:f>'Yeld Mesatar i Ponderuar'!$C$5:$C$12</c:f>
              <c:numCache>
                <c:formatCode>0.00%</c:formatCode>
                <c:ptCount val="8"/>
                <c:pt idx="0">
                  <c:v>1.2200000000000001E-2</c:v>
                </c:pt>
                <c:pt idx="1">
                  <c:v>1.84E-2</c:v>
                </c:pt>
                <c:pt idx="2">
                  <c:v>2.3699999999999999E-2</c:v>
                </c:pt>
                <c:pt idx="3">
                  <c:v>2.8899999999999999E-2</c:v>
                </c:pt>
                <c:pt idx="4">
                  <c:v>3.6499999999999998E-2</c:v>
                </c:pt>
                <c:pt idx="5">
                  <c:v>5.1829E-2</c:v>
                </c:pt>
                <c:pt idx="6">
                  <c:v>5.373E-2</c:v>
                </c:pt>
                <c:pt idx="7">
                  <c:v>6.8080000000000002E-2</c:v>
                </c:pt>
              </c:numCache>
            </c:numRef>
          </c:val>
          <c:smooth val="1"/>
        </c:ser>
        <c:ser>
          <c:idx val="1"/>
          <c:order val="1"/>
          <c:tx>
            <c:strRef>
              <c:f>'Yeld Mesatar i Ponderuar'!$D$4</c:f>
              <c:strCache>
                <c:ptCount val="1"/>
                <c:pt idx="0">
                  <c:v>2018</c:v>
                </c:pt>
              </c:strCache>
            </c:strRef>
          </c:tx>
          <c:spPr>
            <a:ln w="25400" cap="rnd">
              <a:solidFill>
                <a:schemeClr val="bg1">
                  <a:lumMod val="50000"/>
                </a:schemeClr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bg1">
                  <a:lumMod val="50000"/>
                </a:schemeClr>
              </a:solidFill>
              <a:ln w="9525"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3.5118376700374404E-2"/>
                  <c:y val="-5.17325928561484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3000697247869394E-2"/>
                  <c:y val="2.59583404235569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9905271993285146E-2"/>
                  <c:y val="1.47046083876056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1485537658046634E-2"/>
                  <c:y val="2.11782404900762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3270492203703048E-2"/>
                  <c:y val="3.30356728493417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0386905951476877E-2"/>
                  <c:y val="-3.77500270717633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4.0783582255263774E-2"/>
                  <c:y val="-4.85315502065188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'Yeld Mesatar i Ponderuar'!$A$5:$A$12</c:f>
              <c:strCache>
                <c:ptCount val="8"/>
                <c:pt idx="0">
                  <c:v>Bono 3 m</c:v>
                </c:pt>
                <c:pt idx="1">
                  <c:v>Bono 6m</c:v>
                </c:pt>
                <c:pt idx="2">
                  <c:v>Bono 12m</c:v>
                </c:pt>
                <c:pt idx="3">
                  <c:v>OB 2vj</c:v>
                </c:pt>
                <c:pt idx="4">
                  <c:v>OB 3vj</c:v>
                </c:pt>
                <c:pt idx="5">
                  <c:v>OB 5vj</c:v>
                </c:pt>
                <c:pt idx="6">
                  <c:v>OB 7vj</c:v>
                </c:pt>
                <c:pt idx="7">
                  <c:v>OB 10vj</c:v>
                </c:pt>
              </c:strCache>
            </c:strRef>
          </c:cat>
          <c:val>
            <c:numRef>
              <c:f>'Yeld Mesatar i Ponderuar'!$D$5:$D$12</c:f>
              <c:numCache>
                <c:formatCode>0.00%</c:formatCode>
                <c:ptCount val="8"/>
                <c:pt idx="0">
                  <c:v>1.3100000000000001E-2</c:v>
                </c:pt>
                <c:pt idx="1">
                  <c:v>1.7399999999999999E-2</c:v>
                </c:pt>
                <c:pt idx="2">
                  <c:v>2.129E-2</c:v>
                </c:pt>
                <c:pt idx="3">
                  <c:v>2.6280000000000001E-2</c:v>
                </c:pt>
                <c:pt idx="4">
                  <c:v>3.61E-2</c:v>
                </c:pt>
                <c:pt idx="5">
                  <c:v>5.2752E-2</c:v>
                </c:pt>
                <c:pt idx="6">
                  <c:v>5.5960000000000003E-2</c:v>
                </c:pt>
                <c:pt idx="7">
                  <c:v>6.8190000000000001E-2</c:v>
                </c:pt>
              </c:numCache>
            </c:numRef>
          </c:val>
          <c:smooth val="1"/>
        </c:ser>
        <c:ser>
          <c:idx val="2"/>
          <c:order val="2"/>
          <c:tx>
            <c:strRef>
              <c:f>'Yeld Mesatar i Ponderuar'!$E$4</c:f>
              <c:strCache>
                <c:ptCount val="1"/>
                <c:pt idx="0">
                  <c:v>2019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5.0125319877820668E-3"/>
                  <c:y val="3.43768984149117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6833759837094022E-3"/>
                  <c:y val="2.94659129270671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0125319877821128E-3"/>
                  <c:y val="3.43768984149117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0025063975564165E-2"/>
                  <c:y val="3.92878839027563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5062730102899656E-2"/>
                  <c:y val="3.93047197685750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8378608777712181E-2"/>
                  <c:y val="4.41989078477174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1.5036931922827981E-2"/>
                  <c:y val="3.43776588339031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463146133242753E-3"/>
                  <c:y val="2.9459879646674816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5242417614464865E-2"/>
                      <c:h val="7.0595609733650574E-2"/>
                    </c:manualLayout>
                  </c15:layout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'Yeld Mesatar i Ponderuar'!$A$5:$A$12</c:f>
              <c:strCache>
                <c:ptCount val="8"/>
                <c:pt idx="0">
                  <c:v>Bono 3 m</c:v>
                </c:pt>
                <c:pt idx="1">
                  <c:v>Bono 6m</c:v>
                </c:pt>
                <c:pt idx="2">
                  <c:v>Bono 12m</c:v>
                </c:pt>
                <c:pt idx="3">
                  <c:v>OB 2vj</c:v>
                </c:pt>
                <c:pt idx="4">
                  <c:v>OB 3vj</c:v>
                </c:pt>
                <c:pt idx="5">
                  <c:v>OB 5vj</c:v>
                </c:pt>
                <c:pt idx="6">
                  <c:v>OB 7vj</c:v>
                </c:pt>
                <c:pt idx="7">
                  <c:v>OB 10vj</c:v>
                </c:pt>
              </c:strCache>
            </c:strRef>
          </c:cat>
          <c:val>
            <c:numRef>
              <c:f>'Yeld Mesatar i Ponderuar'!$E$5:$E$12</c:f>
              <c:numCache>
                <c:formatCode>0.00%</c:formatCode>
                <c:ptCount val="8"/>
                <c:pt idx="1">
                  <c:v>1.0291233866495501E-2</c:v>
                </c:pt>
                <c:pt idx="2" formatCode="0.000%">
                  <c:v>1.5713999999999999E-2</c:v>
                </c:pt>
                <c:pt idx="3" formatCode="0.000%">
                  <c:v>1.9650000000000001E-2</c:v>
                </c:pt>
                <c:pt idx="4" formatCode="0.000%">
                  <c:v>2.239E-2</c:v>
                </c:pt>
                <c:pt idx="5" formatCode="0.000%">
                  <c:v>3.2759000000000003E-2</c:v>
                </c:pt>
                <c:pt idx="6" formatCode="0.000%">
                  <c:v>3.9320000000000001E-2</c:v>
                </c:pt>
                <c:pt idx="7" formatCode="0.000%">
                  <c:v>5.3969999999999997E-2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753155760"/>
        <c:axId val="-753157936"/>
      </c:lineChart>
      <c:catAx>
        <c:axId val="-753155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-753157936"/>
        <c:crosses val="autoZero"/>
        <c:auto val="1"/>
        <c:lblAlgn val="ctr"/>
        <c:lblOffset val="100"/>
        <c:noMultiLvlLbl val="0"/>
      </c:catAx>
      <c:valAx>
        <c:axId val="-753157936"/>
        <c:scaling>
          <c:orientation val="minMax"/>
        </c:scaling>
        <c:delete val="0"/>
        <c:axPos val="l"/>
        <c:numFmt formatCode="0%" sourceLinked="0"/>
        <c:majorTickMark val="none"/>
        <c:minorTickMark val="none"/>
        <c:tickLblPos val="nextTo"/>
        <c:spPr>
          <a:noFill/>
          <a:ln>
            <a:solidFill>
              <a:schemeClr val="bg1">
                <a:lumMod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753155760"/>
        <c:crosses val="autoZero"/>
        <c:crossBetween val="between"/>
        <c:majorUnit val="2.0000000000000004E-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650207786526683"/>
          <c:y val="0.90730456887927835"/>
          <c:w val="0.40468084718576847"/>
          <c:h val="8.287346014503262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solidFill>
        <a:schemeClr val="bg1">
          <a:lumMod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3665718109189403E-2"/>
          <c:y val="7.48873237935921E-2"/>
          <c:w val="0.88769826338079416"/>
          <c:h val="0.78281858652250758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'HB '!$A$12</c:f>
              <c:strCache>
                <c:ptCount val="1"/>
                <c:pt idx="0">
                  <c:v>Tituj Afatshkurtër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Pt>
            <c:idx val="4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</c:dPt>
          <c:dPt>
            <c:idx val="5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</c:dPt>
          <c:dLbls>
            <c:dLbl>
              <c:idx val="0"/>
              <c:layout>
                <c:manualLayout>
                  <c:x val="0"/>
                  <c:y val="-0.177777342276746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7.2106672753387568E-17"/>
                  <c:y val="-8.63487891316007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7.2106672753387568E-17"/>
                  <c:y val="-8.12698250179077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9665683382497543E-3"/>
                  <c:y val="-1.52380921908577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-1.52376922409314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'HB '!$B$11:$F$11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'HB '!$B$12:$F$12</c:f>
              <c:numCache>
                <c:formatCode>_(* #\,##0.0_);_(* \(#\,##0.0\);_(* "-"??_);_(@_)</c:formatCode>
                <c:ptCount val="5"/>
                <c:pt idx="0">
                  <c:v>-36.659507842763567</c:v>
                </c:pt>
                <c:pt idx="1">
                  <c:v>-14.384717895468873</c:v>
                </c:pt>
                <c:pt idx="2">
                  <c:v>-14.36227226301998</c:v>
                </c:pt>
                <c:pt idx="3">
                  <c:v>-0.501596713590025</c:v>
                </c:pt>
                <c:pt idx="4">
                  <c:v>-0.80566663792998838</c:v>
                </c:pt>
              </c:numCache>
            </c:numRef>
          </c:val>
        </c:ser>
        <c:ser>
          <c:idx val="1"/>
          <c:order val="1"/>
          <c:tx>
            <c:strRef>
              <c:f>'HB '!$A$13</c:f>
              <c:strCache>
                <c:ptCount val="1"/>
                <c:pt idx="0">
                  <c:v>Tituj Afatgjatë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4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</c:dPt>
          <c:dPt>
            <c:idx val="5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</c:dPt>
          <c:dLbls>
            <c:dLbl>
              <c:idx val="0"/>
              <c:layout>
                <c:manualLayout>
                  <c:x val="0"/>
                  <c:y val="-0.1066666453360039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0.132063465654100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-0.1523809219085770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7.8662733529990172E-3"/>
                  <c:y val="-0.116825373463242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9665683382497543E-3"/>
                  <c:y val="-0.1066666453360039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'HB '!$B$11:$F$11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'HB '!$B$13:$F$13</c:f>
              <c:numCache>
                <c:formatCode>_(* #\,##0.0_);_(* \(#\,##0.0\);_(* "-"??_);_(@_)</c:formatCode>
                <c:ptCount val="5"/>
                <c:pt idx="0">
                  <c:v>19.307504897485</c:v>
                </c:pt>
                <c:pt idx="1">
                  <c:v>25.076536516439997</c:v>
                </c:pt>
                <c:pt idx="2">
                  <c:v>30.75088222239</c:v>
                </c:pt>
                <c:pt idx="3">
                  <c:v>20.233857760449997</c:v>
                </c:pt>
                <c:pt idx="4">
                  <c:v>18.813243995559986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-753155216"/>
        <c:axId val="-753154128"/>
      </c:barChart>
      <c:lineChart>
        <c:grouping val="standard"/>
        <c:varyColors val="0"/>
        <c:ser>
          <c:idx val="2"/>
          <c:order val="2"/>
          <c:tx>
            <c:strRef>
              <c:f>'HB '!$A$14</c:f>
              <c:strCache>
                <c:ptCount val="1"/>
                <c:pt idx="0">
                  <c:v>Financimi Neto</c:v>
                </c:pt>
              </c:strCache>
            </c:strRef>
          </c:tx>
          <c:spPr>
            <a:ln w="25400" cap="rnd">
              <a:solidFill>
                <a:schemeClr val="accent6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6">
                  <a:lumMod val="50000"/>
                </a:schemeClr>
              </a:solidFill>
              <a:ln w="9525">
                <a:noFill/>
              </a:ln>
              <a:effectLst/>
            </c:spPr>
          </c:marker>
          <c:dPt>
            <c:idx val="4"/>
            <c:marker>
              <c:symbol val="diamond"/>
              <c:size val="5"/>
              <c:spPr>
                <a:solidFill>
                  <a:schemeClr val="accent6">
                    <a:lumMod val="50000"/>
                  </a:schemeClr>
                </a:solidFill>
                <a:ln w="9525">
                  <a:noFill/>
                </a:ln>
                <a:effectLst/>
              </c:spPr>
            </c:marker>
            <c:bubble3D val="0"/>
            <c:spPr>
              <a:ln w="25400" cap="rnd">
                <a:solidFill>
                  <a:schemeClr val="accent6"/>
                </a:solidFill>
                <a:prstDash val="dash"/>
                <a:round/>
              </a:ln>
              <a:effectLst/>
            </c:spPr>
          </c:dPt>
          <c:dPt>
            <c:idx val="5"/>
            <c:marker>
              <c:symbol val="diamond"/>
              <c:size val="5"/>
              <c:spPr>
                <a:solidFill>
                  <a:schemeClr val="accent6">
                    <a:lumMod val="50000"/>
                  </a:schemeClr>
                </a:solidFill>
                <a:ln w="9525">
                  <a:noFill/>
                </a:ln>
                <a:effectLst/>
              </c:spPr>
            </c:marker>
            <c:bubble3D val="0"/>
            <c:spPr>
              <a:ln w="25400" cap="rnd">
                <a:solidFill>
                  <a:schemeClr val="accent6"/>
                </a:solidFill>
                <a:prstDash val="dash"/>
                <a:round/>
              </a:ln>
              <a:effectLst/>
            </c:spPr>
          </c:dPt>
          <c:dLbls>
            <c:dLbl>
              <c:idx val="0"/>
              <c:layout>
                <c:manualLayout>
                  <c:x val="-2.7531956735496559E-2"/>
                  <c:y val="3.55555484453347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3425854953971533E-2"/>
                  <c:y val="3.52379882038768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9521597410943172E-2"/>
                  <c:y val="4.09524727504116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9579200829984748E-2"/>
                  <c:y val="4.78308115823898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1735999814182665E-2"/>
                  <c:y val="5.06612572105972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5.8651026392960446E-3"/>
                  <c:y val="-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accent6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'HB '!$B$11:$F$11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'HB '!$B$14:$F$14</c:f>
              <c:numCache>
                <c:formatCode>_(* #\,##0.0_);_(* \(#\,##0.0\);_(* "-"??_);_(@_)</c:formatCode>
                <c:ptCount val="5"/>
                <c:pt idx="0">
                  <c:v>-17.352002945278567</c:v>
                </c:pt>
                <c:pt idx="1">
                  <c:v>10.691818620971125</c:v>
                </c:pt>
                <c:pt idx="2">
                  <c:v>16.388609959370022</c:v>
                </c:pt>
                <c:pt idx="3">
                  <c:v>19.732261046859971</c:v>
                </c:pt>
                <c:pt idx="4">
                  <c:v>18.007577357629998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753155216"/>
        <c:axId val="-753154128"/>
      </c:lineChart>
      <c:catAx>
        <c:axId val="-753155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753154128"/>
        <c:crosses val="autoZero"/>
        <c:auto val="1"/>
        <c:lblAlgn val="ctr"/>
        <c:lblOffset val="100"/>
        <c:noMultiLvlLbl val="0"/>
      </c:catAx>
      <c:valAx>
        <c:axId val="-75315412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900" b="1">
                    <a:solidFill>
                      <a:sysClr val="windowText" lastClr="000000"/>
                    </a:solidFill>
                  </a:rPr>
                  <a:t>në miliardë Lekë</a:t>
                </a:r>
              </a:p>
            </c:rich>
          </c:tx>
          <c:layout>
            <c:manualLayout>
              <c:xMode val="edge"/>
              <c:yMode val="edge"/>
              <c:x val="9.7290935978135481E-3"/>
              <c:y val="0.2614700639479937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75315521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516513100387157"/>
          <c:y val="0.86832249417098717"/>
          <c:w val="0.65439282143798061"/>
          <c:h val="8.16702475250920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900">
                <a:solidFill>
                  <a:sysClr val="windowText" lastClr="000000"/>
                </a:solidFill>
              </a:rPr>
              <a:t>2019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25458415187357403"/>
          <c:y val="0.18372128974705326"/>
          <c:w val="0.45084715575447887"/>
          <c:h val="0.64151762973625726"/>
        </c:manualLayout>
      </c:layout>
      <c:pieChart>
        <c:varyColors val="1"/>
        <c:ser>
          <c:idx val="0"/>
          <c:order val="0"/>
          <c:dPt>
            <c:idx val="0"/>
            <c:bubble3D val="0"/>
            <c:explosion val="17"/>
            <c:spPr>
              <a:solidFill>
                <a:srgbClr val="C0000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</c:dPt>
          <c:dPt>
            <c:idx val="1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</c:dPt>
          <c:dPt>
            <c:idx val="2"/>
            <c:bubble3D val="0"/>
            <c:spPr>
              <a:solidFill>
                <a:srgbClr val="7030A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</c:dPt>
          <c:dPt>
            <c:idx val="3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</c:dPt>
          <c:dLbls>
            <c:dLbl>
              <c:idx val="0"/>
              <c:layout>
                <c:manualLayout>
                  <c:x val="-0.18101330977599761"/>
                  <c:y val="-0.134211039841455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6146380820244111"/>
                  <c:y val="3.45589968296125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6848707724572877E-2"/>
                  <c:y val="1.55402738891702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6.1326489357344242E-2"/>
                  <c:y val="0.1283634363857076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'B.Shteteror sipas Monedhes '!$A$41:$A$44</c:f>
              <c:strCache>
                <c:ptCount val="4"/>
                <c:pt idx="0">
                  <c:v>EUR</c:v>
                </c:pt>
                <c:pt idx="1">
                  <c:v>USD</c:v>
                </c:pt>
                <c:pt idx="2">
                  <c:v>JPY</c:v>
                </c:pt>
                <c:pt idx="3">
                  <c:v>Të tjera</c:v>
                </c:pt>
              </c:strCache>
            </c:strRef>
          </c:cat>
          <c:val>
            <c:numRef>
              <c:f>'B.Shteteror sipas Monedhes '!$I$41:$I$44</c:f>
              <c:numCache>
                <c:formatCode>0.0%</c:formatCode>
                <c:ptCount val="4"/>
                <c:pt idx="0">
                  <c:v>0.6616101734001224</c:v>
                </c:pt>
                <c:pt idx="1">
                  <c:v>0.22633469310701354</c:v>
                </c:pt>
                <c:pt idx="2">
                  <c:v>3.6813603476582621E-2</c:v>
                </c:pt>
                <c:pt idx="3">
                  <c:v>7.5241530016281366E-2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 rtl="0">
              <a:defRPr lang="en-US"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rPr>
              <a:t>2018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 rtl="0">
            <a:defRPr lang="en-US" sz="9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2.3931623931623933E-2"/>
          <c:y val="0.21956785538829979"/>
          <c:w val="0.95363294972743795"/>
          <c:h val="0.62186856091778564"/>
        </c:manualLayout>
      </c:layout>
      <c:pieChart>
        <c:varyColors val="1"/>
        <c:ser>
          <c:idx val="0"/>
          <c:order val="0"/>
          <c:dPt>
            <c:idx val="0"/>
            <c:bubble3D val="0"/>
            <c:explosion val="6"/>
            <c:spPr>
              <a:solidFill>
                <a:srgbClr val="C0000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</c:dPt>
          <c:dPt>
            <c:idx val="1"/>
            <c:bubble3D val="0"/>
            <c:explosion val="8"/>
            <c:spPr>
              <a:solidFill>
                <a:schemeClr val="accent3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</c:dPt>
          <c:dPt>
            <c:idx val="2"/>
            <c:bubble3D val="0"/>
            <c:explosion val="10"/>
            <c:spPr>
              <a:solidFill>
                <a:srgbClr val="7030A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</c:dPt>
          <c:dPt>
            <c:idx val="3"/>
            <c:bubble3D val="0"/>
            <c:explosion val="7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</c:dPt>
          <c:dLbls>
            <c:dLbl>
              <c:idx val="0"/>
              <c:layout>
                <c:manualLayout>
                  <c:x val="-0.16894040703928404"/>
                  <c:y val="-0.1354122897495875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4238905382728798"/>
                  <c:y val="3.16653530635674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3718855256407396E-2"/>
                  <c:y val="8.76227855798436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6.1878232434060494E-2"/>
                  <c:y val="0.1329667071307106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'B.Shteteror sipas Monedhes '!$A$50:$A$53</c:f>
              <c:strCache>
                <c:ptCount val="4"/>
                <c:pt idx="0">
                  <c:v>EUR</c:v>
                </c:pt>
                <c:pt idx="1">
                  <c:v>USD</c:v>
                </c:pt>
                <c:pt idx="2">
                  <c:v>JPY</c:v>
                </c:pt>
                <c:pt idx="3">
                  <c:v>Të Tjera</c:v>
                </c:pt>
              </c:strCache>
            </c:strRef>
          </c:cat>
          <c:val>
            <c:numRef>
              <c:f>'B.Shteteror sipas Monedhes '!$C$50:$C$53</c:f>
              <c:numCache>
                <c:formatCode>0.0%</c:formatCode>
                <c:ptCount val="4"/>
                <c:pt idx="0">
                  <c:v>0.66346360528646053</c:v>
                </c:pt>
                <c:pt idx="1">
                  <c:v>0.22427348186883428</c:v>
                </c:pt>
                <c:pt idx="2">
                  <c:v>3.7789626658580856E-2</c:v>
                </c:pt>
                <c:pt idx="3">
                  <c:v>7.4473286186124338E-2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solidFill>
        <a:schemeClr val="bg1">
          <a:lumMod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4531737709608811"/>
          <c:y val="4.5649636261220775E-2"/>
          <c:w val="0.74581933905724673"/>
          <c:h val="0.6405206198540250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'BJ qendror sipas interesit'!$A$4</c:f>
              <c:strCache>
                <c:ptCount val="1"/>
                <c:pt idx="0">
                  <c:v>Interes Fiks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bg1">
                  <a:lumMod val="65000"/>
                </a:schemeClr>
              </a:solidFill>
            </a:ln>
            <a:effectLst/>
          </c:spPr>
          <c:invertIfNegative val="0"/>
          <c:cat>
            <c:numRef>
              <c:f>'BJ qendror sipas interesit'!$B$3:$F$3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'BJ qendror sipas interesit'!$B$4:$F$4</c:f>
              <c:numCache>
                <c:formatCode>_(* #,##0.0_);_(* \(#,##0.0\);_(* "-"??_);_(@_)</c:formatCode>
                <c:ptCount val="5"/>
                <c:pt idx="0">
                  <c:v>2021.54</c:v>
                </c:pt>
                <c:pt idx="1">
                  <c:v>2031.7084</c:v>
                </c:pt>
                <c:pt idx="2">
                  <c:v>1951.181</c:v>
                </c:pt>
                <c:pt idx="3">
                  <c:v>2218.1145000000001</c:v>
                </c:pt>
                <c:pt idx="4">
                  <c:v>2170.9146999999998</c:v>
                </c:pt>
              </c:numCache>
            </c:numRef>
          </c:val>
        </c:ser>
        <c:ser>
          <c:idx val="1"/>
          <c:order val="1"/>
          <c:tx>
            <c:strRef>
              <c:f>'BJ qendror sipas interesit'!$A$5</c:f>
              <c:strCache>
                <c:ptCount val="1"/>
                <c:pt idx="0">
                  <c:v>Interes i ndryshueshëm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numRef>
              <c:f>'BJ qendror sipas interesit'!$B$3:$F$3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'BJ qendror sipas interesit'!$B$5:$F$5</c:f>
              <c:numCache>
                <c:formatCode>_(* #,##0.0_);_(* \(#,##0.0\);_(* "-"??_);_(@_)</c:formatCode>
                <c:ptCount val="5"/>
                <c:pt idx="0">
                  <c:v>1554.34</c:v>
                </c:pt>
                <c:pt idx="1">
                  <c:v>1699.6310000000001</c:v>
                </c:pt>
                <c:pt idx="2">
                  <c:v>1886.999</c:v>
                </c:pt>
                <c:pt idx="3">
                  <c:v>2045.8501000000001</c:v>
                </c:pt>
                <c:pt idx="4">
                  <c:v>2056.3513899999998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372522944"/>
        <c:axId val="-372521856"/>
      </c:barChart>
      <c:catAx>
        <c:axId val="-372522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372521856"/>
        <c:crosses val="autoZero"/>
        <c:auto val="1"/>
        <c:lblAlgn val="ctr"/>
        <c:lblOffset val="100"/>
        <c:tickMarkSkip val="1"/>
        <c:noMultiLvlLbl val="0"/>
      </c:catAx>
      <c:valAx>
        <c:axId val="-37252185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sq-AL" sz="900" b="1">
                    <a:solidFill>
                      <a:sysClr val="windowText" lastClr="000000"/>
                    </a:solidFill>
                  </a:rPr>
                  <a:t>në milion Euro</a:t>
                </a:r>
                <a:endParaRPr lang="en-US" sz="900" b="1">
                  <a:solidFill>
                    <a:sysClr val="windowText" lastClr="000000"/>
                  </a:solidFill>
                </a:endParaRPr>
              </a:p>
            </c:rich>
          </c:tx>
          <c:layout>
            <c:manualLayout>
              <c:xMode val="edge"/>
              <c:yMode val="edge"/>
              <c:x val="8.520721415473409E-2"/>
              <c:y val="0.1852054794520548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>
            <a:solidFill>
              <a:srgbClr val="000000"/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3725229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rgbClr val="000000"/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9410347360468708"/>
          <c:y val="7.9135129090141962E-2"/>
          <c:w val="0.79481742158698143"/>
          <c:h val="0.6240322687230267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'BJ Qendror sipas Koncesionalite'!$A$4</c:f>
              <c:strCache>
                <c:ptCount val="1"/>
                <c:pt idx="0">
                  <c:v>Koncesionale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'BJ Qendror sipas Koncesionalite'!$B$3:$F$3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'BJ Qendror sipas Koncesionalite'!$B$4:$F$4</c:f>
              <c:numCache>
                <c:formatCode>_(* #,##0.0_);_(* \(#,##0.0\);_(* "-"??_);_(@_)</c:formatCode>
                <c:ptCount val="5"/>
                <c:pt idx="0">
                  <c:v>1718.1062999999999</c:v>
                </c:pt>
                <c:pt idx="1">
                  <c:v>1865.3915</c:v>
                </c:pt>
                <c:pt idx="2">
                  <c:v>1939.6977999999999</c:v>
                </c:pt>
                <c:pt idx="3" formatCode="0.0">
                  <c:v>1952.69</c:v>
                </c:pt>
                <c:pt idx="4" formatCode="0.0">
                  <c:v>1927.5329999999999</c:v>
                </c:pt>
              </c:numCache>
            </c:numRef>
          </c:val>
        </c:ser>
        <c:ser>
          <c:idx val="1"/>
          <c:order val="1"/>
          <c:tx>
            <c:strRef>
              <c:f>'BJ Qendror sipas Koncesionalite'!$A$5</c:f>
              <c:strCache>
                <c:ptCount val="1"/>
                <c:pt idx="0">
                  <c:v>Jo-koncesionale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numRef>
              <c:f>'BJ Qendror sipas Koncesionalite'!$B$3:$F$3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'BJ Qendror sipas Koncesionalite'!$B$5:$F$5</c:f>
              <c:numCache>
                <c:formatCode>_(* #,##0.0_);_(* \(#,##0.0\);_(* "-"??_);_(@_)</c:formatCode>
                <c:ptCount val="5"/>
                <c:pt idx="0">
                  <c:v>1857.779</c:v>
                </c:pt>
                <c:pt idx="1">
                  <c:v>1865.9490000000001</c:v>
                </c:pt>
                <c:pt idx="2">
                  <c:v>1898.4829999999999</c:v>
                </c:pt>
                <c:pt idx="3">
                  <c:v>2311.2739999999999</c:v>
                </c:pt>
                <c:pt idx="4">
                  <c:v>2299.7330999999999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372524576"/>
        <c:axId val="-372524032"/>
      </c:barChart>
      <c:catAx>
        <c:axId val="-372524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372524032"/>
        <c:crosses val="autoZero"/>
        <c:auto val="1"/>
        <c:lblAlgn val="ctr"/>
        <c:lblOffset val="100"/>
        <c:tickMarkSkip val="1"/>
        <c:noMultiLvlLbl val="0"/>
      </c:catAx>
      <c:valAx>
        <c:axId val="-372524032"/>
        <c:scaling>
          <c:orientation val="minMax"/>
          <c:max val="220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sq-AL" sz="900" b="1">
                    <a:solidFill>
                      <a:sysClr val="windowText" lastClr="000000"/>
                    </a:solidFill>
                  </a:rPr>
                  <a:t>në milion Euro</a:t>
                </a:r>
                <a:endParaRPr lang="en-US" sz="900" b="1">
                  <a:solidFill>
                    <a:sysClr val="windowText" lastClr="000000"/>
                  </a:solidFill>
                </a:endParaRPr>
              </a:p>
            </c:rich>
          </c:tx>
          <c:layout>
            <c:manualLayout>
              <c:xMode val="edge"/>
              <c:yMode val="edge"/>
              <c:x val="7.5552690303253414E-2"/>
              <c:y val="0.2432716951105094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372524576"/>
        <c:crosses val="autoZero"/>
        <c:crossBetween val="between"/>
        <c:majorUnit val="500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3012836058909434E-2"/>
          <c:y val="5.752003551484848E-2"/>
          <c:w val="0.88051298872373951"/>
          <c:h val="0.7278240829652390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'Kompozimi '!$A$46</c:f>
              <c:strCache>
                <c:ptCount val="1"/>
                <c:pt idx="0">
                  <c:v>Tituj Shtetërorë Vendas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'Kompozimi '!$B$45:$F$45</c:f>
              <c:strCach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strCache>
            </c:strRef>
          </c:cat>
          <c:val>
            <c:numRef>
              <c:f>'Kompozimi '!$B$46:$F$46</c:f>
              <c:numCache>
                <c:formatCode>0.0%</c:formatCode>
                <c:ptCount val="5"/>
                <c:pt idx="0">
                  <c:v>0.52820267042972568</c:v>
                </c:pt>
                <c:pt idx="1">
                  <c:v>0.52441471617272073</c:v>
                </c:pt>
                <c:pt idx="2">
                  <c:v>0.52719188125054073</c:v>
                </c:pt>
                <c:pt idx="3">
                  <c:v>0.53215391762800057</c:v>
                </c:pt>
                <c:pt idx="4">
                  <c:v>0.54395463759693086</c:v>
                </c:pt>
              </c:numCache>
            </c:numRef>
          </c:val>
        </c:ser>
        <c:ser>
          <c:idx val="1"/>
          <c:order val="1"/>
          <c:tx>
            <c:strRef>
              <c:f>'Kompozimi '!$A$47</c:f>
              <c:strCache>
                <c:ptCount val="1"/>
                <c:pt idx="0">
                  <c:v>Tituj Ndërkombëtarë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'Kompozimi '!$B$45:$F$45</c:f>
              <c:strCach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strCache>
            </c:strRef>
          </c:cat>
          <c:val>
            <c:numRef>
              <c:f>'Kompozimi '!$B$47:$F$47</c:f>
              <c:numCache>
                <c:formatCode>0.0%</c:formatCode>
                <c:ptCount val="5"/>
                <c:pt idx="0">
                  <c:v>6.2637791979737151E-2</c:v>
                </c:pt>
                <c:pt idx="1">
                  <c:v>6.0117569616085005E-2</c:v>
                </c:pt>
                <c:pt idx="2">
                  <c:v>5.766746724111086E-2</c:v>
                </c:pt>
                <c:pt idx="3">
                  <c:v>8.7169490773194941E-2</c:v>
                </c:pt>
                <c:pt idx="4">
                  <c:v>8.5337538486562989E-2</c:v>
                </c:pt>
              </c:numCache>
            </c:numRef>
          </c:val>
        </c:ser>
        <c:ser>
          <c:idx val="2"/>
          <c:order val="2"/>
          <c:tx>
            <c:strRef>
              <c:f>'Kompozimi '!$A$48</c:f>
              <c:strCache>
                <c:ptCount val="1"/>
                <c:pt idx="0">
                  <c:v>Hua (terma konsesionale)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'Kompozimi '!$B$45:$F$45</c:f>
              <c:strCach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strCache>
            </c:strRef>
          </c:cat>
          <c:val>
            <c:numRef>
              <c:f>'Kompozimi '!$B$48:$F$48</c:f>
              <c:numCache>
                <c:formatCode>0.0%</c:formatCode>
                <c:ptCount val="5"/>
                <c:pt idx="0">
                  <c:v>0.22602529481788536</c:v>
                </c:pt>
                <c:pt idx="1">
                  <c:v>0.23837070574414806</c:v>
                </c:pt>
                <c:pt idx="2">
                  <c:v>0.23874347488201014</c:v>
                </c:pt>
                <c:pt idx="3">
                  <c:v>0.21839607793539587</c:v>
                </c:pt>
                <c:pt idx="4">
                  <c:v>0.21027132013156263</c:v>
                </c:pt>
              </c:numCache>
            </c:numRef>
          </c:val>
        </c:ser>
        <c:ser>
          <c:idx val="3"/>
          <c:order val="3"/>
          <c:tx>
            <c:strRef>
              <c:f>'Kompozimi '!$A$49</c:f>
              <c:strCache>
                <c:ptCount val="1"/>
                <c:pt idx="0">
                  <c:v>Hua (terma jo-konsesionale)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'Kompozimi '!$B$45:$F$45</c:f>
              <c:strCach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strCache>
            </c:strRef>
          </c:cat>
          <c:val>
            <c:numRef>
              <c:f>'Kompozimi '!$B$49:$F$49</c:f>
              <c:numCache>
                <c:formatCode>0.0%</c:formatCode>
                <c:ptCount val="5"/>
                <c:pt idx="0">
                  <c:v>0.18313424277265181</c:v>
                </c:pt>
                <c:pt idx="1">
                  <c:v>0.17709700846704618</c:v>
                </c:pt>
                <c:pt idx="2">
                  <c:v>0.17639717662633841</c:v>
                </c:pt>
                <c:pt idx="3">
                  <c:v>0.16228051366340859</c:v>
                </c:pt>
                <c:pt idx="4">
                  <c:v>0.16043650378494348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77"/>
        <c:overlap val="100"/>
        <c:axId val="-295958992"/>
        <c:axId val="-295953008"/>
      </c:barChart>
      <c:catAx>
        <c:axId val="-295958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95953008"/>
        <c:crosses val="autoZero"/>
        <c:auto val="1"/>
        <c:lblAlgn val="ctr"/>
        <c:lblOffset val="100"/>
        <c:noMultiLvlLbl val="0"/>
      </c:catAx>
      <c:valAx>
        <c:axId val="-295953008"/>
        <c:scaling>
          <c:orientation val="minMax"/>
          <c:max val="1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>
                    <a:solidFill>
                      <a:sysClr val="windowText" lastClr="000000"/>
                    </a:solidFill>
                  </a:rPr>
                  <a:t>në</a:t>
                </a:r>
                <a:r>
                  <a:rPr lang="en-US" b="1" baseline="0">
                    <a:solidFill>
                      <a:sysClr val="windowText" lastClr="000000"/>
                    </a:solidFill>
                  </a:rPr>
                  <a:t> % të totalit </a:t>
                </a:r>
                <a:endParaRPr lang="en-US" b="1">
                  <a:solidFill>
                    <a:sysClr val="windowText" lastClr="000000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%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95958992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052169498090381E-2"/>
          <c:y val="0.90985511084111514"/>
          <c:w val="0.924470165802729"/>
          <c:h val="9.014489042528221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solidFill>
        <a:schemeClr val="bg1">
          <a:lumMod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3404251235712753"/>
          <c:y val="3.5005378426057394E-2"/>
          <c:w val="0.75487838283454101"/>
          <c:h val="0.500610206529613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'BJ qendror sipas kreditoreve'!$A$5</c:f>
              <c:strCache>
                <c:ptCount val="1"/>
                <c:pt idx="0">
                  <c:v>Shumëpalësh 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numRef>
              <c:f>'BJ qendror sipas kreditoreve'!$B$4:$F$4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'BJ qendror sipas kreditoreve'!$B$5:$F$5</c:f>
              <c:numCache>
                <c:formatCode>_(* #,##0.0_);_(* \(#,##0.0\);_(* "-"??_);_(@_)</c:formatCode>
                <c:ptCount val="5"/>
                <c:pt idx="0">
                  <c:v>1952.2609999999997</c:v>
                </c:pt>
                <c:pt idx="1">
                  <c:v>2088.1048000000001</c:v>
                </c:pt>
                <c:pt idx="2">
                  <c:v>2252.7105999999999</c:v>
                </c:pt>
                <c:pt idx="3">
                  <c:v>2417.4804999999997</c:v>
                </c:pt>
                <c:pt idx="4">
                  <c:v>2426.3351300000004</c:v>
                </c:pt>
              </c:numCache>
            </c:numRef>
          </c:val>
        </c:ser>
        <c:ser>
          <c:idx val="1"/>
          <c:order val="1"/>
          <c:tx>
            <c:strRef>
              <c:f>'BJ qendror sipas kreditoreve'!$A$6</c:f>
              <c:strCache>
                <c:ptCount val="1"/>
                <c:pt idx="0">
                  <c:v>Dypalësh 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numRef>
              <c:f>'BJ qendror sipas kreditoreve'!$B$4:$F$4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'BJ qendror sipas kreditoreve'!$B$6:$F$6</c:f>
              <c:numCache>
                <c:formatCode>_(* #,##0.0_);_(* \(#,##0.0\);_(* "-"??_);_(@_)</c:formatCode>
                <c:ptCount val="5"/>
                <c:pt idx="0">
                  <c:v>702.53099999999984</c:v>
                </c:pt>
                <c:pt idx="1">
                  <c:v>737.92459000000008</c:v>
                </c:pt>
                <c:pt idx="2">
                  <c:v>728.93702699999994</c:v>
                </c:pt>
                <c:pt idx="3">
                  <c:v>735.16870000000006</c:v>
                </c:pt>
                <c:pt idx="4">
                  <c:v>739.13948000000016</c:v>
                </c:pt>
              </c:numCache>
            </c:numRef>
          </c:val>
        </c:ser>
        <c:ser>
          <c:idx val="2"/>
          <c:order val="2"/>
          <c:tx>
            <c:strRef>
              <c:f>'BJ qendror sipas kreditoreve'!$A$7</c:f>
              <c:strCache>
                <c:ptCount val="1"/>
                <c:pt idx="0">
                  <c:v>Kreditorë privatë 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numRef>
              <c:f>'BJ qendror sipas kreditoreve'!$B$4:$F$4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'BJ qendror sipas kreditoreve'!$B$7:$F$7</c:f>
              <c:numCache>
                <c:formatCode>_(* #,##0.0_);_(* \(#,##0.0\);_(* "-"??_);_(@_)</c:formatCode>
                <c:ptCount val="5"/>
                <c:pt idx="0">
                  <c:v>887.45499999999993</c:v>
                </c:pt>
                <c:pt idx="1">
                  <c:v>879.30899999999997</c:v>
                </c:pt>
                <c:pt idx="2">
                  <c:v>840.048</c:v>
                </c:pt>
                <c:pt idx="3">
                  <c:v>1099.6125</c:v>
                </c:pt>
                <c:pt idx="4">
                  <c:v>1054.1770999999999</c:v>
                </c:pt>
              </c:numCache>
            </c:numRef>
          </c:val>
        </c:ser>
        <c:ser>
          <c:idx val="3"/>
          <c:order val="3"/>
          <c:tx>
            <c:strRef>
              <c:f>'BJ qendror sipas kreditoreve'!$A$8</c:f>
              <c:strCache>
                <c:ptCount val="1"/>
                <c:pt idx="0">
                  <c:v>Borxhi i riskeduluar 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'BJ qendror sipas kreditoreve'!$B$4:$F$4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'BJ qendror sipas kreditoreve'!$B$8:$F$8</c:f>
              <c:numCache>
                <c:formatCode>_(* #,##0.0_);_(* \(#,##0.0\);_(* "-"??_);_(@_)</c:formatCode>
                <c:ptCount val="5"/>
                <c:pt idx="0">
                  <c:v>33.634</c:v>
                </c:pt>
                <c:pt idx="1">
                  <c:v>25.996700000000001</c:v>
                </c:pt>
                <c:pt idx="2">
                  <c:v>16.481120000000001</c:v>
                </c:pt>
                <c:pt idx="3">
                  <c:v>11.7012</c:v>
                </c:pt>
                <c:pt idx="4">
                  <c:v>7.6142000000000003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372518048"/>
        <c:axId val="-372526208"/>
      </c:barChart>
      <c:catAx>
        <c:axId val="-372518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372526208"/>
        <c:crosses val="autoZero"/>
        <c:auto val="1"/>
        <c:lblAlgn val="ctr"/>
        <c:lblOffset val="100"/>
        <c:noMultiLvlLbl val="0"/>
      </c:catAx>
      <c:valAx>
        <c:axId val="-372526208"/>
        <c:scaling>
          <c:orientation val="minMax"/>
          <c:max val="200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sq-AL" sz="900" b="1">
                    <a:solidFill>
                      <a:sysClr val="windowText" lastClr="000000"/>
                    </a:solidFill>
                  </a:rPr>
                  <a:t>në </a:t>
                </a:r>
                <a:r>
                  <a:rPr lang="en-US" sz="900" b="1">
                    <a:solidFill>
                      <a:sysClr val="windowText" lastClr="000000"/>
                    </a:solidFill>
                  </a:rPr>
                  <a:t> million E</a:t>
                </a:r>
                <a:r>
                  <a:rPr lang="sq-AL" sz="900" b="1">
                    <a:solidFill>
                      <a:sysClr val="windowText" lastClr="000000"/>
                    </a:solidFill>
                  </a:rPr>
                  <a:t>uro</a:t>
                </a:r>
                <a:endParaRPr lang="en-US" sz="900" b="1">
                  <a:solidFill>
                    <a:sysClr val="windowText" lastClr="000000"/>
                  </a:solidFill>
                </a:endParaRPr>
              </a:p>
            </c:rich>
          </c:tx>
          <c:layout>
            <c:manualLayout>
              <c:xMode val="edge"/>
              <c:yMode val="edge"/>
              <c:x val="9.6696682026202518E-2"/>
              <c:y val="0.1229985392097480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>
            <a:solidFill>
              <a:srgbClr val="000000"/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372518048"/>
        <c:crosses val="autoZero"/>
        <c:crossBetween val="between"/>
        <c:majorUnit val="500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rgbClr val="000000"/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862920467201741"/>
          <c:y val="5.6872037914691941E-2"/>
          <c:w val="0.85419972857546056"/>
          <c:h val="0.72544389297309397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'BB sipas titujve'!$A$21</c:f>
              <c:strCache>
                <c:ptCount val="1"/>
                <c:pt idx="0">
                  <c:v>Deri në 1 vit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'BB sipas titujve'!$B$20:$F$20</c:f>
              <c:strCach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strCache>
            </c:strRef>
          </c:cat>
          <c:val>
            <c:numRef>
              <c:f>'BB sipas titujve'!$B$21:$F$21</c:f>
              <c:numCache>
                <c:formatCode>0.0%</c:formatCode>
                <c:ptCount val="5"/>
                <c:pt idx="0">
                  <c:v>0.42965846447943695</c:v>
                </c:pt>
                <c:pt idx="1">
                  <c:v>0.39448993948019762</c:v>
                </c:pt>
                <c:pt idx="2">
                  <c:v>0.35661495929817533</c:v>
                </c:pt>
                <c:pt idx="3">
                  <c:v>0.3442709566429682</c:v>
                </c:pt>
                <c:pt idx="4">
                  <c:v>0.33280782747200321</c:v>
                </c:pt>
              </c:numCache>
            </c:numRef>
          </c:val>
        </c:ser>
        <c:ser>
          <c:idx val="1"/>
          <c:order val="1"/>
          <c:tx>
            <c:strRef>
              <c:f>'BB sipas titujve'!$A$22</c:f>
              <c:strCache>
                <c:ptCount val="1"/>
                <c:pt idx="0">
                  <c:v>1 deri në 3 vite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'BB sipas titujve'!$B$20:$F$20</c:f>
              <c:strCach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strCache>
            </c:strRef>
          </c:cat>
          <c:val>
            <c:numRef>
              <c:f>'BB sipas titujve'!$B$22:$F$22</c:f>
              <c:numCache>
                <c:formatCode>0.0%</c:formatCode>
                <c:ptCount val="5"/>
                <c:pt idx="0">
                  <c:v>0.22586279058178721</c:v>
                </c:pt>
                <c:pt idx="1">
                  <c:v>0.21210635631980793</c:v>
                </c:pt>
                <c:pt idx="2">
                  <c:v>0.21967232831650157</c:v>
                </c:pt>
                <c:pt idx="3">
                  <c:v>0.211345530552463</c:v>
                </c:pt>
                <c:pt idx="4">
                  <c:v>0.19409928641828114</c:v>
                </c:pt>
              </c:numCache>
            </c:numRef>
          </c:val>
        </c:ser>
        <c:ser>
          <c:idx val="2"/>
          <c:order val="2"/>
          <c:tx>
            <c:strRef>
              <c:f>'BB sipas titujve'!$A$23</c:f>
              <c:strCache>
                <c:ptCount val="1"/>
                <c:pt idx="0">
                  <c:v>3 deri në 5 vite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'BB sipas titujve'!$B$20:$F$20</c:f>
              <c:strCach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strCache>
            </c:strRef>
          </c:cat>
          <c:val>
            <c:numRef>
              <c:f>'BB sipas titujve'!$B$23:$F$23</c:f>
              <c:numCache>
                <c:formatCode>0.0%</c:formatCode>
                <c:ptCount val="5"/>
                <c:pt idx="0">
                  <c:v>0.17440029267040957</c:v>
                </c:pt>
                <c:pt idx="1">
                  <c:v>0.18542036666349801</c:v>
                </c:pt>
                <c:pt idx="2">
                  <c:v>0.18854049117130847</c:v>
                </c:pt>
                <c:pt idx="3">
                  <c:v>0.17920198206823099</c:v>
                </c:pt>
                <c:pt idx="4">
                  <c:v>0.18478358708844891</c:v>
                </c:pt>
              </c:numCache>
            </c:numRef>
          </c:val>
        </c:ser>
        <c:ser>
          <c:idx val="3"/>
          <c:order val="3"/>
          <c:tx>
            <c:strRef>
              <c:f>'BB sipas titujve'!$A$24</c:f>
              <c:strCache>
                <c:ptCount val="1"/>
                <c:pt idx="0">
                  <c:v>Mbi 5 vite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'BB sipas titujve'!$B$20:$F$20</c:f>
              <c:strCach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strCache>
            </c:strRef>
          </c:cat>
          <c:val>
            <c:numRef>
              <c:f>'BB sipas titujve'!$B$24:$F$24</c:f>
              <c:numCache>
                <c:formatCode>0.0%</c:formatCode>
                <c:ptCount val="5"/>
                <c:pt idx="0">
                  <c:v>0.17007845226836621</c:v>
                </c:pt>
                <c:pt idx="1">
                  <c:v>0.20798333753649637</c:v>
                </c:pt>
                <c:pt idx="2">
                  <c:v>0.23517222121401465</c:v>
                </c:pt>
                <c:pt idx="3">
                  <c:v>0.26518153073633771</c:v>
                </c:pt>
                <c:pt idx="4">
                  <c:v>0.28830929902126662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100"/>
        <c:axId val="-295949744"/>
        <c:axId val="-295949200"/>
      </c:barChart>
      <c:catAx>
        <c:axId val="-29594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95949200"/>
        <c:crosses val="autoZero"/>
        <c:auto val="1"/>
        <c:lblAlgn val="ctr"/>
        <c:lblOffset val="100"/>
        <c:noMultiLvlLbl val="0"/>
      </c:catAx>
      <c:valAx>
        <c:axId val="-295949200"/>
        <c:scaling>
          <c:orientation val="minMax"/>
          <c:max val="1"/>
        </c:scaling>
        <c:delete val="0"/>
        <c:axPos val="l"/>
        <c:numFmt formatCode="0%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95949744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6728271660342978E-2"/>
          <c:y val="0.90924456717791791"/>
          <c:w val="0.93623923216938509"/>
          <c:h val="8.093581827451425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786139051459148"/>
          <c:y val="4.5298808480944974E-2"/>
          <c:w val="0.84842105642144527"/>
          <c:h val="0.74014794213840895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'BB Fix Variabel'!$A$8</c:f>
              <c:strCache>
                <c:ptCount val="1"/>
                <c:pt idx="0">
                  <c:v>Normë Fikse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>
                  <a:lumMod val="75000"/>
                </a:schemeClr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'BB Fix Variabel'!$B$7:$F$7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'BB Fix Variabel'!$B$8:$F$8</c:f>
              <c:numCache>
                <c:formatCode>0.0%</c:formatCode>
                <c:ptCount val="5"/>
                <c:pt idx="0">
                  <c:v>0.86229352251563451</c:v>
                </c:pt>
                <c:pt idx="1">
                  <c:v>0.87327515660342026</c:v>
                </c:pt>
                <c:pt idx="2">
                  <c:v>0.9120890588503141</c:v>
                </c:pt>
                <c:pt idx="3">
                  <c:v>0.93514088654326621</c:v>
                </c:pt>
                <c:pt idx="4">
                  <c:v>0.95232828722443164</c:v>
                </c:pt>
              </c:numCache>
            </c:numRef>
          </c:val>
        </c:ser>
        <c:ser>
          <c:idx val="1"/>
          <c:order val="1"/>
          <c:tx>
            <c:strRef>
              <c:f>'BB Fix Variabel'!$A$9</c:f>
              <c:strCache>
                <c:ptCount val="1"/>
                <c:pt idx="0">
                  <c:v>Normë e Ndryshueshme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9.25925925925928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5="http://schemas.microsoft.com/office/drawing/2012/chart"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894896669525617E-16"/>
                  <c:y val="-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1.7940669404329091E-16"/>
                  <c:y val="-2.31481481481481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'BB Fix Variabel'!$B$7:$F$7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'BB Fix Variabel'!$B$9:$F$9</c:f>
              <c:numCache>
                <c:formatCode>0.0%</c:formatCode>
                <c:ptCount val="5"/>
                <c:pt idx="0">
                  <c:v>0.13770647748436551</c:v>
                </c:pt>
                <c:pt idx="1">
                  <c:v>0.12672484339657963</c:v>
                </c:pt>
                <c:pt idx="2">
                  <c:v>8.7910941149686006E-2</c:v>
                </c:pt>
                <c:pt idx="3">
                  <c:v>6.485911345673373E-2</c:v>
                </c:pt>
                <c:pt idx="4">
                  <c:v>4.7671712775568281E-2</c:v>
                </c:pt>
              </c:numCache>
            </c:numRef>
          </c:val>
          <c:extLst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100"/>
        <c:axId val="-295945936"/>
        <c:axId val="-295945392"/>
      </c:barChart>
      <c:catAx>
        <c:axId val="-295945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95945392"/>
        <c:crosses val="autoZero"/>
        <c:auto val="1"/>
        <c:lblAlgn val="ctr"/>
        <c:lblOffset val="100"/>
        <c:noMultiLvlLbl val="0"/>
      </c:catAx>
      <c:valAx>
        <c:axId val="-295945392"/>
        <c:scaling>
          <c:orientation val="minMax"/>
          <c:max val="1"/>
          <c:min val="0"/>
        </c:scaling>
        <c:delete val="0"/>
        <c:axPos val="l"/>
        <c:numFmt formatCode="0%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9594593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095903135564841"/>
          <c:y val="0.90327887369195203"/>
          <c:w val="0.75930110185502175"/>
          <c:h val="9.672112630804795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567147856517928E-2"/>
          <c:y val="5.0925925925925923E-2"/>
          <c:w val="0.87232174103237092"/>
          <c:h val="0.7495284752573643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'B.Jashtem sipas instr'!$A$13</c:f>
              <c:strCache>
                <c:ptCount val="1"/>
                <c:pt idx="0">
                  <c:v>Kredi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'B.Jashtem sipas instr'!$B$12:$F$12</c:f>
              <c:strCach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strCache>
            </c:strRef>
          </c:cat>
          <c:val>
            <c:numRef>
              <c:f>'B.Jashtem sipas instr'!$B$13:$F$13</c:f>
              <c:numCache>
                <c:formatCode>0.0%</c:formatCode>
                <c:ptCount val="5"/>
                <c:pt idx="0">
                  <c:v>0.63171067107522083</c:v>
                </c:pt>
                <c:pt idx="1">
                  <c:v>0.60835823562029878</c:v>
                </c:pt>
                <c:pt idx="2">
                  <c:v>0.57612819477198618</c:v>
                </c:pt>
                <c:pt idx="3">
                  <c:v>0.53914670138026288</c:v>
                </c:pt>
                <c:pt idx="4">
                  <c:v>0.54409157434764577</c:v>
                </c:pt>
              </c:numCache>
            </c:numRef>
          </c:val>
        </c:ser>
        <c:ser>
          <c:idx val="1"/>
          <c:order val="1"/>
          <c:tx>
            <c:strRef>
              <c:f>'B.Jashtem sipas instr'!$A$14</c:f>
              <c:strCache>
                <c:ptCount val="1"/>
                <c:pt idx="0">
                  <c:v>Mbështetje buxhetore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38888888888888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'B.Jashtem sipas instr'!$B$12:$F$12</c:f>
              <c:strCach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strCache>
            </c:strRef>
          </c:cat>
          <c:val>
            <c:numRef>
              <c:f>'B.Jashtem sipas instr'!$B$14:$F$14</c:f>
              <c:numCache>
                <c:formatCode>0.0%</c:formatCode>
                <c:ptCount val="5"/>
                <c:pt idx="0">
                  <c:v>0.16176742624439036</c:v>
                </c:pt>
                <c:pt idx="1">
                  <c:v>0.19500780075024285</c:v>
                </c:pt>
                <c:pt idx="2">
                  <c:v>0.23820938393569469</c:v>
                </c:pt>
                <c:pt idx="3">
                  <c:v>0.21987866803136147</c:v>
                </c:pt>
                <c:pt idx="4">
                  <c:v>0.21888377858205368</c:v>
                </c:pt>
              </c:numCache>
            </c:numRef>
          </c:val>
        </c:ser>
        <c:ser>
          <c:idx val="2"/>
          <c:order val="2"/>
          <c:tx>
            <c:strRef>
              <c:f>'B.Jashtem sipas instr'!$A$15</c:f>
              <c:strCache>
                <c:ptCount val="1"/>
                <c:pt idx="0">
                  <c:v>Eurobond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4"/>
              <c:layout>
                <c:manualLayout>
                  <c:x val="0"/>
                  <c:y val="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5="http://schemas.microsoft.com/office/drawing/2012/chart"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5555555555555558E-3"/>
                  <c:y val="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5="http://schemas.microsoft.com/office/drawing/2012/chart"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'B.Jashtem sipas instr'!$B$12:$F$12</c:f>
              <c:strCach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strCache>
            </c:strRef>
          </c:cat>
          <c:val>
            <c:numRef>
              <c:f>'B.Jashtem sipas instr'!$B$15:$F$15</c:f>
              <c:numCache>
                <c:formatCode>0.0%</c:formatCode>
                <c:ptCount val="5"/>
                <c:pt idx="0">
                  <c:v>0.13276408029453562</c:v>
                </c:pt>
                <c:pt idx="1">
                  <c:v>0.12640754804750903</c:v>
                </c:pt>
                <c:pt idx="2">
                  <c:v>0.12196801398765489</c:v>
                </c:pt>
                <c:pt idx="3">
                  <c:v>0.18632059066111512</c:v>
                </c:pt>
                <c:pt idx="4">
                  <c:v>0.18712472137128988</c:v>
                </c:pt>
              </c:numCache>
            </c:numRef>
          </c:val>
          <c:extLst/>
        </c:ser>
        <c:ser>
          <c:idx val="3"/>
          <c:order val="3"/>
          <c:tx>
            <c:strRef>
              <c:f>'B.Jashtem sipas instr'!$A$16</c:f>
              <c:strCache>
                <c:ptCount val="1"/>
                <c:pt idx="0">
                  <c:v>PBG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-2.94187364510470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'B.Jashtem sipas instr'!$B$12:$F$12</c:f>
              <c:strCach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strCache>
            </c:strRef>
          </c:cat>
          <c:val>
            <c:numRef>
              <c:f>'B.Jashtem sipas instr'!$B$16:$F$16</c:f>
              <c:numCache>
                <c:formatCode>0.0%</c:formatCode>
                <c:ptCount val="5"/>
                <c:pt idx="0">
                  <c:v>7.3757822385853128E-2</c:v>
                </c:pt>
                <c:pt idx="1">
                  <c:v>7.0226415581949461E-2</c:v>
                </c:pt>
                <c:pt idx="2">
                  <c:v>6.3694407304664219E-2</c:v>
                </c:pt>
                <c:pt idx="3">
                  <c:v>5.465403992726043E-2</c:v>
                </c:pt>
                <c:pt idx="4">
                  <c:v>4.9899925699010632E-2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100"/>
        <c:axId val="-217868768"/>
        <c:axId val="-217866592"/>
      </c:barChart>
      <c:catAx>
        <c:axId val="-217868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17866592"/>
        <c:crosses val="autoZero"/>
        <c:auto val="1"/>
        <c:lblAlgn val="ctr"/>
        <c:lblOffset val="100"/>
        <c:noMultiLvlLbl val="0"/>
      </c:catAx>
      <c:valAx>
        <c:axId val="-217866592"/>
        <c:scaling>
          <c:orientation val="minMax"/>
        </c:scaling>
        <c:delete val="0"/>
        <c:axPos val="l"/>
        <c:numFmt formatCode="0%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1786876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0769057713939607E-2"/>
          <c:y val="0.90763482150938024"/>
          <c:w val="0.9"/>
          <c:h val="9.236517849061970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406788916486109"/>
          <c:y val="3.0874197217759247E-2"/>
          <c:w val="0.86031601754478682"/>
          <c:h val="0.77474206955159275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'Kompozimi sipas interesit'!$A$21</c:f>
              <c:strCache>
                <c:ptCount val="1"/>
                <c:pt idx="0">
                  <c:v>Normë Fikse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'Kompozimi sipas interesit'!$B$20:$F$20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'Kompozimi sipas interesit'!$B$21:$F$21</c:f>
              <c:numCache>
                <c:formatCode>0.0%</c:formatCode>
                <c:ptCount val="5"/>
                <c:pt idx="0">
                  <c:v>0.55680372747939055</c:v>
                </c:pt>
                <c:pt idx="1">
                  <c:v>0.53883845614000803</c:v>
                </c:pt>
                <c:pt idx="2">
                  <c:v>0.49920566515941572</c:v>
                </c:pt>
                <c:pt idx="3">
                  <c:v>0.52621890666633608</c:v>
                </c:pt>
                <c:pt idx="4">
                  <c:v>0.51683051110632583</c:v>
                </c:pt>
              </c:numCache>
            </c:numRef>
          </c:val>
        </c:ser>
        <c:ser>
          <c:idx val="1"/>
          <c:order val="1"/>
          <c:tx>
            <c:strRef>
              <c:f>'Kompozimi sipas interesit'!$A$22</c:f>
              <c:strCache>
                <c:ptCount val="1"/>
                <c:pt idx="0">
                  <c:v>Normë e Ndryshueshme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'Kompozimi sipas interesit'!$B$20:$F$20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'Kompozimi sipas interesit'!$B$22:$F$22</c:f>
              <c:numCache>
                <c:formatCode>0.0%</c:formatCode>
                <c:ptCount val="5"/>
                <c:pt idx="0">
                  <c:v>0.44319627252060939</c:v>
                </c:pt>
                <c:pt idx="1">
                  <c:v>0.46116154385999197</c:v>
                </c:pt>
                <c:pt idx="2">
                  <c:v>0.50079433484058422</c:v>
                </c:pt>
                <c:pt idx="3">
                  <c:v>0.47378109333366392</c:v>
                </c:pt>
                <c:pt idx="4">
                  <c:v>0.48316948889367417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100"/>
        <c:axId val="-217866048"/>
        <c:axId val="-217865504"/>
      </c:barChart>
      <c:catAx>
        <c:axId val="-217866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17865504"/>
        <c:crosses val="autoZero"/>
        <c:auto val="1"/>
        <c:lblAlgn val="ctr"/>
        <c:lblOffset val="100"/>
        <c:noMultiLvlLbl val="0"/>
      </c:catAx>
      <c:valAx>
        <c:axId val="-217865504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1786604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749634483609013"/>
          <c:y val="0.90514267504083068"/>
          <c:w val="0.83483144075698323"/>
          <c:h val="9.48573249591693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800">
                <a:solidFill>
                  <a:sysClr val="windowText" lastClr="000000"/>
                </a:solidFill>
              </a:rPr>
              <a:t>Borxhi i Brendshëm </a:t>
            </a:r>
          </a:p>
        </c:rich>
      </c:tx>
      <c:layout>
        <c:manualLayout>
          <c:xMode val="edge"/>
          <c:yMode val="edge"/>
          <c:x val="0.30014604008635853"/>
          <c:y val="9.8782364490597311E-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2811248883185648"/>
          <c:y val="0.11672238481853843"/>
          <c:w val="0.53424348957344647"/>
          <c:h val="0.86160264181596269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</c:dPt>
          <c:dLbls>
            <c:dLbl>
              <c:idx val="0"/>
              <c:layout>
                <c:manualLayout>
                  <c:x val="-0.20538652533428506"/>
                  <c:y val="-0.33746708955315269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487087802940003"/>
                      <c:h val="0.21838538597525045"/>
                    </c:manualLayout>
                  </c15:layout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'B.Shteteror sipas Monedhes '!$A$6:$A$7</c:f>
              <c:strCache>
                <c:ptCount val="2"/>
                <c:pt idx="0">
                  <c:v>LEK</c:v>
                </c:pt>
                <c:pt idx="1">
                  <c:v>EUR</c:v>
                </c:pt>
              </c:strCache>
            </c:strRef>
          </c:cat>
          <c:val>
            <c:numRef>
              <c:f>'B.Shteteror sipas Monedhes '!$L$6:$L$7</c:f>
              <c:numCache>
                <c:formatCode>0.0%</c:formatCode>
                <c:ptCount val="2"/>
                <c:pt idx="0">
                  <c:v>1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34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 sz="900">
                <a:solidFill>
                  <a:sysClr val="windowText" lastClr="000000"/>
                </a:solidFill>
              </a:rPr>
              <a:t>Borxhi Shtetëror</a:t>
            </a:r>
          </a:p>
        </c:rich>
      </c:tx>
      <c:layout>
        <c:manualLayout>
          <c:xMode val="edge"/>
          <c:yMode val="edge"/>
          <c:x val="0.22492662756191245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5607858504467656"/>
          <c:y val="0.15085458747004452"/>
          <c:w val="0.41096756373571497"/>
          <c:h val="0.64626882916809314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C0000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</c:dPt>
          <c:dPt>
            <c:idx val="1"/>
            <c:bubble3D val="0"/>
            <c:spPr>
              <a:solidFill>
                <a:srgbClr val="5B9BD5">
                  <a:lumMod val="75000"/>
                </a:srgb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</c:dPt>
          <c:dPt>
            <c:idx val="3"/>
            <c:bubble3D val="0"/>
            <c:spPr>
              <a:solidFill>
                <a:srgbClr val="7030A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</c:dPt>
          <c:dLbls>
            <c:dLbl>
              <c:idx val="0"/>
              <c:layout>
                <c:manualLayout>
                  <c:x val="-0.18304372140107689"/>
                  <c:y val="-2.903543307086619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54.4%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442611664210714"/>
                  <c:y val="-8.425068469702157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30.2%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8.5854936873170792E-2"/>
                  <c:y val="0.1216120335501540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10.3%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8397739162853477E-2"/>
                  <c:y val="1.77743067442656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3.1367346577789751E-2"/>
                  <c:y val="1.999486477233822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3.4%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'B.Shteteror sipas Monedhes '!$A$31:$A$35</c:f>
              <c:strCache>
                <c:ptCount val="5"/>
                <c:pt idx="0">
                  <c:v>LEK</c:v>
                </c:pt>
                <c:pt idx="1">
                  <c:v>EUR</c:v>
                </c:pt>
                <c:pt idx="2">
                  <c:v>USD</c:v>
                </c:pt>
                <c:pt idx="3">
                  <c:v>JPY</c:v>
                </c:pt>
                <c:pt idx="4">
                  <c:v>Të tjera</c:v>
                </c:pt>
              </c:strCache>
            </c:strRef>
          </c:cat>
          <c:val>
            <c:numRef>
              <c:f>'B.Shteteror sipas Monedhes '!$I$31:$I$35</c:f>
              <c:numCache>
                <c:formatCode>0.0%</c:formatCode>
                <c:ptCount val="5"/>
                <c:pt idx="0">
                  <c:v>0.53219768600958495</c:v>
                </c:pt>
                <c:pt idx="1">
                  <c:v>0.31177474016213164</c:v>
                </c:pt>
                <c:pt idx="2">
                  <c:v>0.10387890339963617</c:v>
                </c:pt>
                <c:pt idx="3">
                  <c:v>1.7375716504886247E-2</c:v>
                </c:pt>
                <c:pt idx="4">
                  <c:v>3.4772953923760896E-2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1534504531273218"/>
          <c:y val="0.90725480982473394"/>
          <c:w val="0.48465512572981256"/>
          <c:h val="8.51484936665525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6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C998B-781A-4C6A-8B0E-B643A521D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1172</TotalTime>
  <Pages>1</Pages>
  <Words>4938</Words>
  <Characters>28153</Characters>
  <Application>Microsoft Office Word</Application>
  <DocSecurity>0</DocSecurity>
  <Lines>234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Erla Kadiu</dc:creator>
  <cp:keywords/>
  <dc:description/>
  <cp:lastModifiedBy>Xhoana Agolli</cp:lastModifiedBy>
  <cp:revision>122</cp:revision>
  <cp:lastPrinted>2020-06-08T09:33:00Z</cp:lastPrinted>
  <dcterms:created xsi:type="dcterms:W3CDTF">2020-03-04T14:38:00Z</dcterms:created>
  <dcterms:modified xsi:type="dcterms:W3CDTF">2020-06-09T09:18:00Z</dcterms:modified>
</cp:coreProperties>
</file>