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BC2" w:rsidRPr="00470C60" w:rsidRDefault="002C2BC2" w:rsidP="00470C60">
      <w:pPr>
        <w:spacing w:line="360" w:lineRule="auto"/>
        <w:jc w:val="center"/>
        <w:rPr>
          <w:b/>
          <w:color w:val="C00000"/>
          <w:spacing w:val="1"/>
          <w:lang w:val="sq-AL"/>
        </w:rPr>
      </w:pPr>
      <w:r w:rsidRPr="00470C60">
        <w:rPr>
          <w:b/>
          <w:color w:val="C00000"/>
          <w:spacing w:val="1"/>
          <w:lang w:val="sq-AL"/>
        </w:rPr>
        <w:t>RAPORT</w:t>
      </w:r>
      <w:r w:rsidR="00B17164" w:rsidRPr="00470C60">
        <w:rPr>
          <w:b/>
          <w:color w:val="C00000"/>
          <w:spacing w:val="1"/>
          <w:lang w:val="sq-AL"/>
        </w:rPr>
        <w:t xml:space="preserve"> PERIODIK,</w:t>
      </w:r>
    </w:p>
    <w:p w:rsidR="00B17164" w:rsidRPr="00470C60" w:rsidRDefault="008439E3" w:rsidP="00470C60">
      <w:pPr>
        <w:spacing w:line="360" w:lineRule="auto"/>
        <w:jc w:val="center"/>
        <w:rPr>
          <w:b/>
          <w:color w:val="C00000"/>
          <w:spacing w:val="1"/>
          <w:lang w:val="sq-AL"/>
        </w:rPr>
      </w:pPr>
      <w:r w:rsidRPr="00470C60">
        <w:rPr>
          <w:b/>
          <w:color w:val="C00000"/>
          <w:spacing w:val="1"/>
          <w:lang w:val="sq-AL"/>
        </w:rPr>
        <w:t>MBI</w:t>
      </w:r>
      <w:r w:rsidR="00C80FC7" w:rsidRPr="00470C60">
        <w:rPr>
          <w:b/>
          <w:color w:val="C00000"/>
          <w:spacing w:val="1"/>
          <w:lang w:val="sq-AL"/>
        </w:rPr>
        <w:t xml:space="preserve"> </w:t>
      </w:r>
      <w:r w:rsidRPr="00470C60">
        <w:rPr>
          <w:b/>
          <w:color w:val="C00000"/>
          <w:spacing w:val="1"/>
          <w:lang w:val="sq-AL"/>
        </w:rPr>
        <w:t>P</w:t>
      </w:r>
      <w:r w:rsidR="00410EEB" w:rsidRPr="00470C60">
        <w:rPr>
          <w:b/>
          <w:color w:val="C00000"/>
          <w:spacing w:val="1"/>
          <w:lang w:val="sq-AL"/>
        </w:rPr>
        <w:t>Ë</w:t>
      </w:r>
      <w:r w:rsidRPr="00470C60">
        <w:rPr>
          <w:b/>
          <w:color w:val="C00000"/>
          <w:spacing w:val="1"/>
          <w:lang w:val="sq-AL"/>
        </w:rPr>
        <w:t xml:space="preserve">RDORIMIN </w:t>
      </w:r>
      <w:r w:rsidRPr="00470C60">
        <w:rPr>
          <w:b/>
          <w:color w:val="C00000"/>
          <w:lang w:val="sq-AL"/>
        </w:rPr>
        <w:t xml:space="preserve">E </w:t>
      </w:r>
      <w:r w:rsidRPr="00470C60">
        <w:rPr>
          <w:b/>
          <w:color w:val="C00000"/>
          <w:spacing w:val="1"/>
          <w:lang w:val="sq-AL"/>
        </w:rPr>
        <w:t>FONDIT REZERV</w:t>
      </w:r>
      <w:r w:rsidR="00410EEB" w:rsidRPr="00470C60">
        <w:rPr>
          <w:b/>
          <w:color w:val="C00000"/>
          <w:spacing w:val="1"/>
          <w:lang w:val="sq-AL"/>
        </w:rPr>
        <w:t>Ë</w:t>
      </w:r>
      <w:r w:rsidRPr="00470C60">
        <w:rPr>
          <w:b/>
          <w:color w:val="C00000"/>
          <w:spacing w:val="1"/>
          <w:lang w:val="sq-AL"/>
        </w:rPr>
        <w:t xml:space="preserve"> T</w:t>
      </w:r>
      <w:r w:rsidR="00410EEB" w:rsidRPr="00470C60">
        <w:rPr>
          <w:b/>
          <w:color w:val="C00000"/>
          <w:spacing w:val="1"/>
          <w:lang w:val="sq-AL"/>
        </w:rPr>
        <w:t>Ë</w:t>
      </w:r>
      <w:r w:rsidR="003C1E2B" w:rsidRPr="00470C60">
        <w:rPr>
          <w:b/>
          <w:color w:val="C00000"/>
          <w:spacing w:val="1"/>
          <w:lang w:val="sq-AL"/>
        </w:rPr>
        <w:t xml:space="preserve"> </w:t>
      </w:r>
      <w:r w:rsidR="00863EC6" w:rsidRPr="00470C60">
        <w:rPr>
          <w:b/>
          <w:color w:val="C00000"/>
          <w:spacing w:val="1"/>
          <w:lang w:val="sq-AL"/>
        </w:rPr>
        <w:t>BUXHETIT T</w:t>
      </w:r>
      <w:r w:rsidR="00410EEB" w:rsidRPr="00470C60">
        <w:rPr>
          <w:b/>
          <w:color w:val="C00000"/>
          <w:spacing w:val="1"/>
          <w:lang w:val="sq-AL"/>
        </w:rPr>
        <w:t>Ë</w:t>
      </w:r>
      <w:r w:rsidR="00863EC6" w:rsidRPr="00470C60">
        <w:rPr>
          <w:b/>
          <w:color w:val="C00000"/>
          <w:spacing w:val="1"/>
          <w:lang w:val="sq-AL"/>
        </w:rPr>
        <w:t xml:space="preserve"> SHTETIT</w:t>
      </w:r>
      <w:r w:rsidR="008B3E5E" w:rsidRPr="00470C60">
        <w:rPr>
          <w:b/>
          <w:color w:val="C00000"/>
          <w:spacing w:val="1"/>
          <w:lang w:val="sq-AL"/>
        </w:rPr>
        <w:t xml:space="preserve"> </w:t>
      </w:r>
    </w:p>
    <w:p w:rsidR="003C1E2B" w:rsidRPr="00470C60" w:rsidRDefault="00DA0A2E" w:rsidP="00470C60">
      <w:pPr>
        <w:spacing w:line="360" w:lineRule="auto"/>
        <w:jc w:val="center"/>
        <w:rPr>
          <w:b/>
          <w:color w:val="C00000"/>
          <w:lang w:val="sq-AL"/>
        </w:rPr>
      </w:pPr>
      <w:r>
        <w:rPr>
          <w:b/>
          <w:color w:val="C00000"/>
          <w:lang w:val="sq-AL"/>
        </w:rPr>
        <w:t>DERI M</w:t>
      </w:r>
      <w:r w:rsidR="008E0594">
        <w:rPr>
          <w:b/>
          <w:color w:val="C00000"/>
          <w:lang w:val="sq-AL"/>
        </w:rPr>
        <w:t>Ë</w:t>
      </w:r>
      <w:r>
        <w:rPr>
          <w:b/>
          <w:color w:val="C00000"/>
          <w:lang w:val="sq-AL"/>
        </w:rPr>
        <w:t xml:space="preserve"> DAT</w:t>
      </w:r>
      <w:r w:rsidR="008E0594">
        <w:rPr>
          <w:b/>
          <w:color w:val="C00000"/>
          <w:lang w:val="sq-AL"/>
        </w:rPr>
        <w:t>Ë</w:t>
      </w:r>
      <w:r>
        <w:rPr>
          <w:b/>
          <w:color w:val="C00000"/>
          <w:lang w:val="sq-AL"/>
        </w:rPr>
        <w:t xml:space="preserve"> </w:t>
      </w:r>
      <w:r w:rsidR="00E11CAD">
        <w:rPr>
          <w:b/>
          <w:color w:val="C00000"/>
          <w:lang w:val="sq-AL"/>
        </w:rPr>
        <w:t>31</w:t>
      </w:r>
      <w:r w:rsidR="007E754F">
        <w:rPr>
          <w:b/>
          <w:color w:val="C00000"/>
          <w:lang w:val="sq-AL"/>
        </w:rPr>
        <w:t>.1</w:t>
      </w:r>
      <w:r w:rsidR="00E11CAD">
        <w:rPr>
          <w:b/>
          <w:color w:val="C00000"/>
          <w:lang w:val="sq-AL"/>
        </w:rPr>
        <w:t>2</w:t>
      </w:r>
      <w:r>
        <w:rPr>
          <w:b/>
          <w:color w:val="C00000"/>
          <w:lang w:val="sq-AL"/>
        </w:rPr>
        <w:t>.2019</w:t>
      </w:r>
    </w:p>
    <w:p w:rsidR="006A4BA5" w:rsidRPr="00470C60" w:rsidRDefault="001E703A" w:rsidP="00470C60">
      <w:pPr>
        <w:pStyle w:val="ListParagraph"/>
        <w:numPr>
          <w:ilvl w:val="0"/>
          <w:numId w:val="17"/>
        </w:numPr>
        <w:spacing w:line="360" w:lineRule="auto"/>
        <w:rPr>
          <w:rFonts w:ascii="Times New Roman" w:hAnsi="Times New Roman"/>
          <w:b/>
          <w:color w:val="FF0000"/>
          <w:sz w:val="24"/>
          <w:lang w:val="sq-AL"/>
        </w:rPr>
      </w:pPr>
      <w:r w:rsidRPr="00470C60">
        <w:rPr>
          <w:rFonts w:ascii="Times New Roman" w:hAnsi="Times New Roman"/>
          <w:b/>
          <w:color w:val="FF0000"/>
          <w:sz w:val="24"/>
          <w:lang w:val="sq-AL"/>
        </w:rPr>
        <w:t>Fondi Rezervë</w:t>
      </w:r>
    </w:p>
    <w:p w:rsidR="00B17164" w:rsidRPr="00470C60" w:rsidRDefault="008439E3" w:rsidP="00470C60">
      <w:pPr>
        <w:spacing w:before="240" w:line="360" w:lineRule="auto"/>
        <w:jc w:val="both"/>
        <w:rPr>
          <w:spacing w:val="-1"/>
          <w:lang w:val="sq-AL"/>
        </w:rPr>
      </w:pPr>
      <w:r w:rsidRPr="00470C60">
        <w:rPr>
          <w:spacing w:val="-1"/>
          <w:lang w:val="sq-AL"/>
        </w:rPr>
        <w:t>N</w:t>
      </w:r>
      <w:r w:rsidR="00410EEB" w:rsidRPr="00470C60">
        <w:rPr>
          <w:spacing w:val="-1"/>
          <w:lang w:val="sq-AL"/>
        </w:rPr>
        <w:t>ë</w:t>
      </w:r>
      <w:r w:rsidR="00115E31" w:rsidRPr="00470C60">
        <w:rPr>
          <w:spacing w:val="-1"/>
          <w:lang w:val="sq-AL"/>
        </w:rPr>
        <w:t xml:space="preserve"> </w:t>
      </w:r>
      <w:r w:rsidR="00950FB7" w:rsidRPr="00470C60">
        <w:rPr>
          <w:spacing w:val="-1"/>
          <w:lang w:val="sq-AL"/>
        </w:rPr>
        <w:t>mbështetje</w:t>
      </w:r>
      <w:r w:rsidRPr="00470C60">
        <w:rPr>
          <w:spacing w:val="-1"/>
          <w:lang w:val="sq-AL"/>
        </w:rPr>
        <w:t xml:space="preserve"> t</w:t>
      </w:r>
      <w:r w:rsidR="00410EEB" w:rsidRPr="00470C60">
        <w:rPr>
          <w:spacing w:val="-1"/>
          <w:lang w:val="sq-AL"/>
        </w:rPr>
        <w:t>ë</w:t>
      </w:r>
      <w:r w:rsidRPr="00470C60">
        <w:rPr>
          <w:spacing w:val="-1"/>
          <w:lang w:val="sq-AL"/>
        </w:rPr>
        <w:t xml:space="preserve"> nenit </w:t>
      </w:r>
      <w:r w:rsidR="00502D53" w:rsidRPr="00470C60">
        <w:rPr>
          <w:spacing w:val="-1"/>
          <w:lang w:val="sq-AL"/>
        </w:rPr>
        <w:t>5</w:t>
      </w:r>
      <w:r w:rsidRPr="00470C60">
        <w:rPr>
          <w:spacing w:val="-1"/>
          <w:lang w:val="sq-AL"/>
        </w:rPr>
        <w:t xml:space="preserve"> t</w:t>
      </w:r>
      <w:r w:rsidR="00410EEB" w:rsidRPr="00470C60">
        <w:rPr>
          <w:spacing w:val="-1"/>
          <w:lang w:val="sq-AL"/>
        </w:rPr>
        <w:t>ë</w:t>
      </w:r>
      <w:r w:rsidR="00115E31" w:rsidRPr="00470C60">
        <w:rPr>
          <w:spacing w:val="-1"/>
          <w:lang w:val="sq-AL"/>
        </w:rPr>
        <w:t xml:space="preserve"> </w:t>
      </w:r>
      <w:r w:rsidR="003F077A" w:rsidRPr="00470C60">
        <w:rPr>
          <w:spacing w:val="-1"/>
          <w:lang w:val="sq-AL"/>
        </w:rPr>
        <w:t>L</w:t>
      </w:r>
      <w:r w:rsidRPr="00470C60">
        <w:rPr>
          <w:spacing w:val="-1"/>
          <w:lang w:val="sq-AL"/>
        </w:rPr>
        <w:t xml:space="preserve">igjit </w:t>
      </w:r>
      <w:r w:rsidR="00170E5F" w:rsidRPr="00470C60">
        <w:rPr>
          <w:spacing w:val="-1"/>
          <w:lang w:val="sq-AL"/>
        </w:rPr>
        <w:t>n</w:t>
      </w:r>
      <w:r w:rsidRPr="00470C60">
        <w:rPr>
          <w:spacing w:val="-1"/>
          <w:lang w:val="sq-AL"/>
        </w:rPr>
        <w:t>r.</w:t>
      </w:r>
      <w:r w:rsidR="00502D53" w:rsidRPr="00470C60">
        <w:rPr>
          <w:spacing w:val="-1"/>
          <w:lang w:val="sq-AL"/>
        </w:rPr>
        <w:t>9936</w:t>
      </w:r>
      <w:r w:rsidRPr="00470C60">
        <w:rPr>
          <w:spacing w:val="-1"/>
          <w:lang w:val="sq-AL"/>
        </w:rPr>
        <w:t xml:space="preserve"> dat</w:t>
      </w:r>
      <w:r w:rsidR="00410EEB" w:rsidRPr="00470C60">
        <w:rPr>
          <w:spacing w:val="-1"/>
          <w:lang w:val="sq-AL"/>
        </w:rPr>
        <w:t>ë</w:t>
      </w:r>
      <w:r w:rsidRPr="00470C60">
        <w:rPr>
          <w:spacing w:val="-1"/>
          <w:lang w:val="sq-AL"/>
        </w:rPr>
        <w:t xml:space="preserve"> 2</w:t>
      </w:r>
      <w:r w:rsidR="00502D53" w:rsidRPr="00470C60">
        <w:rPr>
          <w:spacing w:val="-1"/>
          <w:lang w:val="sq-AL"/>
        </w:rPr>
        <w:t>6.6.2008</w:t>
      </w:r>
      <w:r w:rsidR="003F077A" w:rsidRPr="00470C60">
        <w:rPr>
          <w:spacing w:val="-1"/>
          <w:lang w:val="sq-AL"/>
        </w:rPr>
        <w:t xml:space="preserve"> </w:t>
      </w:r>
      <w:r w:rsidR="00502D53" w:rsidRPr="00470C60">
        <w:rPr>
          <w:spacing w:val="-1"/>
          <w:lang w:val="sq-AL"/>
        </w:rPr>
        <w:t>“</w:t>
      </w:r>
      <w:r w:rsidRPr="00470C60">
        <w:rPr>
          <w:i/>
          <w:spacing w:val="-1"/>
          <w:lang w:val="sq-AL"/>
        </w:rPr>
        <w:t>P</w:t>
      </w:r>
      <w:r w:rsidR="00410EEB" w:rsidRPr="00470C60">
        <w:rPr>
          <w:i/>
          <w:spacing w:val="-1"/>
          <w:lang w:val="sq-AL"/>
        </w:rPr>
        <w:t>ë</w:t>
      </w:r>
      <w:r w:rsidRPr="00470C60">
        <w:rPr>
          <w:i/>
          <w:spacing w:val="-1"/>
          <w:lang w:val="sq-AL"/>
        </w:rPr>
        <w:t xml:space="preserve">r </w:t>
      </w:r>
      <w:r w:rsidR="00502D53" w:rsidRPr="00470C60">
        <w:rPr>
          <w:i/>
          <w:spacing w:val="-1"/>
          <w:lang w:val="sq-AL"/>
        </w:rPr>
        <w:t>menaxhimin e sistemit buxhetor n</w:t>
      </w:r>
      <w:r w:rsidR="00410EEB" w:rsidRPr="00470C60">
        <w:rPr>
          <w:i/>
          <w:spacing w:val="-1"/>
          <w:lang w:val="sq-AL"/>
        </w:rPr>
        <w:t>ë</w:t>
      </w:r>
      <w:r w:rsidR="00502D53" w:rsidRPr="00470C60">
        <w:rPr>
          <w:i/>
          <w:spacing w:val="-1"/>
          <w:lang w:val="sq-AL"/>
        </w:rPr>
        <w:t xml:space="preserve"> Republik</w:t>
      </w:r>
      <w:r w:rsidR="00410EEB" w:rsidRPr="00470C60">
        <w:rPr>
          <w:i/>
          <w:spacing w:val="-1"/>
          <w:lang w:val="sq-AL"/>
        </w:rPr>
        <w:t>ë</w:t>
      </w:r>
      <w:r w:rsidR="00502D53" w:rsidRPr="00470C60">
        <w:rPr>
          <w:i/>
          <w:spacing w:val="-1"/>
          <w:lang w:val="sq-AL"/>
        </w:rPr>
        <w:t xml:space="preserve">n e </w:t>
      </w:r>
      <w:r w:rsidR="00950FB7" w:rsidRPr="00470C60">
        <w:rPr>
          <w:i/>
          <w:spacing w:val="-1"/>
          <w:lang w:val="sq-AL"/>
        </w:rPr>
        <w:t>Shqipërisë</w:t>
      </w:r>
      <w:r w:rsidR="003F077A" w:rsidRPr="00470C60">
        <w:rPr>
          <w:i/>
          <w:spacing w:val="-1"/>
          <w:lang w:val="sq-AL"/>
        </w:rPr>
        <w:t>,</w:t>
      </w:r>
      <w:r w:rsidR="00693295" w:rsidRPr="00470C60">
        <w:rPr>
          <w:i/>
          <w:spacing w:val="-1"/>
          <w:lang w:val="sq-AL"/>
        </w:rPr>
        <w:t xml:space="preserve"> t</w:t>
      </w:r>
      <w:r w:rsidR="00A252A6" w:rsidRPr="00470C60">
        <w:rPr>
          <w:i/>
          <w:spacing w:val="-1"/>
          <w:lang w:val="sq-AL"/>
        </w:rPr>
        <w:t>ë</w:t>
      </w:r>
      <w:r w:rsidR="00693295" w:rsidRPr="00470C60">
        <w:rPr>
          <w:i/>
          <w:spacing w:val="-1"/>
          <w:lang w:val="sq-AL"/>
        </w:rPr>
        <w:t xml:space="preserve"> ndryshuar</w:t>
      </w:r>
      <w:r w:rsidR="003F077A" w:rsidRPr="00470C60">
        <w:rPr>
          <w:i/>
          <w:spacing w:val="-1"/>
          <w:lang w:val="sq-AL"/>
        </w:rPr>
        <w:t>”</w:t>
      </w:r>
      <w:r w:rsidR="00693295" w:rsidRPr="00470C60">
        <w:rPr>
          <w:spacing w:val="-1"/>
          <w:lang w:val="sq-AL"/>
        </w:rPr>
        <w:t xml:space="preserve">, </w:t>
      </w:r>
      <w:r w:rsidRPr="00470C60">
        <w:rPr>
          <w:spacing w:val="-1"/>
          <w:lang w:val="sq-AL"/>
        </w:rPr>
        <w:t xml:space="preserve"> </w:t>
      </w:r>
      <w:r w:rsidR="00502D53" w:rsidRPr="00470C60">
        <w:rPr>
          <w:spacing w:val="-1"/>
          <w:lang w:val="sq-AL"/>
        </w:rPr>
        <w:t>buxheti i shtetit p</w:t>
      </w:r>
      <w:r w:rsidR="00410EEB" w:rsidRPr="00470C60">
        <w:rPr>
          <w:spacing w:val="-1"/>
          <w:lang w:val="sq-AL"/>
        </w:rPr>
        <w:t>ë</w:t>
      </w:r>
      <w:r w:rsidR="00502D53" w:rsidRPr="00470C60">
        <w:rPr>
          <w:spacing w:val="-1"/>
          <w:lang w:val="sq-AL"/>
        </w:rPr>
        <w:t xml:space="preserve">rfshin </w:t>
      </w:r>
      <w:r w:rsidR="00863EC6" w:rsidRPr="00470C60">
        <w:rPr>
          <w:spacing w:val="-1"/>
          <w:lang w:val="sq-AL"/>
        </w:rPr>
        <w:t xml:space="preserve">edhe </w:t>
      </w:r>
      <w:r w:rsidR="00502D53" w:rsidRPr="00470C60">
        <w:rPr>
          <w:spacing w:val="-1"/>
          <w:lang w:val="sq-AL"/>
        </w:rPr>
        <w:t>nj</w:t>
      </w:r>
      <w:r w:rsidR="00410EEB" w:rsidRPr="00470C60">
        <w:rPr>
          <w:spacing w:val="-1"/>
          <w:lang w:val="sq-AL"/>
        </w:rPr>
        <w:t>ë</w:t>
      </w:r>
      <w:r w:rsidR="00115E31" w:rsidRPr="00470C60">
        <w:rPr>
          <w:spacing w:val="-1"/>
          <w:lang w:val="sq-AL"/>
        </w:rPr>
        <w:t xml:space="preserve"> </w:t>
      </w:r>
      <w:r w:rsidRPr="00470C60">
        <w:rPr>
          <w:spacing w:val="-1"/>
          <w:lang w:val="sq-AL"/>
        </w:rPr>
        <w:t>fond rezerv</w:t>
      </w:r>
      <w:r w:rsidR="00410EEB" w:rsidRPr="00470C60">
        <w:rPr>
          <w:spacing w:val="-1"/>
          <w:lang w:val="sq-AL"/>
        </w:rPr>
        <w:t>ë</w:t>
      </w:r>
      <w:r w:rsidRPr="00470C60">
        <w:rPr>
          <w:spacing w:val="-1"/>
          <w:lang w:val="sq-AL"/>
        </w:rPr>
        <w:t xml:space="preserve"> i </w:t>
      </w:r>
      <w:r w:rsidR="00502D53" w:rsidRPr="00470C60">
        <w:rPr>
          <w:spacing w:val="-1"/>
          <w:lang w:val="sq-AL"/>
        </w:rPr>
        <w:t>cili p</w:t>
      </w:r>
      <w:r w:rsidR="00410EEB" w:rsidRPr="00470C60">
        <w:rPr>
          <w:spacing w:val="-1"/>
          <w:lang w:val="sq-AL"/>
        </w:rPr>
        <w:t>ë</w:t>
      </w:r>
      <w:r w:rsidR="00502D53" w:rsidRPr="00470C60">
        <w:rPr>
          <w:spacing w:val="-1"/>
          <w:lang w:val="sq-AL"/>
        </w:rPr>
        <w:t>rdoret p</w:t>
      </w:r>
      <w:r w:rsidR="00410EEB" w:rsidRPr="00470C60">
        <w:rPr>
          <w:spacing w:val="-1"/>
          <w:lang w:val="sq-AL"/>
        </w:rPr>
        <w:t>ë</w:t>
      </w:r>
      <w:r w:rsidR="00502D53" w:rsidRPr="00470C60">
        <w:rPr>
          <w:spacing w:val="-1"/>
          <w:lang w:val="sq-AL"/>
        </w:rPr>
        <w:t>r rastet e financimit t</w:t>
      </w:r>
      <w:r w:rsidR="00410EEB" w:rsidRPr="00470C60">
        <w:rPr>
          <w:spacing w:val="-1"/>
          <w:lang w:val="sq-AL"/>
        </w:rPr>
        <w:t>ë</w:t>
      </w:r>
      <w:r w:rsidR="00502D53" w:rsidRPr="00470C60">
        <w:rPr>
          <w:spacing w:val="-1"/>
          <w:lang w:val="sq-AL"/>
        </w:rPr>
        <w:t xml:space="preserve"> shpenzimeve</w:t>
      </w:r>
      <w:r w:rsidR="000C60CC" w:rsidRPr="00470C60">
        <w:rPr>
          <w:spacing w:val="-1"/>
          <w:lang w:val="sq-AL"/>
        </w:rPr>
        <w:t>,</w:t>
      </w:r>
      <w:r w:rsidR="00502D53" w:rsidRPr="00470C60">
        <w:rPr>
          <w:spacing w:val="-1"/>
          <w:lang w:val="sq-AL"/>
        </w:rPr>
        <w:t xml:space="preserve"> q</w:t>
      </w:r>
      <w:r w:rsidR="00410EEB" w:rsidRPr="00470C60">
        <w:rPr>
          <w:spacing w:val="-1"/>
          <w:lang w:val="sq-AL"/>
        </w:rPr>
        <w:t>ë</w:t>
      </w:r>
      <w:r w:rsidR="00115E31" w:rsidRPr="00470C60">
        <w:rPr>
          <w:spacing w:val="-1"/>
          <w:lang w:val="sq-AL"/>
        </w:rPr>
        <w:t xml:space="preserve"> </w:t>
      </w:r>
      <w:r w:rsidR="00502D53" w:rsidRPr="00470C60">
        <w:rPr>
          <w:spacing w:val="-1"/>
          <w:lang w:val="sq-AL"/>
        </w:rPr>
        <w:t>nuk njihen dhe jan</w:t>
      </w:r>
      <w:r w:rsidR="00410EEB" w:rsidRPr="00470C60">
        <w:rPr>
          <w:spacing w:val="-1"/>
          <w:lang w:val="sq-AL"/>
        </w:rPr>
        <w:t>ë</w:t>
      </w:r>
      <w:r w:rsidR="00502D53" w:rsidRPr="00470C60">
        <w:rPr>
          <w:spacing w:val="-1"/>
          <w:lang w:val="sq-AL"/>
        </w:rPr>
        <w:t xml:space="preserve"> t</w:t>
      </w:r>
      <w:r w:rsidR="00410EEB" w:rsidRPr="00470C60">
        <w:rPr>
          <w:spacing w:val="-1"/>
          <w:lang w:val="sq-AL"/>
        </w:rPr>
        <w:t>ë</w:t>
      </w:r>
      <w:r w:rsidR="00502D53" w:rsidRPr="00470C60">
        <w:rPr>
          <w:spacing w:val="-1"/>
          <w:lang w:val="sq-AL"/>
        </w:rPr>
        <w:t xml:space="preserve"> pamundura t</w:t>
      </w:r>
      <w:r w:rsidR="00410EEB" w:rsidRPr="00470C60">
        <w:rPr>
          <w:spacing w:val="-1"/>
          <w:lang w:val="sq-AL"/>
        </w:rPr>
        <w:t>ë</w:t>
      </w:r>
      <w:r w:rsidR="00502D53" w:rsidRPr="00470C60">
        <w:rPr>
          <w:spacing w:val="-1"/>
          <w:lang w:val="sq-AL"/>
        </w:rPr>
        <w:t xml:space="preserve"> parashikohen gjat</w:t>
      </w:r>
      <w:r w:rsidR="00410EEB" w:rsidRPr="00470C60">
        <w:rPr>
          <w:spacing w:val="-1"/>
          <w:lang w:val="sq-AL"/>
        </w:rPr>
        <w:t>ë</w:t>
      </w:r>
      <w:r w:rsidR="00502D53" w:rsidRPr="00470C60">
        <w:rPr>
          <w:spacing w:val="-1"/>
          <w:lang w:val="sq-AL"/>
        </w:rPr>
        <w:t xml:space="preserve"> procesit t</w:t>
      </w:r>
      <w:r w:rsidR="00410EEB" w:rsidRPr="00470C60">
        <w:rPr>
          <w:spacing w:val="-1"/>
          <w:lang w:val="sq-AL"/>
        </w:rPr>
        <w:t>ë</w:t>
      </w:r>
      <w:r w:rsidR="00115E31" w:rsidRPr="00470C60">
        <w:rPr>
          <w:spacing w:val="-1"/>
          <w:lang w:val="sq-AL"/>
        </w:rPr>
        <w:t xml:space="preserve"> </w:t>
      </w:r>
      <w:r w:rsidR="00950FB7" w:rsidRPr="00470C60">
        <w:rPr>
          <w:spacing w:val="-1"/>
          <w:lang w:val="sq-AL"/>
        </w:rPr>
        <w:t>përgatitjes</w:t>
      </w:r>
      <w:r w:rsidR="00502D53" w:rsidRPr="00470C60">
        <w:rPr>
          <w:spacing w:val="-1"/>
          <w:lang w:val="sq-AL"/>
        </w:rPr>
        <w:t xml:space="preserve"> s</w:t>
      </w:r>
      <w:r w:rsidR="00410EEB" w:rsidRPr="00470C60">
        <w:rPr>
          <w:spacing w:val="-1"/>
          <w:lang w:val="sq-AL"/>
        </w:rPr>
        <w:t>ë</w:t>
      </w:r>
      <w:r w:rsidR="00502D53" w:rsidRPr="00470C60">
        <w:rPr>
          <w:spacing w:val="-1"/>
          <w:lang w:val="sq-AL"/>
        </w:rPr>
        <w:t xml:space="preserve"> buxhetit</w:t>
      </w:r>
      <w:r w:rsidR="000C60CC" w:rsidRPr="00470C60">
        <w:rPr>
          <w:spacing w:val="-1"/>
          <w:lang w:val="sq-AL"/>
        </w:rPr>
        <w:t>.</w:t>
      </w:r>
      <w:r w:rsidR="003C1E2B" w:rsidRPr="00470C60">
        <w:rPr>
          <w:spacing w:val="-1"/>
          <w:lang w:val="sq-AL"/>
        </w:rPr>
        <w:t xml:space="preserve"> </w:t>
      </w:r>
      <w:r w:rsidR="000C60CC" w:rsidRPr="00470C60">
        <w:rPr>
          <w:spacing w:val="-1"/>
          <w:lang w:val="sq-AL"/>
        </w:rPr>
        <w:t>Miratimi i p</w:t>
      </w:r>
      <w:r w:rsidR="00410EEB" w:rsidRPr="00470C60">
        <w:rPr>
          <w:spacing w:val="-1"/>
          <w:lang w:val="sq-AL"/>
        </w:rPr>
        <w:t>ë</w:t>
      </w:r>
      <w:r w:rsidRPr="00470C60">
        <w:rPr>
          <w:spacing w:val="-1"/>
          <w:lang w:val="sq-AL"/>
        </w:rPr>
        <w:t>rdorimi</w:t>
      </w:r>
      <w:r w:rsidR="000C60CC" w:rsidRPr="00470C60">
        <w:rPr>
          <w:spacing w:val="-1"/>
          <w:lang w:val="sq-AL"/>
        </w:rPr>
        <w:t>t t</w:t>
      </w:r>
      <w:r w:rsidR="00410EEB" w:rsidRPr="00470C60">
        <w:rPr>
          <w:spacing w:val="-1"/>
          <w:lang w:val="sq-AL"/>
        </w:rPr>
        <w:t>ë</w:t>
      </w:r>
      <w:r w:rsidRPr="00470C60">
        <w:rPr>
          <w:spacing w:val="-1"/>
          <w:lang w:val="sq-AL"/>
        </w:rPr>
        <w:t xml:space="preserve"> tij b</w:t>
      </w:r>
      <w:r w:rsidR="00410EEB" w:rsidRPr="00470C60">
        <w:rPr>
          <w:spacing w:val="-1"/>
          <w:lang w:val="sq-AL"/>
        </w:rPr>
        <w:t>ë</w:t>
      </w:r>
      <w:r w:rsidRPr="00470C60">
        <w:rPr>
          <w:spacing w:val="-1"/>
          <w:lang w:val="sq-AL"/>
        </w:rPr>
        <w:t xml:space="preserve">het me </w:t>
      </w:r>
      <w:r w:rsidR="004C70C3" w:rsidRPr="00470C60">
        <w:rPr>
          <w:spacing w:val="-1"/>
          <w:lang w:val="sq-AL"/>
        </w:rPr>
        <w:t>V</w:t>
      </w:r>
      <w:r w:rsidRPr="00470C60">
        <w:rPr>
          <w:spacing w:val="-1"/>
          <w:lang w:val="sq-AL"/>
        </w:rPr>
        <w:t>endim t</w:t>
      </w:r>
      <w:r w:rsidR="00410EEB" w:rsidRPr="00470C60">
        <w:rPr>
          <w:spacing w:val="-1"/>
          <w:lang w:val="sq-AL"/>
        </w:rPr>
        <w:t>ë</w:t>
      </w:r>
      <w:r w:rsidR="00115E31" w:rsidRPr="00470C60">
        <w:rPr>
          <w:spacing w:val="-1"/>
          <w:lang w:val="sq-AL"/>
        </w:rPr>
        <w:t xml:space="preserve"> </w:t>
      </w:r>
      <w:r w:rsidRPr="00470C60">
        <w:rPr>
          <w:spacing w:val="-1"/>
          <w:lang w:val="sq-AL"/>
        </w:rPr>
        <w:t>K</w:t>
      </w:r>
      <w:r w:rsidR="00410EEB" w:rsidRPr="00470C60">
        <w:rPr>
          <w:spacing w:val="-1"/>
          <w:lang w:val="sq-AL"/>
        </w:rPr>
        <w:t>ë</w:t>
      </w:r>
      <w:r w:rsidRPr="00470C60">
        <w:rPr>
          <w:spacing w:val="-1"/>
          <w:lang w:val="sq-AL"/>
        </w:rPr>
        <w:t>shillit t</w:t>
      </w:r>
      <w:r w:rsidR="00410EEB" w:rsidRPr="00470C60">
        <w:rPr>
          <w:spacing w:val="-1"/>
          <w:lang w:val="sq-AL"/>
        </w:rPr>
        <w:t>ë</w:t>
      </w:r>
      <w:r w:rsidRPr="00470C60">
        <w:rPr>
          <w:spacing w:val="-1"/>
          <w:lang w:val="sq-AL"/>
        </w:rPr>
        <w:t xml:space="preserve"> Ministrave</w:t>
      </w:r>
      <w:r w:rsidR="00A369BE" w:rsidRPr="00470C60">
        <w:rPr>
          <w:spacing w:val="-1"/>
          <w:lang w:val="sq-AL"/>
        </w:rPr>
        <w:t>.</w:t>
      </w:r>
      <w:r w:rsidR="00C80FC7" w:rsidRPr="00470C60">
        <w:rPr>
          <w:spacing w:val="-1"/>
          <w:lang w:val="sq-AL"/>
        </w:rPr>
        <w:t xml:space="preserve"> </w:t>
      </w:r>
    </w:p>
    <w:p w:rsidR="00C362E0" w:rsidRPr="00DA0A2E" w:rsidRDefault="00C362E0" w:rsidP="00DA0A2E">
      <w:pPr>
        <w:pStyle w:val="ListParagraph"/>
        <w:numPr>
          <w:ilvl w:val="0"/>
          <w:numId w:val="20"/>
        </w:numPr>
        <w:spacing w:before="240" w:line="360" w:lineRule="auto"/>
        <w:rPr>
          <w:lang w:val="sq-AL"/>
        </w:rPr>
      </w:pPr>
      <w:r w:rsidRPr="00DA0A2E">
        <w:rPr>
          <w:lang w:val="sq-AL"/>
        </w:rPr>
        <w:t>Ligji nr.</w:t>
      </w:r>
      <w:r w:rsidR="00991B87" w:rsidRPr="00DA0A2E">
        <w:rPr>
          <w:lang w:val="sq-AL"/>
        </w:rPr>
        <w:t>99</w:t>
      </w:r>
      <w:r w:rsidRPr="00DA0A2E">
        <w:rPr>
          <w:lang w:val="sq-AL"/>
        </w:rPr>
        <w:t>/201</w:t>
      </w:r>
      <w:r w:rsidR="00991B87" w:rsidRPr="00DA0A2E">
        <w:rPr>
          <w:lang w:val="sq-AL"/>
        </w:rPr>
        <w:t>8</w:t>
      </w:r>
      <w:r w:rsidRPr="00DA0A2E">
        <w:rPr>
          <w:lang w:val="sq-AL"/>
        </w:rPr>
        <w:t xml:space="preserve"> “</w:t>
      </w:r>
      <w:r w:rsidRPr="00DA0A2E">
        <w:rPr>
          <w:i/>
          <w:lang w:val="sq-AL"/>
        </w:rPr>
        <w:t>Për Buxhetin e vitit 201</w:t>
      </w:r>
      <w:r w:rsidR="00991B87" w:rsidRPr="00DA0A2E">
        <w:rPr>
          <w:i/>
          <w:lang w:val="sq-AL"/>
        </w:rPr>
        <w:t>9</w:t>
      </w:r>
      <w:r w:rsidRPr="00DA0A2E">
        <w:rPr>
          <w:lang w:val="sq-AL"/>
        </w:rPr>
        <w:t xml:space="preserve">” miratoi Fondin Rezervë të Buxhetit të Shtetit në masën </w:t>
      </w:r>
      <w:r w:rsidR="0016286B" w:rsidRPr="00DA0A2E">
        <w:rPr>
          <w:lang w:val="sq-AL"/>
        </w:rPr>
        <w:t xml:space="preserve">                                   </w:t>
      </w:r>
      <w:r w:rsidRPr="00DA0A2E">
        <w:rPr>
          <w:b/>
          <w:lang w:val="sq-AL"/>
        </w:rPr>
        <w:t>2.</w:t>
      </w:r>
      <w:r w:rsidR="00681C15" w:rsidRPr="00DA0A2E">
        <w:rPr>
          <w:b/>
          <w:lang w:val="sq-AL"/>
        </w:rPr>
        <w:t>9</w:t>
      </w:r>
      <w:r w:rsidRPr="00DA0A2E">
        <w:rPr>
          <w:b/>
          <w:lang w:val="sq-AL"/>
        </w:rPr>
        <w:t xml:space="preserve"> miliardë lekë</w:t>
      </w:r>
      <w:r w:rsidR="0016286B" w:rsidRPr="00DA0A2E">
        <w:rPr>
          <w:lang w:val="sq-AL"/>
        </w:rPr>
        <w:t xml:space="preserve"> </w:t>
      </w:r>
      <w:r w:rsidR="0016286B" w:rsidRPr="00DA0A2E">
        <w:rPr>
          <w:b/>
          <w:lang w:val="sq-AL"/>
        </w:rPr>
        <w:t>n</w:t>
      </w:r>
      <w:r w:rsidR="00B92D75" w:rsidRPr="00DA0A2E">
        <w:rPr>
          <w:b/>
          <w:lang w:val="sq-AL"/>
        </w:rPr>
        <w:t>ë</w:t>
      </w:r>
      <w:r w:rsidR="0016286B" w:rsidRPr="00DA0A2E">
        <w:rPr>
          <w:b/>
          <w:lang w:val="sq-AL"/>
        </w:rPr>
        <w:t xml:space="preserve"> nivel total vjetor</w:t>
      </w:r>
      <w:r w:rsidRPr="00DA0A2E">
        <w:rPr>
          <w:lang w:val="sq-AL"/>
        </w:rPr>
        <w:t xml:space="preserve">, </w:t>
      </w:r>
      <w:r w:rsidR="00B17164" w:rsidRPr="00DA0A2E">
        <w:rPr>
          <w:lang w:val="sq-AL"/>
        </w:rPr>
        <w:t>nd</w:t>
      </w:r>
      <w:r w:rsidR="00B92D75" w:rsidRPr="00DA0A2E">
        <w:rPr>
          <w:lang w:val="sq-AL"/>
        </w:rPr>
        <w:t>ë</w:t>
      </w:r>
      <w:r w:rsidR="00B17164" w:rsidRPr="00DA0A2E">
        <w:rPr>
          <w:lang w:val="sq-AL"/>
        </w:rPr>
        <w:t>rkoh</w:t>
      </w:r>
      <w:r w:rsidR="00B92D75" w:rsidRPr="00DA0A2E">
        <w:rPr>
          <w:lang w:val="sq-AL"/>
        </w:rPr>
        <w:t>ë</w:t>
      </w:r>
      <w:r w:rsidR="00B17164" w:rsidRPr="00DA0A2E">
        <w:rPr>
          <w:lang w:val="sq-AL"/>
        </w:rPr>
        <w:t xml:space="preserve"> q</w:t>
      </w:r>
      <w:r w:rsidR="00B92D75" w:rsidRPr="00DA0A2E">
        <w:rPr>
          <w:lang w:val="sq-AL"/>
        </w:rPr>
        <w:t>ë</w:t>
      </w:r>
      <w:r w:rsidR="00B17164" w:rsidRPr="00DA0A2E">
        <w:rPr>
          <w:lang w:val="sq-AL"/>
        </w:rPr>
        <w:t xml:space="preserve"> </w:t>
      </w:r>
      <w:r w:rsidR="00B17164" w:rsidRPr="00DA0A2E">
        <w:rPr>
          <w:u w:val="single"/>
          <w:lang w:val="sq-AL"/>
        </w:rPr>
        <w:t>N</w:t>
      </w:r>
      <w:r w:rsidRPr="00DA0A2E">
        <w:rPr>
          <w:u w:val="single"/>
          <w:lang w:val="sq-AL"/>
        </w:rPr>
        <w:t>eni 13 përcakton përdorimin</w:t>
      </w:r>
      <w:r w:rsidRPr="00DA0A2E">
        <w:rPr>
          <w:lang w:val="sq-AL"/>
        </w:rPr>
        <w:t xml:space="preserve"> i tij si mëposhtë:</w:t>
      </w:r>
    </w:p>
    <w:p w:rsidR="006A3B6B" w:rsidRPr="00DA0A2E" w:rsidRDefault="006A3B6B" w:rsidP="00DA0A2E">
      <w:pPr>
        <w:pStyle w:val="ListParagraph"/>
        <w:numPr>
          <w:ilvl w:val="0"/>
          <w:numId w:val="6"/>
        </w:numPr>
        <w:spacing w:line="360" w:lineRule="auto"/>
        <w:rPr>
          <w:i/>
          <w:lang w:val="sq-AL"/>
        </w:rPr>
      </w:pPr>
      <w:r w:rsidRPr="00DA0A2E">
        <w:rPr>
          <w:i/>
          <w:lang w:val="sq-AL"/>
        </w:rPr>
        <w:t xml:space="preserve">Fondi rezervë i </w:t>
      </w:r>
      <w:r w:rsidR="0016286B" w:rsidRPr="00DA0A2E">
        <w:rPr>
          <w:i/>
          <w:lang w:val="sq-AL"/>
        </w:rPr>
        <w:t>B</w:t>
      </w:r>
      <w:r w:rsidRPr="00DA0A2E">
        <w:rPr>
          <w:i/>
          <w:lang w:val="sq-AL"/>
        </w:rPr>
        <w:t>uxhetit</w:t>
      </w:r>
      <w:r w:rsidR="00B17164" w:rsidRPr="00DA0A2E">
        <w:rPr>
          <w:i/>
          <w:lang w:val="sq-AL"/>
        </w:rPr>
        <w:t xml:space="preserve"> </w:t>
      </w:r>
      <w:r w:rsidRPr="00DA0A2E">
        <w:rPr>
          <w:i/>
          <w:lang w:val="sq-AL"/>
        </w:rPr>
        <w:t xml:space="preserve">prej </w:t>
      </w:r>
      <w:r w:rsidRPr="00DA0A2E">
        <w:rPr>
          <w:i/>
          <w:u w:val="single"/>
          <w:lang w:val="sq-AL"/>
        </w:rPr>
        <w:t>1 500 milionë lekësh</w:t>
      </w:r>
      <w:r w:rsidR="00B17164" w:rsidRPr="00DA0A2E">
        <w:rPr>
          <w:i/>
          <w:lang w:val="sq-AL"/>
        </w:rPr>
        <w:t>,</w:t>
      </w:r>
      <w:r w:rsidRPr="00DA0A2E">
        <w:rPr>
          <w:i/>
          <w:lang w:val="sq-AL"/>
        </w:rPr>
        <w:t xml:space="preserve"> përdoret nga Këshilli i Ministrave për raste të paparashikuara të njesive të qeverisjes së përgjithshme.</w:t>
      </w:r>
    </w:p>
    <w:p w:rsidR="006A3B6B" w:rsidRPr="00470C60" w:rsidRDefault="006A3B6B" w:rsidP="00DA0A2E">
      <w:pPr>
        <w:pStyle w:val="ListParagraph"/>
        <w:numPr>
          <w:ilvl w:val="0"/>
          <w:numId w:val="6"/>
        </w:numPr>
        <w:spacing w:line="360" w:lineRule="auto"/>
        <w:rPr>
          <w:rFonts w:ascii="Times New Roman" w:hAnsi="Times New Roman"/>
          <w:i/>
          <w:sz w:val="24"/>
          <w:lang w:val="sq-AL"/>
        </w:rPr>
      </w:pPr>
      <w:r w:rsidRPr="00470C60">
        <w:rPr>
          <w:rFonts w:ascii="Times New Roman" w:hAnsi="Times New Roman"/>
          <w:i/>
          <w:sz w:val="24"/>
          <w:lang w:val="sq-AL"/>
        </w:rPr>
        <w:t xml:space="preserve">Fondi rezervë i </w:t>
      </w:r>
      <w:r w:rsidR="0016286B" w:rsidRPr="00470C60">
        <w:rPr>
          <w:rFonts w:ascii="Times New Roman" w:hAnsi="Times New Roman"/>
          <w:i/>
          <w:sz w:val="24"/>
          <w:lang w:val="sq-AL"/>
        </w:rPr>
        <w:t>S</w:t>
      </w:r>
      <w:r w:rsidRPr="00470C60">
        <w:rPr>
          <w:rFonts w:ascii="Times New Roman" w:hAnsi="Times New Roman"/>
          <w:i/>
          <w:sz w:val="24"/>
          <w:lang w:val="sq-AL"/>
        </w:rPr>
        <w:t xml:space="preserve">istemit të </w:t>
      </w:r>
      <w:r w:rsidR="0016286B" w:rsidRPr="00470C60">
        <w:rPr>
          <w:rFonts w:ascii="Times New Roman" w:hAnsi="Times New Roman"/>
          <w:i/>
          <w:sz w:val="24"/>
          <w:lang w:val="sq-AL"/>
        </w:rPr>
        <w:t>D</w:t>
      </w:r>
      <w:r w:rsidRPr="00470C60">
        <w:rPr>
          <w:rFonts w:ascii="Times New Roman" w:hAnsi="Times New Roman"/>
          <w:i/>
          <w:sz w:val="24"/>
          <w:lang w:val="sq-AL"/>
        </w:rPr>
        <w:t>rejtësisë përdoret:</w:t>
      </w:r>
    </w:p>
    <w:p w:rsidR="00991B87" w:rsidRPr="00470C60" w:rsidRDefault="00991B87" w:rsidP="00DA0A2E">
      <w:pPr>
        <w:pStyle w:val="ListParagraph"/>
        <w:numPr>
          <w:ilvl w:val="0"/>
          <w:numId w:val="12"/>
        </w:numPr>
        <w:tabs>
          <w:tab w:val="left" w:pos="1350"/>
        </w:tabs>
        <w:spacing w:line="360" w:lineRule="auto"/>
        <w:ind w:left="1080" w:firstLine="0"/>
        <w:rPr>
          <w:rFonts w:ascii="Times New Roman" w:hAnsi="Times New Roman"/>
          <w:i/>
          <w:sz w:val="24"/>
          <w:lang w:val="sq-AL"/>
        </w:rPr>
      </w:pPr>
      <w:r w:rsidRPr="00470C60">
        <w:rPr>
          <w:rFonts w:ascii="Times New Roman" w:hAnsi="Times New Roman"/>
          <w:i/>
          <w:sz w:val="24"/>
          <w:lang w:val="sq-AL"/>
        </w:rPr>
        <w:t xml:space="preserve"> </w:t>
      </w:r>
      <w:r w:rsidRPr="00470C60">
        <w:rPr>
          <w:rFonts w:ascii="Times New Roman" w:hAnsi="Times New Roman"/>
          <w:i/>
          <w:sz w:val="24"/>
          <w:u w:val="single"/>
          <w:lang w:val="sq-AL"/>
        </w:rPr>
        <w:t>D</w:t>
      </w:r>
      <w:r w:rsidR="006A3B6B" w:rsidRPr="00470C60">
        <w:rPr>
          <w:rFonts w:ascii="Times New Roman" w:hAnsi="Times New Roman"/>
          <w:i/>
          <w:sz w:val="24"/>
          <w:u w:val="single"/>
          <w:lang w:val="sq-AL"/>
        </w:rPr>
        <w:t>eri në 1 miliard lekë</w:t>
      </w:r>
      <w:r w:rsidR="006A3B6B" w:rsidRPr="00470C60">
        <w:rPr>
          <w:rFonts w:ascii="Times New Roman" w:hAnsi="Times New Roman"/>
          <w:i/>
          <w:sz w:val="24"/>
          <w:lang w:val="sq-AL"/>
        </w:rPr>
        <w:t xml:space="preserve"> nga Ministria e Financave dhe Ekonomise</w:t>
      </w:r>
      <w:r w:rsidR="0016286B" w:rsidRPr="00470C60">
        <w:rPr>
          <w:rFonts w:ascii="Times New Roman" w:hAnsi="Times New Roman"/>
          <w:i/>
          <w:sz w:val="24"/>
          <w:lang w:val="sq-AL"/>
        </w:rPr>
        <w:t>,</w:t>
      </w:r>
      <w:r w:rsidR="006A3B6B" w:rsidRPr="00470C60">
        <w:rPr>
          <w:rFonts w:ascii="Times New Roman" w:hAnsi="Times New Roman"/>
          <w:i/>
          <w:sz w:val="24"/>
          <w:lang w:val="sq-AL"/>
        </w:rPr>
        <w:t xml:space="preserve"> për financimin e </w:t>
      </w:r>
      <w:r w:rsidR="0016286B" w:rsidRPr="00470C60">
        <w:rPr>
          <w:rFonts w:ascii="Times New Roman" w:hAnsi="Times New Roman"/>
          <w:i/>
          <w:sz w:val="24"/>
          <w:lang w:val="sq-AL"/>
        </w:rPr>
        <w:t>p</w:t>
      </w:r>
      <w:r w:rsidRPr="00470C60">
        <w:rPr>
          <w:rFonts w:ascii="Times New Roman" w:hAnsi="Times New Roman"/>
          <w:i/>
          <w:sz w:val="24"/>
          <w:lang w:val="sq-AL"/>
        </w:rPr>
        <w:t>agave  të reja të magjistratëve;</w:t>
      </w:r>
    </w:p>
    <w:p w:rsidR="00991B87" w:rsidRDefault="00991B87" w:rsidP="00DA0A2E">
      <w:pPr>
        <w:pStyle w:val="ListParagraph"/>
        <w:numPr>
          <w:ilvl w:val="0"/>
          <w:numId w:val="12"/>
        </w:numPr>
        <w:spacing w:line="360" w:lineRule="auto"/>
        <w:ind w:left="1080" w:firstLine="0"/>
        <w:rPr>
          <w:rFonts w:ascii="Times New Roman" w:hAnsi="Times New Roman"/>
          <w:i/>
          <w:sz w:val="24"/>
          <w:lang w:val="sq-AL"/>
        </w:rPr>
      </w:pPr>
      <w:r w:rsidRPr="00470C60">
        <w:rPr>
          <w:rFonts w:ascii="Times New Roman" w:hAnsi="Times New Roman"/>
          <w:i/>
          <w:sz w:val="24"/>
          <w:u w:val="single"/>
          <w:lang w:val="sq-AL"/>
        </w:rPr>
        <w:t>D</w:t>
      </w:r>
      <w:r w:rsidR="006A3B6B" w:rsidRPr="00470C60">
        <w:rPr>
          <w:rFonts w:ascii="Times New Roman" w:hAnsi="Times New Roman"/>
          <w:i/>
          <w:sz w:val="24"/>
          <w:u w:val="single"/>
          <w:lang w:val="sq-AL"/>
        </w:rPr>
        <w:t>eri në 400 milionë lekë</w:t>
      </w:r>
      <w:r w:rsidR="006A3B6B" w:rsidRPr="00470C60">
        <w:rPr>
          <w:rFonts w:ascii="Times New Roman" w:hAnsi="Times New Roman"/>
          <w:i/>
          <w:sz w:val="24"/>
          <w:lang w:val="sq-AL"/>
        </w:rPr>
        <w:t>, nga Këshilli i Ministrave</w:t>
      </w:r>
      <w:r w:rsidR="0016286B" w:rsidRPr="00470C60">
        <w:rPr>
          <w:rFonts w:ascii="Times New Roman" w:hAnsi="Times New Roman"/>
          <w:i/>
          <w:sz w:val="24"/>
          <w:lang w:val="sq-AL"/>
        </w:rPr>
        <w:t xml:space="preserve">, </w:t>
      </w:r>
      <w:r w:rsidR="006A3B6B" w:rsidRPr="00470C60">
        <w:rPr>
          <w:rFonts w:ascii="Times New Roman" w:hAnsi="Times New Roman"/>
          <w:i/>
          <w:sz w:val="24"/>
          <w:lang w:val="sq-AL"/>
        </w:rPr>
        <w:t xml:space="preserve">për krijimin dhe funksionimin e </w:t>
      </w:r>
      <w:r w:rsidRPr="00470C60">
        <w:rPr>
          <w:rFonts w:ascii="Times New Roman" w:hAnsi="Times New Roman"/>
          <w:i/>
          <w:sz w:val="24"/>
          <w:lang w:val="sq-AL"/>
        </w:rPr>
        <w:t xml:space="preserve">               institucioneve të reja të sistemit të drejtësisë, pas miratimit paraprak nga  Kuvendi.    </w:t>
      </w:r>
    </w:p>
    <w:p w:rsidR="00DA0A2E" w:rsidRPr="00DA0A2E" w:rsidRDefault="00DA0A2E" w:rsidP="00DA0A2E">
      <w:pPr>
        <w:pStyle w:val="ListParagraph"/>
        <w:numPr>
          <w:ilvl w:val="0"/>
          <w:numId w:val="20"/>
        </w:numPr>
        <w:spacing w:line="360" w:lineRule="auto"/>
        <w:rPr>
          <w:i/>
          <w:lang w:val="sq-AL"/>
        </w:rPr>
      </w:pPr>
      <w:r>
        <w:rPr>
          <w:lang w:val="sq-AL"/>
        </w:rPr>
        <w:t>Me Aktin Normativ nr. 2, dat</w:t>
      </w:r>
      <w:r w:rsidR="008E0594">
        <w:rPr>
          <w:lang w:val="sq-AL"/>
        </w:rPr>
        <w:t>ë</w:t>
      </w:r>
      <w:r>
        <w:rPr>
          <w:lang w:val="sq-AL"/>
        </w:rPr>
        <w:t xml:space="preserve"> 2.10.2019 “P</w:t>
      </w:r>
      <w:r w:rsidR="008E0594">
        <w:rPr>
          <w:lang w:val="sq-AL"/>
        </w:rPr>
        <w:t>ë</w:t>
      </w:r>
      <w:r>
        <w:rPr>
          <w:lang w:val="sq-AL"/>
        </w:rPr>
        <w:t>r disa ndryshime n</w:t>
      </w:r>
      <w:r w:rsidR="008E0594">
        <w:rPr>
          <w:lang w:val="sq-AL"/>
        </w:rPr>
        <w:t>ë</w:t>
      </w:r>
      <w:r>
        <w:rPr>
          <w:lang w:val="sq-AL"/>
        </w:rPr>
        <w:t xml:space="preserve"> Ligjin nr. 99/2018, “P</w:t>
      </w:r>
      <w:r w:rsidR="008E0594">
        <w:rPr>
          <w:lang w:val="sq-AL"/>
        </w:rPr>
        <w:t>ë</w:t>
      </w:r>
      <w:r>
        <w:rPr>
          <w:lang w:val="sq-AL"/>
        </w:rPr>
        <w:t>r Buxhetin e vitit 2019”, Fondi Rezerve u miratua n</w:t>
      </w:r>
      <w:r w:rsidR="008E0594">
        <w:rPr>
          <w:lang w:val="sq-AL"/>
        </w:rPr>
        <w:t>ë</w:t>
      </w:r>
      <w:r>
        <w:rPr>
          <w:lang w:val="sq-AL"/>
        </w:rPr>
        <w:t xml:space="preserve"> mas</w:t>
      </w:r>
      <w:r w:rsidR="008E0594">
        <w:rPr>
          <w:lang w:val="sq-AL"/>
        </w:rPr>
        <w:t>ë</w:t>
      </w:r>
      <w:r>
        <w:rPr>
          <w:lang w:val="sq-AL"/>
        </w:rPr>
        <w:t>n 3 350 milion</w:t>
      </w:r>
      <w:r w:rsidR="008E0594">
        <w:rPr>
          <w:lang w:val="sq-AL"/>
        </w:rPr>
        <w:t>ë</w:t>
      </w:r>
      <w:r>
        <w:rPr>
          <w:lang w:val="sq-AL"/>
        </w:rPr>
        <w:t xml:space="preserve"> lek</w:t>
      </w:r>
      <w:r w:rsidR="008E0594">
        <w:rPr>
          <w:lang w:val="sq-AL"/>
        </w:rPr>
        <w:t>ë</w:t>
      </w:r>
      <w:r>
        <w:rPr>
          <w:lang w:val="sq-AL"/>
        </w:rPr>
        <w:t xml:space="preserve"> dhe n</w:t>
      </w:r>
      <w:r w:rsidR="008E0594">
        <w:rPr>
          <w:lang w:val="sq-AL"/>
        </w:rPr>
        <w:t>ë</w:t>
      </w:r>
      <w:r>
        <w:rPr>
          <w:lang w:val="sq-AL"/>
        </w:rPr>
        <w:t xml:space="preserve"> nenin 13 p</w:t>
      </w:r>
      <w:r w:rsidR="008E0594">
        <w:rPr>
          <w:lang w:val="sq-AL"/>
        </w:rPr>
        <w:t>ë</w:t>
      </w:r>
      <w:r>
        <w:rPr>
          <w:lang w:val="sq-AL"/>
        </w:rPr>
        <w:t>rcaktohet:</w:t>
      </w:r>
    </w:p>
    <w:p w:rsidR="00DA0A2E" w:rsidRPr="00DA0A2E" w:rsidRDefault="00DA0A2E" w:rsidP="00DA0A2E">
      <w:pPr>
        <w:pStyle w:val="ListParagraph"/>
        <w:numPr>
          <w:ilvl w:val="0"/>
          <w:numId w:val="6"/>
        </w:numPr>
        <w:spacing w:line="360" w:lineRule="auto"/>
        <w:rPr>
          <w:i/>
          <w:lang w:val="sq-AL"/>
        </w:rPr>
      </w:pPr>
      <w:r w:rsidRPr="00DA0A2E">
        <w:rPr>
          <w:i/>
          <w:lang w:val="sq-AL"/>
        </w:rPr>
        <w:t xml:space="preserve">Fondi rezervë i Buxhetit prej </w:t>
      </w:r>
      <w:r>
        <w:rPr>
          <w:i/>
          <w:lang w:val="sq-AL"/>
        </w:rPr>
        <w:t>2 000</w:t>
      </w:r>
      <w:r w:rsidRPr="00DA0A2E">
        <w:rPr>
          <w:i/>
          <w:lang w:val="sq-AL"/>
        </w:rPr>
        <w:t xml:space="preserve"> milionë lekësh, përdoret nga Këshilli i Ministrave për raste të paparashikuara të njesive të qeverisjes së përgjithshme.</w:t>
      </w:r>
    </w:p>
    <w:p w:rsidR="00DA0A2E" w:rsidRPr="00DA0A2E" w:rsidRDefault="00DA0A2E" w:rsidP="00DA0A2E">
      <w:pPr>
        <w:pStyle w:val="ListParagraph"/>
        <w:numPr>
          <w:ilvl w:val="0"/>
          <w:numId w:val="6"/>
        </w:numPr>
        <w:spacing w:line="360" w:lineRule="auto"/>
        <w:rPr>
          <w:i/>
          <w:lang w:val="sq-AL"/>
        </w:rPr>
      </w:pPr>
      <w:r w:rsidRPr="00DA0A2E">
        <w:rPr>
          <w:i/>
          <w:lang w:val="sq-AL"/>
        </w:rPr>
        <w:t>Fondi rezervë i Sistemit të Drejtësisë përdoret:</w:t>
      </w:r>
    </w:p>
    <w:p w:rsidR="00DA0A2E" w:rsidRDefault="00DA0A2E" w:rsidP="00DA0A2E">
      <w:pPr>
        <w:pStyle w:val="ListParagraph"/>
        <w:numPr>
          <w:ilvl w:val="0"/>
          <w:numId w:val="21"/>
        </w:numPr>
        <w:spacing w:line="360" w:lineRule="auto"/>
        <w:ind w:firstLine="0"/>
        <w:rPr>
          <w:i/>
          <w:lang w:val="sq-AL"/>
        </w:rPr>
      </w:pPr>
      <w:r w:rsidRPr="00DA0A2E">
        <w:rPr>
          <w:i/>
          <w:lang w:val="sq-AL"/>
        </w:rPr>
        <w:t>Deri në 1 miliard lekë nga Ministria e Financave dhe Ekonomise, për financimin e pagave  të reja të magjistratëve;</w:t>
      </w:r>
    </w:p>
    <w:p w:rsidR="00E11CAD" w:rsidRDefault="00DA0A2E" w:rsidP="00DA0A2E">
      <w:pPr>
        <w:pStyle w:val="ListParagraph"/>
        <w:numPr>
          <w:ilvl w:val="0"/>
          <w:numId w:val="21"/>
        </w:numPr>
        <w:spacing w:line="360" w:lineRule="auto"/>
        <w:ind w:left="1260" w:hanging="90"/>
        <w:rPr>
          <w:i/>
          <w:lang w:val="sq-AL"/>
        </w:rPr>
      </w:pPr>
      <w:r w:rsidRPr="00DA0A2E">
        <w:rPr>
          <w:i/>
          <w:lang w:val="sq-AL"/>
        </w:rPr>
        <w:t xml:space="preserve"> Deri në </w:t>
      </w:r>
      <w:r>
        <w:rPr>
          <w:i/>
          <w:lang w:val="sq-AL"/>
        </w:rPr>
        <w:t>350</w:t>
      </w:r>
      <w:r w:rsidRPr="00DA0A2E">
        <w:rPr>
          <w:i/>
          <w:lang w:val="sq-AL"/>
        </w:rPr>
        <w:t xml:space="preserve"> milionë lekë, nga Këshilli i Ministrave, për krijimin dhe funksionimin e institucioneve </w:t>
      </w:r>
      <w:r>
        <w:rPr>
          <w:i/>
          <w:lang w:val="sq-AL"/>
        </w:rPr>
        <w:t xml:space="preserve">  </w:t>
      </w:r>
      <w:r w:rsidRPr="00DA0A2E">
        <w:rPr>
          <w:i/>
          <w:lang w:val="sq-AL"/>
        </w:rPr>
        <w:t xml:space="preserve">të reja të sistemit të drejtësisë, pas miratimit paraprak nga  Kuvendi.   </w:t>
      </w:r>
    </w:p>
    <w:p w:rsidR="00E11CAD" w:rsidRPr="00E11CAD" w:rsidRDefault="00E11CAD" w:rsidP="00E11CAD">
      <w:pPr>
        <w:pStyle w:val="ListParagraph"/>
        <w:widowControl w:val="0"/>
        <w:numPr>
          <w:ilvl w:val="0"/>
          <w:numId w:val="20"/>
        </w:numPr>
        <w:autoSpaceDE w:val="0"/>
        <w:autoSpaceDN w:val="0"/>
        <w:adjustRightInd w:val="0"/>
        <w:rPr>
          <w:szCs w:val="22"/>
          <w:lang w:val="sq-AL"/>
        </w:rPr>
      </w:pPr>
      <w:r w:rsidRPr="00E11CAD">
        <w:rPr>
          <w:i/>
          <w:lang w:val="sq-AL"/>
        </w:rPr>
        <w:t>Me Aktin Normativ nr. 11, dat</w:t>
      </w:r>
      <w:r w:rsidR="00337E1F">
        <w:rPr>
          <w:i/>
          <w:lang w:val="sq-AL"/>
        </w:rPr>
        <w:t>ë</w:t>
      </w:r>
      <w:r w:rsidRPr="00E11CAD">
        <w:rPr>
          <w:i/>
          <w:lang w:val="sq-AL"/>
        </w:rPr>
        <w:t xml:space="preserve"> 24.12.2019 , paragrafi i par</w:t>
      </w:r>
      <w:r w:rsidR="00337E1F">
        <w:rPr>
          <w:i/>
          <w:lang w:val="sq-AL"/>
        </w:rPr>
        <w:t>ë</w:t>
      </w:r>
      <w:r w:rsidRPr="00E11CAD">
        <w:rPr>
          <w:i/>
          <w:lang w:val="sq-AL"/>
        </w:rPr>
        <w:t xml:space="preserve"> i nenit 13 u ndryshua: </w:t>
      </w:r>
    </w:p>
    <w:p w:rsidR="00E11CAD" w:rsidRDefault="00E11CAD" w:rsidP="00E11CAD">
      <w:pPr>
        <w:pStyle w:val="ListParagraph"/>
        <w:widowControl w:val="0"/>
        <w:autoSpaceDE w:val="0"/>
        <w:autoSpaceDN w:val="0"/>
        <w:adjustRightInd w:val="0"/>
        <w:rPr>
          <w:i/>
          <w:lang w:val="sq-AL"/>
        </w:rPr>
      </w:pPr>
    </w:p>
    <w:p w:rsidR="00E11CAD" w:rsidRPr="002314FE" w:rsidRDefault="00E11CAD" w:rsidP="00B73C5D">
      <w:pPr>
        <w:pStyle w:val="ListParagraph"/>
        <w:numPr>
          <w:ilvl w:val="0"/>
          <w:numId w:val="23"/>
        </w:numPr>
        <w:spacing w:line="360" w:lineRule="auto"/>
        <w:rPr>
          <w:szCs w:val="22"/>
          <w:lang w:val="sq-AL"/>
        </w:rPr>
      </w:pPr>
      <w:r w:rsidRPr="002314FE">
        <w:rPr>
          <w:i/>
          <w:lang w:val="sq-AL"/>
        </w:rPr>
        <w:t>“Fondi rezervë i buxhetit prej 2 235 milionë lekësh përdoret nga Këshilli i Ministrave për raste të paparashikuara të njësive të qeverisjes së përgjithshme</w:t>
      </w:r>
      <w:r w:rsidRPr="002314FE">
        <w:rPr>
          <w:szCs w:val="22"/>
          <w:lang w:val="sq-AL"/>
        </w:rPr>
        <w:t>.”</w:t>
      </w:r>
    </w:p>
    <w:p w:rsidR="005D2849" w:rsidRPr="00DA0A2E" w:rsidRDefault="00CF183B" w:rsidP="001F1204">
      <w:pPr>
        <w:spacing w:line="360" w:lineRule="auto"/>
        <w:jc w:val="both"/>
        <w:rPr>
          <w:lang w:val="sq-AL"/>
        </w:rPr>
      </w:pPr>
      <w:r w:rsidRPr="00DA0A2E">
        <w:rPr>
          <w:b/>
          <w:spacing w:val="-1"/>
          <w:lang w:val="sq-AL"/>
        </w:rPr>
        <w:t xml:space="preserve">Deri në datën </w:t>
      </w:r>
      <w:r w:rsidR="00E11CAD">
        <w:rPr>
          <w:b/>
          <w:spacing w:val="-1"/>
          <w:lang w:val="sq-AL"/>
        </w:rPr>
        <w:t>31</w:t>
      </w:r>
      <w:r w:rsidR="0072017E">
        <w:rPr>
          <w:b/>
          <w:spacing w:val="-1"/>
          <w:lang w:val="sq-AL"/>
        </w:rPr>
        <w:t xml:space="preserve"> </w:t>
      </w:r>
      <w:r w:rsidR="00E11CAD">
        <w:rPr>
          <w:b/>
          <w:spacing w:val="-1"/>
          <w:lang w:val="sq-AL"/>
        </w:rPr>
        <w:t>Dhjetor</w:t>
      </w:r>
      <w:r w:rsidRPr="00DA0A2E">
        <w:rPr>
          <w:b/>
          <w:spacing w:val="-1"/>
          <w:lang w:val="sq-AL"/>
        </w:rPr>
        <w:t xml:space="preserve"> 201</w:t>
      </w:r>
      <w:r w:rsidR="00991B87" w:rsidRPr="00DA0A2E">
        <w:rPr>
          <w:b/>
          <w:spacing w:val="-1"/>
          <w:lang w:val="sq-AL"/>
        </w:rPr>
        <w:t>9</w:t>
      </w:r>
      <w:r w:rsidRPr="00DA0A2E">
        <w:rPr>
          <w:spacing w:val="-1"/>
          <w:lang w:val="sq-AL"/>
        </w:rPr>
        <w:t xml:space="preserve">, </w:t>
      </w:r>
      <w:r w:rsidRPr="00DA0A2E">
        <w:rPr>
          <w:b/>
          <w:color w:val="FF0000"/>
          <w:spacing w:val="-1"/>
          <w:lang w:val="sq-AL"/>
        </w:rPr>
        <w:t>Fondi Rezervë i Buxhetit të Shtetit</w:t>
      </w:r>
      <w:r w:rsidRPr="00DA0A2E">
        <w:rPr>
          <w:color w:val="FF0000"/>
          <w:spacing w:val="-1"/>
          <w:lang w:val="sq-AL"/>
        </w:rPr>
        <w:t xml:space="preserve"> </w:t>
      </w:r>
      <w:r w:rsidRPr="00DA0A2E">
        <w:rPr>
          <w:lang w:val="sq-AL"/>
        </w:rPr>
        <w:t xml:space="preserve">është </w:t>
      </w:r>
      <w:r w:rsidRPr="00DA0A2E">
        <w:rPr>
          <w:b/>
          <w:lang w:val="sq-AL"/>
        </w:rPr>
        <w:t xml:space="preserve">përdorur </w:t>
      </w:r>
      <w:r w:rsidRPr="00DA0A2E">
        <w:rPr>
          <w:u w:val="single"/>
          <w:lang w:val="sq-AL"/>
        </w:rPr>
        <w:t xml:space="preserve">nëpërmjet </w:t>
      </w:r>
      <w:r w:rsidR="00AB0070">
        <w:rPr>
          <w:u w:val="single"/>
          <w:lang w:val="sq-AL"/>
        </w:rPr>
        <w:t>2</w:t>
      </w:r>
      <w:r w:rsidR="00E11CAD">
        <w:rPr>
          <w:u w:val="single"/>
          <w:lang w:val="sq-AL"/>
        </w:rPr>
        <w:t>3</w:t>
      </w:r>
      <w:r w:rsidR="00AB0070">
        <w:rPr>
          <w:u w:val="single"/>
          <w:lang w:val="sq-AL"/>
        </w:rPr>
        <w:t xml:space="preserve"> V</w:t>
      </w:r>
      <w:r w:rsidRPr="00DA0A2E">
        <w:rPr>
          <w:spacing w:val="-1"/>
          <w:u w:val="single"/>
          <w:lang w:val="sq-AL"/>
        </w:rPr>
        <w:t xml:space="preserve">endimeve të Këshillit të </w:t>
      </w:r>
      <w:r w:rsidRPr="00DA0A2E">
        <w:rPr>
          <w:spacing w:val="7"/>
          <w:u w:val="single"/>
          <w:lang w:val="sq-AL"/>
        </w:rPr>
        <w:t>Ministrave</w:t>
      </w:r>
      <w:r w:rsidR="0016286B" w:rsidRPr="00DA0A2E">
        <w:rPr>
          <w:spacing w:val="7"/>
          <w:u w:val="single"/>
          <w:lang w:val="sq-AL"/>
        </w:rPr>
        <w:t xml:space="preserve"> (VKM)</w:t>
      </w:r>
      <w:r w:rsidRPr="00DA0A2E">
        <w:rPr>
          <w:spacing w:val="7"/>
          <w:lang w:val="sq-AL"/>
        </w:rPr>
        <w:t xml:space="preserve"> </w:t>
      </w:r>
      <w:r w:rsidR="00A048C2" w:rsidRPr="00DA0A2E">
        <w:rPr>
          <w:spacing w:val="7"/>
          <w:lang w:val="sq-AL"/>
        </w:rPr>
        <w:t>me vler</w:t>
      </w:r>
      <w:r w:rsidR="00B92D75" w:rsidRPr="00DA0A2E">
        <w:rPr>
          <w:spacing w:val="7"/>
          <w:lang w:val="sq-AL"/>
        </w:rPr>
        <w:t>ë</w:t>
      </w:r>
      <w:r w:rsidR="00A048C2" w:rsidRPr="00DA0A2E">
        <w:rPr>
          <w:spacing w:val="7"/>
          <w:lang w:val="sq-AL"/>
        </w:rPr>
        <w:t xml:space="preserve"> totale</w:t>
      </w:r>
      <w:r w:rsidRPr="00DA0A2E">
        <w:rPr>
          <w:spacing w:val="7"/>
          <w:lang w:val="sq-AL"/>
        </w:rPr>
        <w:t xml:space="preserve"> prej </w:t>
      </w:r>
      <w:r w:rsidR="00E11CAD">
        <w:rPr>
          <w:b/>
          <w:spacing w:val="7"/>
          <w:lang w:val="sq-AL"/>
        </w:rPr>
        <w:t>2 056.4</w:t>
      </w:r>
      <w:r w:rsidR="00705001" w:rsidRPr="00DA0A2E">
        <w:rPr>
          <w:b/>
          <w:spacing w:val="7"/>
          <w:lang w:val="sq-AL"/>
        </w:rPr>
        <w:t xml:space="preserve"> </w:t>
      </w:r>
      <w:r w:rsidRPr="00DA0A2E">
        <w:rPr>
          <w:b/>
          <w:spacing w:val="7"/>
          <w:lang w:val="sq-AL"/>
        </w:rPr>
        <w:t xml:space="preserve"> milionë</w:t>
      </w:r>
      <w:r w:rsidRPr="00DA0A2E">
        <w:rPr>
          <w:b/>
          <w:lang w:val="sq-AL"/>
        </w:rPr>
        <w:t xml:space="preserve"> lekësh</w:t>
      </w:r>
      <w:r w:rsidRPr="00DA0A2E">
        <w:rPr>
          <w:lang w:val="sq-AL"/>
        </w:rPr>
        <w:t xml:space="preserve">, nga </w:t>
      </w:r>
      <w:r w:rsidR="00AB0070">
        <w:rPr>
          <w:lang w:val="sq-AL"/>
        </w:rPr>
        <w:t>2</w:t>
      </w:r>
      <w:r w:rsidR="00E11CAD">
        <w:rPr>
          <w:lang w:val="sq-AL"/>
        </w:rPr>
        <w:t xml:space="preserve">.235 </w:t>
      </w:r>
      <w:r w:rsidRPr="00DA0A2E">
        <w:rPr>
          <w:lang w:val="sq-AL"/>
        </w:rPr>
        <w:t xml:space="preserve">miliard lekë të planifikuara ose në rreth </w:t>
      </w:r>
      <w:r w:rsidR="001F1204">
        <w:rPr>
          <w:b/>
          <w:lang w:val="sq-AL"/>
        </w:rPr>
        <w:t>92</w:t>
      </w:r>
      <w:r w:rsidRPr="00DA0A2E">
        <w:rPr>
          <w:b/>
          <w:lang w:val="sq-AL"/>
        </w:rPr>
        <w:t xml:space="preserve">% përqind të </w:t>
      </w:r>
      <w:r w:rsidR="00A048C2" w:rsidRPr="00DA0A2E">
        <w:rPr>
          <w:b/>
          <w:lang w:val="sq-AL"/>
        </w:rPr>
        <w:t>planit</w:t>
      </w:r>
      <w:r w:rsidRPr="00DA0A2E">
        <w:rPr>
          <w:lang w:val="sq-AL"/>
        </w:rPr>
        <w:t>.</w:t>
      </w:r>
    </w:p>
    <w:p w:rsidR="001447E3" w:rsidRDefault="001447E3" w:rsidP="00470C60">
      <w:pPr>
        <w:spacing w:line="360" w:lineRule="auto"/>
        <w:rPr>
          <w:i/>
          <w:iCs/>
          <w:lang w:val="sq-AL"/>
        </w:rPr>
      </w:pPr>
    </w:p>
    <w:p w:rsidR="00060800" w:rsidRPr="00470C60" w:rsidRDefault="000D68E1" w:rsidP="00470C60">
      <w:pPr>
        <w:spacing w:line="360" w:lineRule="auto"/>
        <w:rPr>
          <w:i/>
          <w:lang w:val="sq-AL"/>
        </w:rPr>
      </w:pPr>
      <w:r w:rsidRPr="00470C60">
        <w:rPr>
          <w:i/>
          <w:iCs/>
          <w:lang w:val="sq-AL"/>
        </w:rPr>
        <w:lastRenderedPageBreak/>
        <w:t>Tabela 1:</w:t>
      </w:r>
      <w:r w:rsidRPr="00470C60">
        <w:rPr>
          <w:i/>
          <w:iCs/>
          <w:lang w:val="sq-AL"/>
        </w:rPr>
        <w:tab/>
      </w:r>
      <w:r w:rsidR="00384EF7" w:rsidRPr="00470C60">
        <w:rPr>
          <w:i/>
          <w:iCs/>
          <w:lang w:val="sq-AL"/>
        </w:rPr>
        <w:t>P</w:t>
      </w:r>
      <w:r w:rsidR="007E0672" w:rsidRPr="00470C60">
        <w:rPr>
          <w:i/>
          <w:iCs/>
          <w:lang w:val="sq-AL"/>
        </w:rPr>
        <w:t>ë</w:t>
      </w:r>
      <w:r w:rsidR="00384EF7" w:rsidRPr="00470C60">
        <w:rPr>
          <w:i/>
          <w:iCs/>
          <w:lang w:val="sq-AL"/>
        </w:rPr>
        <w:t>rdorimi i fondit rezerv</w:t>
      </w:r>
      <w:r w:rsidR="00B34994" w:rsidRPr="00470C60">
        <w:rPr>
          <w:i/>
          <w:iCs/>
          <w:lang w:val="sq-AL"/>
        </w:rPr>
        <w:t>ë</w:t>
      </w:r>
      <w:r w:rsidR="00384EF7" w:rsidRPr="00470C60">
        <w:rPr>
          <w:i/>
          <w:iCs/>
          <w:lang w:val="sq-AL"/>
        </w:rPr>
        <w:t xml:space="preserve"> </w:t>
      </w:r>
      <w:r w:rsidR="0072017E">
        <w:rPr>
          <w:i/>
          <w:iCs/>
          <w:lang w:val="sq-AL"/>
        </w:rPr>
        <w:t xml:space="preserve">deri </w:t>
      </w:r>
      <w:r w:rsidR="00AB0070">
        <w:rPr>
          <w:i/>
          <w:iCs/>
          <w:lang w:val="sq-AL"/>
        </w:rPr>
        <w:t>m</w:t>
      </w:r>
      <w:r w:rsidR="00337E1F">
        <w:rPr>
          <w:i/>
          <w:iCs/>
          <w:lang w:val="sq-AL"/>
        </w:rPr>
        <w:t>ë</w:t>
      </w:r>
      <w:r w:rsidR="00AB0070">
        <w:rPr>
          <w:i/>
          <w:iCs/>
          <w:lang w:val="sq-AL"/>
        </w:rPr>
        <w:t xml:space="preserve"> </w:t>
      </w:r>
      <w:r w:rsidR="001F1204">
        <w:rPr>
          <w:i/>
          <w:iCs/>
          <w:lang w:val="sq-AL"/>
        </w:rPr>
        <w:t>31</w:t>
      </w:r>
      <w:r w:rsidR="00AB0070">
        <w:rPr>
          <w:i/>
          <w:iCs/>
          <w:lang w:val="sq-AL"/>
        </w:rPr>
        <w:t>.1</w:t>
      </w:r>
      <w:r w:rsidR="001F1204">
        <w:rPr>
          <w:i/>
          <w:iCs/>
          <w:lang w:val="sq-AL"/>
        </w:rPr>
        <w:t>2</w:t>
      </w:r>
      <w:r w:rsidR="0072017E">
        <w:rPr>
          <w:i/>
          <w:iCs/>
          <w:lang w:val="sq-AL"/>
        </w:rPr>
        <w:t>.2019</w:t>
      </w:r>
      <w:r w:rsidRPr="00470C60">
        <w:rPr>
          <w:i/>
          <w:iCs/>
          <w:lang w:val="sq-AL"/>
        </w:rPr>
        <w:t xml:space="preserve"> (në milionë lekë)</w:t>
      </w:r>
      <w:r w:rsidR="00384EF7" w:rsidRPr="00470C60">
        <w:rPr>
          <w:i/>
          <w:iCs/>
          <w:lang w:val="sq-AL"/>
        </w:rPr>
        <w:t xml:space="preserve">                                                    </w:t>
      </w:r>
      <w:r w:rsidR="00115E31" w:rsidRPr="00470C60">
        <w:rPr>
          <w:i/>
          <w:iCs/>
          <w:lang w:val="sq-AL"/>
        </w:rPr>
        <w:t xml:space="preserve"> </w:t>
      </w:r>
      <w:r w:rsidR="00384EF7" w:rsidRPr="00470C60">
        <w:rPr>
          <w:i/>
          <w:iCs/>
          <w:lang w:val="sq-AL"/>
        </w:rPr>
        <w:t xml:space="preserve"> </w:t>
      </w:r>
      <w:r w:rsidR="00115E31" w:rsidRPr="00470C60">
        <w:rPr>
          <w:i/>
          <w:iCs/>
          <w:lang w:val="sq-AL"/>
        </w:rPr>
        <w:t xml:space="preserve">  </w:t>
      </w:r>
      <w:r w:rsidR="00384EF7" w:rsidRPr="00470C60">
        <w:rPr>
          <w:i/>
          <w:iCs/>
          <w:lang w:val="sq-AL"/>
        </w:rPr>
        <w:t xml:space="preserve"> </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blLook w:val="01E0" w:firstRow="1" w:lastRow="1" w:firstColumn="1" w:lastColumn="1" w:noHBand="0" w:noVBand="0"/>
      </w:tblPr>
      <w:tblGrid>
        <w:gridCol w:w="2333"/>
        <w:gridCol w:w="1983"/>
        <w:gridCol w:w="2066"/>
        <w:gridCol w:w="2040"/>
        <w:gridCol w:w="2528"/>
      </w:tblGrid>
      <w:tr w:rsidR="00930178" w:rsidRPr="00470C60" w:rsidTr="00470C60">
        <w:trPr>
          <w:trHeight w:val="329"/>
          <w:jc w:val="center"/>
        </w:trPr>
        <w:tc>
          <w:tcPr>
            <w:tcW w:w="2333" w:type="dxa"/>
            <w:vMerge w:val="restart"/>
            <w:shd w:val="clear" w:color="auto" w:fill="EAF1DD" w:themeFill="accent3" w:themeFillTint="33"/>
            <w:vAlign w:val="center"/>
          </w:tcPr>
          <w:p w:rsidR="00343BC8" w:rsidRPr="00470C60" w:rsidRDefault="00930178" w:rsidP="00470C60">
            <w:pPr>
              <w:jc w:val="center"/>
              <w:rPr>
                <w:b/>
                <w:bCs/>
                <w:sz w:val="20"/>
                <w:lang w:val="sq-AL"/>
              </w:rPr>
            </w:pPr>
            <w:r w:rsidRPr="00470C60">
              <w:rPr>
                <w:b/>
                <w:bCs/>
                <w:sz w:val="20"/>
                <w:lang w:val="sq-AL"/>
              </w:rPr>
              <w:t>Fondi Rezervë</w:t>
            </w:r>
            <w:r w:rsidR="006A4BA5" w:rsidRPr="00470C60">
              <w:rPr>
                <w:b/>
                <w:bCs/>
                <w:sz w:val="20"/>
                <w:lang w:val="sq-AL"/>
              </w:rPr>
              <w:t xml:space="preserve"> </w:t>
            </w:r>
          </w:p>
          <w:p w:rsidR="00930178" w:rsidRPr="00470C60" w:rsidRDefault="006A4BA5" w:rsidP="00470C60">
            <w:pPr>
              <w:jc w:val="center"/>
              <w:rPr>
                <w:b/>
                <w:bCs/>
                <w:sz w:val="20"/>
                <w:lang w:val="sq-AL"/>
              </w:rPr>
            </w:pPr>
            <w:r w:rsidRPr="00470C60">
              <w:rPr>
                <w:b/>
                <w:bCs/>
                <w:sz w:val="20"/>
                <w:lang w:val="sq-AL"/>
              </w:rPr>
              <w:t>i Buxhetit të Shtetit</w:t>
            </w:r>
          </w:p>
          <w:p w:rsidR="00343BC8" w:rsidRPr="00470C60" w:rsidRDefault="00343BC8" w:rsidP="00470C60">
            <w:pPr>
              <w:jc w:val="center"/>
              <w:rPr>
                <w:sz w:val="20"/>
                <w:lang w:val="sq-AL"/>
              </w:rPr>
            </w:pPr>
            <w:r w:rsidRPr="00470C60">
              <w:rPr>
                <w:b/>
                <w:bCs/>
                <w:sz w:val="20"/>
                <w:lang w:val="sq-AL"/>
              </w:rPr>
              <w:t>201</w:t>
            </w:r>
            <w:r w:rsidR="00AD372F" w:rsidRPr="00470C60">
              <w:rPr>
                <w:b/>
                <w:bCs/>
                <w:sz w:val="20"/>
                <w:lang w:val="sq-AL"/>
              </w:rPr>
              <w:t>9</w:t>
            </w:r>
          </w:p>
        </w:tc>
        <w:tc>
          <w:tcPr>
            <w:tcW w:w="1983" w:type="dxa"/>
            <w:shd w:val="clear" w:color="auto" w:fill="EAF1DD" w:themeFill="accent3" w:themeFillTint="33"/>
            <w:vAlign w:val="center"/>
          </w:tcPr>
          <w:p w:rsidR="000D68E1" w:rsidRPr="00470C60" w:rsidRDefault="00930178" w:rsidP="00470C60">
            <w:pPr>
              <w:jc w:val="center"/>
              <w:rPr>
                <w:b/>
                <w:bCs/>
                <w:sz w:val="20"/>
                <w:lang w:val="sq-AL"/>
              </w:rPr>
            </w:pPr>
            <w:r w:rsidRPr="00470C60">
              <w:rPr>
                <w:b/>
                <w:bCs/>
                <w:sz w:val="20"/>
                <w:lang w:val="sq-AL"/>
              </w:rPr>
              <w:t xml:space="preserve">Miratuar </w:t>
            </w:r>
            <w:r w:rsidR="000D68E1" w:rsidRPr="00470C60">
              <w:rPr>
                <w:b/>
                <w:bCs/>
                <w:sz w:val="20"/>
                <w:lang w:val="sq-AL"/>
              </w:rPr>
              <w:t xml:space="preserve">me ligj </w:t>
            </w:r>
          </w:p>
          <w:p w:rsidR="00930178" w:rsidRPr="00470C60" w:rsidRDefault="00930178" w:rsidP="00470C60">
            <w:pPr>
              <w:jc w:val="center"/>
              <w:rPr>
                <w:sz w:val="20"/>
                <w:lang w:val="sq-AL"/>
              </w:rPr>
            </w:pPr>
            <w:r w:rsidRPr="00470C60">
              <w:rPr>
                <w:b/>
                <w:bCs/>
                <w:sz w:val="20"/>
                <w:lang w:val="sq-AL"/>
              </w:rPr>
              <w:t>për vitin 201</w:t>
            </w:r>
            <w:r w:rsidR="00991B87" w:rsidRPr="00470C60">
              <w:rPr>
                <w:b/>
                <w:bCs/>
                <w:sz w:val="20"/>
                <w:lang w:val="sq-AL"/>
              </w:rPr>
              <w:t>9</w:t>
            </w:r>
          </w:p>
        </w:tc>
        <w:tc>
          <w:tcPr>
            <w:tcW w:w="2066" w:type="dxa"/>
            <w:shd w:val="clear" w:color="auto" w:fill="EAF1DD" w:themeFill="accent3" w:themeFillTint="33"/>
            <w:vAlign w:val="center"/>
          </w:tcPr>
          <w:p w:rsidR="00930178" w:rsidRPr="00470C60" w:rsidRDefault="00930178" w:rsidP="001F1204">
            <w:pPr>
              <w:jc w:val="center"/>
              <w:rPr>
                <w:b/>
                <w:bCs/>
                <w:sz w:val="20"/>
                <w:lang w:val="sq-AL"/>
              </w:rPr>
            </w:pPr>
            <w:r w:rsidRPr="00470C60">
              <w:rPr>
                <w:b/>
                <w:bCs/>
                <w:sz w:val="20"/>
                <w:lang w:val="sq-AL"/>
              </w:rPr>
              <w:t xml:space="preserve">Përdorur me </w:t>
            </w:r>
            <w:r w:rsidR="006A4BA5" w:rsidRPr="00470C60">
              <w:rPr>
                <w:b/>
                <w:bCs/>
                <w:sz w:val="20"/>
                <w:lang w:val="sq-AL"/>
              </w:rPr>
              <w:t>VKM</w:t>
            </w:r>
            <w:r w:rsidR="000D68E1" w:rsidRPr="00470C60">
              <w:rPr>
                <w:b/>
                <w:bCs/>
                <w:sz w:val="20"/>
                <w:lang w:val="sq-AL"/>
              </w:rPr>
              <w:t xml:space="preserve"> </w:t>
            </w:r>
            <w:r w:rsidR="0072017E">
              <w:rPr>
                <w:b/>
                <w:bCs/>
                <w:sz w:val="20"/>
                <w:lang w:val="sq-AL"/>
              </w:rPr>
              <w:t xml:space="preserve">deri </w:t>
            </w:r>
            <w:r w:rsidR="001F1204">
              <w:rPr>
                <w:b/>
                <w:bCs/>
                <w:sz w:val="20"/>
                <w:lang w:val="sq-AL"/>
              </w:rPr>
              <w:t>31.12</w:t>
            </w:r>
            <w:r w:rsidR="0072017E">
              <w:rPr>
                <w:b/>
                <w:bCs/>
                <w:sz w:val="20"/>
                <w:lang w:val="sq-AL"/>
              </w:rPr>
              <w:t>.2019</w:t>
            </w:r>
          </w:p>
        </w:tc>
        <w:tc>
          <w:tcPr>
            <w:tcW w:w="2040" w:type="dxa"/>
            <w:shd w:val="clear" w:color="auto" w:fill="EAF1DD" w:themeFill="accent3" w:themeFillTint="33"/>
            <w:vAlign w:val="center"/>
          </w:tcPr>
          <w:p w:rsidR="000D68E1" w:rsidRPr="00470C60" w:rsidRDefault="00930178" w:rsidP="00470C60">
            <w:pPr>
              <w:jc w:val="center"/>
              <w:rPr>
                <w:b/>
                <w:bCs/>
                <w:sz w:val="20"/>
                <w:lang w:val="sq-AL"/>
              </w:rPr>
            </w:pPr>
            <w:r w:rsidRPr="00470C60">
              <w:rPr>
                <w:b/>
                <w:bCs/>
                <w:sz w:val="20"/>
                <w:lang w:val="sq-AL"/>
              </w:rPr>
              <w:t>Mbetur</w:t>
            </w:r>
            <w:r w:rsidR="006A4BA5" w:rsidRPr="00470C60">
              <w:rPr>
                <w:b/>
                <w:bCs/>
                <w:sz w:val="20"/>
                <w:lang w:val="sq-AL"/>
              </w:rPr>
              <w:t xml:space="preserve"> pa p</w:t>
            </w:r>
            <w:r w:rsidR="000D68E1" w:rsidRPr="00470C60">
              <w:rPr>
                <w:b/>
                <w:bCs/>
                <w:sz w:val="20"/>
                <w:lang w:val="sq-AL"/>
              </w:rPr>
              <w:t>ë</w:t>
            </w:r>
            <w:r w:rsidR="006A4BA5" w:rsidRPr="00470C60">
              <w:rPr>
                <w:b/>
                <w:bCs/>
                <w:sz w:val="20"/>
                <w:lang w:val="sq-AL"/>
              </w:rPr>
              <w:t>rdorur</w:t>
            </w:r>
            <w:r w:rsidR="000D68E1" w:rsidRPr="00470C60">
              <w:rPr>
                <w:b/>
                <w:bCs/>
                <w:sz w:val="20"/>
                <w:lang w:val="sq-AL"/>
              </w:rPr>
              <w:t xml:space="preserve"> </w:t>
            </w:r>
          </w:p>
          <w:p w:rsidR="00930178" w:rsidRPr="00470C60" w:rsidRDefault="0072017E" w:rsidP="00AB0070">
            <w:pPr>
              <w:jc w:val="center"/>
              <w:rPr>
                <w:sz w:val="20"/>
                <w:lang w:val="sq-AL"/>
              </w:rPr>
            </w:pPr>
            <w:r>
              <w:rPr>
                <w:b/>
                <w:bCs/>
                <w:sz w:val="20"/>
                <w:lang w:val="sq-AL"/>
              </w:rPr>
              <w:t xml:space="preserve">me </w:t>
            </w:r>
            <w:r w:rsidR="00AB0070">
              <w:rPr>
                <w:b/>
                <w:bCs/>
                <w:sz w:val="20"/>
                <w:lang w:val="sq-AL"/>
              </w:rPr>
              <w:t>21.11</w:t>
            </w:r>
            <w:r>
              <w:rPr>
                <w:b/>
                <w:bCs/>
                <w:sz w:val="20"/>
                <w:lang w:val="sq-AL"/>
              </w:rPr>
              <w:t>.2019</w:t>
            </w:r>
          </w:p>
        </w:tc>
        <w:tc>
          <w:tcPr>
            <w:tcW w:w="2528" w:type="dxa"/>
            <w:shd w:val="clear" w:color="auto" w:fill="EAF1DD" w:themeFill="accent3" w:themeFillTint="33"/>
            <w:vAlign w:val="center"/>
          </w:tcPr>
          <w:p w:rsidR="00930178" w:rsidRPr="00470C60" w:rsidRDefault="00930178" w:rsidP="00470C60">
            <w:pPr>
              <w:jc w:val="center"/>
              <w:rPr>
                <w:b/>
                <w:bCs/>
                <w:sz w:val="20"/>
                <w:lang w:val="sq-AL"/>
              </w:rPr>
            </w:pPr>
            <w:r w:rsidRPr="00470C60">
              <w:rPr>
                <w:b/>
                <w:bCs/>
                <w:sz w:val="20"/>
                <w:lang w:val="sq-AL"/>
              </w:rPr>
              <w:t>Përqindja (Përdorur/</w:t>
            </w:r>
            <w:r w:rsidR="000D68E1" w:rsidRPr="00470C60">
              <w:rPr>
                <w:b/>
                <w:bCs/>
                <w:sz w:val="20"/>
                <w:lang w:val="sq-AL"/>
              </w:rPr>
              <w:t>Planifikuar</w:t>
            </w:r>
            <w:r w:rsidRPr="00470C60">
              <w:rPr>
                <w:b/>
                <w:bCs/>
                <w:sz w:val="20"/>
                <w:lang w:val="sq-AL"/>
              </w:rPr>
              <w:t>)</w:t>
            </w:r>
          </w:p>
        </w:tc>
      </w:tr>
      <w:tr w:rsidR="00930178" w:rsidRPr="00470C60" w:rsidTr="00470C60">
        <w:trPr>
          <w:trHeight w:val="172"/>
          <w:jc w:val="center"/>
        </w:trPr>
        <w:tc>
          <w:tcPr>
            <w:tcW w:w="2333" w:type="dxa"/>
            <w:vMerge/>
            <w:shd w:val="clear" w:color="auto" w:fill="EAF1DD" w:themeFill="accent3" w:themeFillTint="33"/>
          </w:tcPr>
          <w:p w:rsidR="00930178" w:rsidRPr="00470C60" w:rsidRDefault="00930178" w:rsidP="00470C60">
            <w:pPr>
              <w:jc w:val="center"/>
              <w:rPr>
                <w:b/>
                <w:bCs/>
                <w:sz w:val="20"/>
                <w:lang w:val="sq-AL"/>
              </w:rPr>
            </w:pPr>
          </w:p>
        </w:tc>
        <w:tc>
          <w:tcPr>
            <w:tcW w:w="1983" w:type="dxa"/>
            <w:shd w:val="clear" w:color="auto" w:fill="EAF1DD" w:themeFill="accent3" w:themeFillTint="33"/>
          </w:tcPr>
          <w:p w:rsidR="000D68E1" w:rsidRPr="00470C60" w:rsidRDefault="000D68E1" w:rsidP="00470C60">
            <w:pPr>
              <w:jc w:val="center"/>
              <w:rPr>
                <w:b/>
                <w:bCs/>
                <w:sz w:val="20"/>
                <w:lang w:val="sq-AL"/>
              </w:rPr>
            </w:pPr>
          </w:p>
          <w:p w:rsidR="00930178" w:rsidRPr="00470C60" w:rsidRDefault="0072017E" w:rsidP="001F1204">
            <w:pPr>
              <w:jc w:val="center"/>
              <w:rPr>
                <w:b/>
                <w:bCs/>
                <w:sz w:val="20"/>
                <w:lang w:val="sq-AL"/>
              </w:rPr>
            </w:pPr>
            <w:r>
              <w:rPr>
                <w:b/>
                <w:bCs/>
                <w:sz w:val="20"/>
                <w:lang w:val="sq-AL"/>
              </w:rPr>
              <w:t xml:space="preserve">2 </w:t>
            </w:r>
            <w:r w:rsidR="001F1204">
              <w:rPr>
                <w:b/>
                <w:bCs/>
                <w:sz w:val="20"/>
                <w:lang w:val="sq-AL"/>
              </w:rPr>
              <w:t>235</w:t>
            </w:r>
          </w:p>
        </w:tc>
        <w:tc>
          <w:tcPr>
            <w:tcW w:w="2066" w:type="dxa"/>
            <w:shd w:val="clear" w:color="auto" w:fill="EAF1DD" w:themeFill="accent3" w:themeFillTint="33"/>
          </w:tcPr>
          <w:p w:rsidR="000D68E1" w:rsidRPr="00470C60" w:rsidRDefault="000D68E1" w:rsidP="00470C60">
            <w:pPr>
              <w:jc w:val="center"/>
              <w:rPr>
                <w:b/>
                <w:bCs/>
                <w:sz w:val="20"/>
                <w:lang w:val="sq-AL"/>
              </w:rPr>
            </w:pPr>
          </w:p>
          <w:p w:rsidR="00930178" w:rsidRPr="00470C60" w:rsidRDefault="001F1204" w:rsidP="00AB0070">
            <w:pPr>
              <w:jc w:val="center"/>
              <w:rPr>
                <w:b/>
                <w:bCs/>
                <w:sz w:val="20"/>
                <w:lang w:val="sq-AL"/>
              </w:rPr>
            </w:pPr>
            <w:r>
              <w:rPr>
                <w:b/>
                <w:bCs/>
                <w:sz w:val="20"/>
                <w:lang w:val="sq-AL"/>
              </w:rPr>
              <w:t>2 056.4</w:t>
            </w:r>
          </w:p>
        </w:tc>
        <w:tc>
          <w:tcPr>
            <w:tcW w:w="2040" w:type="dxa"/>
            <w:shd w:val="clear" w:color="auto" w:fill="EAF1DD" w:themeFill="accent3" w:themeFillTint="33"/>
          </w:tcPr>
          <w:p w:rsidR="000D68E1" w:rsidRPr="00470C60" w:rsidRDefault="000D68E1" w:rsidP="00470C60">
            <w:pPr>
              <w:jc w:val="center"/>
              <w:rPr>
                <w:b/>
                <w:bCs/>
                <w:sz w:val="20"/>
                <w:lang w:val="sq-AL"/>
              </w:rPr>
            </w:pPr>
          </w:p>
          <w:p w:rsidR="00930178" w:rsidRPr="00470C60" w:rsidRDefault="001F1204" w:rsidP="0027467C">
            <w:pPr>
              <w:jc w:val="center"/>
              <w:rPr>
                <w:b/>
                <w:bCs/>
                <w:sz w:val="20"/>
                <w:lang w:val="sq-AL"/>
              </w:rPr>
            </w:pPr>
            <w:r>
              <w:rPr>
                <w:b/>
                <w:bCs/>
                <w:sz w:val="20"/>
                <w:lang w:val="sq-AL"/>
              </w:rPr>
              <w:t>178.6</w:t>
            </w:r>
          </w:p>
        </w:tc>
        <w:tc>
          <w:tcPr>
            <w:tcW w:w="2528" w:type="dxa"/>
            <w:shd w:val="clear" w:color="auto" w:fill="EAF1DD" w:themeFill="accent3" w:themeFillTint="33"/>
          </w:tcPr>
          <w:p w:rsidR="000D68E1" w:rsidRPr="00470C60" w:rsidRDefault="000D68E1" w:rsidP="00470C60">
            <w:pPr>
              <w:jc w:val="center"/>
              <w:rPr>
                <w:b/>
                <w:bCs/>
                <w:sz w:val="20"/>
                <w:lang w:val="sq-AL"/>
              </w:rPr>
            </w:pPr>
          </w:p>
          <w:p w:rsidR="00930178" w:rsidRPr="00470C60" w:rsidRDefault="001F1204" w:rsidP="00470C60">
            <w:pPr>
              <w:jc w:val="center"/>
              <w:rPr>
                <w:b/>
                <w:bCs/>
                <w:sz w:val="20"/>
                <w:lang w:val="sq-AL"/>
              </w:rPr>
            </w:pPr>
            <w:r>
              <w:rPr>
                <w:b/>
                <w:bCs/>
                <w:sz w:val="20"/>
                <w:lang w:val="sq-AL"/>
              </w:rPr>
              <w:t>92</w:t>
            </w:r>
            <w:r w:rsidR="0072017E">
              <w:rPr>
                <w:b/>
                <w:bCs/>
                <w:sz w:val="20"/>
                <w:lang w:val="sq-AL"/>
              </w:rPr>
              <w:t>%</w:t>
            </w:r>
          </w:p>
        </w:tc>
      </w:tr>
    </w:tbl>
    <w:p w:rsidR="005D2849" w:rsidRPr="00470C60" w:rsidRDefault="00483755" w:rsidP="00470C60">
      <w:pPr>
        <w:spacing w:line="360" w:lineRule="auto"/>
        <w:rPr>
          <w:i/>
          <w:noProof/>
          <w:sz w:val="22"/>
          <w:lang w:val="sq-AL"/>
        </w:rPr>
      </w:pPr>
      <w:r w:rsidRPr="00470C60">
        <w:rPr>
          <w:i/>
          <w:noProof/>
          <w:sz w:val="22"/>
          <w:lang w:val="sq-AL"/>
        </w:rPr>
        <w:t xml:space="preserve">     </w:t>
      </w:r>
      <w:r w:rsidR="00115E31" w:rsidRPr="00470C60">
        <w:rPr>
          <w:i/>
          <w:noProof/>
          <w:sz w:val="22"/>
          <w:lang w:val="sq-AL"/>
        </w:rPr>
        <w:t xml:space="preserve"> </w:t>
      </w:r>
      <w:r w:rsidR="00C80FC7" w:rsidRPr="00470C60">
        <w:rPr>
          <w:i/>
          <w:noProof/>
          <w:sz w:val="22"/>
          <w:lang w:val="sq-AL"/>
        </w:rPr>
        <w:t>Burimi: Ministria e Financave dhe Ekonomisë (201</w:t>
      </w:r>
      <w:r w:rsidR="00262F4E" w:rsidRPr="00470C60">
        <w:rPr>
          <w:i/>
          <w:noProof/>
          <w:sz w:val="22"/>
          <w:lang w:val="sq-AL"/>
        </w:rPr>
        <w:t>9</w:t>
      </w:r>
      <w:r w:rsidR="00C80FC7" w:rsidRPr="00470C60">
        <w:rPr>
          <w:i/>
          <w:noProof/>
          <w:sz w:val="22"/>
          <w:lang w:val="sq-AL"/>
        </w:rPr>
        <w:t>)</w:t>
      </w:r>
      <w:r w:rsidR="005D2849" w:rsidRPr="00470C60">
        <w:rPr>
          <w:i/>
          <w:noProof/>
          <w:sz w:val="22"/>
          <w:lang w:val="sq-AL"/>
        </w:rPr>
        <w:tab/>
      </w:r>
    </w:p>
    <w:p w:rsidR="00470C60" w:rsidRDefault="00470C60" w:rsidP="00470C60">
      <w:pPr>
        <w:spacing w:line="360" w:lineRule="auto"/>
        <w:jc w:val="both"/>
        <w:rPr>
          <w:bCs/>
          <w:lang w:val="sq-AL"/>
        </w:rPr>
      </w:pPr>
    </w:p>
    <w:p w:rsidR="006A4BA5" w:rsidRPr="00470C60" w:rsidRDefault="00A048C2" w:rsidP="00470C60">
      <w:pPr>
        <w:spacing w:line="360" w:lineRule="auto"/>
        <w:jc w:val="both"/>
        <w:rPr>
          <w:bCs/>
          <w:lang w:val="sq-AL"/>
        </w:rPr>
      </w:pPr>
      <w:r w:rsidRPr="00470C60">
        <w:rPr>
          <w:bCs/>
          <w:lang w:val="sq-AL"/>
        </w:rPr>
        <w:t>M</w:t>
      </w:r>
      <w:r w:rsidR="00B92D75" w:rsidRPr="00470C60">
        <w:rPr>
          <w:bCs/>
          <w:lang w:val="sq-AL"/>
        </w:rPr>
        <w:t>ë</w:t>
      </w:r>
      <w:r w:rsidRPr="00470C60">
        <w:rPr>
          <w:bCs/>
          <w:lang w:val="sq-AL"/>
        </w:rPr>
        <w:t xml:space="preserve"> konkretisht, nga p</w:t>
      </w:r>
      <w:r w:rsidR="00B92D75" w:rsidRPr="00470C60">
        <w:rPr>
          <w:bCs/>
          <w:lang w:val="sq-AL"/>
        </w:rPr>
        <w:t>ë</w:t>
      </w:r>
      <w:r w:rsidRPr="00470C60">
        <w:rPr>
          <w:bCs/>
          <w:lang w:val="sq-AL"/>
        </w:rPr>
        <w:t xml:space="preserve">rdorimi </w:t>
      </w:r>
      <w:r w:rsidR="0072017E">
        <w:rPr>
          <w:bCs/>
          <w:lang w:val="sq-AL"/>
        </w:rPr>
        <w:t>deri m</w:t>
      </w:r>
      <w:r w:rsidR="00AB0070">
        <w:rPr>
          <w:bCs/>
          <w:lang w:val="sq-AL"/>
        </w:rPr>
        <w:t>ë</w:t>
      </w:r>
      <w:r w:rsidR="0072017E">
        <w:rPr>
          <w:bCs/>
          <w:lang w:val="sq-AL"/>
        </w:rPr>
        <w:t xml:space="preserve"> </w:t>
      </w:r>
      <w:r w:rsidR="001F1204">
        <w:rPr>
          <w:bCs/>
          <w:lang w:val="sq-AL"/>
        </w:rPr>
        <w:t>31.12</w:t>
      </w:r>
      <w:r w:rsidR="0072017E">
        <w:rPr>
          <w:bCs/>
          <w:lang w:val="sq-AL"/>
        </w:rPr>
        <w:t>.2019</w:t>
      </w:r>
      <w:r w:rsidRPr="00470C60">
        <w:rPr>
          <w:bCs/>
          <w:lang w:val="sq-AL"/>
        </w:rPr>
        <w:t>, rezulton se</w:t>
      </w:r>
      <w:r w:rsidR="006A4BA5" w:rsidRPr="00470C60">
        <w:rPr>
          <w:bCs/>
          <w:lang w:val="sq-AL"/>
        </w:rPr>
        <w:t>:</w:t>
      </w:r>
    </w:p>
    <w:p w:rsidR="0027467C" w:rsidRPr="00705BB2" w:rsidRDefault="0027467C" w:rsidP="0027467C">
      <w:pPr>
        <w:pStyle w:val="ListParagraph"/>
        <w:numPr>
          <w:ilvl w:val="0"/>
          <w:numId w:val="13"/>
        </w:numPr>
        <w:spacing w:before="0" w:after="0" w:line="360" w:lineRule="auto"/>
        <w:ind w:left="630"/>
        <w:rPr>
          <w:rFonts w:ascii="Times New Roman" w:hAnsi="Times New Roman"/>
          <w:i/>
          <w:sz w:val="24"/>
          <w:lang w:val="sq-AL"/>
        </w:rPr>
      </w:pPr>
      <w:r w:rsidRPr="00705BB2">
        <w:rPr>
          <w:rFonts w:ascii="Times New Roman" w:hAnsi="Times New Roman"/>
          <w:i/>
          <w:sz w:val="24"/>
          <w:lang w:val="sq-AL"/>
        </w:rPr>
        <w:t>Rreth 1.</w:t>
      </w:r>
      <w:r w:rsidR="001F1204">
        <w:rPr>
          <w:rFonts w:ascii="Times New Roman" w:hAnsi="Times New Roman"/>
          <w:i/>
          <w:sz w:val="24"/>
          <w:lang w:val="sq-AL"/>
        </w:rPr>
        <w:t>758</w:t>
      </w:r>
      <w:r w:rsidRPr="00705BB2">
        <w:rPr>
          <w:rFonts w:ascii="Times New Roman" w:hAnsi="Times New Roman"/>
          <w:i/>
          <w:sz w:val="24"/>
          <w:lang w:val="sq-AL"/>
        </w:rPr>
        <w:t xml:space="preserve"> miliard lekë ose </w:t>
      </w:r>
      <w:r w:rsidR="00337E1F">
        <w:rPr>
          <w:rFonts w:ascii="Times New Roman" w:hAnsi="Times New Roman"/>
          <w:i/>
          <w:sz w:val="24"/>
          <w:lang w:val="sq-AL"/>
        </w:rPr>
        <w:t>78.6</w:t>
      </w:r>
      <w:r w:rsidRPr="00705BB2">
        <w:rPr>
          <w:rFonts w:ascii="Times New Roman" w:hAnsi="Times New Roman"/>
          <w:i/>
          <w:sz w:val="24"/>
          <w:lang w:val="sq-AL"/>
        </w:rPr>
        <w:t xml:space="preserve"> përqind e planit, janë akorduar për </w:t>
      </w:r>
      <w:r w:rsidRPr="00705BB2">
        <w:rPr>
          <w:rFonts w:ascii="Times New Roman" w:hAnsi="Times New Roman"/>
          <w:i/>
          <w:sz w:val="24"/>
          <w:u w:val="single"/>
          <w:lang w:val="sq-AL"/>
        </w:rPr>
        <w:t>shpenzime korente</w:t>
      </w:r>
      <w:r w:rsidRPr="00705BB2">
        <w:rPr>
          <w:rFonts w:ascii="Times New Roman" w:hAnsi="Times New Roman"/>
          <w:i/>
          <w:sz w:val="24"/>
          <w:lang w:val="sq-AL"/>
        </w:rPr>
        <w:t xml:space="preserve"> (shpenzime operative dhe transferta të brendshme);     </w:t>
      </w:r>
    </w:p>
    <w:p w:rsidR="0027467C" w:rsidRPr="00705BB2" w:rsidRDefault="0027467C" w:rsidP="0027467C">
      <w:pPr>
        <w:pStyle w:val="ListParagraph"/>
        <w:numPr>
          <w:ilvl w:val="0"/>
          <w:numId w:val="13"/>
        </w:numPr>
        <w:spacing w:before="0" w:after="0" w:line="360" w:lineRule="auto"/>
        <w:ind w:left="630"/>
        <w:rPr>
          <w:rFonts w:ascii="Times New Roman" w:hAnsi="Times New Roman"/>
          <w:i/>
          <w:sz w:val="24"/>
          <w:lang w:val="sq-AL"/>
        </w:rPr>
      </w:pPr>
      <w:r w:rsidRPr="00705BB2">
        <w:rPr>
          <w:rFonts w:ascii="Times New Roman" w:hAnsi="Times New Roman"/>
          <w:i/>
          <w:sz w:val="24"/>
          <w:lang w:val="sq-AL"/>
        </w:rPr>
        <w:t xml:space="preserve">Rreth 91.25 milionë lekë ose </w:t>
      </w:r>
      <w:r w:rsidR="00337E1F">
        <w:rPr>
          <w:rFonts w:ascii="Times New Roman" w:hAnsi="Times New Roman"/>
          <w:i/>
          <w:sz w:val="24"/>
          <w:lang w:val="sq-AL"/>
        </w:rPr>
        <w:t>4</w:t>
      </w:r>
      <w:r w:rsidRPr="00705BB2">
        <w:rPr>
          <w:rFonts w:ascii="Times New Roman" w:hAnsi="Times New Roman"/>
          <w:i/>
          <w:sz w:val="24"/>
          <w:lang w:val="sq-AL"/>
        </w:rPr>
        <w:t xml:space="preserve"> përqind e planit, janë akorduar për </w:t>
      </w:r>
      <w:r w:rsidRPr="00705BB2">
        <w:rPr>
          <w:rFonts w:ascii="Times New Roman" w:hAnsi="Times New Roman"/>
          <w:i/>
          <w:sz w:val="24"/>
          <w:u w:val="single"/>
          <w:lang w:val="sq-AL"/>
        </w:rPr>
        <w:t>shpenzime personeli</w:t>
      </w:r>
      <w:r w:rsidRPr="00705BB2">
        <w:rPr>
          <w:rFonts w:ascii="Times New Roman" w:hAnsi="Times New Roman"/>
          <w:i/>
          <w:sz w:val="24"/>
          <w:lang w:val="sq-AL"/>
        </w:rPr>
        <w:t>; dhe</w:t>
      </w:r>
    </w:p>
    <w:p w:rsidR="0027467C" w:rsidRPr="00705BB2" w:rsidRDefault="0027467C" w:rsidP="0027467C">
      <w:pPr>
        <w:pStyle w:val="ListParagraph"/>
        <w:numPr>
          <w:ilvl w:val="0"/>
          <w:numId w:val="13"/>
        </w:numPr>
        <w:spacing w:before="0" w:after="0" w:line="360" w:lineRule="auto"/>
        <w:ind w:left="630"/>
        <w:rPr>
          <w:rFonts w:ascii="Times New Roman" w:hAnsi="Times New Roman"/>
          <w:i/>
          <w:sz w:val="24"/>
          <w:lang w:val="sq-AL"/>
        </w:rPr>
      </w:pPr>
      <w:r w:rsidRPr="00705BB2">
        <w:rPr>
          <w:rFonts w:ascii="Times New Roman" w:hAnsi="Times New Roman"/>
          <w:i/>
          <w:sz w:val="24"/>
          <w:lang w:val="sq-AL"/>
        </w:rPr>
        <w:t xml:space="preserve">Rreth </w:t>
      </w:r>
      <w:r w:rsidR="00641463">
        <w:rPr>
          <w:rFonts w:ascii="Times New Roman" w:hAnsi="Times New Roman"/>
          <w:i/>
          <w:sz w:val="24"/>
          <w:lang w:val="sq-AL"/>
        </w:rPr>
        <w:t>207</w:t>
      </w:r>
      <w:r w:rsidRPr="00705BB2">
        <w:rPr>
          <w:rFonts w:ascii="Times New Roman" w:hAnsi="Times New Roman"/>
          <w:i/>
          <w:sz w:val="24"/>
          <w:lang w:val="sq-AL"/>
        </w:rPr>
        <w:t xml:space="preserve"> milionë lekë ose </w:t>
      </w:r>
      <w:r w:rsidR="00337E1F">
        <w:rPr>
          <w:rFonts w:ascii="Times New Roman" w:hAnsi="Times New Roman"/>
          <w:i/>
          <w:sz w:val="24"/>
          <w:lang w:val="sq-AL"/>
        </w:rPr>
        <w:t>9.2</w:t>
      </w:r>
      <w:r w:rsidRPr="00705BB2">
        <w:rPr>
          <w:rFonts w:ascii="Times New Roman" w:hAnsi="Times New Roman"/>
          <w:i/>
          <w:sz w:val="24"/>
          <w:lang w:val="sq-AL"/>
        </w:rPr>
        <w:t xml:space="preserve"> përqind e planit, janë akorduar për </w:t>
      </w:r>
      <w:r w:rsidRPr="00705BB2">
        <w:rPr>
          <w:rFonts w:ascii="Times New Roman" w:hAnsi="Times New Roman"/>
          <w:i/>
          <w:sz w:val="24"/>
          <w:u w:val="single"/>
          <w:lang w:val="sq-AL"/>
        </w:rPr>
        <w:t>investime</w:t>
      </w:r>
      <w:r w:rsidRPr="00705BB2">
        <w:rPr>
          <w:rFonts w:ascii="Times New Roman" w:hAnsi="Times New Roman"/>
          <w:i/>
          <w:sz w:val="24"/>
          <w:lang w:val="sq-AL"/>
        </w:rPr>
        <w:t>.</w:t>
      </w:r>
    </w:p>
    <w:p w:rsidR="00AF41A5" w:rsidRPr="00470C60" w:rsidRDefault="00A048C2" w:rsidP="00470C60">
      <w:pPr>
        <w:spacing w:line="360" w:lineRule="auto"/>
        <w:jc w:val="both"/>
        <w:rPr>
          <w:bCs/>
          <w:lang w:val="sq-AL"/>
        </w:rPr>
      </w:pPr>
      <w:r w:rsidRPr="00470C60">
        <w:rPr>
          <w:bCs/>
          <w:lang w:val="sq-AL"/>
        </w:rPr>
        <w:t>G</w:t>
      </w:r>
      <w:r w:rsidR="009D5575" w:rsidRPr="00470C60">
        <w:rPr>
          <w:bCs/>
          <w:lang w:val="sq-AL"/>
        </w:rPr>
        <w:t xml:space="preserve">rafiku </w:t>
      </w:r>
      <w:r w:rsidRPr="00470C60">
        <w:rPr>
          <w:bCs/>
          <w:lang w:val="sq-AL"/>
        </w:rPr>
        <w:t xml:space="preserve">dhe tabela e </w:t>
      </w:r>
      <w:r w:rsidR="00187D35" w:rsidRPr="00470C60">
        <w:rPr>
          <w:bCs/>
          <w:lang w:val="sq-AL"/>
        </w:rPr>
        <w:t>mëposhtm</w:t>
      </w:r>
      <w:r w:rsidRPr="00470C60">
        <w:rPr>
          <w:bCs/>
          <w:lang w:val="sq-AL"/>
        </w:rPr>
        <w:t>e</w:t>
      </w:r>
      <w:r w:rsidR="009D5575" w:rsidRPr="00470C60">
        <w:rPr>
          <w:bCs/>
          <w:lang w:val="sq-AL"/>
        </w:rPr>
        <w:t xml:space="preserve"> </w:t>
      </w:r>
      <w:r w:rsidR="003C1E2B" w:rsidRPr="00470C60">
        <w:rPr>
          <w:bCs/>
          <w:lang w:val="sq-AL"/>
        </w:rPr>
        <w:t>paraqet</w:t>
      </w:r>
      <w:r w:rsidRPr="00470C60">
        <w:rPr>
          <w:bCs/>
          <w:lang w:val="sq-AL"/>
        </w:rPr>
        <w:t xml:space="preserve"> p</w:t>
      </w:r>
      <w:r w:rsidR="00B92D75" w:rsidRPr="00470C60">
        <w:rPr>
          <w:bCs/>
          <w:lang w:val="sq-AL"/>
        </w:rPr>
        <w:t>ë</w:t>
      </w:r>
      <w:r w:rsidRPr="00470C60">
        <w:rPr>
          <w:bCs/>
          <w:lang w:val="sq-AL"/>
        </w:rPr>
        <w:t>rkat</w:t>
      </w:r>
      <w:r w:rsidR="00B92D75" w:rsidRPr="00470C60">
        <w:rPr>
          <w:bCs/>
          <w:lang w:val="sq-AL"/>
        </w:rPr>
        <w:t>ë</w:t>
      </w:r>
      <w:r w:rsidRPr="00470C60">
        <w:rPr>
          <w:bCs/>
          <w:lang w:val="sq-AL"/>
        </w:rPr>
        <w:t xml:space="preserve">sisht, </w:t>
      </w:r>
      <w:r w:rsidR="009D5575" w:rsidRPr="00470C60">
        <w:rPr>
          <w:bCs/>
          <w:u w:val="single"/>
          <w:lang w:val="sq-AL"/>
        </w:rPr>
        <w:t>struktur</w:t>
      </w:r>
      <w:r w:rsidR="00B92D75" w:rsidRPr="00470C60">
        <w:rPr>
          <w:bCs/>
          <w:u w:val="single"/>
          <w:lang w:val="sq-AL"/>
        </w:rPr>
        <w:t>ë</w:t>
      </w:r>
      <w:r w:rsidRPr="00470C60">
        <w:rPr>
          <w:bCs/>
          <w:u w:val="single"/>
          <w:lang w:val="sq-AL"/>
        </w:rPr>
        <w:t>n</w:t>
      </w:r>
      <w:r w:rsidR="009D5575" w:rsidRPr="00470C60">
        <w:rPr>
          <w:bCs/>
          <w:u w:val="single"/>
          <w:lang w:val="sq-AL"/>
        </w:rPr>
        <w:t xml:space="preserve"> e p</w:t>
      </w:r>
      <w:r w:rsidR="003D2980" w:rsidRPr="00470C60">
        <w:rPr>
          <w:bCs/>
          <w:u w:val="single"/>
          <w:lang w:val="sq-AL"/>
        </w:rPr>
        <w:t>ë</w:t>
      </w:r>
      <w:r w:rsidR="009D5575" w:rsidRPr="00470C60">
        <w:rPr>
          <w:bCs/>
          <w:u w:val="single"/>
          <w:lang w:val="sq-AL"/>
        </w:rPr>
        <w:t>rdorimit</w:t>
      </w:r>
      <w:r w:rsidR="009D5575" w:rsidRPr="00470C60">
        <w:rPr>
          <w:bCs/>
          <w:lang w:val="sq-AL"/>
        </w:rPr>
        <w:t xml:space="preserve"> t</w:t>
      </w:r>
      <w:r w:rsidR="003D2980" w:rsidRPr="00470C60">
        <w:rPr>
          <w:bCs/>
          <w:lang w:val="sq-AL"/>
        </w:rPr>
        <w:t>ë</w:t>
      </w:r>
      <w:r w:rsidR="004C70C3" w:rsidRPr="00470C60">
        <w:rPr>
          <w:bCs/>
          <w:lang w:val="sq-AL"/>
        </w:rPr>
        <w:t xml:space="preserve"> Fondit </w:t>
      </w:r>
      <w:r w:rsidR="009D5575" w:rsidRPr="00470C60">
        <w:rPr>
          <w:bCs/>
          <w:lang w:val="sq-AL"/>
        </w:rPr>
        <w:t>R</w:t>
      </w:r>
      <w:r w:rsidR="003D2980" w:rsidRPr="00470C60">
        <w:rPr>
          <w:bCs/>
          <w:lang w:val="sq-AL"/>
        </w:rPr>
        <w:t>ezerv</w:t>
      </w:r>
      <w:r w:rsidR="004C70C3" w:rsidRPr="00470C60">
        <w:rPr>
          <w:bCs/>
          <w:lang w:val="sq-AL"/>
        </w:rPr>
        <w:t>ë</w:t>
      </w:r>
      <w:r w:rsidR="003D2980" w:rsidRPr="00470C60">
        <w:rPr>
          <w:bCs/>
          <w:lang w:val="sq-AL"/>
        </w:rPr>
        <w:t xml:space="preserve"> </w:t>
      </w:r>
      <w:r w:rsidR="006A4BA5" w:rsidRPr="00470C60">
        <w:rPr>
          <w:bCs/>
          <w:lang w:val="sq-AL"/>
        </w:rPr>
        <w:t>t</w:t>
      </w:r>
      <w:r w:rsidR="000D68E1" w:rsidRPr="00470C60">
        <w:rPr>
          <w:bCs/>
          <w:lang w:val="sq-AL"/>
        </w:rPr>
        <w:t>ë</w:t>
      </w:r>
      <w:r w:rsidR="006A4BA5" w:rsidRPr="00470C60">
        <w:rPr>
          <w:bCs/>
          <w:lang w:val="sq-AL"/>
        </w:rPr>
        <w:t xml:space="preserve"> Buxhetit t</w:t>
      </w:r>
      <w:r w:rsidR="000D68E1" w:rsidRPr="00470C60">
        <w:rPr>
          <w:bCs/>
          <w:lang w:val="sq-AL"/>
        </w:rPr>
        <w:t>ë</w:t>
      </w:r>
      <w:r w:rsidR="006A4BA5" w:rsidRPr="00470C60">
        <w:rPr>
          <w:bCs/>
          <w:lang w:val="sq-AL"/>
        </w:rPr>
        <w:t xml:space="preserve"> Shtetit </w:t>
      </w:r>
      <w:r w:rsidRPr="00470C60">
        <w:rPr>
          <w:bCs/>
          <w:lang w:val="sq-AL"/>
        </w:rPr>
        <w:t>dhe p</w:t>
      </w:r>
      <w:r w:rsidR="00B92D75" w:rsidRPr="00470C60">
        <w:rPr>
          <w:bCs/>
          <w:lang w:val="sq-AL"/>
        </w:rPr>
        <w:t>ë</w:t>
      </w:r>
      <w:r w:rsidRPr="00470C60">
        <w:rPr>
          <w:bCs/>
          <w:lang w:val="sq-AL"/>
        </w:rPr>
        <w:t xml:space="preserve">rfituesit respektiv, </w:t>
      </w:r>
      <w:r w:rsidR="0072017E">
        <w:rPr>
          <w:bCs/>
          <w:lang w:val="sq-AL"/>
        </w:rPr>
        <w:t xml:space="preserve">deri me </w:t>
      </w:r>
      <w:r w:rsidR="00337E1F">
        <w:rPr>
          <w:bCs/>
          <w:lang w:val="sq-AL"/>
        </w:rPr>
        <w:t>31.12</w:t>
      </w:r>
      <w:r w:rsidR="0072017E">
        <w:rPr>
          <w:bCs/>
          <w:lang w:val="sq-AL"/>
        </w:rPr>
        <w:t>.2019</w:t>
      </w:r>
      <w:r w:rsidRPr="00470C60">
        <w:rPr>
          <w:bCs/>
          <w:lang w:val="sq-AL"/>
        </w:rPr>
        <w:t>:</w:t>
      </w:r>
      <w:r w:rsidR="00AF41A5" w:rsidRPr="00470C60">
        <w:rPr>
          <w:bCs/>
          <w:lang w:val="sq-AL"/>
        </w:rPr>
        <w:tab/>
      </w:r>
    </w:p>
    <w:p w:rsidR="00DB07CC" w:rsidRPr="00470C60" w:rsidRDefault="00DB07CC" w:rsidP="00470C60">
      <w:pPr>
        <w:spacing w:line="360" w:lineRule="auto"/>
        <w:jc w:val="both"/>
        <w:rPr>
          <w:bCs/>
          <w:sz w:val="8"/>
          <w:lang w:val="sq-AL"/>
        </w:rPr>
      </w:pPr>
    </w:p>
    <w:p w:rsidR="00C80FC7" w:rsidRPr="00470C60" w:rsidRDefault="00C80FC7" w:rsidP="00470C60">
      <w:pPr>
        <w:spacing w:line="360" w:lineRule="auto"/>
        <w:jc w:val="both"/>
        <w:rPr>
          <w:bCs/>
          <w:sz w:val="4"/>
          <w:lang w:val="sq-AL"/>
        </w:rPr>
      </w:pPr>
    </w:p>
    <w:p w:rsidR="00AF41A5" w:rsidRDefault="00740CD2" w:rsidP="00470C60">
      <w:pPr>
        <w:spacing w:line="360" w:lineRule="auto"/>
        <w:ind w:firstLine="720"/>
        <w:jc w:val="both"/>
        <w:rPr>
          <w:bCs/>
          <w:i/>
          <w:lang w:val="sq-AL"/>
        </w:rPr>
      </w:pPr>
      <w:r w:rsidRPr="00470C60">
        <w:rPr>
          <w:bCs/>
          <w:i/>
          <w:lang w:val="sq-AL"/>
        </w:rPr>
        <w:t xml:space="preserve">     </w:t>
      </w:r>
      <w:r w:rsidR="00F2079A">
        <w:rPr>
          <w:bCs/>
          <w:i/>
          <w:lang w:val="sq-AL"/>
        </w:rPr>
        <w:t xml:space="preserve">     </w:t>
      </w:r>
      <w:r w:rsidRPr="00470C60">
        <w:rPr>
          <w:bCs/>
          <w:i/>
          <w:lang w:val="sq-AL"/>
        </w:rPr>
        <w:t xml:space="preserve"> </w:t>
      </w:r>
      <w:r w:rsidR="00AF41A5" w:rsidRPr="00470C60">
        <w:rPr>
          <w:bCs/>
          <w:i/>
          <w:lang w:val="sq-AL"/>
        </w:rPr>
        <w:t>Grafiku.1</w:t>
      </w:r>
      <w:r w:rsidR="00F2079A">
        <w:rPr>
          <w:bCs/>
          <w:i/>
          <w:lang w:val="sq-AL"/>
        </w:rPr>
        <w:t xml:space="preserve"> </w:t>
      </w:r>
      <w:r w:rsidR="006A4BA5" w:rsidRPr="00470C60">
        <w:rPr>
          <w:bCs/>
          <w:i/>
          <w:lang w:val="sq-AL"/>
        </w:rPr>
        <w:t xml:space="preserve">Përdorime të Fondit Rezervë, </w:t>
      </w:r>
      <w:r w:rsidR="00EE7679">
        <w:rPr>
          <w:bCs/>
          <w:i/>
          <w:lang w:val="sq-AL"/>
        </w:rPr>
        <w:t xml:space="preserve">deri me </w:t>
      </w:r>
      <w:r w:rsidR="00337E1F">
        <w:rPr>
          <w:bCs/>
          <w:i/>
          <w:lang w:val="sq-AL"/>
        </w:rPr>
        <w:t>31.12</w:t>
      </w:r>
      <w:r w:rsidR="00EE7679">
        <w:rPr>
          <w:bCs/>
          <w:i/>
          <w:lang w:val="sq-AL"/>
        </w:rPr>
        <w:t>.2019</w:t>
      </w:r>
      <w:r w:rsidR="006A4BA5" w:rsidRPr="00470C60">
        <w:rPr>
          <w:bCs/>
          <w:i/>
          <w:lang w:val="sq-AL"/>
        </w:rPr>
        <w:t xml:space="preserve"> (n</w:t>
      </w:r>
      <w:r w:rsidR="000D68E1" w:rsidRPr="00470C60">
        <w:rPr>
          <w:bCs/>
          <w:i/>
          <w:lang w:val="sq-AL"/>
        </w:rPr>
        <w:t>ë</w:t>
      </w:r>
      <w:r w:rsidR="006A4BA5" w:rsidRPr="00470C60">
        <w:rPr>
          <w:bCs/>
          <w:i/>
          <w:lang w:val="sq-AL"/>
        </w:rPr>
        <w:t xml:space="preserve"> milion</w:t>
      </w:r>
      <w:r w:rsidR="000D68E1" w:rsidRPr="00470C60">
        <w:rPr>
          <w:bCs/>
          <w:i/>
          <w:lang w:val="sq-AL"/>
        </w:rPr>
        <w:t>ë</w:t>
      </w:r>
      <w:r w:rsidR="006A4BA5" w:rsidRPr="00470C60">
        <w:rPr>
          <w:bCs/>
          <w:i/>
          <w:lang w:val="sq-AL"/>
        </w:rPr>
        <w:t xml:space="preserve"> lek</w:t>
      </w:r>
      <w:r w:rsidR="000D68E1" w:rsidRPr="00470C60">
        <w:rPr>
          <w:bCs/>
          <w:i/>
          <w:lang w:val="sq-AL"/>
        </w:rPr>
        <w:t>ë</w:t>
      </w:r>
      <w:r w:rsidR="006A4BA5" w:rsidRPr="00470C60">
        <w:rPr>
          <w:bCs/>
          <w:i/>
          <w:lang w:val="sq-AL"/>
        </w:rPr>
        <w:t>)</w:t>
      </w:r>
    </w:p>
    <w:p w:rsidR="00E17149" w:rsidRDefault="00E17149" w:rsidP="00470C60">
      <w:pPr>
        <w:spacing w:line="360" w:lineRule="auto"/>
        <w:ind w:firstLine="720"/>
        <w:jc w:val="both"/>
        <w:rPr>
          <w:bCs/>
          <w:i/>
          <w:lang w:val="sq-AL"/>
        </w:rPr>
      </w:pPr>
    </w:p>
    <w:p w:rsidR="00E17149" w:rsidRDefault="00E17149" w:rsidP="00470C60">
      <w:pPr>
        <w:spacing w:line="360" w:lineRule="auto"/>
        <w:ind w:firstLine="720"/>
        <w:jc w:val="both"/>
        <w:rPr>
          <w:bCs/>
          <w:i/>
          <w:lang w:val="sq-AL"/>
        </w:rPr>
      </w:pPr>
      <w:r>
        <w:rPr>
          <w:bCs/>
          <w:i/>
          <w:lang w:val="sq-AL"/>
        </w:rPr>
        <w:t xml:space="preserve">         </w:t>
      </w:r>
      <w:r>
        <w:rPr>
          <w:noProof/>
        </w:rPr>
        <w:drawing>
          <wp:inline distT="0" distB="0" distL="0" distR="0" wp14:anchorId="7DF89193" wp14:editId="43F5ADB6">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A49C4" w:rsidRPr="00470C60" w:rsidRDefault="008C0BBC" w:rsidP="00FA49C4">
      <w:pPr>
        <w:spacing w:line="360" w:lineRule="auto"/>
        <w:ind w:firstLine="720"/>
        <w:jc w:val="both"/>
        <w:rPr>
          <w:i/>
          <w:noProof/>
          <w:sz w:val="22"/>
          <w:lang w:val="sq-AL"/>
        </w:rPr>
      </w:pPr>
      <w:r>
        <w:rPr>
          <w:bCs/>
          <w:i/>
          <w:lang w:val="sq-AL"/>
        </w:rPr>
        <w:t xml:space="preserve"> </w:t>
      </w:r>
      <w:r w:rsidR="00FA49C4">
        <w:rPr>
          <w:bCs/>
          <w:i/>
          <w:lang w:val="sq-AL"/>
        </w:rPr>
        <w:t xml:space="preserve">          </w:t>
      </w:r>
      <w:r w:rsidR="00FA49C4" w:rsidRPr="00470C60">
        <w:rPr>
          <w:i/>
          <w:noProof/>
          <w:sz w:val="22"/>
          <w:lang w:val="sq-AL"/>
        </w:rPr>
        <w:t>Burimi: Ministria e Financave dhe  Ekonomisë (2019);</w:t>
      </w:r>
    </w:p>
    <w:p w:rsidR="00FA49C4" w:rsidRPr="00470C60" w:rsidRDefault="00FA49C4" w:rsidP="00FA49C4">
      <w:pPr>
        <w:spacing w:line="360" w:lineRule="auto"/>
        <w:jc w:val="both"/>
        <w:rPr>
          <w:spacing w:val="-1"/>
          <w:sz w:val="8"/>
          <w:lang w:val="sq-AL"/>
        </w:rPr>
      </w:pPr>
    </w:p>
    <w:p w:rsidR="00262F4E" w:rsidRPr="00470C60" w:rsidRDefault="008C0BBC" w:rsidP="00FA49C4">
      <w:pPr>
        <w:spacing w:line="360" w:lineRule="auto"/>
        <w:ind w:firstLine="720"/>
        <w:jc w:val="both"/>
        <w:rPr>
          <w:spacing w:val="-1"/>
          <w:sz w:val="8"/>
          <w:lang w:val="sq-AL"/>
        </w:rPr>
      </w:pPr>
      <w:r>
        <w:rPr>
          <w:i/>
          <w:noProof/>
          <w:sz w:val="22"/>
          <w:lang w:val="sq-AL"/>
        </w:rPr>
        <w:t xml:space="preserve">       </w:t>
      </w:r>
    </w:p>
    <w:p w:rsidR="00293682" w:rsidRPr="00470C60" w:rsidRDefault="00293682" w:rsidP="00470C60">
      <w:pPr>
        <w:spacing w:line="360" w:lineRule="auto"/>
        <w:ind w:left="-720"/>
        <w:jc w:val="both"/>
        <w:rPr>
          <w:b/>
          <w:bCs/>
          <w:sz w:val="8"/>
          <w:lang w:val="sq-AL"/>
        </w:rPr>
      </w:pPr>
    </w:p>
    <w:p w:rsidR="00293682" w:rsidRDefault="00F04E94" w:rsidP="00470C60">
      <w:pPr>
        <w:spacing w:line="360" w:lineRule="auto"/>
        <w:jc w:val="both"/>
        <w:rPr>
          <w:bCs/>
          <w:i/>
          <w:lang w:val="sq-AL"/>
        </w:rPr>
      </w:pPr>
      <w:r>
        <w:rPr>
          <w:bCs/>
          <w:i/>
          <w:lang w:val="sq-AL"/>
        </w:rPr>
        <w:t xml:space="preserve">             </w:t>
      </w:r>
      <w:r w:rsidR="0020527A" w:rsidRPr="00470C60">
        <w:rPr>
          <w:bCs/>
          <w:i/>
          <w:lang w:val="sq-AL"/>
        </w:rPr>
        <w:t xml:space="preserve">Tabela </w:t>
      </w:r>
      <w:r w:rsidR="00D14E73" w:rsidRPr="00470C60">
        <w:rPr>
          <w:bCs/>
          <w:i/>
          <w:lang w:val="sq-AL"/>
        </w:rPr>
        <w:t>2</w:t>
      </w:r>
      <w:r w:rsidR="0020527A" w:rsidRPr="00470C60">
        <w:rPr>
          <w:bCs/>
          <w:i/>
          <w:lang w:val="sq-AL"/>
        </w:rPr>
        <w:t>: P</w:t>
      </w:r>
      <w:r w:rsidR="00846FAD" w:rsidRPr="00470C60">
        <w:rPr>
          <w:bCs/>
          <w:i/>
          <w:lang w:val="sq-AL"/>
        </w:rPr>
        <w:t>ë</w:t>
      </w:r>
      <w:r w:rsidR="0020527A" w:rsidRPr="00470C60">
        <w:rPr>
          <w:bCs/>
          <w:i/>
          <w:lang w:val="sq-AL"/>
        </w:rPr>
        <w:t>rdorimi i fondit</w:t>
      </w:r>
      <w:r w:rsidR="00D87F6B" w:rsidRPr="00470C60">
        <w:rPr>
          <w:bCs/>
          <w:i/>
          <w:lang w:val="sq-AL"/>
        </w:rPr>
        <w:t xml:space="preserve"> rezervë</w:t>
      </w:r>
      <w:r w:rsidR="00E267A7" w:rsidRPr="00470C60">
        <w:rPr>
          <w:bCs/>
          <w:i/>
          <w:lang w:val="sq-AL"/>
        </w:rPr>
        <w:t>,</w:t>
      </w:r>
      <w:r w:rsidR="0020527A" w:rsidRPr="00470C60">
        <w:rPr>
          <w:bCs/>
          <w:i/>
          <w:lang w:val="sq-AL"/>
        </w:rPr>
        <w:t xml:space="preserve"> sipas institucioneve</w:t>
      </w:r>
      <w:r w:rsidR="00E267A7" w:rsidRPr="00470C60">
        <w:rPr>
          <w:bCs/>
          <w:i/>
          <w:lang w:val="sq-AL"/>
        </w:rPr>
        <w:t xml:space="preserve"> p</w:t>
      </w:r>
      <w:r w:rsidR="00706CA3" w:rsidRPr="00470C60">
        <w:rPr>
          <w:bCs/>
          <w:i/>
          <w:lang w:val="sq-AL"/>
        </w:rPr>
        <w:t>ë</w:t>
      </w:r>
      <w:r w:rsidR="00E267A7" w:rsidRPr="00470C60">
        <w:rPr>
          <w:bCs/>
          <w:i/>
          <w:lang w:val="sq-AL"/>
        </w:rPr>
        <w:t>rfituese (n</w:t>
      </w:r>
      <w:r w:rsidR="00D87F6B" w:rsidRPr="00470C60">
        <w:rPr>
          <w:bCs/>
          <w:i/>
          <w:lang w:val="sq-AL"/>
        </w:rPr>
        <w:t xml:space="preserve">ë </w:t>
      </w:r>
      <w:r w:rsidR="00E267A7" w:rsidRPr="00470C60">
        <w:rPr>
          <w:bCs/>
          <w:i/>
          <w:lang w:val="sq-AL"/>
        </w:rPr>
        <w:t>000/</w:t>
      </w:r>
      <w:r w:rsidR="00D87F6B" w:rsidRPr="00470C60">
        <w:rPr>
          <w:bCs/>
          <w:i/>
          <w:lang w:val="sq-AL"/>
        </w:rPr>
        <w:t>lekë</w:t>
      </w:r>
      <w:r w:rsidR="00E267A7" w:rsidRPr="00470C60">
        <w:rPr>
          <w:bCs/>
          <w:i/>
          <w:lang w:val="sq-AL"/>
        </w:rPr>
        <w:t>)</w:t>
      </w:r>
    </w:p>
    <w:tbl>
      <w:tblPr>
        <w:tblStyle w:val="TableGridLight1"/>
        <w:tblW w:w="4762" w:type="pct"/>
        <w:jc w:val="center"/>
        <w:tblLayout w:type="fixed"/>
        <w:tblLook w:val="04A0" w:firstRow="1" w:lastRow="0" w:firstColumn="1" w:lastColumn="0" w:noHBand="0" w:noVBand="1"/>
      </w:tblPr>
      <w:tblGrid>
        <w:gridCol w:w="942"/>
        <w:gridCol w:w="4413"/>
        <w:gridCol w:w="1620"/>
        <w:gridCol w:w="1518"/>
        <w:gridCol w:w="1518"/>
      </w:tblGrid>
      <w:tr w:rsidR="00F04E94" w:rsidRPr="00470C60" w:rsidTr="003D5710">
        <w:trPr>
          <w:trHeight w:val="354"/>
          <w:jc w:val="center"/>
        </w:trPr>
        <w:tc>
          <w:tcPr>
            <w:tcW w:w="471" w:type="pct"/>
            <w:vMerge w:val="restart"/>
            <w:noWrap/>
            <w:hideMark/>
          </w:tcPr>
          <w:p w:rsidR="00F04E94" w:rsidRPr="00470C60" w:rsidRDefault="00F04E94" w:rsidP="003D5710">
            <w:pPr>
              <w:spacing w:line="360" w:lineRule="auto"/>
              <w:jc w:val="center"/>
              <w:rPr>
                <w:b/>
                <w:bCs/>
                <w:sz w:val="8"/>
                <w:szCs w:val="8"/>
                <w:lang w:val="sq-AL"/>
              </w:rPr>
            </w:pPr>
          </w:p>
          <w:p w:rsidR="00F04E94" w:rsidRPr="00470C60" w:rsidRDefault="00F04E94" w:rsidP="003D5710">
            <w:pPr>
              <w:spacing w:line="360" w:lineRule="auto"/>
              <w:jc w:val="center"/>
              <w:rPr>
                <w:sz w:val="22"/>
                <w:lang w:val="sq-AL"/>
              </w:rPr>
            </w:pPr>
            <w:r w:rsidRPr="00470C60">
              <w:rPr>
                <w:b/>
                <w:bCs/>
                <w:sz w:val="22"/>
                <w:lang w:val="sq-AL"/>
              </w:rPr>
              <w:t>Kodi instit.</w:t>
            </w:r>
          </w:p>
        </w:tc>
        <w:tc>
          <w:tcPr>
            <w:tcW w:w="2204" w:type="pct"/>
            <w:vMerge w:val="restart"/>
            <w:noWrap/>
            <w:hideMark/>
          </w:tcPr>
          <w:p w:rsidR="00F04E94" w:rsidRPr="00470C60" w:rsidRDefault="00F04E94" w:rsidP="003D5710">
            <w:pPr>
              <w:spacing w:line="360" w:lineRule="auto"/>
              <w:jc w:val="center"/>
              <w:rPr>
                <w:b/>
                <w:bCs/>
                <w:sz w:val="22"/>
                <w:lang w:val="sq-AL"/>
              </w:rPr>
            </w:pPr>
          </w:p>
          <w:p w:rsidR="00F04E94" w:rsidRPr="00470C60" w:rsidRDefault="00F04E94" w:rsidP="003D5710">
            <w:pPr>
              <w:spacing w:line="360" w:lineRule="auto"/>
              <w:jc w:val="center"/>
              <w:rPr>
                <w:sz w:val="22"/>
                <w:lang w:val="sq-AL"/>
              </w:rPr>
            </w:pPr>
            <w:r w:rsidRPr="00470C60">
              <w:rPr>
                <w:b/>
                <w:bCs/>
                <w:sz w:val="22"/>
                <w:lang w:val="sq-AL"/>
              </w:rPr>
              <w:t>Emërtimi i institucionit</w:t>
            </w:r>
          </w:p>
        </w:tc>
        <w:tc>
          <w:tcPr>
            <w:tcW w:w="809" w:type="pct"/>
            <w:vMerge w:val="restart"/>
            <w:noWrap/>
            <w:hideMark/>
          </w:tcPr>
          <w:p w:rsidR="00F04E94" w:rsidRPr="00470C60" w:rsidRDefault="00F04E94" w:rsidP="003D5710">
            <w:pPr>
              <w:spacing w:line="360" w:lineRule="auto"/>
              <w:jc w:val="center"/>
              <w:rPr>
                <w:b/>
                <w:bCs/>
                <w:sz w:val="22"/>
                <w:lang w:val="sq-AL"/>
              </w:rPr>
            </w:pPr>
            <w:r w:rsidRPr="00470C60">
              <w:rPr>
                <w:b/>
                <w:bCs/>
                <w:sz w:val="22"/>
                <w:lang w:val="sq-AL"/>
              </w:rPr>
              <w:t xml:space="preserve">Numri i VKM-ve </w:t>
            </w:r>
          </w:p>
          <w:p w:rsidR="00F04E94" w:rsidRPr="00470C60" w:rsidRDefault="00F04E94" w:rsidP="003D5710">
            <w:pPr>
              <w:spacing w:line="360" w:lineRule="auto"/>
              <w:jc w:val="center"/>
              <w:rPr>
                <w:sz w:val="22"/>
                <w:lang w:val="sq-AL"/>
              </w:rPr>
            </w:pPr>
            <w:r w:rsidRPr="00470C60">
              <w:rPr>
                <w:b/>
                <w:bCs/>
                <w:sz w:val="22"/>
                <w:lang w:val="sq-AL"/>
              </w:rPr>
              <w:t>të miratuara</w:t>
            </w:r>
          </w:p>
        </w:tc>
        <w:tc>
          <w:tcPr>
            <w:tcW w:w="1516" w:type="pct"/>
            <w:gridSpan w:val="2"/>
            <w:noWrap/>
            <w:hideMark/>
          </w:tcPr>
          <w:p w:rsidR="00F04E94" w:rsidRPr="00470C60" w:rsidRDefault="00F04E94" w:rsidP="003D5710">
            <w:pPr>
              <w:spacing w:line="360" w:lineRule="auto"/>
              <w:jc w:val="center"/>
              <w:rPr>
                <w:b/>
                <w:sz w:val="22"/>
                <w:lang w:val="sq-AL"/>
              </w:rPr>
            </w:pPr>
            <w:r w:rsidRPr="00470C60">
              <w:rPr>
                <w:b/>
                <w:sz w:val="22"/>
                <w:lang w:val="sq-AL"/>
              </w:rPr>
              <w:t>Fondi i përdorur</w:t>
            </w:r>
          </w:p>
        </w:tc>
      </w:tr>
      <w:tr w:rsidR="00F04E94" w:rsidRPr="00470C60" w:rsidTr="003D5710">
        <w:trPr>
          <w:trHeight w:val="863"/>
          <w:jc w:val="center"/>
        </w:trPr>
        <w:tc>
          <w:tcPr>
            <w:tcW w:w="471" w:type="pct"/>
            <w:vMerge/>
            <w:noWrap/>
            <w:hideMark/>
          </w:tcPr>
          <w:p w:rsidR="00F04E94" w:rsidRPr="00470C60" w:rsidRDefault="00F04E94" w:rsidP="003D5710">
            <w:pPr>
              <w:spacing w:line="360" w:lineRule="auto"/>
              <w:jc w:val="center"/>
              <w:rPr>
                <w:sz w:val="22"/>
                <w:lang w:val="sq-AL"/>
              </w:rPr>
            </w:pPr>
          </w:p>
        </w:tc>
        <w:tc>
          <w:tcPr>
            <w:tcW w:w="2204" w:type="pct"/>
            <w:vMerge/>
            <w:noWrap/>
            <w:hideMark/>
          </w:tcPr>
          <w:p w:rsidR="00F04E94" w:rsidRPr="00470C60" w:rsidRDefault="00F04E94" w:rsidP="003D5710">
            <w:pPr>
              <w:spacing w:line="360" w:lineRule="auto"/>
              <w:rPr>
                <w:sz w:val="22"/>
                <w:lang w:val="sq-AL"/>
              </w:rPr>
            </w:pPr>
          </w:p>
        </w:tc>
        <w:tc>
          <w:tcPr>
            <w:tcW w:w="809" w:type="pct"/>
            <w:vMerge/>
            <w:noWrap/>
            <w:hideMark/>
          </w:tcPr>
          <w:p w:rsidR="00F04E94" w:rsidRPr="00470C60" w:rsidRDefault="00F04E94" w:rsidP="003D5710">
            <w:pPr>
              <w:spacing w:line="360" w:lineRule="auto"/>
              <w:jc w:val="center"/>
              <w:rPr>
                <w:sz w:val="22"/>
                <w:lang w:val="sq-AL"/>
              </w:rPr>
            </w:pPr>
          </w:p>
        </w:tc>
        <w:tc>
          <w:tcPr>
            <w:tcW w:w="758" w:type="pct"/>
            <w:noWrap/>
            <w:hideMark/>
          </w:tcPr>
          <w:p w:rsidR="00F04E94" w:rsidRPr="00470C60" w:rsidRDefault="00F04E94" w:rsidP="003D5710">
            <w:pPr>
              <w:spacing w:line="360" w:lineRule="auto"/>
              <w:jc w:val="center"/>
              <w:rPr>
                <w:b/>
                <w:sz w:val="22"/>
                <w:lang w:val="sq-AL"/>
              </w:rPr>
            </w:pPr>
            <w:r w:rsidRPr="00470C60">
              <w:rPr>
                <w:b/>
                <w:sz w:val="22"/>
                <w:lang w:val="sq-AL"/>
              </w:rPr>
              <w:t>Vlera e akorduar</w:t>
            </w:r>
          </w:p>
        </w:tc>
        <w:tc>
          <w:tcPr>
            <w:tcW w:w="758" w:type="pct"/>
            <w:noWrap/>
            <w:hideMark/>
          </w:tcPr>
          <w:p w:rsidR="00F04E94" w:rsidRPr="00470C60" w:rsidRDefault="00F04E94" w:rsidP="003D5710">
            <w:pPr>
              <w:spacing w:line="360" w:lineRule="auto"/>
              <w:jc w:val="center"/>
              <w:rPr>
                <w:b/>
                <w:bCs/>
                <w:sz w:val="22"/>
                <w:lang w:val="sq-AL"/>
              </w:rPr>
            </w:pPr>
            <w:r w:rsidRPr="00470C60">
              <w:rPr>
                <w:b/>
                <w:bCs/>
                <w:sz w:val="22"/>
                <w:lang w:val="sq-AL"/>
              </w:rPr>
              <w:t xml:space="preserve">Në % </w:t>
            </w:r>
          </w:p>
          <w:p w:rsidR="00F04E94" w:rsidRPr="00470C60" w:rsidRDefault="00F04E94" w:rsidP="003D5710">
            <w:pPr>
              <w:spacing w:line="360" w:lineRule="auto"/>
              <w:jc w:val="center"/>
              <w:rPr>
                <w:sz w:val="22"/>
                <w:lang w:val="sq-AL"/>
              </w:rPr>
            </w:pPr>
            <w:r w:rsidRPr="00470C60">
              <w:rPr>
                <w:b/>
                <w:bCs/>
                <w:sz w:val="22"/>
                <w:lang w:val="sq-AL"/>
              </w:rPr>
              <w:t>ndaj planit</w:t>
            </w:r>
          </w:p>
        </w:tc>
      </w:tr>
      <w:tr w:rsidR="00F04E94" w:rsidRPr="00470C60" w:rsidTr="003D5710">
        <w:trPr>
          <w:trHeight w:val="181"/>
          <w:jc w:val="center"/>
        </w:trPr>
        <w:tc>
          <w:tcPr>
            <w:tcW w:w="471" w:type="pct"/>
            <w:noWrap/>
          </w:tcPr>
          <w:p w:rsidR="00F04E94" w:rsidRPr="00470C60" w:rsidRDefault="00F04E94" w:rsidP="003D5710">
            <w:pPr>
              <w:spacing w:line="360" w:lineRule="auto"/>
              <w:jc w:val="center"/>
              <w:rPr>
                <w:sz w:val="22"/>
                <w:lang w:val="sq-AL"/>
              </w:rPr>
            </w:pPr>
            <w:r w:rsidRPr="00470C60">
              <w:rPr>
                <w:sz w:val="22"/>
                <w:lang w:val="sq-AL"/>
              </w:rPr>
              <w:t>87</w:t>
            </w:r>
          </w:p>
        </w:tc>
        <w:tc>
          <w:tcPr>
            <w:tcW w:w="2204" w:type="pct"/>
            <w:noWrap/>
          </w:tcPr>
          <w:p w:rsidR="00F04E94" w:rsidRPr="00470C60" w:rsidRDefault="00F04E94" w:rsidP="003D5710">
            <w:pPr>
              <w:spacing w:line="360" w:lineRule="auto"/>
              <w:rPr>
                <w:sz w:val="22"/>
                <w:lang w:val="sq-AL"/>
              </w:rPr>
            </w:pPr>
            <w:r w:rsidRPr="00470C60">
              <w:rPr>
                <w:sz w:val="22"/>
                <w:lang w:val="sq-AL"/>
              </w:rPr>
              <w:t>Institucione të tjera Qendrore</w:t>
            </w:r>
          </w:p>
        </w:tc>
        <w:tc>
          <w:tcPr>
            <w:tcW w:w="809" w:type="pct"/>
            <w:noWrap/>
          </w:tcPr>
          <w:p w:rsidR="00F04E94" w:rsidRPr="00470C60" w:rsidRDefault="00DB27D7" w:rsidP="003D5710">
            <w:pPr>
              <w:spacing w:line="360" w:lineRule="auto"/>
              <w:jc w:val="center"/>
              <w:rPr>
                <w:sz w:val="22"/>
                <w:lang w:val="sq-AL"/>
              </w:rPr>
            </w:pPr>
            <w:r>
              <w:rPr>
                <w:sz w:val="22"/>
                <w:lang w:val="sq-AL"/>
              </w:rPr>
              <w:t>5</w:t>
            </w:r>
          </w:p>
        </w:tc>
        <w:tc>
          <w:tcPr>
            <w:tcW w:w="758" w:type="pct"/>
            <w:noWrap/>
          </w:tcPr>
          <w:p w:rsidR="00F04E94" w:rsidRPr="00470C60" w:rsidRDefault="00DB27D7" w:rsidP="003D5710">
            <w:pPr>
              <w:spacing w:line="360" w:lineRule="auto"/>
              <w:jc w:val="center"/>
              <w:rPr>
                <w:sz w:val="22"/>
                <w:lang w:val="sq-AL"/>
              </w:rPr>
            </w:pPr>
            <w:r>
              <w:rPr>
                <w:sz w:val="22"/>
                <w:lang w:val="sq-AL"/>
              </w:rPr>
              <w:t>82 120</w:t>
            </w:r>
          </w:p>
        </w:tc>
        <w:tc>
          <w:tcPr>
            <w:tcW w:w="758" w:type="pct"/>
            <w:noWrap/>
          </w:tcPr>
          <w:p w:rsidR="00F04E94" w:rsidRPr="00470C60" w:rsidRDefault="00F04E94" w:rsidP="00337E1F">
            <w:pPr>
              <w:spacing w:line="360" w:lineRule="auto"/>
              <w:jc w:val="center"/>
              <w:rPr>
                <w:sz w:val="22"/>
                <w:lang w:val="sq-AL"/>
              </w:rPr>
            </w:pPr>
            <w:r w:rsidRPr="00470C60">
              <w:rPr>
                <w:sz w:val="22"/>
                <w:lang w:val="sq-AL"/>
              </w:rPr>
              <w:t xml:space="preserve"> </w:t>
            </w:r>
            <w:r w:rsidR="00337E1F">
              <w:rPr>
                <w:sz w:val="22"/>
                <w:lang w:val="sq-AL"/>
              </w:rPr>
              <w:t>4</w:t>
            </w:r>
            <w:r w:rsidRPr="00470C60">
              <w:rPr>
                <w:sz w:val="22"/>
                <w:lang w:val="sq-AL"/>
              </w:rPr>
              <w:t>%</w:t>
            </w:r>
          </w:p>
        </w:tc>
      </w:tr>
      <w:tr w:rsidR="00F04E94" w:rsidRPr="00470C60" w:rsidTr="003D5710">
        <w:trPr>
          <w:trHeight w:val="181"/>
          <w:jc w:val="center"/>
        </w:trPr>
        <w:tc>
          <w:tcPr>
            <w:tcW w:w="471" w:type="pct"/>
            <w:noWrap/>
          </w:tcPr>
          <w:p w:rsidR="00F04E94" w:rsidRPr="00470C60" w:rsidRDefault="00F04E94" w:rsidP="003D5710">
            <w:pPr>
              <w:spacing w:line="360" w:lineRule="auto"/>
              <w:jc w:val="center"/>
              <w:rPr>
                <w:sz w:val="22"/>
                <w:lang w:val="sq-AL"/>
              </w:rPr>
            </w:pPr>
            <w:r w:rsidRPr="00470C60">
              <w:rPr>
                <w:sz w:val="22"/>
                <w:lang w:val="sq-AL"/>
              </w:rPr>
              <w:t>16</w:t>
            </w:r>
          </w:p>
        </w:tc>
        <w:tc>
          <w:tcPr>
            <w:tcW w:w="2204" w:type="pct"/>
            <w:noWrap/>
          </w:tcPr>
          <w:p w:rsidR="00F04E94" w:rsidRPr="00470C60" w:rsidRDefault="00F04E94" w:rsidP="003D5710">
            <w:pPr>
              <w:spacing w:line="360" w:lineRule="auto"/>
              <w:rPr>
                <w:sz w:val="22"/>
                <w:lang w:val="sq-AL"/>
              </w:rPr>
            </w:pPr>
            <w:r w:rsidRPr="00470C60">
              <w:rPr>
                <w:sz w:val="22"/>
                <w:lang w:val="sq-AL"/>
              </w:rPr>
              <w:t>Ministria e Brendshme</w:t>
            </w:r>
          </w:p>
        </w:tc>
        <w:tc>
          <w:tcPr>
            <w:tcW w:w="809" w:type="pct"/>
            <w:noWrap/>
          </w:tcPr>
          <w:p w:rsidR="00F04E94" w:rsidRPr="00470C60" w:rsidRDefault="00F04E94" w:rsidP="003D5710">
            <w:pPr>
              <w:spacing w:line="360" w:lineRule="auto"/>
              <w:jc w:val="center"/>
              <w:rPr>
                <w:sz w:val="22"/>
                <w:lang w:val="sq-AL"/>
              </w:rPr>
            </w:pPr>
            <w:r w:rsidRPr="00470C60">
              <w:rPr>
                <w:sz w:val="22"/>
                <w:lang w:val="sq-AL"/>
              </w:rPr>
              <w:t>2</w:t>
            </w:r>
          </w:p>
        </w:tc>
        <w:tc>
          <w:tcPr>
            <w:tcW w:w="758" w:type="pct"/>
            <w:noWrap/>
          </w:tcPr>
          <w:p w:rsidR="00F04E94" w:rsidRPr="00470C60" w:rsidRDefault="00F04E94" w:rsidP="003D5710">
            <w:pPr>
              <w:spacing w:line="360" w:lineRule="auto"/>
              <w:jc w:val="center"/>
              <w:rPr>
                <w:sz w:val="22"/>
                <w:lang w:val="sq-AL"/>
              </w:rPr>
            </w:pPr>
            <w:r w:rsidRPr="00470C60">
              <w:rPr>
                <w:sz w:val="22"/>
                <w:lang w:val="sq-AL"/>
              </w:rPr>
              <w:t>52 000</w:t>
            </w:r>
          </w:p>
        </w:tc>
        <w:tc>
          <w:tcPr>
            <w:tcW w:w="758" w:type="pct"/>
            <w:noWrap/>
          </w:tcPr>
          <w:p w:rsidR="00F04E94" w:rsidRPr="00470C60" w:rsidRDefault="00F04E94" w:rsidP="00337E1F">
            <w:pPr>
              <w:spacing w:line="360" w:lineRule="auto"/>
              <w:jc w:val="center"/>
              <w:rPr>
                <w:sz w:val="22"/>
                <w:lang w:val="sq-AL"/>
              </w:rPr>
            </w:pPr>
            <w:r w:rsidRPr="00470C60">
              <w:rPr>
                <w:sz w:val="22"/>
                <w:lang w:val="sq-AL"/>
              </w:rPr>
              <w:t xml:space="preserve">  </w:t>
            </w:r>
            <w:r w:rsidR="00241AB8">
              <w:rPr>
                <w:sz w:val="22"/>
                <w:lang w:val="sq-AL"/>
              </w:rPr>
              <w:t>2.</w:t>
            </w:r>
            <w:r w:rsidR="00337E1F">
              <w:rPr>
                <w:sz w:val="22"/>
                <w:lang w:val="sq-AL"/>
              </w:rPr>
              <w:t>5</w:t>
            </w:r>
            <w:r w:rsidRPr="00470C60">
              <w:rPr>
                <w:sz w:val="22"/>
                <w:lang w:val="sq-AL"/>
              </w:rPr>
              <w:t>%</w:t>
            </w:r>
          </w:p>
        </w:tc>
      </w:tr>
      <w:tr w:rsidR="00F04E94" w:rsidRPr="00470C60" w:rsidTr="003D5710">
        <w:trPr>
          <w:trHeight w:val="181"/>
          <w:jc w:val="center"/>
        </w:trPr>
        <w:tc>
          <w:tcPr>
            <w:tcW w:w="471" w:type="pct"/>
            <w:noWrap/>
          </w:tcPr>
          <w:p w:rsidR="00F04E94" w:rsidRPr="00470C60" w:rsidRDefault="00F04E94" w:rsidP="003D5710">
            <w:pPr>
              <w:spacing w:line="360" w:lineRule="auto"/>
              <w:jc w:val="center"/>
              <w:rPr>
                <w:sz w:val="22"/>
                <w:lang w:val="sq-AL"/>
              </w:rPr>
            </w:pPr>
            <w:r w:rsidRPr="00470C60">
              <w:rPr>
                <w:sz w:val="22"/>
                <w:lang w:val="sq-AL"/>
              </w:rPr>
              <w:t>17</w:t>
            </w:r>
          </w:p>
        </w:tc>
        <w:tc>
          <w:tcPr>
            <w:tcW w:w="2204" w:type="pct"/>
            <w:noWrap/>
          </w:tcPr>
          <w:p w:rsidR="00F04E94" w:rsidRPr="00470C60" w:rsidRDefault="00F04E94" w:rsidP="003D5710">
            <w:pPr>
              <w:spacing w:line="360" w:lineRule="auto"/>
              <w:rPr>
                <w:sz w:val="22"/>
                <w:lang w:val="sq-AL"/>
              </w:rPr>
            </w:pPr>
            <w:r w:rsidRPr="00470C60">
              <w:rPr>
                <w:sz w:val="22"/>
                <w:lang w:val="sq-AL"/>
              </w:rPr>
              <w:t>Ministria e Mbrojtjes</w:t>
            </w:r>
          </w:p>
        </w:tc>
        <w:tc>
          <w:tcPr>
            <w:tcW w:w="809" w:type="pct"/>
            <w:noWrap/>
          </w:tcPr>
          <w:p w:rsidR="00F04E94" w:rsidRPr="00470C60" w:rsidRDefault="00A01B30" w:rsidP="003D5710">
            <w:pPr>
              <w:spacing w:line="360" w:lineRule="auto"/>
              <w:jc w:val="center"/>
              <w:rPr>
                <w:sz w:val="22"/>
                <w:lang w:val="sq-AL"/>
              </w:rPr>
            </w:pPr>
            <w:r>
              <w:rPr>
                <w:sz w:val="22"/>
                <w:lang w:val="sq-AL"/>
              </w:rPr>
              <w:t>3</w:t>
            </w:r>
          </w:p>
        </w:tc>
        <w:tc>
          <w:tcPr>
            <w:tcW w:w="758" w:type="pct"/>
            <w:noWrap/>
          </w:tcPr>
          <w:p w:rsidR="00F04E94" w:rsidRPr="00470C60" w:rsidRDefault="00337E1F" w:rsidP="003D5710">
            <w:pPr>
              <w:spacing w:line="360" w:lineRule="auto"/>
              <w:jc w:val="center"/>
              <w:rPr>
                <w:sz w:val="22"/>
                <w:lang w:val="sq-AL"/>
              </w:rPr>
            </w:pPr>
            <w:r>
              <w:rPr>
                <w:sz w:val="22"/>
                <w:lang w:val="sq-AL"/>
              </w:rPr>
              <w:t>21</w:t>
            </w:r>
            <w:r w:rsidR="00241AB8">
              <w:rPr>
                <w:sz w:val="22"/>
                <w:lang w:val="sq-AL"/>
              </w:rPr>
              <w:t>3 000</w:t>
            </w:r>
          </w:p>
        </w:tc>
        <w:tc>
          <w:tcPr>
            <w:tcW w:w="758" w:type="pct"/>
            <w:noWrap/>
          </w:tcPr>
          <w:p w:rsidR="00F04E94" w:rsidRPr="00470C60" w:rsidRDefault="00000BE1" w:rsidP="003D5710">
            <w:pPr>
              <w:spacing w:line="360" w:lineRule="auto"/>
              <w:jc w:val="center"/>
              <w:rPr>
                <w:sz w:val="22"/>
                <w:lang w:val="sq-AL"/>
              </w:rPr>
            </w:pPr>
            <w:r>
              <w:rPr>
                <w:sz w:val="22"/>
                <w:lang w:val="sq-AL"/>
              </w:rPr>
              <w:t>10.4</w:t>
            </w:r>
            <w:r w:rsidR="003C66D2">
              <w:rPr>
                <w:sz w:val="22"/>
                <w:lang w:val="sq-AL"/>
              </w:rPr>
              <w:t>%</w:t>
            </w:r>
          </w:p>
        </w:tc>
      </w:tr>
      <w:tr w:rsidR="00F04E94" w:rsidRPr="00470C60" w:rsidTr="003D5710">
        <w:trPr>
          <w:trHeight w:val="181"/>
          <w:jc w:val="center"/>
        </w:trPr>
        <w:tc>
          <w:tcPr>
            <w:tcW w:w="471" w:type="pct"/>
            <w:noWrap/>
          </w:tcPr>
          <w:p w:rsidR="00F04E94" w:rsidRPr="00470C60" w:rsidRDefault="00F04E94" w:rsidP="003D5710">
            <w:pPr>
              <w:spacing w:line="360" w:lineRule="auto"/>
              <w:jc w:val="center"/>
              <w:rPr>
                <w:sz w:val="22"/>
                <w:lang w:val="sq-AL"/>
              </w:rPr>
            </w:pPr>
            <w:r w:rsidRPr="00470C60">
              <w:rPr>
                <w:sz w:val="22"/>
                <w:lang w:val="sq-AL"/>
              </w:rPr>
              <w:lastRenderedPageBreak/>
              <w:t>26</w:t>
            </w:r>
          </w:p>
        </w:tc>
        <w:tc>
          <w:tcPr>
            <w:tcW w:w="2204" w:type="pct"/>
            <w:noWrap/>
          </w:tcPr>
          <w:p w:rsidR="00F04E94" w:rsidRPr="00470C60" w:rsidRDefault="00F04E94" w:rsidP="003D5710">
            <w:pPr>
              <w:spacing w:line="360" w:lineRule="auto"/>
              <w:rPr>
                <w:sz w:val="22"/>
                <w:lang w:val="sq-AL"/>
              </w:rPr>
            </w:pPr>
            <w:r w:rsidRPr="00470C60">
              <w:rPr>
                <w:sz w:val="22"/>
                <w:lang w:val="sq-AL"/>
              </w:rPr>
              <w:t>Ministria e Turizmit dhe e Mjedisit</w:t>
            </w:r>
          </w:p>
        </w:tc>
        <w:tc>
          <w:tcPr>
            <w:tcW w:w="809" w:type="pct"/>
            <w:noWrap/>
          </w:tcPr>
          <w:p w:rsidR="00F04E94" w:rsidRPr="00470C60" w:rsidRDefault="00337E1F" w:rsidP="003D5710">
            <w:pPr>
              <w:spacing w:line="360" w:lineRule="auto"/>
              <w:jc w:val="center"/>
              <w:rPr>
                <w:sz w:val="22"/>
                <w:lang w:val="sq-AL"/>
              </w:rPr>
            </w:pPr>
            <w:r>
              <w:rPr>
                <w:sz w:val="22"/>
                <w:lang w:val="sq-AL"/>
              </w:rPr>
              <w:t>2</w:t>
            </w:r>
          </w:p>
        </w:tc>
        <w:tc>
          <w:tcPr>
            <w:tcW w:w="758" w:type="pct"/>
            <w:noWrap/>
          </w:tcPr>
          <w:p w:rsidR="00F04E94" w:rsidRPr="00470C60" w:rsidRDefault="00337E1F" w:rsidP="003D5710">
            <w:pPr>
              <w:spacing w:line="360" w:lineRule="auto"/>
              <w:jc w:val="center"/>
              <w:rPr>
                <w:sz w:val="22"/>
                <w:lang w:val="sq-AL"/>
              </w:rPr>
            </w:pPr>
            <w:r>
              <w:rPr>
                <w:sz w:val="22"/>
                <w:lang w:val="sq-AL"/>
              </w:rPr>
              <w:t>28</w:t>
            </w:r>
            <w:r w:rsidR="00F04E94" w:rsidRPr="00470C60">
              <w:rPr>
                <w:sz w:val="22"/>
                <w:lang w:val="sq-AL"/>
              </w:rPr>
              <w:t>3 000</w:t>
            </w:r>
          </w:p>
        </w:tc>
        <w:tc>
          <w:tcPr>
            <w:tcW w:w="758" w:type="pct"/>
            <w:noWrap/>
          </w:tcPr>
          <w:p w:rsidR="00F04E94" w:rsidRPr="00470C60" w:rsidRDefault="00337E1F" w:rsidP="00241AB8">
            <w:pPr>
              <w:spacing w:line="360" w:lineRule="auto"/>
              <w:jc w:val="center"/>
              <w:rPr>
                <w:sz w:val="22"/>
                <w:lang w:val="sq-AL"/>
              </w:rPr>
            </w:pPr>
            <w:r>
              <w:rPr>
                <w:sz w:val="22"/>
                <w:lang w:val="sq-AL"/>
              </w:rPr>
              <w:t>13.8</w:t>
            </w:r>
            <w:r w:rsidR="00F04E94" w:rsidRPr="00470C60">
              <w:rPr>
                <w:sz w:val="22"/>
                <w:lang w:val="sq-AL"/>
              </w:rPr>
              <w:t>%</w:t>
            </w:r>
          </w:p>
        </w:tc>
      </w:tr>
      <w:tr w:rsidR="00F04E94" w:rsidRPr="00470C60" w:rsidTr="003D5710">
        <w:trPr>
          <w:trHeight w:val="181"/>
          <w:jc w:val="center"/>
        </w:trPr>
        <w:tc>
          <w:tcPr>
            <w:tcW w:w="471" w:type="pct"/>
            <w:noWrap/>
          </w:tcPr>
          <w:p w:rsidR="00F04E94" w:rsidRPr="00470C60" w:rsidRDefault="00F04E94" w:rsidP="003D5710">
            <w:pPr>
              <w:spacing w:line="360" w:lineRule="auto"/>
              <w:jc w:val="center"/>
              <w:rPr>
                <w:sz w:val="22"/>
                <w:lang w:val="sq-AL"/>
              </w:rPr>
            </w:pPr>
            <w:r w:rsidRPr="00470C60">
              <w:rPr>
                <w:sz w:val="22"/>
                <w:lang w:val="sq-AL"/>
              </w:rPr>
              <w:t>11</w:t>
            </w:r>
          </w:p>
        </w:tc>
        <w:tc>
          <w:tcPr>
            <w:tcW w:w="2204" w:type="pct"/>
            <w:noWrap/>
          </w:tcPr>
          <w:p w:rsidR="00F04E94" w:rsidRPr="00470C60" w:rsidRDefault="00F04E94" w:rsidP="003D5710">
            <w:pPr>
              <w:spacing w:line="360" w:lineRule="auto"/>
              <w:rPr>
                <w:sz w:val="22"/>
                <w:lang w:val="sq-AL"/>
              </w:rPr>
            </w:pPr>
            <w:r w:rsidRPr="00470C60">
              <w:rPr>
                <w:sz w:val="22"/>
                <w:lang w:val="sq-AL"/>
              </w:rPr>
              <w:t>Ministria e Arsimit Sportit dhe Rinisë</w:t>
            </w:r>
          </w:p>
        </w:tc>
        <w:tc>
          <w:tcPr>
            <w:tcW w:w="809" w:type="pct"/>
            <w:noWrap/>
          </w:tcPr>
          <w:p w:rsidR="00F04E94" w:rsidRPr="00470C60" w:rsidRDefault="00F04E94" w:rsidP="003D5710">
            <w:pPr>
              <w:spacing w:line="360" w:lineRule="auto"/>
              <w:jc w:val="center"/>
              <w:rPr>
                <w:sz w:val="22"/>
                <w:lang w:val="sq-AL"/>
              </w:rPr>
            </w:pPr>
            <w:r w:rsidRPr="00470C60">
              <w:rPr>
                <w:sz w:val="22"/>
                <w:lang w:val="sq-AL"/>
              </w:rPr>
              <w:t>1</w:t>
            </w:r>
          </w:p>
        </w:tc>
        <w:tc>
          <w:tcPr>
            <w:tcW w:w="758" w:type="pct"/>
            <w:noWrap/>
          </w:tcPr>
          <w:p w:rsidR="00F04E94" w:rsidRPr="00470C60" w:rsidRDefault="00F04E94" w:rsidP="003D5710">
            <w:pPr>
              <w:spacing w:line="360" w:lineRule="auto"/>
              <w:jc w:val="center"/>
              <w:rPr>
                <w:sz w:val="22"/>
                <w:lang w:val="sq-AL"/>
              </w:rPr>
            </w:pPr>
            <w:r w:rsidRPr="00470C60">
              <w:rPr>
                <w:sz w:val="22"/>
                <w:lang w:val="sq-AL"/>
              </w:rPr>
              <w:t>1 020 000</w:t>
            </w:r>
          </w:p>
        </w:tc>
        <w:tc>
          <w:tcPr>
            <w:tcW w:w="758" w:type="pct"/>
            <w:noWrap/>
          </w:tcPr>
          <w:p w:rsidR="00F04E94" w:rsidRPr="00470C60" w:rsidRDefault="00337E1F" w:rsidP="003C66D2">
            <w:pPr>
              <w:spacing w:line="360" w:lineRule="auto"/>
              <w:jc w:val="center"/>
              <w:rPr>
                <w:sz w:val="22"/>
                <w:lang w:val="sq-AL"/>
              </w:rPr>
            </w:pPr>
            <w:r>
              <w:rPr>
                <w:sz w:val="22"/>
                <w:lang w:val="sq-AL"/>
              </w:rPr>
              <w:t>49.6</w:t>
            </w:r>
            <w:r w:rsidR="00F04E94" w:rsidRPr="00470C60">
              <w:rPr>
                <w:sz w:val="22"/>
                <w:lang w:val="sq-AL"/>
              </w:rPr>
              <w:t>%</w:t>
            </w:r>
          </w:p>
        </w:tc>
      </w:tr>
      <w:tr w:rsidR="00F04E94" w:rsidRPr="00470C60" w:rsidTr="003D5710">
        <w:trPr>
          <w:trHeight w:val="359"/>
          <w:jc w:val="center"/>
        </w:trPr>
        <w:tc>
          <w:tcPr>
            <w:tcW w:w="471" w:type="pct"/>
            <w:noWrap/>
          </w:tcPr>
          <w:p w:rsidR="00F04E94" w:rsidRPr="00470C60" w:rsidRDefault="00F04E94" w:rsidP="003D5710">
            <w:pPr>
              <w:spacing w:line="360" w:lineRule="auto"/>
              <w:rPr>
                <w:sz w:val="22"/>
                <w:lang w:val="sq-AL"/>
              </w:rPr>
            </w:pPr>
            <w:r>
              <w:rPr>
                <w:sz w:val="22"/>
                <w:lang w:val="sq-AL"/>
              </w:rPr>
              <w:t xml:space="preserve"> </w:t>
            </w:r>
            <w:r w:rsidRPr="00470C60">
              <w:rPr>
                <w:sz w:val="22"/>
                <w:lang w:val="sq-AL"/>
              </w:rPr>
              <w:t xml:space="preserve">   15</w:t>
            </w:r>
          </w:p>
        </w:tc>
        <w:tc>
          <w:tcPr>
            <w:tcW w:w="2204" w:type="pct"/>
            <w:noWrap/>
          </w:tcPr>
          <w:p w:rsidR="00F04E94" w:rsidRPr="00470C60" w:rsidRDefault="00F04E94" w:rsidP="003D5710">
            <w:pPr>
              <w:spacing w:line="360" w:lineRule="auto"/>
              <w:rPr>
                <w:bCs/>
                <w:sz w:val="22"/>
                <w:lang w:val="sq-AL"/>
              </w:rPr>
            </w:pPr>
            <w:r w:rsidRPr="00470C60">
              <w:rPr>
                <w:bCs/>
                <w:sz w:val="22"/>
                <w:lang w:val="sq-AL"/>
              </w:rPr>
              <w:t>Ministria për Evropën e Punët e Jashtme</w:t>
            </w:r>
          </w:p>
        </w:tc>
        <w:tc>
          <w:tcPr>
            <w:tcW w:w="809" w:type="pct"/>
            <w:noWrap/>
          </w:tcPr>
          <w:p w:rsidR="00F04E94" w:rsidRPr="00470C60" w:rsidRDefault="00F04E94" w:rsidP="003D5710">
            <w:pPr>
              <w:spacing w:line="360" w:lineRule="auto"/>
              <w:jc w:val="center"/>
              <w:rPr>
                <w:bCs/>
                <w:sz w:val="22"/>
                <w:lang w:val="sq-AL"/>
              </w:rPr>
            </w:pPr>
            <w:r>
              <w:rPr>
                <w:bCs/>
                <w:sz w:val="22"/>
                <w:lang w:val="sq-AL"/>
              </w:rPr>
              <w:t>3</w:t>
            </w:r>
          </w:p>
        </w:tc>
        <w:tc>
          <w:tcPr>
            <w:tcW w:w="758" w:type="pct"/>
            <w:noWrap/>
          </w:tcPr>
          <w:p w:rsidR="00F04E94" w:rsidRPr="00470C60" w:rsidRDefault="00F04E94" w:rsidP="00337E1F">
            <w:pPr>
              <w:spacing w:line="360" w:lineRule="auto"/>
              <w:jc w:val="center"/>
              <w:rPr>
                <w:bCs/>
                <w:sz w:val="22"/>
                <w:lang w:val="sq-AL"/>
              </w:rPr>
            </w:pPr>
            <w:r w:rsidRPr="00470C60">
              <w:rPr>
                <w:bCs/>
                <w:sz w:val="22"/>
                <w:lang w:val="sq-AL"/>
              </w:rPr>
              <w:t>1</w:t>
            </w:r>
            <w:r>
              <w:rPr>
                <w:bCs/>
                <w:sz w:val="22"/>
                <w:lang w:val="sq-AL"/>
              </w:rPr>
              <w:t>9</w:t>
            </w:r>
            <w:r w:rsidRPr="00470C60">
              <w:rPr>
                <w:bCs/>
                <w:sz w:val="22"/>
                <w:lang w:val="sq-AL"/>
              </w:rPr>
              <w:t xml:space="preserve"> </w:t>
            </w:r>
            <w:r>
              <w:rPr>
                <w:bCs/>
                <w:sz w:val="22"/>
                <w:lang w:val="sq-AL"/>
              </w:rPr>
              <w:t>3</w:t>
            </w:r>
            <w:r w:rsidR="00337E1F">
              <w:rPr>
                <w:bCs/>
                <w:sz w:val="22"/>
                <w:lang w:val="sq-AL"/>
              </w:rPr>
              <w:t>75</w:t>
            </w:r>
          </w:p>
        </w:tc>
        <w:tc>
          <w:tcPr>
            <w:tcW w:w="758" w:type="pct"/>
            <w:noWrap/>
          </w:tcPr>
          <w:p w:rsidR="00F04E94" w:rsidRPr="00470C60" w:rsidRDefault="00337E1F" w:rsidP="003D5710">
            <w:pPr>
              <w:spacing w:line="360" w:lineRule="auto"/>
              <w:jc w:val="center"/>
              <w:rPr>
                <w:bCs/>
                <w:sz w:val="22"/>
                <w:lang w:val="sq-AL"/>
              </w:rPr>
            </w:pPr>
            <w:r>
              <w:rPr>
                <w:bCs/>
                <w:sz w:val="22"/>
                <w:lang w:val="sq-AL"/>
              </w:rPr>
              <w:t>0.9</w:t>
            </w:r>
            <w:r w:rsidR="00F04E94" w:rsidRPr="00470C60">
              <w:rPr>
                <w:bCs/>
                <w:sz w:val="22"/>
                <w:lang w:val="sq-AL"/>
              </w:rPr>
              <w:t>%</w:t>
            </w:r>
          </w:p>
        </w:tc>
      </w:tr>
      <w:tr w:rsidR="00F04E94" w:rsidRPr="00470C60" w:rsidTr="003D5710">
        <w:trPr>
          <w:trHeight w:val="359"/>
          <w:jc w:val="center"/>
        </w:trPr>
        <w:tc>
          <w:tcPr>
            <w:tcW w:w="471" w:type="pct"/>
            <w:noWrap/>
          </w:tcPr>
          <w:p w:rsidR="00F04E94" w:rsidRPr="00470C60" w:rsidRDefault="00F04E94" w:rsidP="003D5710">
            <w:pPr>
              <w:spacing w:line="360" w:lineRule="auto"/>
              <w:rPr>
                <w:sz w:val="22"/>
                <w:lang w:val="sq-AL"/>
              </w:rPr>
            </w:pPr>
            <w:r w:rsidRPr="00470C60">
              <w:rPr>
                <w:sz w:val="22"/>
                <w:lang w:val="sq-AL"/>
              </w:rPr>
              <w:t xml:space="preserve"> </w:t>
            </w:r>
            <w:r>
              <w:rPr>
                <w:sz w:val="22"/>
                <w:lang w:val="sq-AL"/>
              </w:rPr>
              <w:t xml:space="preserve"> </w:t>
            </w:r>
            <w:r w:rsidRPr="00470C60">
              <w:rPr>
                <w:sz w:val="22"/>
                <w:lang w:val="sq-AL"/>
              </w:rPr>
              <w:t xml:space="preserve">  73</w:t>
            </w:r>
          </w:p>
        </w:tc>
        <w:tc>
          <w:tcPr>
            <w:tcW w:w="2204" w:type="pct"/>
            <w:noWrap/>
          </w:tcPr>
          <w:p w:rsidR="00F04E94" w:rsidRPr="00470C60" w:rsidRDefault="00F04E94" w:rsidP="003D5710">
            <w:pPr>
              <w:spacing w:line="360" w:lineRule="auto"/>
              <w:rPr>
                <w:bCs/>
                <w:sz w:val="22"/>
                <w:lang w:val="sq-AL"/>
              </w:rPr>
            </w:pPr>
            <w:r w:rsidRPr="00470C60">
              <w:rPr>
                <w:bCs/>
                <w:sz w:val="22"/>
                <w:lang w:val="sq-AL"/>
              </w:rPr>
              <w:t>Komisioni Qendror i Zgjedhjeve</w:t>
            </w:r>
          </w:p>
        </w:tc>
        <w:tc>
          <w:tcPr>
            <w:tcW w:w="809" w:type="pct"/>
            <w:noWrap/>
          </w:tcPr>
          <w:p w:rsidR="00F04E94" w:rsidRPr="00470C60" w:rsidRDefault="00F04E94" w:rsidP="003D5710">
            <w:pPr>
              <w:spacing w:line="360" w:lineRule="auto"/>
              <w:jc w:val="center"/>
              <w:rPr>
                <w:bCs/>
                <w:sz w:val="22"/>
                <w:lang w:val="sq-AL"/>
              </w:rPr>
            </w:pPr>
            <w:r>
              <w:rPr>
                <w:bCs/>
                <w:sz w:val="22"/>
                <w:lang w:val="sq-AL"/>
              </w:rPr>
              <w:t>2</w:t>
            </w:r>
          </w:p>
        </w:tc>
        <w:tc>
          <w:tcPr>
            <w:tcW w:w="758" w:type="pct"/>
            <w:noWrap/>
          </w:tcPr>
          <w:p w:rsidR="00F04E94" w:rsidRPr="00470C60" w:rsidRDefault="00F04E94" w:rsidP="003D5710">
            <w:pPr>
              <w:spacing w:line="360" w:lineRule="auto"/>
              <w:jc w:val="center"/>
              <w:rPr>
                <w:bCs/>
                <w:sz w:val="22"/>
                <w:lang w:val="sq-AL"/>
              </w:rPr>
            </w:pPr>
            <w:r>
              <w:rPr>
                <w:bCs/>
                <w:sz w:val="22"/>
                <w:lang w:val="sq-AL"/>
              </w:rPr>
              <w:t>20</w:t>
            </w:r>
            <w:r w:rsidRPr="00470C60">
              <w:rPr>
                <w:bCs/>
                <w:sz w:val="22"/>
                <w:lang w:val="sq-AL"/>
              </w:rPr>
              <w:t>0 000</w:t>
            </w:r>
          </w:p>
        </w:tc>
        <w:tc>
          <w:tcPr>
            <w:tcW w:w="758" w:type="pct"/>
            <w:noWrap/>
          </w:tcPr>
          <w:p w:rsidR="00F04E94" w:rsidRPr="00470C60" w:rsidRDefault="00337E1F" w:rsidP="003C66D2">
            <w:pPr>
              <w:spacing w:line="360" w:lineRule="auto"/>
              <w:jc w:val="center"/>
              <w:rPr>
                <w:bCs/>
                <w:sz w:val="22"/>
                <w:lang w:val="sq-AL"/>
              </w:rPr>
            </w:pPr>
            <w:r>
              <w:rPr>
                <w:bCs/>
                <w:sz w:val="22"/>
                <w:lang w:val="sq-AL"/>
              </w:rPr>
              <w:t>9.7</w:t>
            </w:r>
            <w:r w:rsidR="00F04E94" w:rsidRPr="00470C60">
              <w:rPr>
                <w:bCs/>
                <w:sz w:val="22"/>
                <w:lang w:val="sq-AL"/>
              </w:rPr>
              <w:t>%</w:t>
            </w:r>
          </w:p>
        </w:tc>
      </w:tr>
      <w:tr w:rsidR="00F04E94" w:rsidRPr="00470C60" w:rsidTr="003D5710">
        <w:trPr>
          <w:trHeight w:val="359"/>
          <w:jc w:val="center"/>
        </w:trPr>
        <w:tc>
          <w:tcPr>
            <w:tcW w:w="471" w:type="pct"/>
            <w:noWrap/>
          </w:tcPr>
          <w:p w:rsidR="00F04E94" w:rsidRPr="00470C60" w:rsidRDefault="00F04E94" w:rsidP="003D5710">
            <w:pPr>
              <w:spacing w:line="360" w:lineRule="auto"/>
              <w:rPr>
                <w:sz w:val="22"/>
                <w:lang w:val="sq-AL"/>
              </w:rPr>
            </w:pPr>
            <w:r w:rsidRPr="00470C60">
              <w:rPr>
                <w:sz w:val="22"/>
                <w:lang w:val="sq-AL"/>
              </w:rPr>
              <w:t xml:space="preserve">    40 </w:t>
            </w:r>
          </w:p>
        </w:tc>
        <w:tc>
          <w:tcPr>
            <w:tcW w:w="2204" w:type="pct"/>
            <w:noWrap/>
          </w:tcPr>
          <w:p w:rsidR="00F04E94" w:rsidRPr="00470C60" w:rsidRDefault="00F04E94" w:rsidP="003D5710">
            <w:pPr>
              <w:spacing w:line="360" w:lineRule="auto"/>
              <w:rPr>
                <w:bCs/>
                <w:sz w:val="22"/>
                <w:lang w:val="sq-AL"/>
              </w:rPr>
            </w:pPr>
            <w:r w:rsidRPr="00470C60">
              <w:rPr>
                <w:bCs/>
                <w:sz w:val="22"/>
                <w:lang w:val="sq-AL"/>
              </w:rPr>
              <w:t>Partitë Politike</w:t>
            </w:r>
          </w:p>
        </w:tc>
        <w:tc>
          <w:tcPr>
            <w:tcW w:w="809" w:type="pct"/>
            <w:noWrap/>
          </w:tcPr>
          <w:p w:rsidR="00F04E94" w:rsidRPr="00470C60" w:rsidRDefault="00F04E94" w:rsidP="003D5710">
            <w:pPr>
              <w:spacing w:line="360" w:lineRule="auto"/>
              <w:jc w:val="center"/>
              <w:rPr>
                <w:bCs/>
                <w:sz w:val="22"/>
                <w:lang w:val="sq-AL"/>
              </w:rPr>
            </w:pPr>
            <w:r w:rsidRPr="00470C60">
              <w:rPr>
                <w:bCs/>
                <w:sz w:val="22"/>
                <w:lang w:val="sq-AL"/>
              </w:rPr>
              <w:t>1</w:t>
            </w:r>
          </w:p>
        </w:tc>
        <w:tc>
          <w:tcPr>
            <w:tcW w:w="758" w:type="pct"/>
            <w:noWrap/>
          </w:tcPr>
          <w:p w:rsidR="00F04E94" w:rsidRPr="00470C60" w:rsidRDefault="00F04E94" w:rsidP="003D5710">
            <w:pPr>
              <w:spacing w:line="360" w:lineRule="auto"/>
              <w:jc w:val="center"/>
              <w:rPr>
                <w:bCs/>
                <w:sz w:val="22"/>
                <w:lang w:val="sq-AL"/>
              </w:rPr>
            </w:pPr>
            <w:r w:rsidRPr="00470C60">
              <w:rPr>
                <w:bCs/>
                <w:sz w:val="22"/>
                <w:lang w:val="sq-AL"/>
              </w:rPr>
              <w:t>65 000</w:t>
            </w:r>
          </w:p>
        </w:tc>
        <w:tc>
          <w:tcPr>
            <w:tcW w:w="758" w:type="pct"/>
            <w:noWrap/>
          </w:tcPr>
          <w:p w:rsidR="00F04E94" w:rsidRPr="00470C60" w:rsidRDefault="00241AB8" w:rsidP="00337E1F">
            <w:pPr>
              <w:spacing w:line="360" w:lineRule="auto"/>
              <w:jc w:val="center"/>
              <w:rPr>
                <w:bCs/>
                <w:sz w:val="22"/>
                <w:lang w:val="sq-AL"/>
              </w:rPr>
            </w:pPr>
            <w:r>
              <w:rPr>
                <w:bCs/>
                <w:sz w:val="22"/>
                <w:lang w:val="sq-AL"/>
              </w:rPr>
              <w:t>3.</w:t>
            </w:r>
            <w:r w:rsidR="00337E1F">
              <w:rPr>
                <w:bCs/>
                <w:sz w:val="22"/>
                <w:lang w:val="sq-AL"/>
              </w:rPr>
              <w:t>2</w:t>
            </w:r>
            <w:r w:rsidR="00F04E94" w:rsidRPr="00470C60">
              <w:rPr>
                <w:bCs/>
                <w:sz w:val="22"/>
                <w:lang w:val="sq-AL"/>
              </w:rPr>
              <w:t>%</w:t>
            </w:r>
          </w:p>
        </w:tc>
      </w:tr>
      <w:tr w:rsidR="003C66D2" w:rsidRPr="00967FAB" w:rsidTr="003D5710">
        <w:trPr>
          <w:trHeight w:val="359"/>
          <w:jc w:val="center"/>
        </w:trPr>
        <w:tc>
          <w:tcPr>
            <w:tcW w:w="471" w:type="pct"/>
            <w:noWrap/>
          </w:tcPr>
          <w:p w:rsidR="003C66D2" w:rsidRDefault="003C66D2" w:rsidP="003C66D2">
            <w:pPr>
              <w:spacing w:line="360" w:lineRule="auto"/>
              <w:rPr>
                <w:sz w:val="22"/>
                <w:lang w:val="sq-AL"/>
              </w:rPr>
            </w:pPr>
            <w:r>
              <w:rPr>
                <w:sz w:val="22"/>
                <w:lang w:val="sq-AL"/>
              </w:rPr>
              <w:t xml:space="preserve">    57</w:t>
            </w:r>
          </w:p>
        </w:tc>
        <w:tc>
          <w:tcPr>
            <w:tcW w:w="2204" w:type="pct"/>
            <w:noWrap/>
          </w:tcPr>
          <w:p w:rsidR="003C66D2" w:rsidRPr="00967FAB" w:rsidRDefault="00705001" w:rsidP="003D5710">
            <w:pPr>
              <w:spacing w:line="360" w:lineRule="auto"/>
              <w:rPr>
                <w:bCs/>
                <w:sz w:val="22"/>
                <w:lang w:val="sq-AL"/>
              </w:rPr>
            </w:pPr>
            <w:r>
              <w:rPr>
                <w:bCs/>
                <w:sz w:val="22"/>
                <w:lang w:val="sq-AL"/>
              </w:rPr>
              <w:t>Qendra Kombëtare Kinematografike</w:t>
            </w:r>
          </w:p>
        </w:tc>
        <w:tc>
          <w:tcPr>
            <w:tcW w:w="809" w:type="pct"/>
            <w:noWrap/>
          </w:tcPr>
          <w:p w:rsidR="003C66D2" w:rsidRDefault="00705001" w:rsidP="003D5710">
            <w:pPr>
              <w:spacing w:line="360" w:lineRule="auto"/>
              <w:jc w:val="center"/>
              <w:rPr>
                <w:bCs/>
                <w:sz w:val="22"/>
                <w:lang w:val="sq-AL"/>
              </w:rPr>
            </w:pPr>
            <w:r>
              <w:rPr>
                <w:bCs/>
                <w:sz w:val="22"/>
                <w:lang w:val="sq-AL"/>
              </w:rPr>
              <w:t>1</w:t>
            </w:r>
          </w:p>
        </w:tc>
        <w:tc>
          <w:tcPr>
            <w:tcW w:w="758" w:type="pct"/>
            <w:noWrap/>
          </w:tcPr>
          <w:p w:rsidR="003C66D2" w:rsidRDefault="00705001" w:rsidP="003D5710">
            <w:pPr>
              <w:spacing w:line="360" w:lineRule="auto"/>
              <w:jc w:val="center"/>
              <w:rPr>
                <w:bCs/>
                <w:sz w:val="22"/>
                <w:lang w:val="sq-AL"/>
              </w:rPr>
            </w:pPr>
            <w:r>
              <w:rPr>
                <w:bCs/>
                <w:sz w:val="22"/>
                <w:lang w:val="sq-AL"/>
              </w:rPr>
              <w:t>10 500</w:t>
            </w:r>
          </w:p>
        </w:tc>
        <w:tc>
          <w:tcPr>
            <w:tcW w:w="758" w:type="pct"/>
            <w:noWrap/>
          </w:tcPr>
          <w:p w:rsidR="003C66D2" w:rsidRDefault="00241AB8" w:rsidP="003D5710">
            <w:pPr>
              <w:spacing w:line="360" w:lineRule="auto"/>
              <w:jc w:val="center"/>
              <w:rPr>
                <w:bCs/>
                <w:sz w:val="22"/>
                <w:lang w:val="sq-AL"/>
              </w:rPr>
            </w:pPr>
            <w:r>
              <w:rPr>
                <w:bCs/>
                <w:sz w:val="22"/>
                <w:lang w:val="sq-AL"/>
              </w:rPr>
              <w:t>0.5</w:t>
            </w:r>
            <w:r w:rsidR="00705001">
              <w:rPr>
                <w:bCs/>
                <w:sz w:val="22"/>
                <w:lang w:val="sq-AL"/>
              </w:rPr>
              <w:t>%</w:t>
            </w:r>
          </w:p>
        </w:tc>
      </w:tr>
      <w:tr w:rsidR="00F04E94" w:rsidRPr="00967FAB" w:rsidTr="003D5710">
        <w:trPr>
          <w:trHeight w:val="359"/>
          <w:jc w:val="center"/>
        </w:trPr>
        <w:tc>
          <w:tcPr>
            <w:tcW w:w="471" w:type="pct"/>
            <w:noWrap/>
          </w:tcPr>
          <w:p w:rsidR="00F04E94" w:rsidRPr="00470C60" w:rsidRDefault="00F04E94" w:rsidP="003D5710">
            <w:pPr>
              <w:spacing w:line="360" w:lineRule="auto"/>
              <w:rPr>
                <w:sz w:val="22"/>
                <w:lang w:val="sq-AL"/>
              </w:rPr>
            </w:pPr>
            <w:r>
              <w:rPr>
                <w:sz w:val="22"/>
                <w:lang w:val="sq-AL"/>
              </w:rPr>
              <w:t xml:space="preserve">    10</w:t>
            </w:r>
          </w:p>
        </w:tc>
        <w:tc>
          <w:tcPr>
            <w:tcW w:w="2204" w:type="pct"/>
            <w:noWrap/>
          </w:tcPr>
          <w:p w:rsidR="00F04E94" w:rsidRPr="00967FAB" w:rsidRDefault="00F04E94" w:rsidP="003D5710">
            <w:pPr>
              <w:spacing w:line="360" w:lineRule="auto"/>
              <w:rPr>
                <w:bCs/>
                <w:sz w:val="22"/>
                <w:lang w:val="sq-AL"/>
              </w:rPr>
            </w:pPr>
            <w:r w:rsidRPr="00967FAB">
              <w:rPr>
                <w:bCs/>
                <w:sz w:val="22"/>
                <w:lang w:val="sq-AL"/>
              </w:rPr>
              <w:t>Ministria Financave dhe Ekonomisë</w:t>
            </w:r>
          </w:p>
        </w:tc>
        <w:tc>
          <w:tcPr>
            <w:tcW w:w="809" w:type="pct"/>
            <w:noWrap/>
          </w:tcPr>
          <w:p w:rsidR="00F04E94" w:rsidRPr="00967FAB" w:rsidRDefault="00F04E94" w:rsidP="003D5710">
            <w:pPr>
              <w:spacing w:line="360" w:lineRule="auto"/>
              <w:jc w:val="center"/>
              <w:rPr>
                <w:bCs/>
                <w:sz w:val="22"/>
                <w:lang w:val="sq-AL"/>
              </w:rPr>
            </w:pPr>
            <w:r>
              <w:rPr>
                <w:bCs/>
                <w:sz w:val="22"/>
                <w:lang w:val="sq-AL"/>
              </w:rPr>
              <w:t>2</w:t>
            </w:r>
          </w:p>
        </w:tc>
        <w:tc>
          <w:tcPr>
            <w:tcW w:w="758" w:type="pct"/>
            <w:noWrap/>
          </w:tcPr>
          <w:p w:rsidR="00F04E94" w:rsidRPr="00967FAB" w:rsidRDefault="00F04E94" w:rsidP="004D08A2">
            <w:pPr>
              <w:spacing w:line="360" w:lineRule="auto"/>
              <w:jc w:val="center"/>
              <w:rPr>
                <w:bCs/>
                <w:sz w:val="22"/>
                <w:lang w:val="sq-AL"/>
              </w:rPr>
            </w:pPr>
            <w:r>
              <w:rPr>
                <w:bCs/>
                <w:sz w:val="22"/>
                <w:lang w:val="sq-AL"/>
              </w:rPr>
              <w:t xml:space="preserve">14 </w:t>
            </w:r>
            <w:r w:rsidR="004D08A2">
              <w:rPr>
                <w:bCs/>
                <w:sz w:val="22"/>
                <w:lang w:val="sq-AL"/>
              </w:rPr>
              <w:t>305</w:t>
            </w:r>
          </w:p>
        </w:tc>
        <w:tc>
          <w:tcPr>
            <w:tcW w:w="758" w:type="pct"/>
            <w:noWrap/>
          </w:tcPr>
          <w:p w:rsidR="00F04E94" w:rsidRPr="00967FAB" w:rsidRDefault="00241AB8" w:rsidP="003D5710">
            <w:pPr>
              <w:spacing w:line="360" w:lineRule="auto"/>
              <w:jc w:val="center"/>
              <w:rPr>
                <w:bCs/>
                <w:sz w:val="22"/>
                <w:lang w:val="sq-AL"/>
              </w:rPr>
            </w:pPr>
            <w:r>
              <w:rPr>
                <w:bCs/>
                <w:sz w:val="22"/>
                <w:lang w:val="sq-AL"/>
              </w:rPr>
              <w:t>0.7</w:t>
            </w:r>
            <w:r w:rsidR="00705001">
              <w:rPr>
                <w:bCs/>
                <w:sz w:val="22"/>
                <w:lang w:val="sq-AL"/>
              </w:rPr>
              <w:t>%</w:t>
            </w:r>
          </w:p>
        </w:tc>
      </w:tr>
      <w:tr w:rsidR="00A01B30" w:rsidRPr="00470C60" w:rsidTr="003D5710">
        <w:trPr>
          <w:trHeight w:val="359"/>
          <w:jc w:val="center"/>
        </w:trPr>
        <w:tc>
          <w:tcPr>
            <w:tcW w:w="471" w:type="pct"/>
            <w:noWrap/>
          </w:tcPr>
          <w:p w:rsidR="00A01B30" w:rsidRPr="00470C60" w:rsidRDefault="00A01B30" w:rsidP="00A01B30">
            <w:pPr>
              <w:spacing w:line="360" w:lineRule="auto"/>
              <w:rPr>
                <w:sz w:val="22"/>
                <w:lang w:val="sq-AL"/>
              </w:rPr>
            </w:pPr>
            <w:r>
              <w:rPr>
                <w:sz w:val="22"/>
                <w:lang w:val="sq-AL"/>
              </w:rPr>
              <w:t xml:space="preserve">    12</w:t>
            </w:r>
          </w:p>
        </w:tc>
        <w:tc>
          <w:tcPr>
            <w:tcW w:w="2204" w:type="pct"/>
            <w:noWrap/>
          </w:tcPr>
          <w:p w:rsidR="00A01B30" w:rsidRPr="00A01B30" w:rsidRDefault="00A01B30" w:rsidP="00A01B30">
            <w:pPr>
              <w:spacing w:line="360" w:lineRule="auto"/>
              <w:rPr>
                <w:bCs/>
                <w:sz w:val="22"/>
                <w:lang w:val="sq-AL"/>
              </w:rPr>
            </w:pPr>
            <w:r w:rsidRPr="00A01B30">
              <w:rPr>
                <w:bCs/>
                <w:sz w:val="22"/>
                <w:lang w:val="sq-AL"/>
              </w:rPr>
              <w:t>Ministria e Kulturës</w:t>
            </w:r>
          </w:p>
        </w:tc>
        <w:tc>
          <w:tcPr>
            <w:tcW w:w="809" w:type="pct"/>
            <w:noWrap/>
          </w:tcPr>
          <w:p w:rsidR="00A01B30" w:rsidRPr="00A01B30" w:rsidRDefault="00A01B30" w:rsidP="00DB27D7">
            <w:pPr>
              <w:spacing w:line="360" w:lineRule="auto"/>
              <w:jc w:val="center"/>
              <w:rPr>
                <w:bCs/>
                <w:sz w:val="22"/>
                <w:lang w:val="sq-AL"/>
              </w:rPr>
            </w:pPr>
            <w:r w:rsidRPr="00A01B30">
              <w:rPr>
                <w:bCs/>
                <w:sz w:val="22"/>
                <w:lang w:val="sq-AL"/>
              </w:rPr>
              <w:t>1</w:t>
            </w:r>
          </w:p>
        </w:tc>
        <w:tc>
          <w:tcPr>
            <w:tcW w:w="758" w:type="pct"/>
            <w:noWrap/>
          </w:tcPr>
          <w:p w:rsidR="00A01B30" w:rsidRPr="00A01B30" w:rsidRDefault="00A01B30" w:rsidP="00AF1B63">
            <w:pPr>
              <w:spacing w:line="360" w:lineRule="auto"/>
              <w:jc w:val="center"/>
              <w:rPr>
                <w:bCs/>
                <w:sz w:val="22"/>
                <w:lang w:val="sq-AL"/>
              </w:rPr>
            </w:pPr>
            <w:r>
              <w:rPr>
                <w:bCs/>
                <w:sz w:val="22"/>
                <w:lang w:val="sq-AL"/>
              </w:rPr>
              <w:t>25 120</w:t>
            </w:r>
          </w:p>
        </w:tc>
        <w:tc>
          <w:tcPr>
            <w:tcW w:w="758" w:type="pct"/>
            <w:noWrap/>
          </w:tcPr>
          <w:p w:rsidR="00A01B30" w:rsidRPr="00A01B30" w:rsidRDefault="00241AB8" w:rsidP="00000BE1">
            <w:pPr>
              <w:spacing w:line="360" w:lineRule="auto"/>
              <w:jc w:val="center"/>
              <w:rPr>
                <w:bCs/>
                <w:sz w:val="22"/>
                <w:lang w:val="sq-AL"/>
              </w:rPr>
            </w:pPr>
            <w:r>
              <w:rPr>
                <w:bCs/>
                <w:sz w:val="22"/>
                <w:lang w:val="sq-AL"/>
              </w:rPr>
              <w:t>1.</w:t>
            </w:r>
            <w:r w:rsidR="00000BE1">
              <w:rPr>
                <w:bCs/>
                <w:sz w:val="22"/>
                <w:lang w:val="sq-AL"/>
              </w:rPr>
              <w:t>2</w:t>
            </w:r>
            <w:r>
              <w:rPr>
                <w:bCs/>
                <w:sz w:val="22"/>
                <w:lang w:val="sq-AL"/>
              </w:rPr>
              <w:t>%</w:t>
            </w:r>
          </w:p>
        </w:tc>
      </w:tr>
      <w:tr w:rsidR="00A01B30" w:rsidRPr="00470C60" w:rsidTr="003D5710">
        <w:trPr>
          <w:trHeight w:val="359"/>
          <w:jc w:val="center"/>
        </w:trPr>
        <w:tc>
          <w:tcPr>
            <w:tcW w:w="471" w:type="pct"/>
            <w:noWrap/>
          </w:tcPr>
          <w:p w:rsidR="00A01B30" w:rsidRPr="00470C60" w:rsidRDefault="00A01B30" w:rsidP="00A01B30">
            <w:pPr>
              <w:spacing w:line="360" w:lineRule="auto"/>
              <w:jc w:val="center"/>
              <w:rPr>
                <w:sz w:val="22"/>
                <w:lang w:val="sq-AL"/>
              </w:rPr>
            </w:pPr>
            <w:r>
              <w:rPr>
                <w:sz w:val="22"/>
                <w:lang w:val="sq-AL"/>
              </w:rPr>
              <w:t>19</w:t>
            </w:r>
          </w:p>
        </w:tc>
        <w:tc>
          <w:tcPr>
            <w:tcW w:w="2204" w:type="pct"/>
            <w:noWrap/>
          </w:tcPr>
          <w:p w:rsidR="00A01B30" w:rsidRPr="00A01B30" w:rsidRDefault="00A01B30" w:rsidP="00A01B30">
            <w:pPr>
              <w:spacing w:line="360" w:lineRule="auto"/>
              <w:rPr>
                <w:bCs/>
                <w:sz w:val="22"/>
                <w:lang w:val="sq-AL"/>
              </w:rPr>
            </w:pPr>
            <w:r w:rsidRPr="00A01B30">
              <w:rPr>
                <w:bCs/>
                <w:sz w:val="22"/>
                <w:lang w:val="sq-AL"/>
              </w:rPr>
              <w:t>Radiotelevizioni Shqiptar</w:t>
            </w:r>
          </w:p>
        </w:tc>
        <w:tc>
          <w:tcPr>
            <w:tcW w:w="809" w:type="pct"/>
            <w:noWrap/>
          </w:tcPr>
          <w:p w:rsidR="00A01B30" w:rsidRPr="00A01B30" w:rsidRDefault="00A01B30" w:rsidP="00DB27D7">
            <w:pPr>
              <w:spacing w:line="360" w:lineRule="auto"/>
              <w:jc w:val="center"/>
              <w:rPr>
                <w:bCs/>
                <w:sz w:val="22"/>
                <w:lang w:val="sq-AL"/>
              </w:rPr>
            </w:pPr>
            <w:r>
              <w:rPr>
                <w:bCs/>
                <w:sz w:val="22"/>
                <w:lang w:val="sq-AL"/>
              </w:rPr>
              <w:t>1</w:t>
            </w:r>
          </w:p>
        </w:tc>
        <w:tc>
          <w:tcPr>
            <w:tcW w:w="758" w:type="pct"/>
            <w:noWrap/>
          </w:tcPr>
          <w:p w:rsidR="00A01B30" w:rsidRPr="00A01B30" w:rsidRDefault="00A01B30" w:rsidP="00AF1B63">
            <w:pPr>
              <w:spacing w:line="360" w:lineRule="auto"/>
              <w:jc w:val="center"/>
              <w:rPr>
                <w:bCs/>
                <w:sz w:val="22"/>
                <w:lang w:val="sq-AL"/>
              </w:rPr>
            </w:pPr>
            <w:r>
              <w:rPr>
                <w:bCs/>
                <w:sz w:val="22"/>
                <w:lang w:val="sq-AL"/>
              </w:rPr>
              <w:t>2 000</w:t>
            </w:r>
          </w:p>
        </w:tc>
        <w:tc>
          <w:tcPr>
            <w:tcW w:w="758" w:type="pct"/>
            <w:noWrap/>
          </w:tcPr>
          <w:p w:rsidR="00A01B30" w:rsidRPr="00A01B30" w:rsidRDefault="00241AB8" w:rsidP="003D5710">
            <w:pPr>
              <w:spacing w:line="360" w:lineRule="auto"/>
              <w:jc w:val="center"/>
              <w:rPr>
                <w:bCs/>
                <w:sz w:val="22"/>
                <w:lang w:val="sq-AL"/>
              </w:rPr>
            </w:pPr>
            <w:r>
              <w:rPr>
                <w:bCs/>
                <w:sz w:val="22"/>
                <w:lang w:val="sq-AL"/>
              </w:rPr>
              <w:t>0.1%</w:t>
            </w:r>
          </w:p>
        </w:tc>
      </w:tr>
      <w:tr w:rsidR="00337E1F" w:rsidRPr="00470C60" w:rsidTr="003D5710">
        <w:trPr>
          <w:trHeight w:val="359"/>
          <w:jc w:val="center"/>
        </w:trPr>
        <w:tc>
          <w:tcPr>
            <w:tcW w:w="471" w:type="pct"/>
            <w:noWrap/>
          </w:tcPr>
          <w:p w:rsidR="00337E1F" w:rsidRPr="00470C60" w:rsidRDefault="00337E1F" w:rsidP="00A01B30">
            <w:pPr>
              <w:spacing w:line="360" w:lineRule="auto"/>
              <w:jc w:val="center"/>
              <w:rPr>
                <w:sz w:val="22"/>
                <w:lang w:val="sq-AL"/>
              </w:rPr>
            </w:pPr>
            <w:r>
              <w:rPr>
                <w:sz w:val="22"/>
                <w:lang w:val="sq-AL"/>
              </w:rPr>
              <w:t>20</w:t>
            </w:r>
          </w:p>
        </w:tc>
        <w:tc>
          <w:tcPr>
            <w:tcW w:w="2204" w:type="pct"/>
            <w:noWrap/>
          </w:tcPr>
          <w:p w:rsidR="00337E1F" w:rsidRPr="00337E1F" w:rsidRDefault="00337E1F" w:rsidP="00337E1F">
            <w:pPr>
              <w:spacing w:line="360" w:lineRule="auto"/>
              <w:rPr>
                <w:bCs/>
                <w:sz w:val="22"/>
                <w:lang w:val="sq-AL"/>
              </w:rPr>
            </w:pPr>
            <w:r w:rsidRPr="00337E1F">
              <w:rPr>
                <w:bCs/>
                <w:sz w:val="22"/>
                <w:lang w:val="sq-AL"/>
              </w:rPr>
              <w:t>Ministria e Infrastruktur</w:t>
            </w:r>
            <w:r>
              <w:rPr>
                <w:bCs/>
                <w:sz w:val="22"/>
                <w:lang w:val="sq-AL"/>
              </w:rPr>
              <w:t>ë</w:t>
            </w:r>
            <w:r w:rsidRPr="00337E1F">
              <w:rPr>
                <w:bCs/>
                <w:sz w:val="22"/>
                <w:lang w:val="sq-AL"/>
              </w:rPr>
              <w:t>s dhe Energjis</w:t>
            </w:r>
            <w:r>
              <w:rPr>
                <w:bCs/>
                <w:sz w:val="22"/>
                <w:lang w:val="sq-AL"/>
              </w:rPr>
              <w:t>ë</w:t>
            </w:r>
          </w:p>
        </w:tc>
        <w:tc>
          <w:tcPr>
            <w:tcW w:w="809" w:type="pct"/>
            <w:noWrap/>
          </w:tcPr>
          <w:p w:rsidR="00337E1F" w:rsidRPr="00337E1F" w:rsidRDefault="00337E1F" w:rsidP="00DB27D7">
            <w:pPr>
              <w:spacing w:line="360" w:lineRule="auto"/>
              <w:jc w:val="center"/>
              <w:rPr>
                <w:bCs/>
                <w:sz w:val="22"/>
                <w:lang w:val="sq-AL"/>
              </w:rPr>
            </w:pPr>
            <w:r w:rsidRPr="00337E1F">
              <w:rPr>
                <w:bCs/>
                <w:sz w:val="22"/>
                <w:lang w:val="sq-AL"/>
              </w:rPr>
              <w:t>1</w:t>
            </w:r>
          </w:p>
        </w:tc>
        <w:tc>
          <w:tcPr>
            <w:tcW w:w="758" w:type="pct"/>
            <w:noWrap/>
          </w:tcPr>
          <w:p w:rsidR="00337E1F" w:rsidRPr="00337E1F" w:rsidRDefault="00337E1F" w:rsidP="00241AB8">
            <w:pPr>
              <w:spacing w:line="360" w:lineRule="auto"/>
              <w:jc w:val="center"/>
              <w:rPr>
                <w:bCs/>
                <w:sz w:val="22"/>
                <w:lang w:val="sq-AL"/>
              </w:rPr>
            </w:pPr>
            <w:r w:rsidRPr="00337E1F">
              <w:rPr>
                <w:bCs/>
                <w:sz w:val="22"/>
                <w:lang w:val="sq-AL"/>
              </w:rPr>
              <w:t>70 000</w:t>
            </w:r>
          </w:p>
        </w:tc>
        <w:tc>
          <w:tcPr>
            <w:tcW w:w="758" w:type="pct"/>
            <w:noWrap/>
          </w:tcPr>
          <w:p w:rsidR="00337E1F" w:rsidRPr="00000BE1" w:rsidRDefault="00000BE1" w:rsidP="003D5710">
            <w:pPr>
              <w:spacing w:line="360" w:lineRule="auto"/>
              <w:jc w:val="center"/>
              <w:rPr>
                <w:bCs/>
                <w:sz w:val="22"/>
                <w:lang w:val="sq-AL"/>
              </w:rPr>
            </w:pPr>
            <w:r w:rsidRPr="00000BE1">
              <w:rPr>
                <w:bCs/>
                <w:sz w:val="22"/>
                <w:lang w:val="sq-AL"/>
              </w:rPr>
              <w:t>3.4</w:t>
            </w:r>
            <w:r>
              <w:rPr>
                <w:bCs/>
                <w:sz w:val="22"/>
                <w:lang w:val="sq-AL"/>
              </w:rPr>
              <w:t>%</w:t>
            </w:r>
          </w:p>
        </w:tc>
      </w:tr>
      <w:tr w:rsidR="00F04E94" w:rsidRPr="00470C60" w:rsidTr="003D5710">
        <w:trPr>
          <w:trHeight w:val="359"/>
          <w:jc w:val="center"/>
        </w:trPr>
        <w:tc>
          <w:tcPr>
            <w:tcW w:w="471" w:type="pct"/>
            <w:noWrap/>
            <w:hideMark/>
          </w:tcPr>
          <w:p w:rsidR="00F04E94" w:rsidRPr="00470C60" w:rsidRDefault="00F04E94" w:rsidP="00A01B30">
            <w:pPr>
              <w:spacing w:line="360" w:lineRule="auto"/>
              <w:jc w:val="center"/>
              <w:rPr>
                <w:sz w:val="22"/>
                <w:lang w:val="sq-AL"/>
              </w:rPr>
            </w:pPr>
          </w:p>
        </w:tc>
        <w:tc>
          <w:tcPr>
            <w:tcW w:w="2204" w:type="pct"/>
            <w:noWrap/>
            <w:hideMark/>
          </w:tcPr>
          <w:p w:rsidR="00F04E94" w:rsidRPr="00470C60" w:rsidRDefault="00F04E94" w:rsidP="003D5710">
            <w:pPr>
              <w:spacing w:line="360" w:lineRule="auto"/>
              <w:jc w:val="center"/>
              <w:rPr>
                <w:b/>
                <w:bCs/>
                <w:sz w:val="22"/>
                <w:lang w:val="sq-AL"/>
              </w:rPr>
            </w:pPr>
            <w:r w:rsidRPr="00470C60">
              <w:rPr>
                <w:b/>
                <w:bCs/>
                <w:sz w:val="22"/>
                <w:lang w:val="sq-AL"/>
              </w:rPr>
              <w:t>TOTALI</w:t>
            </w:r>
          </w:p>
        </w:tc>
        <w:tc>
          <w:tcPr>
            <w:tcW w:w="809" w:type="pct"/>
            <w:noWrap/>
          </w:tcPr>
          <w:p w:rsidR="00F04E94" w:rsidRPr="00470C60" w:rsidRDefault="00B12FAA" w:rsidP="00000BE1">
            <w:pPr>
              <w:spacing w:line="360" w:lineRule="auto"/>
              <w:jc w:val="center"/>
              <w:rPr>
                <w:b/>
                <w:bCs/>
                <w:sz w:val="22"/>
                <w:lang w:val="sq-AL"/>
              </w:rPr>
            </w:pPr>
            <w:r>
              <w:rPr>
                <w:b/>
                <w:bCs/>
                <w:sz w:val="22"/>
                <w:lang w:val="sq-AL"/>
              </w:rPr>
              <w:t>2</w:t>
            </w:r>
            <w:r w:rsidR="00000BE1">
              <w:rPr>
                <w:b/>
                <w:bCs/>
                <w:sz w:val="22"/>
                <w:lang w:val="sq-AL"/>
              </w:rPr>
              <w:t>3</w:t>
            </w:r>
          </w:p>
        </w:tc>
        <w:tc>
          <w:tcPr>
            <w:tcW w:w="758" w:type="pct"/>
            <w:noWrap/>
          </w:tcPr>
          <w:p w:rsidR="00F04E94" w:rsidRPr="00470C60" w:rsidRDefault="001447E3" w:rsidP="00000BE1">
            <w:pPr>
              <w:spacing w:line="360" w:lineRule="auto"/>
              <w:rPr>
                <w:b/>
                <w:bCs/>
                <w:sz w:val="22"/>
                <w:lang w:val="sq-AL"/>
              </w:rPr>
            </w:pPr>
            <w:r>
              <w:rPr>
                <w:b/>
                <w:bCs/>
                <w:sz w:val="22"/>
                <w:lang w:val="sq-AL"/>
              </w:rPr>
              <w:t xml:space="preserve">  </w:t>
            </w:r>
            <w:r w:rsidR="00000BE1">
              <w:rPr>
                <w:b/>
                <w:bCs/>
                <w:sz w:val="22"/>
                <w:lang w:val="sq-AL"/>
              </w:rPr>
              <w:t>2 056 420</w:t>
            </w:r>
          </w:p>
        </w:tc>
        <w:tc>
          <w:tcPr>
            <w:tcW w:w="758" w:type="pct"/>
            <w:noWrap/>
          </w:tcPr>
          <w:p w:rsidR="00F04E94" w:rsidRPr="00470C60" w:rsidRDefault="00F04E94" w:rsidP="003D5710">
            <w:pPr>
              <w:spacing w:line="360" w:lineRule="auto"/>
              <w:jc w:val="center"/>
              <w:rPr>
                <w:b/>
                <w:bCs/>
                <w:sz w:val="22"/>
                <w:lang w:val="sq-AL"/>
              </w:rPr>
            </w:pPr>
            <w:r w:rsidRPr="00470C60">
              <w:rPr>
                <w:b/>
                <w:bCs/>
                <w:sz w:val="22"/>
                <w:lang w:val="sq-AL"/>
              </w:rPr>
              <w:t>100%</w:t>
            </w:r>
          </w:p>
        </w:tc>
      </w:tr>
    </w:tbl>
    <w:p w:rsidR="005D2849" w:rsidRPr="00470C60" w:rsidRDefault="00115E31" w:rsidP="00470C60">
      <w:pPr>
        <w:spacing w:line="360" w:lineRule="auto"/>
        <w:rPr>
          <w:i/>
          <w:noProof/>
          <w:sz w:val="22"/>
          <w:lang w:val="sq-AL"/>
        </w:rPr>
      </w:pPr>
      <w:r w:rsidRPr="00470C60">
        <w:rPr>
          <w:i/>
          <w:noProof/>
          <w:sz w:val="22"/>
          <w:lang w:val="sq-AL"/>
        </w:rPr>
        <w:t xml:space="preserve"> </w:t>
      </w:r>
      <w:r w:rsidR="00A048C2" w:rsidRPr="00470C60">
        <w:rPr>
          <w:i/>
          <w:noProof/>
          <w:sz w:val="22"/>
          <w:lang w:val="sq-AL"/>
        </w:rPr>
        <w:tab/>
      </w:r>
      <w:r w:rsidR="005D2849" w:rsidRPr="00470C60">
        <w:rPr>
          <w:i/>
          <w:noProof/>
          <w:sz w:val="22"/>
          <w:lang w:val="sq-AL"/>
        </w:rPr>
        <w:t>Burimi:</w:t>
      </w:r>
      <w:r w:rsidR="00266D33" w:rsidRPr="00470C60">
        <w:rPr>
          <w:i/>
          <w:noProof/>
          <w:sz w:val="22"/>
          <w:lang w:val="sq-AL"/>
        </w:rPr>
        <w:t xml:space="preserve"> </w:t>
      </w:r>
      <w:r w:rsidR="005D2849" w:rsidRPr="00470C60">
        <w:rPr>
          <w:i/>
          <w:noProof/>
          <w:sz w:val="22"/>
          <w:lang w:val="sq-AL"/>
        </w:rPr>
        <w:t xml:space="preserve">Ministria e Financave </w:t>
      </w:r>
      <w:r w:rsidR="00CB04F6" w:rsidRPr="00470C60">
        <w:rPr>
          <w:i/>
          <w:noProof/>
          <w:sz w:val="22"/>
          <w:lang w:val="sq-AL"/>
        </w:rPr>
        <w:t xml:space="preserve">dhe Ekonomisë </w:t>
      </w:r>
      <w:r w:rsidR="005D2849" w:rsidRPr="00470C60">
        <w:rPr>
          <w:i/>
          <w:noProof/>
          <w:sz w:val="22"/>
          <w:lang w:val="sq-AL"/>
        </w:rPr>
        <w:t>(201</w:t>
      </w:r>
      <w:r w:rsidR="007944F5" w:rsidRPr="00470C60">
        <w:rPr>
          <w:i/>
          <w:noProof/>
          <w:sz w:val="22"/>
          <w:lang w:val="sq-AL"/>
        </w:rPr>
        <w:t>9</w:t>
      </w:r>
      <w:r w:rsidR="005D2849" w:rsidRPr="00470C60">
        <w:rPr>
          <w:i/>
          <w:noProof/>
          <w:sz w:val="22"/>
          <w:lang w:val="sq-AL"/>
        </w:rPr>
        <w:t>)</w:t>
      </w:r>
      <w:r w:rsidR="005D2849" w:rsidRPr="00470C60">
        <w:rPr>
          <w:i/>
          <w:noProof/>
          <w:sz w:val="22"/>
          <w:lang w:val="sq-AL"/>
        </w:rPr>
        <w:tab/>
      </w:r>
    </w:p>
    <w:p w:rsidR="00C70F6C" w:rsidRPr="00470C60" w:rsidRDefault="00C70F6C" w:rsidP="00470C60">
      <w:pPr>
        <w:spacing w:line="360" w:lineRule="auto"/>
        <w:jc w:val="both"/>
        <w:rPr>
          <w:b/>
          <w:iCs/>
          <w:lang w:val="sq-AL"/>
        </w:rPr>
      </w:pPr>
    </w:p>
    <w:p w:rsidR="0010787D" w:rsidRPr="00470C60" w:rsidRDefault="0010787D" w:rsidP="00470C60">
      <w:pPr>
        <w:spacing w:line="360" w:lineRule="auto"/>
        <w:jc w:val="both"/>
        <w:rPr>
          <w:b/>
          <w:iCs/>
          <w:lang w:val="sq-AL"/>
        </w:rPr>
      </w:pPr>
      <w:r w:rsidRPr="00470C60">
        <w:rPr>
          <w:b/>
          <w:iCs/>
          <w:lang w:val="sq-AL"/>
        </w:rPr>
        <w:t>N</w:t>
      </w:r>
      <w:r w:rsidR="00410EEB" w:rsidRPr="00470C60">
        <w:rPr>
          <w:b/>
          <w:iCs/>
          <w:lang w:val="sq-AL"/>
        </w:rPr>
        <w:t>ë</w:t>
      </w:r>
      <w:r w:rsidRPr="00470C60">
        <w:rPr>
          <w:b/>
          <w:iCs/>
          <w:lang w:val="sq-AL"/>
        </w:rPr>
        <w:t xml:space="preserve"> m</w:t>
      </w:r>
      <w:r w:rsidR="00410EEB" w:rsidRPr="00470C60">
        <w:rPr>
          <w:b/>
          <w:iCs/>
          <w:lang w:val="sq-AL"/>
        </w:rPr>
        <w:t>ë</w:t>
      </w:r>
      <w:r w:rsidRPr="00470C60">
        <w:rPr>
          <w:b/>
          <w:iCs/>
          <w:lang w:val="sq-AL"/>
        </w:rPr>
        <w:t>nyr</w:t>
      </w:r>
      <w:r w:rsidR="004C70C3" w:rsidRPr="00470C60">
        <w:rPr>
          <w:b/>
          <w:iCs/>
          <w:lang w:val="sq-AL"/>
        </w:rPr>
        <w:t>ë</w:t>
      </w:r>
      <w:r w:rsidRPr="00470C60">
        <w:rPr>
          <w:b/>
          <w:iCs/>
          <w:lang w:val="sq-AL"/>
        </w:rPr>
        <w:t xml:space="preserve"> analitike rezulton se:</w:t>
      </w:r>
    </w:p>
    <w:p w:rsidR="00F55CC9" w:rsidRDefault="00F55CC9" w:rsidP="00F55CC9">
      <w:pPr>
        <w:numPr>
          <w:ilvl w:val="0"/>
          <w:numId w:val="2"/>
        </w:numPr>
        <w:spacing w:line="360" w:lineRule="auto"/>
        <w:jc w:val="both"/>
        <w:rPr>
          <w:i/>
          <w:iCs/>
          <w:lang w:val="sq-AL"/>
        </w:rPr>
      </w:pPr>
      <w:r w:rsidRPr="004D4AD2">
        <w:rPr>
          <w:i/>
          <w:iCs/>
          <w:lang w:val="sq-AL"/>
        </w:rPr>
        <w:t xml:space="preserve">1.02 miliardë lekë, ose </w:t>
      </w:r>
      <w:r w:rsidR="00000BE1">
        <w:rPr>
          <w:i/>
          <w:iCs/>
          <w:lang w:val="sq-AL"/>
        </w:rPr>
        <w:t>49.6</w:t>
      </w:r>
      <w:r w:rsidRPr="004D4AD2">
        <w:rPr>
          <w:i/>
          <w:iCs/>
          <w:lang w:val="sq-AL"/>
        </w:rPr>
        <w:t xml:space="preserve"> përqind e të gjithë fondit rezervë të përdorur për vitin 2019, janë akorduar në Mars 2019 për programin “Arsimi Universitar” të Ministrisë së Arsimit, Sportit dhe Rinisë, si mbështetje e masave të ndërmarra nga Qeveria në kuadër të “Paktit për Universitetin”;</w:t>
      </w:r>
    </w:p>
    <w:p w:rsidR="00F55CC9" w:rsidRPr="004D4AD2" w:rsidRDefault="00F55CC9" w:rsidP="00F55CC9">
      <w:pPr>
        <w:numPr>
          <w:ilvl w:val="0"/>
          <w:numId w:val="2"/>
        </w:numPr>
        <w:spacing w:line="360" w:lineRule="auto"/>
        <w:jc w:val="both"/>
        <w:rPr>
          <w:i/>
          <w:iCs/>
          <w:lang w:val="sq-AL"/>
        </w:rPr>
      </w:pPr>
      <w:r w:rsidRPr="004D4AD2">
        <w:rPr>
          <w:i/>
          <w:iCs/>
          <w:lang w:val="sq-AL"/>
        </w:rPr>
        <w:t>200 milion lekë janë akorduar për Komisionin Qendror të Zgjedhjeve nëpërmjet dy VKM-ve si shtesë të fondeve të planifikuara për organizimin e zgjedhjeve për organet e vetqeverisjes vendore të vitit 2019.</w:t>
      </w:r>
    </w:p>
    <w:p w:rsidR="00F55CC9" w:rsidRDefault="00F55CC9" w:rsidP="00F55CC9">
      <w:pPr>
        <w:numPr>
          <w:ilvl w:val="0"/>
          <w:numId w:val="2"/>
        </w:numPr>
        <w:spacing w:line="360" w:lineRule="auto"/>
        <w:jc w:val="both"/>
        <w:rPr>
          <w:i/>
          <w:iCs/>
          <w:lang w:val="sq-AL"/>
        </w:rPr>
      </w:pPr>
      <w:r>
        <w:rPr>
          <w:i/>
          <w:iCs/>
          <w:lang w:val="sq-AL"/>
        </w:rPr>
        <w:t xml:space="preserve">Shuma prej 82.12 milion lekë e akorduar për Institucionet e tjera qeveritare përmban: </w:t>
      </w:r>
      <w:r w:rsidRPr="00705BB2">
        <w:rPr>
          <w:i/>
          <w:iCs/>
          <w:lang w:val="sq-AL"/>
        </w:rPr>
        <w:t>66.9 milionë lekë janë akorduar në Janar 2019 për Drejtorinë e Shërbimeve Qeveritare, me qëllim organizimin e eventi</w:t>
      </w:r>
      <w:r>
        <w:rPr>
          <w:i/>
          <w:iCs/>
          <w:lang w:val="sq-AL"/>
        </w:rPr>
        <w:t>t</w:t>
      </w:r>
      <w:r w:rsidRPr="00705BB2">
        <w:rPr>
          <w:i/>
          <w:iCs/>
          <w:lang w:val="sq-AL"/>
        </w:rPr>
        <w:t>, dedikuar Samitit të Dytë të Diasporës; Kjo shume është ndryshuar me një VKM në muajin Prill, duke mundësuar kthimin e shumave të papërdorura prej 14.56 milion lekë në buxhet.</w:t>
      </w:r>
      <w:r>
        <w:rPr>
          <w:i/>
          <w:iCs/>
          <w:lang w:val="sq-AL"/>
        </w:rPr>
        <w:t xml:space="preserve"> Në muajin korrik është miratuar 22.5 milionë lekë për </w:t>
      </w:r>
      <w:r w:rsidRPr="00705BB2">
        <w:rPr>
          <w:i/>
          <w:iCs/>
          <w:lang w:val="sq-AL"/>
        </w:rPr>
        <w:t>financimin e “Konferencës së 41-të Nderkombetare të mbrojtjes së të dhënave dhe privatësisë-Tirana 2019 (ICDPPC)”.</w:t>
      </w:r>
      <w:r w:rsidRPr="004976BC">
        <w:rPr>
          <w:i/>
          <w:iCs/>
          <w:lang w:val="sq-AL"/>
        </w:rPr>
        <w:t xml:space="preserve"> </w:t>
      </w:r>
      <w:r>
        <w:rPr>
          <w:i/>
          <w:iCs/>
          <w:lang w:val="sq-AL"/>
        </w:rPr>
        <w:t>J</w:t>
      </w:r>
      <w:r w:rsidRPr="00705BB2">
        <w:rPr>
          <w:i/>
          <w:iCs/>
          <w:lang w:val="sq-AL"/>
        </w:rPr>
        <w:t>anë akorduar 4.2 milion lekë për investime për financimin e projektit “Diaspora shkencore si nje faktor ndryshimi në proce</w:t>
      </w:r>
      <w:r>
        <w:rPr>
          <w:i/>
          <w:iCs/>
          <w:lang w:val="sq-AL"/>
        </w:rPr>
        <w:t xml:space="preserve">sin e integrimit të Shqipërisë” dhe 3 milion lekë për </w:t>
      </w:r>
      <w:r w:rsidRPr="00676DA4">
        <w:rPr>
          <w:i/>
          <w:iCs/>
          <w:lang w:val="sq-AL"/>
        </w:rPr>
        <w:t>financimin e projektit "P</w:t>
      </w:r>
      <w:r>
        <w:rPr>
          <w:i/>
          <w:iCs/>
          <w:lang w:val="sq-AL"/>
        </w:rPr>
        <w:t>ë</w:t>
      </w:r>
      <w:r w:rsidRPr="00676DA4">
        <w:rPr>
          <w:i/>
          <w:iCs/>
          <w:lang w:val="sq-AL"/>
        </w:rPr>
        <w:t>r dhom</w:t>
      </w:r>
      <w:r>
        <w:rPr>
          <w:i/>
          <w:iCs/>
          <w:lang w:val="sq-AL"/>
        </w:rPr>
        <w:t>ë</w:t>
      </w:r>
      <w:r w:rsidRPr="00676DA4">
        <w:rPr>
          <w:i/>
          <w:iCs/>
          <w:lang w:val="sq-AL"/>
        </w:rPr>
        <w:t>n e biznesit t</w:t>
      </w:r>
      <w:r>
        <w:rPr>
          <w:i/>
          <w:iCs/>
          <w:lang w:val="sq-AL"/>
        </w:rPr>
        <w:t>ë</w:t>
      </w:r>
      <w:r w:rsidRPr="00676DA4">
        <w:rPr>
          <w:i/>
          <w:iCs/>
          <w:lang w:val="sq-AL"/>
        </w:rPr>
        <w:t xml:space="preserve"> Diaspor</w:t>
      </w:r>
      <w:r>
        <w:rPr>
          <w:i/>
          <w:iCs/>
          <w:lang w:val="sq-AL"/>
        </w:rPr>
        <w:t>ë</w:t>
      </w:r>
      <w:r w:rsidRPr="00676DA4">
        <w:rPr>
          <w:i/>
          <w:iCs/>
          <w:lang w:val="sq-AL"/>
        </w:rPr>
        <w:t>s-krijimi dhe nxitja e investimeve t</w:t>
      </w:r>
      <w:r>
        <w:rPr>
          <w:i/>
          <w:iCs/>
          <w:lang w:val="sq-AL"/>
        </w:rPr>
        <w:t>ë</w:t>
      </w:r>
      <w:r w:rsidRPr="00676DA4">
        <w:rPr>
          <w:i/>
          <w:iCs/>
          <w:lang w:val="sq-AL"/>
        </w:rPr>
        <w:t xml:space="preserve"> Diaspor</w:t>
      </w:r>
      <w:r>
        <w:rPr>
          <w:i/>
          <w:iCs/>
          <w:lang w:val="sq-AL"/>
        </w:rPr>
        <w:t>ë</w:t>
      </w:r>
      <w:r w:rsidRPr="00676DA4">
        <w:rPr>
          <w:i/>
          <w:iCs/>
          <w:lang w:val="sq-AL"/>
        </w:rPr>
        <w:t>s -krijimi dhe nxitja e investimeve t</w:t>
      </w:r>
      <w:r>
        <w:rPr>
          <w:i/>
          <w:iCs/>
          <w:lang w:val="sq-AL"/>
        </w:rPr>
        <w:t>ë</w:t>
      </w:r>
      <w:r w:rsidRPr="00676DA4">
        <w:rPr>
          <w:i/>
          <w:iCs/>
          <w:lang w:val="sq-AL"/>
        </w:rPr>
        <w:t xml:space="preserve"> Diaspor</w:t>
      </w:r>
      <w:r>
        <w:rPr>
          <w:i/>
          <w:iCs/>
          <w:lang w:val="sq-AL"/>
        </w:rPr>
        <w:t>ë</w:t>
      </w:r>
      <w:r w:rsidRPr="00676DA4">
        <w:rPr>
          <w:i/>
          <w:iCs/>
          <w:lang w:val="sq-AL"/>
        </w:rPr>
        <w:t>s n</w:t>
      </w:r>
      <w:r>
        <w:rPr>
          <w:i/>
          <w:iCs/>
          <w:lang w:val="sq-AL"/>
        </w:rPr>
        <w:t>ë</w:t>
      </w:r>
      <w:r w:rsidRPr="00676DA4">
        <w:rPr>
          <w:i/>
          <w:iCs/>
          <w:lang w:val="sq-AL"/>
        </w:rPr>
        <w:t xml:space="preserve"> Shqip</w:t>
      </w:r>
      <w:r>
        <w:rPr>
          <w:i/>
          <w:iCs/>
          <w:lang w:val="sq-AL"/>
        </w:rPr>
        <w:t>ë</w:t>
      </w:r>
      <w:r w:rsidRPr="00676DA4">
        <w:rPr>
          <w:i/>
          <w:iCs/>
          <w:lang w:val="sq-AL"/>
        </w:rPr>
        <w:t>ri</w:t>
      </w:r>
      <w:r>
        <w:rPr>
          <w:i/>
          <w:iCs/>
          <w:lang w:val="sq-AL"/>
        </w:rPr>
        <w:t>".</w:t>
      </w:r>
    </w:p>
    <w:p w:rsidR="00F55CC9" w:rsidRPr="00705BB2" w:rsidRDefault="00F55CC9" w:rsidP="00F55CC9">
      <w:pPr>
        <w:numPr>
          <w:ilvl w:val="0"/>
          <w:numId w:val="2"/>
        </w:numPr>
        <w:spacing w:line="360" w:lineRule="auto"/>
        <w:jc w:val="both"/>
        <w:rPr>
          <w:i/>
          <w:iCs/>
          <w:lang w:val="sq-AL"/>
        </w:rPr>
      </w:pPr>
      <w:r w:rsidRPr="00705BB2">
        <w:rPr>
          <w:i/>
          <w:iCs/>
          <w:lang w:val="sq-AL"/>
        </w:rPr>
        <w:t>65 milion lekë janë akorduar  në programin “Mbështetje për partitë politike”, për financimin e fushatës zgjedhore, të subjekteve pjesëmarrëse në zgjedhjet për organet e vetëqeverisjes vendore, të vitit 2019.</w:t>
      </w:r>
    </w:p>
    <w:p w:rsidR="00F55CC9" w:rsidRDefault="00F55CC9" w:rsidP="00F55CC9">
      <w:pPr>
        <w:numPr>
          <w:ilvl w:val="0"/>
          <w:numId w:val="2"/>
        </w:numPr>
        <w:spacing w:line="360" w:lineRule="auto"/>
        <w:jc w:val="both"/>
        <w:rPr>
          <w:i/>
          <w:iCs/>
          <w:lang w:val="sq-AL"/>
        </w:rPr>
      </w:pPr>
      <w:r w:rsidRPr="00705BB2">
        <w:rPr>
          <w:i/>
          <w:iCs/>
          <w:lang w:val="sq-AL"/>
        </w:rPr>
        <w:t xml:space="preserve">42 milion lekë janë akorduar në Janar 2019 për Ministrinë e Brendshme, me qëllim trajtimin financiar të Anëtarëve të Bordit të Përzgjedhjes të Komisionit të Jashtëm të vlerësimit kalimtar të Punonjesve të Policisë së Shtetit, të Gardës së Republikës dhe të Shërbimit për Çeshtjet e Brendshme </w:t>
      </w:r>
      <w:r w:rsidRPr="00705BB2">
        <w:rPr>
          <w:i/>
          <w:iCs/>
          <w:lang w:val="sq-AL"/>
        </w:rPr>
        <w:lastRenderedPageBreak/>
        <w:t>dhe Ankesat në Ministrinë e Brendshme dhe të Sekretariatit teknik pranë këtij Komisioni (strukturat e Vettingut në Policinë e Shtetit); 10 milion lekë janë akorduar në muajin Prill, si kapital fillestar për shoqërinë “Ilirian Guard”.</w:t>
      </w:r>
    </w:p>
    <w:p w:rsidR="00F55CC9" w:rsidRPr="00705BB2" w:rsidRDefault="00F55CC9" w:rsidP="00F55CC9">
      <w:pPr>
        <w:numPr>
          <w:ilvl w:val="0"/>
          <w:numId w:val="2"/>
        </w:numPr>
        <w:spacing w:line="360" w:lineRule="auto"/>
        <w:jc w:val="both"/>
        <w:rPr>
          <w:i/>
          <w:iCs/>
          <w:lang w:val="sq-AL"/>
        </w:rPr>
      </w:pPr>
      <w:r>
        <w:rPr>
          <w:i/>
          <w:iCs/>
          <w:lang w:val="sq-AL"/>
        </w:rPr>
        <w:t xml:space="preserve">14 milionë lekë </w:t>
      </w:r>
      <w:r w:rsidRPr="00705BB2">
        <w:rPr>
          <w:i/>
          <w:iCs/>
          <w:lang w:val="sq-AL"/>
        </w:rPr>
        <w:t>janë akorduar për Ministrine e Financave dhe Ekonomisë për</w:t>
      </w:r>
      <w:r>
        <w:rPr>
          <w:i/>
          <w:iCs/>
          <w:lang w:val="sq-AL"/>
        </w:rPr>
        <w:t xml:space="preserve">: </w:t>
      </w:r>
      <w:r w:rsidRPr="00705BB2">
        <w:rPr>
          <w:i/>
          <w:iCs/>
          <w:lang w:val="sq-AL"/>
        </w:rPr>
        <w:t xml:space="preserve"> ekzekutimin e VJGEDNJ për çështjen “Caka kundër Shqipërisë</w:t>
      </w:r>
      <w:r>
        <w:rPr>
          <w:i/>
          <w:iCs/>
          <w:lang w:val="sq-AL"/>
        </w:rPr>
        <w:t>”(1.39 milion lekë), dhe për ek</w:t>
      </w:r>
      <w:r w:rsidRPr="004976BC">
        <w:rPr>
          <w:i/>
          <w:iCs/>
          <w:lang w:val="sq-AL"/>
        </w:rPr>
        <w:t>zekutimin e VGJEDNJ, dt</w:t>
      </w:r>
      <w:r>
        <w:rPr>
          <w:i/>
          <w:iCs/>
          <w:lang w:val="sq-AL"/>
        </w:rPr>
        <w:t>.</w:t>
      </w:r>
      <w:r w:rsidRPr="004976BC">
        <w:rPr>
          <w:i/>
          <w:iCs/>
          <w:lang w:val="sq-AL"/>
        </w:rPr>
        <w:t xml:space="preserve"> 5.03.2019 </w:t>
      </w:r>
      <w:r>
        <w:rPr>
          <w:i/>
          <w:iCs/>
          <w:lang w:val="sq-AL"/>
        </w:rPr>
        <w:t>“</w:t>
      </w:r>
      <w:r w:rsidRPr="004976BC">
        <w:rPr>
          <w:i/>
          <w:iCs/>
          <w:lang w:val="sq-AL"/>
        </w:rPr>
        <w:t>P</w:t>
      </w:r>
      <w:r>
        <w:rPr>
          <w:i/>
          <w:iCs/>
          <w:lang w:val="sq-AL"/>
        </w:rPr>
        <w:t>ë</w:t>
      </w:r>
      <w:r w:rsidRPr="004976BC">
        <w:rPr>
          <w:i/>
          <w:iCs/>
          <w:lang w:val="sq-AL"/>
        </w:rPr>
        <w:t xml:space="preserve">r </w:t>
      </w:r>
      <w:r>
        <w:rPr>
          <w:i/>
          <w:iCs/>
          <w:lang w:val="sq-AL"/>
        </w:rPr>
        <w:t>çë</w:t>
      </w:r>
      <w:r w:rsidRPr="004976BC">
        <w:rPr>
          <w:i/>
          <w:iCs/>
          <w:lang w:val="sq-AL"/>
        </w:rPr>
        <w:t>shtjen "Rinaldo Myrtaj dhe t</w:t>
      </w:r>
      <w:r>
        <w:rPr>
          <w:i/>
          <w:iCs/>
          <w:lang w:val="sq-AL"/>
        </w:rPr>
        <w:t>ë</w:t>
      </w:r>
      <w:r w:rsidRPr="004976BC">
        <w:rPr>
          <w:i/>
          <w:iCs/>
          <w:lang w:val="sq-AL"/>
        </w:rPr>
        <w:t xml:space="preserve"> tjer</w:t>
      </w:r>
      <w:r>
        <w:rPr>
          <w:i/>
          <w:iCs/>
          <w:lang w:val="sq-AL"/>
        </w:rPr>
        <w:t>ë</w:t>
      </w:r>
      <w:r w:rsidRPr="004976BC">
        <w:rPr>
          <w:i/>
          <w:iCs/>
          <w:lang w:val="sq-AL"/>
        </w:rPr>
        <w:t>t kund</w:t>
      </w:r>
      <w:r>
        <w:rPr>
          <w:i/>
          <w:iCs/>
          <w:lang w:val="sq-AL"/>
        </w:rPr>
        <w:t>ë</w:t>
      </w:r>
      <w:r w:rsidRPr="004976BC">
        <w:rPr>
          <w:i/>
          <w:iCs/>
          <w:lang w:val="sq-AL"/>
        </w:rPr>
        <w:t>r Shqip</w:t>
      </w:r>
      <w:r>
        <w:rPr>
          <w:i/>
          <w:iCs/>
          <w:lang w:val="sq-AL"/>
        </w:rPr>
        <w:t>ë</w:t>
      </w:r>
      <w:r w:rsidRPr="004976BC">
        <w:rPr>
          <w:i/>
          <w:iCs/>
          <w:lang w:val="sq-AL"/>
        </w:rPr>
        <w:t>ris</w:t>
      </w:r>
      <w:r>
        <w:rPr>
          <w:i/>
          <w:iCs/>
          <w:lang w:val="sq-AL"/>
        </w:rPr>
        <w:t>ë</w:t>
      </w:r>
      <w:r w:rsidRPr="004976BC">
        <w:rPr>
          <w:i/>
          <w:iCs/>
          <w:lang w:val="sq-AL"/>
        </w:rPr>
        <w:t>"</w:t>
      </w:r>
      <w:r>
        <w:rPr>
          <w:i/>
          <w:iCs/>
          <w:lang w:val="sq-AL"/>
        </w:rPr>
        <w:t xml:space="preserve"> (për 12.7 milion lekë).</w:t>
      </w:r>
    </w:p>
    <w:p w:rsidR="00F55CC9" w:rsidRPr="00705BB2" w:rsidRDefault="00F55CC9" w:rsidP="00F55CC9">
      <w:pPr>
        <w:numPr>
          <w:ilvl w:val="0"/>
          <w:numId w:val="2"/>
        </w:numPr>
        <w:spacing w:line="360" w:lineRule="auto"/>
        <w:jc w:val="both"/>
        <w:rPr>
          <w:i/>
          <w:iCs/>
          <w:lang w:val="sq-AL"/>
        </w:rPr>
      </w:pPr>
      <w:r w:rsidRPr="00705BB2">
        <w:rPr>
          <w:i/>
          <w:iCs/>
          <w:lang w:val="sq-AL"/>
        </w:rPr>
        <w:t>13 milionë lekë janë akorduar në Janar 2019 për Ministrinë e Turizmit dhe Mjedisit, me destinacion kryerjen e pagesës ndaj Qendrës Ndërkombëtare për zgjidhjen e mosmarrëveshjeve të investimeve (ICSID).</w:t>
      </w:r>
    </w:p>
    <w:p w:rsidR="00F55CC9" w:rsidRPr="00705BB2" w:rsidRDefault="00F55CC9" w:rsidP="00F55CC9">
      <w:pPr>
        <w:numPr>
          <w:ilvl w:val="0"/>
          <w:numId w:val="2"/>
        </w:numPr>
        <w:spacing w:line="360" w:lineRule="auto"/>
        <w:jc w:val="both"/>
        <w:rPr>
          <w:i/>
          <w:iCs/>
          <w:lang w:val="sq-AL"/>
        </w:rPr>
      </w:pPr>
      <w:r w:rsidRPr="00705BB2">
        <w:rPr>
          <w:i/>
          <w:iCs/>
          <w:lang w:val="sq-AL"/>
        </w:rPr>
        <w:t xml:space="preserve">12.5 milion lekë janë akorduar në muajin Prill </w:t>
      </w:r>
      <w:r>
        <w:rPr>
          <w:i/>
          <w:iCs/>
          <w:lang w:val="sq-AL"/>
        </w:rPr>
        <w:t xml:space="preserve">për Ministinë e Punëve të Jashtme, </w:t>
      </w:r>
      <w:r w:rsidRPr="00705BB2">
        <w:rPr>
          <w:i/>
          <w:iCs/>
          <w:lang w:val="sq-AL"/>
        </w:rPr>
        <w:t xml:space="preserve">ndihmë për qeverinë franceze për rindërtimin e katedrales Notre Dame në Paris, 3.7 milion leke janë dhënë ndihmë financiare për Këshillin Kombëtar Shqiptar në Serbi, për mbështetjen e funksionimit të ketij Keshilli si dhe të zyrave </w:t>
      </w:r>
      <w:r>
        <w:rPr>
          <w:i/>
          <w:iCs/>
          <w:lang w:val="sq-AL"/>
        </w:rPr>
        <w:t>të tij në Preshevë dhe Medvegje, ndërsa 3 milion lekë janë akorduar për d</w:t>
      </w:r>
      <w:r w:rsidRPr="00BB447D">
        <w:rPr>
          <w:i/>
          <w:iCs/>
          <w:lang w:val="sq-AL"/>
        </w:rPr>
        <w:t>henie ndihme financiare nga KM I RSH per KK te Shqiptareve ne Mal te Zi, per mbeshtetjen e funksionimit te ketij Keshilli dhe te Zyres Koordinuese te tij ne Plav</w:t>
      </w:r>
      <w:r>
        <w:rPr>
          <w:i/>
          <w:iCs/>
          <w:lang w:val="sq-AL"/>
        </w:rPr>
        <w:t>ë.</w:t>
      </w:r>
    </w:p>
    <w:p w:rsidR="00F55CC9" w:rsidRPr="00342E2C" w:rsidRDefault="00000BE1" w:rsidP="00E33812">
      <w:pPr>
        <w:numPr>
          <w:ilvl w:val="0"/>
          <w:numId w:val="2"/>
        </w:numPr>
        <w:spacing w:line="360" w:lineRule="auto"/>
        <w:jc w:val="both"/>
        <w:rPr>
          <w:i/>
          <w:iCs/>
          <w:lang w:val="sq-AL"/>
        </w:rPr>
      </w:pPr>
      <w:r>
        <w:rPr>
          <w:i/>
          <w:iCs/>
          <w:lang w:val="sq-AL"/>
        </w:rPr>
        <w:t>20</w:t>
      </w:r>
      <w:r w:rsidR="00342E2C" w:rsidRPr="00342E2C">
        <w:rPr>
          <w:i/>
          <w:iCs/>
          <w:lang w:val="sq-AL"/>
        </w:rPr>
        <w:t xml:space="preserve">0 milion lekë janë akorduar për Ministrinë e Mbrojtjes per rikonstruksionin dhe rindertimin e banesave te prekura nga tërmeti i dt 21.09.2019 në qarqet Tiranë dhe Durrës, </w:t>
      </w:r>
      <w:r w:rsidR="00F55CC9" w:rsidRPr="00342E2C">
        <w:rPr>
          <w:i/>
          <w:iCs/>
          <w:lang w:val="sq-AL"/>
        </w:rPr>
        <w:t>10 milion lekë janë akorduar për kompesimin e veçantë të familjeve të ushtara</w:t>
      </w:r>
      <w:r w:rsidR="00241AB8" w:rsidRPr="00342E2C">
        <w:rPr>
          <w:i/>
          <w:iCs/>
          <w:lang w:val="sq-AL"/>
        </w:rPr>
        <w:t>këve të rënë në krye të detyrës, 3 milion lek</w:t>
      </w:r>
      <w:r w:rsidR="00342E2C">
        <w:rPr>
          <w:i/>
          <w:iCs/>
          <w:lang w:val="sq-AL"/>
        </w:rPr>
        <w:t>ë</w:t>
      </w:r>
      <w:r w:rsidR="00241AB8" w:rsidRPr="00342E2C">
        <w:rPr>
          <w:i/>
          <w:iCs/>
          <w:lang w:val="sq-AL"/>
        </w:rPr>
        <w:t xml:space="preserve"> jane akorduar p</w:t>
      </w:r>
      <w:r w:rsidR="00342E2C">
        <w:rPr>
          <w:i/>
          <w:iCs/>
          <w:lang w:val="sq-AL"/>
        </w:rPr>
        <w:t>ë</w:t>
      </w:r>
      <w:r w:rsidR="00241AB8" w:rsidRPr="00342E2C">
        <w:rPr>
          <w:i/>
          <w:iCs/>
          <w:lang w:val="sq-AL"/>
        </w:rPr>
        <w:t>r organizat</w:t>
      </w:r>
      <w:r w:rsidR="00342E2C">
        <w:rPr>
          <w:i/>
          <w:iCs/>
          <w:lang w:val="sq-AL"/>
        </w:rPr>
        <w:t>ë</w:t>
      </w:r>
      <w:r w:rsidR="00241AB8" w:rsidRPr="00342E2C">
        <w:rPr>
          <w:i/>
          <w:iCs/>
          <w:lang w:val="sq-AL"/>
        </w:rPr>
        <w:t>n e veteran</w:t>
      </w:r>
      <w:r w:rsidR="00342E2C">
        <w:rPr>
          <w:i/>
          <w:iCs/>
          <w:lang w:val="sq-AL"/>
        </w:rPr>
        <w:t>ë</w:t>
      </w:r>
      <w:r w:rsidR="00241AB8" w:rsidRPr="00342E2C">
        <w:rPr>
          <w:i/>
          <w:iCs/>
          <w:lang w:val="sq-AL"/>
        </w:rPr>
        <w:t>ve t</w:t>
      </w:r>
      <w:r w:rsidR="00342E2C">
        <w:rPr>
          <w:i/>
          <w:iCs/>
          <w:lang w:val="sq-AL"/>
        </w:rPr>
        <w:t>ë</w:t>
      </w:r>
      <w:r w:rsidR="00241AB8" w:rsidRPr="00342E2C">
        <w:rPr>
          <w:i/>
          <w:iCs/>
          <w:lang w:val="sq-AL"/>
        </w:rPr>
        <w:t xml:space="preserve"> LANC-it p</w:t>
      </w:r>
      <w:r w:rsidR="00342E2C">
        <w:rPr>
          <w:i/>
          <w:iCs/>
          <w:lang w:val="sq-AL"/>
        </w:rPr>
        <w:t>ë</w:t>
      </w:r>
      <w:r w:rsidR="00241AB8" w:rsidRPr="00342E2C">
        <w:rPr>
          <w:i/>
          <w:iCs/>
          <w:lang w:val="sq-AL"/>
        </w:rPr>
        <w:t>r organizimin e aktiviteteve p</w:t>
      </w:r>
      <w:r w:rsidR="00342E2C">
        <w:rPr>
          <w:i/>
          <w:iCs/>
          <w:lang w:val="sq-AL"/>
        </w:rPr>
        <w:t>ë</w:t>
      </w:r>
      <w:r w:rsidR="00241AB8" w:rsidRPr="00342E2C">
        <w:rPr>
          <w:i/>
          <w:iCs/>
          <w:lang w:val="sq-AL"/>
        </w:rPr>
        <w:t>r 75 vjetorin e clirimit t</w:t>
      </w:r>
      <w:r w:rsidR="00342E2C">
        <w:rPr>
          <w:i/>
          <w:iCs/>
          <w:lang w:val="sq-AL"/>
        </w:rPr>
        <w:t>ë</w:t>
      </w:r>
      <w:r w:rsidR="00241AB8" w:rsidRPr="00342E2C">
        <w:rPr>
          <w:i/>
          <w:iCs/>
          <w:lang w:val="sq-AL"/>
        </w:rPr>
        <w:t xml:space="preserve"> vendit</w:t>
      </w:r>
      <w:r w:rsidR="00342E2C">
        <w:rPr>
          <w:i/>
          <w:iCs/>
          <w:lang w:val="sq-AL"/>
        </w:rPr>
        <w:t xml:space="preserve">, </w:t>
      </w:r>
    </w:p>
    <w:p w:rsidR="00705001" w:rsidRDefault="00705001" w:rsidP="00F55CC9">
      <w:pPr>
        <w:numPr>
          <w:ilvl w:val="0"/>
          <w:numId w:val="2"/>
        </w:numPr>
        <w:spacing w:line="360" w:lineRule="auto"/>
        <w:jc w:val="both"/>
        <w:rPr>
          <w:i/>
          <w:iCs/>
          <w:lang w:val="sq-AL"/>
        </w:rPr>
      </w:pPr>
      <w:r>
        <w:rPr>
          <w:i/>
          <w:iCs/>
          <w:lang w:val="sq-AL"/>
        </w:rPr>
        <w:t>10.5 milion lekë janë akorduar p</w:t>
      </w:r>
      <w:r w:rsidR="00783F67">
        <w:rPr>
          <w:i/>
          <w:iCs/>
          <w:lang w:val="sq-AL"/>
        </w:rPr>
        <w:t>ë</w:t>
      </w:r>
      <w:r>
        <w:rPr>
          <w:i/>
          <w:iCs/>
          <w:lang w:val="sq-AL"/>
        </w:rPr>
        <w:t>r Qendr</w:t>
      </w:r>
      <w:r w:rsidR="00783F67">
        <w:rPr>
          <w:i/>
          <w:iCs/>
          <w:lang w:val="sq-AL"/>
        </w:rPr>
        <w:t>ë</w:t>
      </w:r>
      <w:r>
        <w:rPr>
          <w:i/>
          <w:iCs/>
          <w:lang w:val="sq-AL"/>
        </w:rPr>
        <w:t>n Komb</w:t>
      </w:r>
      <w:r w:rsidR="00783F67">
        <w:rPr>
          <w:i/>
          <w:iCs/>
          <w:lang w:val="sq-AL"/>
        </w:rPr>
        <w:t>ë</w:t>
      </w:r>
      <w:r>
        <w:rPr>
          <w:i/>
          <w:iCs/>
          <w:lang w:val="sq-AL"/>
        </w:rPr>
        <w:t>tare t</w:t>
      </w:r>
      <w:r w:rsidR="00783F67">
        <w:rPr>
          <w:i/>
          <w:iCs/>
          <w:lang w:val="sq-AL"/>
        </w:rPr>
        <w:t>ë</w:t>
      </w:r>
      <w:r>
        <w:rPr>
          <w:i/>
          <w:iCs/>
          <w:lang w:val="sq-AL"/>
        </w:rPr>
        <w:t xml:space="preserve"> Kinematografis</w:t>
      </w:r>
      <w:r w:rsidR="00783F67">
        <w:rPr>
          <w:i/>
          <w:iCs/>
          <w:lang w:val="sq-AL"/>
        </w:rPr>
        <w:t>ë</w:t>
      </w:r>
      <w:r>
        <w:rPr>
          <w:i/>
          <w:iCs/>
          <w:lang w:val="sq-AL"/>
        </w:rPr>
        <w:t>, si grant p</w:t>
      </w:r>
      <w:r w:rsidR="00783F67">
        <w:rPr>
          <w:i/>
          <w:iCs/>
          <w:lang w:val="sq-AL"/>
        </w:rPr>
        <w:t>ë</w:t>
      </w:r>
      <w:r>
        <w:rPr>
          <w:i/>
          <w:iCs/>
          <w:lang w:val="sq-AL"/>
        </w:rPr>
        <w:t>r Akademin</w:t>
      </w:r>
      <w:r w:rsidR="00783F67">
        <w:rPr>
          <w:i/>
          <w:iCs/>
          <w:lang w:val="sq-AL"/>
        </w:rPr>
        <w:t>ë</w:t>
      </w:r>
      <w:r>
        <w:rPr>
          <w:i/>
          <w:iCs/>
          <w:lang w:val="sq-AL"/>
        </w:rPr>
        <w:t xml:space="preserve"> e Filmit dhe Multimedia “Marubi”.</w:t>
      </w:r>
    </w:p>
    <w:p w:rsidR="00342E2C" w:rsidRDefault="00342E2C" w:rsidP="00F55CC9">
      <w:pPr>
        <w:numPr>
          <w:ilvl w:val="0"/>
          <w:numId w:val="2"/>
        </w:numPr>
        <w:spacing w:line="360" w:lineRule="auto"/>
        <w:jc w:val="both"/>
        <w:rPr>
          <w:i/>
          <w:iCs/>
          <w:lang w:val="sq-AL"/>
        </w:rPr>
      </w:pPr>
      <w:r>
        <w:rPr>
          <w:i/>
          <w:iCs/>
          <w:lang w:val="sq-AL"/>
        </w:rPr>
        <w:t>2 milion lekë janë akorduar Radiotelevizionit për organizimin e aktiviteteve për 75 vjetorin e çlirimit të vendit.</w:t>
      </w:r>
    </w:p>
    <w:p w:rsidR="00000BE1" w:rsidRDefault="00000BE1" w:rsidP="00F55CC9">
      <w:pPr>
        <w:numPr>
          <w:ilvl w:val="0"/>
          <w:numId w:val="2"/>
        </w:numPr>
        <w:spacing w:line="360" w:lineRule="auto"/>
        <w:jc w:val="both"/>
        <w:rPr>
          <w:i/>
          <w:iCs/>
          <w:lang w:val="sq-AL"/>
        </w:rPr>
      </w:pPr>
      <w:r>
        <w:rPr>
          <w:i/>
          <w:iCs/>
          <w:lang w:val="sq-AL"/>
        </w:rPr>
        <w:t>25.1 milion lekë janë akorduar për Ministrinë e Kulturës për organizimin e aktiviteteve për 75 vjetorin e çlirimit të vendit.</w:t>
      </w:r>
    </w:p>
    <w:p w:rsidR="00000BE1" w:rsidRDefault="00000BE1" w:rsidP="00000BE1">
      <w:pPr>
        <w:numPr>
          <w:ilvl w:val="0"/>
          <w:numId w:val="2"/>
        </w:numPr>
        <w:spacing w:line="360" w:lineRule="auto"/>
        <w:jc w:val="both"/>
        <w:rPr>
          <w:i/>
          <w:iCs/>
          <w:lang w:val="sq-AL"/>
        </w:rPr>
      </w:pPr>
      <w:r>
        <w:rPr>
          <w:i/>
          <w:iCs/>
          <w:lang w:val="sq-AL"/>
        </w:rPr>
        <w:t>70 milion lekw janw akorduar pwr Ministrinw e Infrastrukturws dhe Energjisw për p</w:t>
      </w:r>
      <w:r w:rsidRPr="00000BE1">
        <w:rPr>
          <w:i/>
          <w:iCs/>
          <w:lang w:val="sq-AL"/>
        </w:rPr>
        <w:t>ërballimin e shpenzimeve për inspektimin dhe vlerësimin e dëmeve në njësitë e vetqeverisjes vendore, të prekura nga fatkeqsia natyrore e tërmetit të datës 26.11.2019".</w:t>
      </w:r>
    </w:p>
    <w:p w:rsidR="00DE65DA" w:rsidRDefault="0044486C" w:rsidP="00470C60">
      <w:pPr>
        <w:spacing w:line="360" w:lineRule="auto"/>
        <w:jc w:val="both"/>
        <w:rPr>
          <w:b/>
          <w:i/>
          <w:color w:val="C00000"/>
          <w:lang w:val="sq-AL"/>
        </w:rPr>
      </w:pPr>
      <w:r w:rsidRPr="00057B1E">
        <w:rPr>
          <w:noProof/>
        </w:rPr>
        <mc:AlternateContent>
          <mc:Choice Requires="wps">
            <w:drawing>
              <wp:anchor distT="0" distB="0" distL="114300" distR="114300" simplePos="0" relativeHeight="251659264" behindDoc="0" locked="0" layoutInCell="1" allowOverlap="1" wp14:anchorId="1F0CED8C" wp14:editId="4E01CD67">
                <wp:simplePos x="0" y="0"/>
                <wp:positionH relativeFrom="column">
                  <wp:posOffset>-127000</wp:posOffset>
                </wp:positionH>
                <wp:positionV relativeFrom="paragraph">
                  <wp:posOffset>197485</wp:posOffset>
                </wp:positionV>
                <wp:extent cx="7081520" cy="668511"/>
                <wp:effectExtent l="0" t="0" r="24130" b="17780"/>
                <wp:wrapNone/>
                <wp:docPr id="3" name="Rectangle 3"/>
                <wp:cNvGraphicFramePr/>
                <a:graphic xmlns:a="http://schemas.openxmlformats.org/drawingml/2006/main">
                  <a:graphicData uri="http://schemas.microsoft.com/office/word/2010/wordprocessingShape">
                    <wps:wsp>
                      <wps:cNvSpPr/>
                      <wps:spPr>
                        <a:xfrm>
                          <a:off x="0" y="0"/>
                          <a:ext cx="7081520" cy="66851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8E5A6" id="Rectangle 3" o:spid="_x0000_s1026" style="position:absolute;margin-left:-10pt;margin-top:15.55pt;width:557.6pt;height: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" filled="f" strokecolor="red" strokeweight="2pt"/>
            </w:pict>
          </mc:Fallback>
        </mc:AlternateContent>
      </w:r>
    </w:p>
    <w:p w:rsidR="00550764" w:rsidRPr="00470C60" w:rsidRDefault="00550764" w:rsidP="00470C60">
      <w:pPr>
        <w:spacing w:line="360" w:lineRule="auto"/>
        <w:jc w:val="both"/>
        <w:rPr>
          <w:b/>
          <w:i/>
          <w:color w:val="C00000"/>
          <w:lang w:val="sq-AL"/>
        </w:rPr>
      </w:pPr>
      <w:r w:rsidRPr="00057B1E">
        <w:rPr>
          <w:b/>
          <w:i/>
          <w:color w:val="C00000"/>
          <w:lang w:val="sq-AL"/>
        </w:rPr>
        <w:t xml:space="preserve">Mbështetur në sa mësipër rezulton se, në datën </w:t>
      </w:r>
      <w:r w:rsidR="00000BE1">
        <w:rPr>
          <w:b/>
          <w:i/>
          <w:color w:val="C00000"/>
          <w:u w:val="single"/>
          <w:lang w:val="sq-AL"/>
        </w:rPr>
        <w:t>31</w:t>
      </w:r>
      <w:r w:rsidR="00EE7679">
        <w:rPr>
          <w:b/>
          <w:i/>
          <w:color w:val="C00000"/>
          <w:u w:val="single"/>
          <w:lang w:val="sq-AL"/>
        </w:rPr>
        <w:t xml:space="preserve"> </w:t>
      </w:r>
      <w:r w:rsidR="00000BE1">
        <w:rPr>
          <w:b/>
          <w:i/>
          <w:color w:val="C00000"/>
          <w:u w:val="single"/>
          <w:lang w:val="sq-AL"/>
        </w:rPr>
        <w:t>Dhjetor</w:t>
      </w:r>
      <w:r w:rsidRPr="00057B1E">
        <w:rPr>
          <w:b/>
          <w:i/>
          <w:color w:val="C00000"/>
          <w:u w:val="single"/>
          <w:lang w:val="sq-AL"/>
        </w:rPr>
        <w:t xml:space="preserve"> 2019</w:t>
      </w:r>
      <w:r w:rsidRPr="00057B1E">
        <w:rPr>
          <w:b/>
          <w:i/>
          <w:color w:val="C00000"/>
          <w:lang w:val="sq-AL"/>
        </w:rPr>
        <w:t xml:space="preserve">, gjendja e papërdorur e Fondit Rezervë të buxhetit të shtetit, rezulton të jetë </w:t>
      </w:r>
      <w:r w:rsidRPr="00057B1E">
        <w:rPr>
          <w:b/>
          <w:i/>
          <w:color w:val="C00000"/>
          <w:u w:val="single"/>
          <w:lang w:val="sq-AL"/>
        </w:rPr>
        <w:t xml:space="preserve">vetëm </w:t>
      </w:r>
      <w:r w:rsidR="0044486C">
        <w:rPr>
          <w:b/>
          <w:i/>
          <w:color w:val="C00000"/>
          <w:u w:val="single"/>
          <w:lang w:val="sq-AL"/>
        </w:rPr>
        <w:t>178.5</w:t>
      </w:r>
      <w:r w:rsidRPr="00057B1E">
        <w:rPr>
          <w:b/>
          <w:i/>
          <w:color w:val="C00000"/>
          <w:u w:val="single"/>
          <w:lang w:val="sq-AL"/>
        </w:rPr>
        <w:t xml:space="preserve"> milionë lekë </w:t>
      </w:r>
      <w:r w:rsidR="0044486C">
        <w:rPr>
          <w:b/>
          <w:i/>
          <w:color w:val="C00000"/>
          <w:u w:val="single"/>
          <w:lang w:val="sq-AL"/>
        </w:rPr>
        <w:t>.</w:t>
      </w:r>
    </w:p>
    <w:p w:rsidR="00342E2C" w:rsidRDefault="00342E2C" w:rsidP="00EE7679">
      <w:pPr>
        <w:spacing w:before="240" w:line="360" w:lineRule="auto"/>
        <w:rPr>
          <w:b/>
          <w:color w:val="FF0000"/>
          <w:spacing w:val="-1"/>
          <w:lang w:val="sq-AL"/>
        </w:rPr>
      </w:pPr>
    </w:p>
    <w:p w:rsidR="008F09A7" w:rsidRPr="00EE7679" w:rsidRDefault="007229C2" w:rsidP="00EE7679">
      <w:pPr>
        <w:spacing w:before="240" w:line="360" w:lineRule="auto"/>
        <w:rPr>
          <w:spacing w:val="-1"/>
          <w:lang w:val="sq-AL"/>
        </w:rPr>
      </w:pPr>
      <w:r w:rsidRPr="00EE7679">
        <w:rPr>
          <w:b/>
          <w:color w:val="FF0000"/>
          <w:spacing w:val="-1"/>
          <w:lang w:val="sq-AL"/>
        </w:rPr>
        <w:lastRenderedPageBreak/>
        <w:t>Fondi Rezerve p</w:t>
      </w:r>
      <w:r w:rsidR="00246803" w:rsidRPr="00EE7679">
        <w:rPr>
          <w:b/>
          <w:color w:val="FF0000"/>
          <w:spacing w:val="-1"/>
          <w:lang w:val="sq-AL"/>
        </w:rPr>
        <w:t>ë</w:t>
      </w:r>
      <w:r w:rsidRPr="00EE7679">
        <w:rPr>
          <w:b/>
          <w:color w:val="FF0000"/>
          <w:spacing w:val="-1"/>
          <w:lang w:val="sq-AL"/>
        </w:rPr>
        <w:t>r Sistemin e Drejt</w:t>
      </w:r>
      <w:r w:rsidR="00246803" w:rsidRPr="00EE7679">
        <w:rPr>
          <w:b/>
          <w:color w:val="FF0000"/>
          <w:spacing w:val="-1"/>
          <w:lang w:val="sq-AL"/>
        </w:rPr>
        <w:t>ë</w:t>
      </w:r>
      <w:r w:rsidRPr="00EE7679">
        <w:rPr>
          <w:b/>
          <w:color w:val="FF0000"/>
          <w:spacing w:val="-1"/>
          <w:lang w:val="sq-AL"/>
        </w:rPr>
        <w:t>sis</w:t>
      </w:r>
      <w:r w:rsidR="00246803" w:rsidRPr="00EE7679">
        <w:rPr>
          <w:b/>
          <w:color w:val="FF0000"/>
          <w:spacing w:val="-1"/>
          <w:lang w:val="sq-AL"/>
        </w:rPr>
        <w:t>ë</w:t>
      </w:r>
      <w:r w:rsidRPr="00EE7679">
        <w:rPr>
          <w:b/>
          <w:color w:val="FF0000"/>
          <w:spacing w:val="-1"/>
          <w:lang w:val="sq-AL"/>
        </w:rPr>
        <w:t xml:space="preserve"> </w:t>
      </w:r>
      <w:r w:rsidRPr="00EE7679">
        <w:rPr>
          <w:spacing w:val="-1"/>
          <w:lang w:val="sq-AL"/>
        </w:rPr>
        <w:t>i planifikuar n</w:t>
      </w:r>
      <w:r w:rsidR="00246803" w:rsidRPr="00EE7679">
        <w:rPr>
          <w:spacing w:val="-1"/>
          <w:lang w:val="sq-AL"/>
        </w:rPr>
        <w:t>ë</w:t>
      </w:r>
      <w:r w:rsidRPr="00EE7679">
        <w:rPr>
          <w:spacing w:val="-1"/>
          <w:lang w:val="sq-AL"/>
        </w:rPr>
        <w:t xml:space="preserve"> mas</w:t>
      </w:r>
      <w:r w:rsidR="00246803" w:rsidRPr="00EE7679">
        <w:rPr>
          <w:spacing w:val="-1"/>
          <w:lang w:val="sq-AL"/>
        </w:rPr>
        <w:t>ë</w:t>
      </w:r>
      <w:r w:rsidRPr="00EE7679">
        <w:rPr>
          <w:spacing w:val="-1"/>
          <w:lang w:val="sq-AL"/>
        </w:rPr>
        <w:t>n 1.</w:t>
      </w:r>
      <w:r w:rsidR="00EE7679" w:rsidRPr="00EE7679">
        <w:rPr>
          <w:spacing w:val="-1"/>
          <w:lang w:val="sq-AL"/>
        </w:rPr>
        <w:t>35</w:t>
      </w:r>
      <w:r w:rsidRPr="00EE7679">
        <w:rPr>
          <w:spacing w:val="-1"/>
          <w:lang w:val="sq-AL"/>
        </w:rPr>
        <w:t xml:space="preserve"> miliard lek</w:t>
      </w:r>
      <w:r w:rsidR="00246803" w:rsidRPr="00EE7679">
        <w:rPr>
          <w:spacing w:val="-1"/>
          <w:lang w:val="sq-AL"/>
        </w:rPr>
        <w:t>ë</w:t>
      </w:r>
      <w:r w:rsidRPr="00EE7679">
        <w:rPr>
          <w:spacing w:val="-1"/>
          <w:lang w:val="sq-AL"/>
        </w:rPr>
        <w:t xml:space="preserve"> </w:t>
      </w:r>
      <w:r w:rsidR="00EE7679">
        <w:rPr>
          <w:spacing w:val="-1"/>
          <w:lang w:val="sq-AL"/>
        </w:rPr>
        <w:t xml:space="preserve">deri me </w:t>
      </w:r>
      <w:r w:rsidR="0044486C">
        <w:rPr>
          <w:spacing w:val="-1"/>
          <w:lang w:val="sq-AL"/>
        </w:rPr>
        <w:t>31</w:t>
      </w:r>
      <w:r w:rsidR="00EE7679">
        <w:rPr>
          <w:spacing w:val="-1"/>
          <w:lang w:val="sq-AL"/>
        </w:rPr>
        <w:t xml:space="preserve"> </w:t>
      </w:r>
      <w:r w:rsidR="0044486C">
        <w:rPr>
          <w:spacing w:val="-1"/>
          <w:lang w:val="sq-AL"/>
        </w:rPr>
        <w:t>Dhjetor</w:t>
      </w:r>
      <w:r w:rsidR="00EE7679">
        <w:rPr>
          <w:spacing w:val="-1"/>
          <w:lang w:val="sq-AL"/>
        </w:rPr>
        <w:t xml:space="preserve"> 2019 </w:t>
      </w:r>
      <w:r w:rsidR="00246803" w:rsidRPr="00EE7679">
        <w:rPr>
          <w:spacing w:val="-1"/>
          <w:lang w:val="sq-AL"/>
        </w:rPr>
        <w:t>ë</w:t>
      </w:r>
      <w:r w:rsidRPr="00EE7679">
        <w:rPr>
          <w:spacing w:val="-1"/>
          <w:lang w:val="sq-AL"/>
        </w:rPr>
        <w:t>sht</w:t>
      </w:r>
      <w:r w:rsidR="00246803" w:rsidRPr="00EE7679">
        <w:rPr>
          <w:spacing w:val="-1"/>
          <w:lang w:val="sq-AL"/>
        </w:rPr>
        <w:t>ë</w:t>
      </w:r>
      <w:r w:rsidRPr="00EE7679">
        <w:rPr>
          <w:spacing w:val="-1"/>
          <w:lang w:val="sq-AL"/>
        </w:rPr>
        <w:t xml:space="preserve"> p</w:t>
      </w:r>
      <w:r w:rsidR="00246803" w:rsidRPr="00EE7679">
        <w:rPr>
          <w:spacing w:val="-1"/>
          <w:lang w:val="sq-AL"/>
        </w:rPr>
        <w:t>ë</w:t>
      </w:r>
      <w:r w:rsidRPr="00EE7679">
        <w:rPr>
          <w:spacing w:val="-1"/>
          <w:lang w:val="sq-AL"/>
        </w:rPr>
        <w:t>rdorur n</w:t>
      </w:r>
      <w:r w:rsidR="00246803" w:rsidRPr="00EE7679">
        <w:rPr>
          <w:spacing w:val="-1"/>
          <w:lang w:val="sq-AL"/>
        </w:rPr>
        <w:t>ë</w:t>
      </w:r>
      <w:r w:rsidRPr="00EE7679">
        <w:rPr>
          <w:spacing w:val="-1"/>
          <w:lang w:val="sq-AL"/>
        </w:rPr>
        <w:t xml:space="preserve"> mas</w:t>
      </w:r>
      <w:r w:rsidR="00246803" w:rsidRPr="00EE7679">
        <w:rPr>
          <w:spacing w:val="-1"/>
          <w:lang w:val="sq-AL"/>
        </w:rPr>
        <w:t>ë</w:t>
      </w:r>
      <w:r w:rsidRPr="00EE7679">
        <w:rPr>
          <w:spacing w:val="-1"/>
          <w:lang w:val="sq-AL"/>
        </w:rPr>
        <w:t xml:space="preserve">n </w:t>
      </w:r>
      <w:r w:rsidR="00057B1E" w:rsidRPr="00EE7679">
        <w:rPr>
          <w:spacing w:val="-1"/>
          <w:lang w:val="sq-AL"/>
        </w:rPr>
        <w:t>1</w:t>
      </w:r>
      <w:r w:rsidR="00A769CC" w:rsidRPr="00EE7679">
        <w:rPr>
          <w:spacing w:val="-1"/>
          <w:lang w:val="sq-AL"/>
        </w:rPr>
        <w:t xml:space="preserve"> </w:t>
      </w:r>
      <w:r w:rsidR="00AA1679">
        <w:rPr>
          <w:spacing w:val="-1"/>
          <w:lang w:val="sq-AL"/>
        </w:rPr>
        <w:t>321.2</w:t>
      </w:r>
      <w:r w:rsidRPr="00EE7679">
        <w:rPr>
          <w:spacing w:val="-1"/>
          <w:lang w:val="sq-AL"/>
        </w:rPr>
        <w:t xml:space="preserve"> milion lek</w:t>
      </w:r>
      <w:r w:rsidR="00246803" w:rsidRPr="00EE7679">
        <w:rPr>
          <w:spacing w:val="-1"/>
          <w:lang w:val="sq-AL"/>
        </w:rPr>
        <w:t>ë</w:t>
      </w:r>
      <w:r w:rsidRPr="00EE7679">
        <w:rPr>
          <w:spacing w:val="-1"/>
          <w:lang w:val="sq-AL"/>
        </w:rPr>
        <w:t xml:space="preserve"> ose </w:t>
      </w:r>
      <w:r w:rsidR="00246803" w:rsidRPr="00EE7679">
        <w:rPr>
          <w:spacing w:val="-1"/>
          <w:lang w:val="sq-AL"/>
        </w:rPr>
        <w:t xml:space="preserve">rreth </w:t>
      </w:r>
      <w:r w:rsidR="00AA1679">
        <w:rPr>
          <w:spacing w:val="-1"/>
          <w:lang w:val="sq-AL"/>
        </w:rPr>
        <w:t>97.8</w:t>
      </w:r>
      <w:r w:rsidR="00246803" w:rsidRPr="00EE7679">
        <w:rPr>
          <w:spacing w:val="-1"/>
          <w:lang w:val="sq-AL"/>
        </w:rPr>
        <w:t xml:space="preserve">% e planit </w:t>
      </w:r>
      <w:r w:rsidRPr="00EE7679">
        <w:rPr>
          <w:spacing w:val="-1"/>
          <w:lang w:val="sq-AL"/>
        </w:rPr>
        <w:t>si m</w:t>
      </w:r>
      <w:r w:rsidR="00246803" w:rsidRPr="00EE7679">
        <w:rPr>
          <w:spacing w:val="-1"/>
          <w:lang w:val="sq-AL"/>
        </w:rPr>
        <w:t>ë</w:t>
      </w:r>
      <w:r w:rsidRPr="00EE7679">
        <w:rPr>
          <w:spacing w:val="-1"/>
          <w:lang w:val="sq-AL"/>
        </w:rPr>
        <w:t xml:space="preserve"> posht</w:t>
      </w:r>
      <w:r w:rsidR="00246803" w:rsidRPr="00EE7679">
        <w:rPr>
          <w:spacing w:val="-1"/>
          <w:lang w:val="sq-AL"/>
        </w:rPr>
        <w:t>ë</w:t>
      </w:r>
      <w:r w:rsidRPr="00EE7679">
        <w:rPr>
          <w:spacing w:val="-1"/>
          <w:lang w:val="sq-AL"/>
        </w:rPr>
        <w:t>;</w:t>
      </w:r>
    </w:p>
    <w:p w:rsidR="007229C2" w:rsidRPr="00470C60" w:rsidRDefault="007229C2" w:rsidP="00470C60">
      <w:pPr>
        <w:numPr>
          <w:ilvl w:val="0"/>
          <w:numId w:val="2"/>
        </w:numPr>
        <w:spacing w:before="240" w:line="360" w:lineRule="auto"/>
        <w:jc w:val="both"/>
        <w:rPr>
          <w:i/>
          <w:iCs/>
          <w:lang w:val="sq-AL"/>
        </w:rPr>
      </w:pPr>
      <w:r w:rsidRPr="00470C60">
        <w:rPr>
          <w:i/>
          <w:iCs/>
          <w:lang w:val="sq-AL"/>
        </w:rPr>
        <w:t>13.2 milion lek</w:t>
      </w:r>
      <w:r w:rsidR="00246803" w:rsidRPr="00470C60">
        <w:rPr>
          <w:i/>
          <w:iCs/>
          <w:lang w:val="sq-AL"/>
        </w:rPr>
        <w:t>ë</w:t>
      </w:r>
      <w:r w:rsidRPr="00470C60">
        <w:rPr>
          <w:i/>
          <w:iCs/>
          <w:lang w:val="sq-AL"/>
        </w:rPr>
        <w:t xml:space="preserve"> jan</w:t>
      </w:r>
      <w:r w:rsidR="00246803" w:rsidRPr="00470C60">
        <w:rPr>
          <w:i/>
          <w:iCs/>
          <w:lang w:val="sq-AL"/>
        </w:rPr>
        <w:t>ë</w:t>
      </w:r>
      <w:r w:rsidRPr="00470C60">
        <w:rPr>
          <w:i/>
          <w:iCs/>
          <w:lang w:val="sq-AL"/>
        </w:rPr>
        <w:t xml:space="preserve"> akorduar me VKM </w:t>
      </w:r>
      <w:r w:rsidR="00F977DB" w:rsidRPr="00470C60">
        <w:rPr>
          <w:i/>
          <w:iCs/>
          <w:lang w:val="sq-AL"/>
        </w:rPr>
        <w:t xml:space="preserve">fonde shtesë </w:t>
      </w:r>
      <w:r w:rsidRPr="00470C60">
        <w:rPr>
          <w:i/>
          <w:iCs/>
          <w:lang w:val="sq-AL"/>
        </w:rPr>
        <w:t>p</w:t>
      </w:r>
      <w:r w:rsidR="00246803" w:rsidRPr="00470C60">
        <w:rPr>
          <w:i/>
          <w:iCs/>
          <w:lang w:val="sq-AL"/>
        </w:rPr>
        <w:t>ë</w:t>
      </w:r>
      <w:r w:rsidRPr="00470C60">
        <w:rPr>
          <w:i/>
          <w:iCs/>
          <w:lang w:val="sq-AL"/>
        </w:rPr>
        <w:t>r Gjykat</w:t>
      </w:r>
      <w:r w:rsidR="00246803" w:rsidRPr="00470C60">
        <w:rPr>
          <w:i/>
          <w:iCs/>
          <w:lang w:val="sq-AL"/>
        </w:rPr>
        <w:t>ë</w:t>
      </w:r>
      <w:r w:rsidRPr="00470C60">
        <w:rPr>
          <w:i/>
          <w:iCs/>
          <w:lang w:val="sq-AL"/>
        </w:rPr>
        <w:t>n e Lart</w:t>
      </w:r>
      <w:r w:rsidR="00246803" w:rsidRPr="00470C60">
        <w:rPr>
          <w:i/>
          <w:iCs/>
          <w:lang w:val="sq-AL"/>
        </w:rPr>
        <w:t>ë</w:t>
      </w:r>
      <w:r w:rsidRPr="00470C60">
        <w:rPr>
          <w:i/>
          <w:iCs/>
          <w:lang w:val="sq-AL"/>
        </w:rPr>
        <w:t xml:space="preserve"> p</w:t>
      </w:r>
      <w:r w:rsidR="00246803" w:rsidRPr="00470C60">
        <w:rPr>
          <w:i/>
          <w:iCs/>
          <w:lang w:val="sq-AL"/>
        </w:rPr>
        <w:t>ë</w:t>
      </w:r>
      <w:r w:rsidRPr="00470C60">
        <w:rPr>
          <w:i/>
          <w:iCs/>
          <w:lang w:val="sq-AL"/>
        </w:rPr>
        <w:t>r shp</w:t>
      </w:r>
      <w:r w:rsidR="00246803" w:rsidRPr="00470C60">
        <w:rPr>
          <w:i/>
          <w:iCs/>
          <w:lang w:val="sq-AL"/>
        </w:rPr>
        <w:t>ë</w:t>
      </w:r>
      <w:r w:rsidRPr="00470C60">
        <w:rPr>
          <w:i/>
          <w:iCs/>
          <w:lang w:val="sq-AL"/>
        </w:rPr>
        <w:t>rblimin e an</w:t>
      </w:r>
      <w:r w:rsidR="00246803" w:rsidRPr="00470C60">
        <w:rPr>
          <w:i/>
          <w:iCs/>
          <w:lang w:val="sq-AL"/>
        </w:rPr>
        <w:t>ë</w:t>
      </w:r>
      <w:r w:rsidRPr="00470C60">
        <w:rPr>
          <w:i/>
          <w:iCs/>
          <w:lang w:val="sq-AL"/>
        </w:rPr>
        <w:t>tar</w:t>
      </w:r>
      <w:r w:rsidR="00246803" w:rsidRPr="00470C60">
        <w:rPr>
          <w:i/>
          <w:iCs/>
          <w:lang w:val="sq-AL"/>
        </w:rPr>
        <w:t>ë</w:t>
      </w:r>
      <w:r w:rsidRPr="00470C60">
        <w:rPr>
          <w:i/>
          <w:iCs/>
          <w:lang w:val="sq-AL"/>
        </w:rPr>
        <w:t>ve t</w:t>
      </w:r>
      <w:r w:rsidR="00246803" w:rsidRPr="00470C60">
        <w:rPr>
          <w:i/>
          <w:iCs/>
          <w:lang w:val="sq-AL"/>
        </w:rPr>
        <w:t>ë</w:t>
      </w:r>
      <w:r w:rsidRPr="00470C60">
        <w:rPr>
          <w:i/>
          <w:iCs/>
          <w:lang w:val="sq-AL"/>
        </w:rPr>
        <w:t xml:space="preserve"> K</w:t>
      </w:r>
      <w:r w:rsidR="00246803" w:rsidRPr="00470C60">
        <w:rPr>
          <w:i/>
          <w:iCs/>
          <w:lang w:val="sq-AL"/>
        </w:rPr>
        <w:t>ë</w:t>
      </w:r>
      <w:r w:rsidRPr="00470C60">
        <w:rPr>
          <w:i/>
          <w:iCs/>
          <w:lang w:val="sq-AL"/>
        </w:rPr>
        <w:t>shillit t</w:t>
      </w:r>
      <w:r w:rsidR="00246803" w:rsidRPr="00470C60">
        <w:rPr>
          <w:i/>
          <w:iCs/>
          <w:lang w:val="sq-AL"/>
        </w:rPr>
        <w:t>ë</w:t>
      </w:r>
      <w:r w:rsidRPr="00470C60">
        <w:rPr>
          <w:i/>
          <w:iCs/>
          <w:lang w:val="sq-AL"/>
        </w:rPr>
        <w:t xml:space="preserve"> Em</w:t>
      </w:r>
      <w:r w:rsidR="00246803" w:rsidRPr="00470C60">
        <w:rPr>
          <w:i/>
          <w:iCs/>
          <w:lang w:val="sq-AL"/>
        </w:rPr>
        <w:t>ë</w:t>
      </w:r>
      <w:r w:rsidRPr="00470C60">
        <w:rPr>
          <w:i/>
          <w:iCs/>
          <w:lang w:val="sq-AL"/>
        </w:rPr>
        <w:t>rimeve n</w:t>
      </w:r>
      <w:r w:rsidR="00246803" w:rsidRPr="00470C60">
        <w:rPr>
          <w:i/>
          <w:iCs/>
          <w:lang w:val="sq-AL"/>
        </w:rPr>
        <w:t>ë</w:t>
      </w:r>
      <w:r w:rsidRPr="00470C60">
        <w:rPr>
          <w:i/>
          <w:iCs/>
          <w:lang w:val="sq-AL"/>
        </w:rPr>
        <w:t xml:space="preserve"> Drejt</w:t>
      </w:r>
      <w:r w:rsidR="00246803" w:rsidRPr="00470C60">
        <w:rPr>
          <w:i/>
          <w:iCs/>
          <w:lang w:val="sq-AL"/>
        </w:rPr>
        <w:t>ë</w:t>
      </w:r>
      <w:r w:rsidRPr="00470C60">
        <w:rPr>
          <w:i/>
          <w:iCs/>
          <w:lang w:val="sq-AL"/>
        </w:rPr>
        <w:t>si.</w:t>
      </w:r>
    </w:p>
    <w:p w:rsidR="007229C2" w:rsidRPr="00470C60" w:rsidRDefault="007229C2" w:rsidP="00470C60">
      <w:pPr>
        <w:numPr>
          <w:ilvl w:val="0"/>
          <w:numId w:val="2"/>
        </w:numPr>
        <w:spacing w:before="240" w:line="360" w:lineRule="auto"/>
        <w:jc w:val="both"/>
        <w:rPr>
          <w:i/>
          <w:iCs/>
          <w:lang w:val="sq-AL"/>
        </w:rPr>
      </w:pPr>
      <w:r w:rsidRPr="00470C60">
        <w:rPr>
          <w:i/>
          <w:iCs/>
          <w:lang w:val="sq-AL"/>
        </w:rPr>
        <w:t>190 milion lek</w:t>
      </w:r>
      <w:r w:rsidR="00246803" w:rsidRPr="00470C60">
        <w:rPr>
          <w:i/>
          <w:iCs/>
          <w:lang w:val="sq-AL"/>
        </w:rPr>
        <w:t>ë</w:t>
      </w:r>
      <w:r w:rsidRPr="00470C60">
        <w:rPr>
          <w:i/>
          <w:iCs/>
          <w:lang w:val="sq-AL"/>
        </w:rPr>
        <w:t xml:space="preserve"> jan</w:t>
      </w:r>
      <w:r w:rsidR="00246803" w:rsidRPr="00470C60">
        <w:rPr>
          <w:i/>
          <w:iCs/>
          <w:lang w:val="sq-AL"/>
        </w:rPr>
        <w:t>ë</w:t>
      </w:r>
      <w:r w:rsidRPr="00470C60">
        <w:rPr>
          <w:i/>
          <w:iCs/>
          <w:lang w:val="sq-AL"/>
        </w:rPr>
        <w:t xml:space="preserve"> akorduar </w:t>
      </w:r>
      <w:r w:rsidR="00F977DB" w:rsidRPr="00470C60">
        <w:rPr>
          <w:i/>
          <w:iCs/>
          <w:lang w:val="sq-AL"/>
        </w:rPr>
        <w:t xml:space="preserve">me VKM </w:t>
      </w:r>
      <w:r w:rsidRPr="00470C60">
        <w:rPr>
          <w:i/>
          <w:iCs/>
          <w:lang w:val="sq-AL"/>
        </w:rPr>
        <w:t>fonde p</w:t>
      </w:r>
      <w:r w:rsidR="00246803" w:rsidRPr="00470C60">
        <w:rPr>
          <w:i/>
          <w:iCs/>
          <w:lang w:val="sq-AL"/>
        </w:rPr>
        <w:t>ë</w:t>
      </w:r>
      <w:r w:rsidRPr="00470C60">
        <w:rPr>
          <w:i/>
          <w:iCs/>
          <w:lang w:val="sq-AL"/>
        </w:rPr>
        <w:t>r institucionet e reja t</w:t>
      </w:r>
      <w:r w:rsidR="00246803" w:rsidRPr="00470C60">
        <w:rPr>
          <w:i/>
          <w:iCs/>
          <w:lang w:val="sq-AL"/>
        </w:rPr>
        <w:t>ë</w:t>
      </w:r>
      <w:r w:rsidRPr="00470C60">
        <w:rPr>
          <w:i/>
          <w:iCs/>
          <w:lang w:val="sq-AL"/>
        </w:rPr>
        <w:t xml:space="preserve"> K</w:t>
      </w:r>
      <w:r w:rsidR="00246803" w:rsidRPr="00470C60">
        <w:rPr>
          <w:i/>
          <w:iCs/>
          <w:lang w:val="sq-AL"/>
        </w:rPr>
        <w:t>ë</w:t>
      </w:r>
      <w:r w:rsidRPr="00470C60">
        <w:rPr>
          <w:i/>
          <w:iCs/>
          <w:lang w:val="sq-AL"/>
        </w:rPr>
        <w:t>shillit t</w:t>
      </w:r>
      <w:r w:rsidR="00246803" w:rsidRPr="00470C60">
        <w:rPr>
          <w:i/>
          <w:iCs/>
          <w:lang w:val="sq-AL"/>
        </w:rPr>
        <w:t>ë</w:t>
      </w:r>
      <w:r w:rsidRPr="00470C60">
        <w:rPr>
          <w:i/>
          <w:iCs/>
          <w:lang w:val="sq-AL"/>
        </w:rPr>
        <w:t xml:space="preserve"> Lart</w:t>
      </w:r>
      <w:r w:rsidR="00246803" w:rsidRPr="00470C60">
        <w:rPr>
          <w:i/>
          <w:iCs/>
          <w:lang w:val="sq-AL"/>
        </w:rPr>
        <w:t>ë</w:t>
      </w:r>
      <w:r w:rsidRPr="00470C60">
        <w:rPr>
          <w:i/>
          <w:iCs/>
          <w:lang w:val="sq-AL"/>
        </w:rPr>
        <w:t xml:space="preserve"> Gjyq</w:t>
      </w:r>
      <w:r w:rsidR="00246803" w:rsidRPr="00470C60">
        <w:rPr>
          <w:i/>
          <w:iCs/>
          <w:lang w:val="sq-AL"/>
        </w:rPr>
        <w:t>ë</w:t>
      </w:r>
      <w:r w:rsidRPr="00470C60">
        <w:rPr>
          <w:i/>
          <w:iCs/>
          <w:lang w:val="sq-AL"/>
        </w:rPr>
        <w:t>sor dhe k</w:t>
      </w:r>
      <w:r w:rsidR="00246803" w:rsidRPr="00470C60">
        <w:rPr>
          <w:i/>
          <w:iCs/>
          <w:lang w:val="sq-AL"/>
        </w:rPr>
        <w:t>ë</w:t>
      </w:r>
      <w:r w:rsidRPr="00470C60">
        <w:rPr>
          <w:i/>
          <w:iCs/>
          <w:lang w:val="sq-AL"/>
        </w:rPr>
        <w:t>shillit t</w:t>
      </w:r>
      <w:r w:rsidR="00246803" w:rsidRPr="00470C60">
        <w:rPr>
          <w:i/>
          <w:iCs/>
          <w:lang w:val="sq-AL"/>
        </w:rPr>
        <w:t>ë</w:t>
      </w:r>
      <w:r w:rsidRPr="00470C60">
        <w:rPr>
          <w:i/>
          <w:iCs/>
          <w:lang w:val="sq-AL"/>
        </w:rPr>
        <w:t xml:space="preserve"> Lart</w:t>
      </w:r>
      <w:r w:rsidR="00246803" w:rsidRPr="00470C60">
        <w:rPr>
          <w:i/>
          <w:iCs/>
          <w:lang w:val="sq-AL"/>
        </w:rPr>
        <w:t>ë</w:t>
      </w:r>
      <w:r w:rsidRPr="00470C60">
        <w:rPr>
          <w:i/>
          <w:iCs/>
          <w:lang w:val="sq-AL"/>
        </w:rPr>
        <w:t xml:space="preserve"> t</w:t>
      </w:r>
      <w:r w:rsidR="00246803" w:rsidRPr="00470C60">
        <w:rPr>
          <w:i/>
          <w:iCs/>
          <w:lang w:val="sq-AL"/>
        </w:rPr>
        <w:t>ë</w:t>
      </w:r>
      <w:r w:rsidRPr="00470C60">
        <w:rPr>
          <w:i/>
          <w:iCs/>
          <w:lang w:val="sq-AL"/>
        </w:rPr>
        <w:t xml:space="preserve"> Prokuroris</w:t>
      </w:r>
      <w:r w:rsidR="00246803" w:rsidRPr="00470C60">
        <w:rPr>
          <w:i/>
          <w:iCs/>
          <w:lang w:val="sq-AL"/>
        </w:rPr>
        <w:t>ë</w:t>
      </w:r>
      <w:r w:rsidRPr="00470C60">
        <w:rPr>
          <w:i/>
          <w:iCs/>
          <w:lang w:val="sq-AL"/>
        </w:rPr>
        <w:t>.</w:t>
      </w:r>
    </w:p>
    <w:p w:rsidR="007229C2" w:rsidRDefault="007229C2" w:rsidP="00470C60">
      <w:pPr>
        <w:numPr>
          <w:ilvl w:val="0"/>
          <w:numId w:val="2"/>
        </w:numPr>
        <w:spacing w:before="240" w:line="360" w:lineRule="auto"/>
        <w:jc w:val="both"/>
        <w:rPr>
          <w:i/>
          <w:iCs/>
          <w:lang w:val="sq-AL"/>
        </w:rPr>
      </w:pPr>
      <w:r w:rsidRPr="00470C60">
        <w:rPr>
          <w:i/>
          <w:iCs/>
          <w:lang w:val="sq-AL"/>
        </w:rPr>
        <w:t>600 milion lek</w:t>
      </w:r>
      <w:r w:rsidR="00246803" w:rsidRPr="00470C60">
        <w:rPr>
          <w:i/>
          <w:iCs/>
          <w:lang w:val="sq-AL"/>
        </w:rPr>
        <w:t>ë</w:t>
      </w:r>
      <w:r w:rsidRPr="00470C60">
        <w:rPr>
          <w:i/>
          <w:iCs/>
          <w:lang w:val="sq-AL"/>
        </w:rPr>
        <w:t xml:space="preserve"> jan</w:t>
      </w:r>
      <w:r w:rsidR="00246803" w:rsidRPr="00470C60">
        <w:rPr>
          <w:i/>
          <w:iCs/>
          <w:lang w:val="sq-AL"/>
        </w:rPr>
        <w:t>ë</w:t>
      </w:r>
      <w:r w:rsidRPr="00470C60">
        <w:rPr>
          <w:i/>
          <w:iCs/>
          <w:lang w:val="sq-AL"/>
        </w:rPr>
        <w:t xml:space="preserve"> akorduar me </w:t>
      </w:r>
      <w:r w:rsidR="00C46D06" w:rsidRPr="00470C60">
        <w:rPr>
          <w:i/>
          <w:iCs/>
          <w:lang w:val="sq-AL"/>
        </w:rPr>
        <w:t>miratimi</w:t>
      </w:r>
      <w:r w:rsidR="00805D4A" w:rsidRPr="00470C60">
        <w:rPr>
          <w:i/>
          <w:iCs/>
          <w:lang w:val="sq-AL"/>
        </w:rPr>
        <w:t>n e Ministris</w:t>
      </w:r>
      <w:r w:rsidR="00246803" w:rsidRPr="00470C60">
        <w:rPr>
          <w:i/>
          <w:iCs/>
          <w:lang w:val="sq-AL"/>
        </w:rPr>
        <w:t>ë</w:t>
      </w:r>
      <w:r w:rsidR="00805D4A" w:rsidRPr="00470C60">
        <w:rPr>
          <w:i/>
          <w:iCs/>
          <w:lang w:val="sq-AL"/>
        </w:rPr>
        <w:t xml:space="preserve"> s</w:t>
      </w:r>
      <w:r w:rsidR="00246803" w:rsidRPr="00470C60">
        <w:rPr>
          <w:i/>
          <w:iCs/>
          <w:lang w:val="sq-AL"/>
        </w:rPr>
        <w:t>ë</w:t>
      </w:r>
      <w:r w:rsidR="00805D4A" w:rsidRPr="00470C60">
        <w:rPr>
          <w:i/>
          <w:iCs/>
          <w:lang w:val="sq-AL"/>
        </w:rPr>
        <w:t xml:space="preserve"> Financave p</w:t>
      </w:r>
      <w:r w:rsidR="00246803" w:rsidRPr="00470C60">
        <w:rPr>
          <w:i/>
          <w:iCs/>
          <w:lang w:val="sq-AL"/>
        </w:rPr>
        <w:t>ë</w:t>
      </w:r>
      <w:r w:rsidR="00805D4A" w:rsidRPr="00470C60">
        <w:rPr>
          <w:i/>
          <w:iCs/>
          <w:lang w:val="sq-AL"/>
        </w:rPr>
        <w:t xml:space="preserve">r </w:t>
      </w:r>
      <w:r w:rsidR="00246803" w:rsidRPr="00470C60">
        <w:rPr>
          <w:i/>
          <w:iCs/>
          <w:lang w:val="sq-AL"/>
        </w:rPr>
        <w:t>përballimin e shtesës së pagave të prokurorëve.</w:t>
      </w:r>
    </w:p>
    <w:p w:rsidR="00057B1E" w:rsidRDefault="00057B1E" w:rsidP="00470C60">
      <w:pPr>
        <w:numPr>
          <w:ilvl w:val="0"/>
          <w:numId w:val="2"/>
        </w:numPr>
        <w:spacing w:before="240" w:line="360" w:lineRule="auto"/>
        <w:jc w:val="both"/>
        <w:rPr>
          <w:i/>
          <w:iCs/>
          <w:lang w:val="sq-AL"/>
        </w:rPr>
      </w:pPr>
      <w:r>
        <w:rPr>
          <w:i/>
          <w:iCs/>
          <w:lang w:val="sq-AL"/>
        </w:rPr>
        <w:t>400 milion lekë janë akorduar me miratimin e Ministrisë së Financave për përballimin e shtesës së pagave të gjyqtarëve.</w:t>
      </w:r>
      <w:r w:rsidR="00AF1B63">
        <w:rPr>
          <w:i/>
          <w:iCs/>
          <w:lang w:val="sq-AL"/>
        </w:rPr>
        <w:t xml:space="preserve">  </w:t>
      </w:r>
    </w:p>
    <w:p w:rsidR="00AA1679" w:rsidRDefault="00AA1679" w:rsidP="00470C60">
      <w:pPr>
        <w:numPr>
          <w:ilvl w:val="0"/>
          <w:numId w:val="2"/>
        </w:numPr>
        <w:spacing w:before="240" w:line="360" w:lineRule="auto"/>
        <w:jc w:val="both"/>
        <w:rPr>
          <w:i/>
          <w:iCs/>
          <w:lang w:val="sq-AL"/>
        </w:rPr>
      </w:pPr>
      <w:r>
        <w:rPr>
          <w:i/>
          <w:iCs/>
          <w:lang w:val="sq-AL"/>
        </w:rPr>
        <w:t>18 milion janë akorduar shtese fonde per shpenzime korrente per institucionet e sistemit te drejtësisë.</w:t>
      </w:r>
    </w:p>
    <w:p w:rsidR="00AA1679" w:rsidRDefault="00AA1679" w:rsidP="00470C60">
      <w:pPr>
        <w:numPr>
          <w:ilvl w:val="0"/>
          <w:numId w:val="2"/>
        </w:numPr>
        <w:spacing w:before="240" w:line="360" w:lineRule="auto"/>
        <w:jc w:val="both"/>
        <w:rPr>
          <w:i/>
          <w:iCs/>
          <w:lang w:val="sq-AL"/>
        </w:rPr>
      </w:pPr>
      <w:r>
        <w:rPr>
          <w:i/>
          <w:iCs/>
          <w:lang w:val="sq-AL"/>
        </w:rPr>
        <w:t>100 milion janë akorduar fonde për Ministrinë e Brendshme, për investime, për akomodimin dhe funksionimin e SPAK.</w:t>
      </w:r>
    </w:p>
    <w:p w:rsidR="00550764" w:rsidRPr="00470C60" w:rsidRDefault="00550764" w:rsidP="00470C60">
      <w:pPr>
        <w:spacing w:line="360" w:lineRule="auto"/>
        <w:rPr>
          <w:b/>
          <w:bCs/>
          <w:i/>
          <w:sz w:val="16"/>
          <w:u w:val="single"/>
          <w:lang w:val="sq-AL"/>
        </w:rPr>
      </w:pPr>
      <w:r w:rsidRPr="00470C60">
        <w:rPr>
          <w:noProof/>
        </w:rPr>
        <mc:AlternateContent>
          <mc:Choice Requires="wps">
            <w:drawing>
              <wp:anchor distT="0" distB="0" distL="114300" distR="114300" simplePos="0" relativeHeight="251661312" behindDoc="0" locked="0" layoutInCell="1" allowOverlap="1" wp14:anchorId="3710C204" wp14:editId="18EFEB59">
                <wp:simplePos x="0" y="0"/>
                <wp:positionH relativeFrom="column">
                  <wp:posOffset>-158344</wp:posOffset>
                </wp:positionH>
                <wp:positionV relativeFrom="paragraph">
                  <wp:posOffset>102166</wp:posOffset>
                </wp:positionV>
                <wp:extent cx="7038574" cy="653142"/>
                <wp:effectExtent l="0" t="0" r="10160" b="13970"/>
                <wp:wrapNone/>
                <wp:docPr id="2" name="Rectangle 2"/>
                <wp:cNvGraphicFramePr/>
                <a:graphic xmlns:a="http://schemas.openxmlformats.org/drawingml/2006/main">
                  <a:graphicData uri="http://schemas.microsoft.com/office/word/2010/wordprocessingShape">
                    <wps:wsp>
                      <wps:cNvSpPr/>
                      <wps:spPr>
                        <a:xfrm>
                          <a:off x="0" y="0"/>
                          <a:ext cx="7038574" cy="653142"/>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C08EB" id="Rectangle 2" o:spid="_x0000_s1026" style="position:absolute;margin-left:-12.45pt;margin-top:8.05pt;width:554.2pt;height:5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" filled="f" strokecolor="red" strokeweight="2pt"/>
            </w:pict>
          </mc:Fallback>
        </mc:AlternateContent>
      </w:r>
    </w:p>
    <w:p w:rsidR="008F09A7" w:rsidRPr="00470C60" w:rsidRDefault="00246803" w:rsidP="00DE65DA">
      <w:pPr>
        <w:spacing w:line="360" w:lineRule="auto"/>
        <w:jc w:val="both"/>
        <w:rPr>
          <w:b/>
          <w:bCs/>
          <w:i/>
          <w:color w:val="C00000"/>
          <w:lang w:val="sq-AL"/>
        </w:rPr>
      </w:pPr>
      <w:r w:rsidRPr="00470C60">
        <w:rPr>
          <w:b/>
          <w:bCs/>
          <w:i/>
          <w:color w:val="C00000"/>
          <w:lang w:val="sq-AL"/>
        </w:rPr>
        <w:t>Mb</w:t>
      </w:r>
      <w:r w:rsidR="00371C94" w:rsidRPr="00470C60">
        <w:rPr>
          <w:b/>
          <w:bCs/>
          <w:i/>
          <w:color w:val="C00000"/>
          <w:lang w:val="sq-AL"/>
        </w:rPr>
        <w:t>ë</w:t>
      </w:r>
      <w:r w:rsidRPr="00470C60">
        <w:rPr>
          <w:b/>
          <w:bCs/>
          <w:i/>
          <w:color w:val="C00000"/>
          <w:lang w:val="sq-AL"/>
        </w:rPr>
        <w:t>shtetur n</w:t>
      </w:r>
      <w:r w:rsidR="00371C94" w:rsidRPr="00470C60">
        <w:rPr>
          <w:b/>
          <w:bCs/>
          <w:i/>
          <w:color w:val="C00000"/>
          <w:lang w:val="sq-AL"/>
        </w:rPr>
        <w:t>ë</w:t>
      </w:r>
      <w:r w:rsidRPr="00470C60">
        <w:rPr>
          <w:b/>
          <w:bCs/>
          <w:i/>
          <w:color w:val="C00000"/>
          <w:lang w:val="sq-AL"/>
        </w:rPr>
        <w:t xml:space="preserve"> sa m</w:t>
      </w:r>
      <w:r w:rsidR="00371C94" w:rsidRPr="00470C60">
        <w:rPr>
          <w:b/>
          <w:bCs/>
          <w:i/>
          <w:color w:val="C00000"/>
          <w:lang w:val="sq-AL"/>
        </w:rPr>
        <w:t>ë</w:t>
      </w:r>
      <w:r w:rsidRPr="00470C60">
        <w:rPr>
          <w:b/>
          <w:bCs/>
          <w:i/>
          <w:color w:val="C00000"/>
          <w:lang w:val="sq-AL"/>
        </w:rPr>
        <w:t xml:space="preserve"> sip</w:t>
      </w:r>
      <w:r w:rsidR="00371C94" w:rsidRPr="00470C60">
        <w:rPr>
          <w:b/>
          <w:bCs/>
          <w:i/>
          <w:color w:val="C00000"/>
          <w:lang w:val="sq-AL"/>
        </w:rPr>
        <w:t>ë</w:t>
      </w:r>
      <w:r w:rsidRPr="00470C60">
        <w:rPr>
          <w:b/>
          <w:bCs/>
          <w:i/>
          <w:color w:val="C00000"/>
          <w:lang w:val="sq-AL"/>
        </w:rPr>
        <w:t>r rezulton se m</w:t>
      </w:r>
      <w:r w:rsidR="00371C94" w:rsidRPr="00470C60">
        <w:rPr>
          <w:b/>
          <w:bCs/>
          <w:i/>
          <w:color w:val="C00000"/>
          <w:lang w:val="sq-AL"/>
        </w:rPr>
        <w:t>ë</w:t>
      </w:r>
      <w:r w:rsidRPr="00470C60">
        <w:rPr>
          <w:b/>
          <w:bCs/>
          <w:i/>
          <w:color w:val="C00000"/>
          <w:lang w:val="sq-AL"/>
        </w:rPr>
        <w:t xml:space="preserve"> dat</w:t>
      </w:r>
      <w:r w:rsidR="00371C94" w:rsidRPr="00470C60">
        <w:rPr>
          <w:b/>
          <w:bCs/>
          <w:i/>
          <w:color w:val="C00000"/>
          <w:lang w:val="sq-AL"/>
        </w:rPr>
        <w:t>ë</w:t>
      </w:r>
      <w:r w:rsidRPr="00470C60">
        <w:rPr>
          <w:b/>
          <w:bCs/>
          <w:i/>
          <w:color w:val="C00000"/>
          <w:lang w:val="sq-AL"/>
        </w:rPr>
        <w:t xml:space="preserve"> </w:t>
      </w:r>
      <w:r w:rsidR="0044486C">
        <w:rPr>
          <w:b/>
          <w:bCs/>
          <w:i/>
          <w:color w:val="C00000"/>
          <w:lang w:val="sq-AL"/>
        </w:rPr>
        <w:t>31Dhjetor</w:t>
      </w:r>
      <w:r w:rsidRPr="00470C60">
        <w:rPr>
          <w:b/>
          <w:bCs/>
          <w:i/>
          <w:color w:val="C00000"/>
          <w:lang w:val="sq-AL"/>
        </w:rPr>
        <w:t xml:space="preserve"> 2019, gj</w:t>
      </w:r>
      <w:r w:rsidR="00371C94" w:rsidRPr="00470C60">
        <w:rPr>
          <w:b/>
          <w:bCs/>
          <w:i/>
          <w:color w:val="C00000"/>
          <w:lang w:val="sq-AL"/>
        </w:rPr>
        <w:t>ë</w:t>
      </w:r>
      <w:r w:rsidRPr="00470C60">
        <w:rPr>
          <w:b/>
          <w:bCs/>
          <w:i/>
          <w:color w:val="C00000"/>
          <w:lang w:val="sq-AL"/>
        </w:rPr>
        <w:t>ndja e pap</w:t>
      </w:r>
      <w:r w:rsidR="00371C94" w:rsidRPr="00470C60">
        <w:rPr>
          <w:b/>
          <w:bCs/>
          <w:i/>
          <w:color w:val="C00000"/>
          <w:lang w:val="sq-AL"/>
        </w:rPr>
        <w:t>ë</w:t>
      </w:r>
      <w:r w:rsidRPr="00470C60">
        <w:rPr>
          <w:b/>
          <w:bCs/>
          <w:i/>
          <w:color w:val="C00000"/>
          <w:lang w:val="sq-AL"/>
        </w:rPr>
        <w:t>rdorur e Fondit Rezerv</w:t>
      </w:r>
      <w:r w:rsidR="00371C94" w:rsidRPr="00470C60">
        <w:rPr>
          <w:b/>
          <w:bCs/>
          <w:i/>
          <w:color w:val="C00000"/>
          <w:lang w:val="sq-AL"/>
        </w:rPr>
        <w:t>ë</w:t>
      </w:r>
      <w:r w:rsidRPr="00470C60">
        <w:rPr>
          <w:b/>
          <w:bCs/>
          <w:i/>
          <w:color w:val="C00000"/>
          <w:lang w:val="sq-AL"/>
        </w:rPr>
        <w:t xml:space="preserve"> p</w:t>
      </w:r>
      <w:r w:rsidR="00371C94" w:rsidRPr="00470C60">
        <w:rPr>
          <w:b/>
          <w:bCs/>
          <w:i/>
          <w:color w:val="C00000"/>
          <w:lang w:val="sq-AL"/>
        </w:rPr>
        <w:t>ë</w:t>
      </w:r>
      <w:r w:rsidRPr="00470C60">
        <w:rPr>
          <w:b/>
          <w:bCs/>
          <w:i/>
          <w:color w:val="C00000"/>
          <w:lang w:val="sq-AL"/>
        </w:rPr>
        <w:t>r Sistemin e Drejt</w:t>
      </w:r>
      <w:r w:rsidR="00371C94" w:rsidRPr="00470C60">
        <w:rPr>
          <w:b/>
          <w:bCs/>
          <w:i/>
          <w:color w:val="C00000"/>
          <w:lang w:val="sq-AL"/>
        </w:rPr>
        <w:t>ë</w:t>
      </w:r>
      <w:r w:rsidRPr="00470C60">
        <w:rPr>
          <w:b/>
          <w:bCs/>
          <w:i/>
          <w:color w:val="C00000"/>
          <w:lang w:val="sq-AL"/>
        </w:rPr>
        <w:t>sis</w:t>
      </w:r>
      <w:r w:rsidR="00371C94" w:rsidRPr="00470C60">
        <w:rPr>
          <w:b/>
          <w:bCs/>
          <w:i/>
          <w:color w:val="C00000"/>
          <w:lang w:val="sq-AL"/>
        </w:rPr>
        <w:t>ë</w:t>
      </w:r>
      <w:r w:rsidRPr="00470C60">
        <w:rPr>
          <w:b/>
          <w:bCs/>
          <w:i/>
          <w:color w:val="C00000"/>
          <w:lang w:val="sq-AL"/>
        </w:rPr>
        <w:t xml:space="preserve"> rezulton </w:t>
      </w:r>
      <w:r w:rsidR="00AA1679">
        <w:rPr>
          <w:b/>
          <w:bCs/>
          <w:i/>
          <w:color w:val="C00000"/>
          <w:lang w:val="sq-AL"/>
        </w:rPr>
        <w:t>28.7 milion lekë.</w:t>
      </w:r>
    </w:p>
    <w:p w:rsidR="008F09A7" w:rsidRDefault="008F09A7" w:rsidP="00470C60">
      <w:pPr>
        <w:spacing w:line="360" w:lineRule="auto"/>
        <w:rPr>
          <w:b/>
          <w:bCs/>
          <w:u w:val="single"/>
          <w:lang w:val="sq-AL"/>
        </w:rPr>
      </w:pPr>
    </w:p>
    <w:p w:rsidR="006C44B2" w:rsidRPr="00470C60" w:rsidRDefault="006C44B2" w:rsidP="00470C60">
      <w:pPr>
        <w:spacing w:line="360" w:lineRule="auto"/>
        <w:rPr>
          <w:b/>
          <w:bCs/>
          <w:u w:val="single"/>
          <w:lang w:val="sq-AL"/>
        </w:rPr>
      </w:pPr>
      <w:bookmarkStart w:id="0" w:name="_GoBack"/>
      <w:bookmarkEnd w:id="0"/>
    </w:p>
    <w:p w:rsidR="001E703A" w:rsidRPr="00470C60" w:rsidRDefault="001E703A" w:rsidP="00470C60">
      <w:pPr>
        <w:pStyle w:val="ListParagraph"/>
        <w:numPr>
          <w:ilvl w:val="0"/>
          <w:numId w:val="16"/>
        </w:numPr>
        <w:spacing w:line="360" w:lineRule="auto"/>
        <w:rPr>
          <w:rFonts w:ascii="Times New Roman" w:hAnsi="Times New Roman"/>
          <w:b/>
          <w:bCs/>
          <w:color w:val="C00000"/>
          <w:sz w:val="24"/>
          <w:lang w:val="sq-AL"/>
        </w:rPr>
      </w:pPr>
      <w:r w:rsidRPr="00470C60">
        <w:rPr>
          <w:rFonts w:ascii="Times New Roman" w:hAnsi="Times New Roman"/>
          <w:b/>
          <w:bCs/>
          <w:color w:val="C00000"/>
          <w:sz w:val="28"/>
          <w:lang w:val="sq-AL"/>
        </w:rPr>
        <w:t xml:space="preserve">Fondi Kontigjencë </w:t>
      </w:r>
    </w:p>
    <w:p w:rsidR="001E703A" w:rsidRPr="00470C60" w:rsidRDefault="001E703A" w:rsidP="00470C60">
      <w:pPr>
        <w:widowControl w:val="0"/>
        <w:autoSpaceDE w:val="0"/>
        <w:autoSpaceDN w:val="0"/>
        <w:adjustRightInd w:val="0"/>
        <w:spacing w:line="360" w:lineRule="auto"/>
        <w:jc w:val="both"/>
        <w:rPr>
          <w:lang w:val="sq-AL"/>
        </w:rPr>
      </w:pPr>
      <w:r w:rsidRPr="00470C60">
        <w:rPr>
          <w:bCs/>
          <w:lang w:val="sq-AL"/>
        </w:rPr>
        <w:t xml:space="preserve">Fondi Kontigjencë për risqet e borxhit, në masën prej 4.3 miliardë lekë, është miratuar sipas nenit 13 të </w:t>
      </w:r>
      <w:r w:rsidRPr="00470C60">
        <w:rPr>
          <w:spacing w:val="-1"/>
          <w:lang w:val="sq-AL"/>
        </w:rPr>
        <w:t>Ligjit nr.</w:t>
      </w:r>
      <w:r w:rsidR="00770678" w:rsidRPr="00470C60">
        <w:rPr>
          <w:lang w:val="sq-AL"/>
        </w:rPr>
        <w:t xml:space="preserve"> 99/2018 “</w:t>
      </w:r>
      <w:r w:rsidR="00770678" w:rsidRPr="00470C60">
        <w:rPr>
          <w:i/>
          <w:lang w:val="sq-AL"/>
        </w:rPr>
        <w:t>Për Buxhetin e vitit 2019</w:t>
      </w:r>
      <w:r w:rsidRPr="00470C60">
        <w:rPr>
          <w:spacing w:val="-1"/>
          <w:lang w:val="sq-AL"/>
        </w:rPr>
        <w:t>”, ku përcaktohet se: “...</w:t>
      </w:r>
      <w:r w:rsidRPr="00470C60">
        <w:rPr>
          <w:i/>
          <w:spacing w:val="-1"/>
          <w:lang w:val="sq-AL"/>
        </w:rPr>
        <w:t xml:space="preserve">Kontigjenca për risqet e borxhit prej 4 </w:t>
      </w:r>
      <w:r w:rsidR="00770678" w:rsidRPr="00470C60">
        <w:rPr>
          <w:i/>
          <w:spacing w:val="-1"/>
          <w:lang w:val="sq-AL"/>
        </w:rPr>
        <w:t>3</w:t>
      </w:r>
      <w:r w:rsidRPr="00470C60">
        <w:rPr>
          <w:i/>
          <w:spacing w:val="-1"/>
          <w:lang w:val="sq-AL"/>
        </w:rPr>
        <w:t xml:space="preserve">00 milionë lekë, përdoret për të kompensuar rreziqe potenciale nga luhatjet në kurset e këmbimit ose normat e interesit, me ndikim në </w:t>
      </w:r>
      <w:r w:rsidR="00770678" w:rsidRPr="00470C60">
        <w:rPr>
          <w:i/>
          <w:lang w:val="sq-AL"/>
        </w:rPr>
        <w:t>shpenzimet për interesa</w:t>
      </w:r>
      <w:r w:rsidR="00770678" w:rsidRPr="00470C60">
        <w:rPr>
          <w:lang w:val="sq-AL"/>
        </w:rPr>
        <w:t>”</w:t>
      </w:r>
      <w:r w:rsidR="00470C60">
        <w:rPr>
          <w:lang w:val="sq-AL"/>
        </w:rPr>
        <w:t xml:space="preserve">. </w:t>
      </w:r>
      <w:r w:rsidR="00770678" w:rsidRPr="00470C60">
        <w:rPr>
          <w:lang w:val="sq-AL"/>
        </w:rPr>
        <w:t>Deri n</w:t>
      </w:r>
      <w:r w:rsidR="00057B1E">
        <w:rPr>
          <w:lang w:val="sq-AL"/>
        </w:rPr>
        <w:t>ë</w:t>
      </w:r>
      <w:r w:rsidR="00770678" w:rsidRPr="00470C60">
        <w:rPr>
          <w:lang w:val="sq-AL"/>
        </w:rPr>
        <w:t xml:space="preserve"> </w:t>
      </w:r>
      <w:r w:rsidR="0044486C">
        <w:rPr>
          <w:lang w:val="sq-AL"/>
        </w:rPr>
        <w:t>31.12</w:t>
      </w:r>
      <w:r w:rsidR="00470C60">
        <w:rPr>
          <w:lang w:val="sq-AL"/>
        </w:rPr>
        <w:t>.2019,</w:t>
      </w:r>
      <w:r w:rsidRPr="00470C60">
        <w:rPr>
          <w:lang w:val="sq-AL"/>
        </w:rPr>
        <w:t xml:space="preserve"> kjo kontigjencë rezulton</w:t>
      </w:r>
      <w:r w:rsidRPr="00470C60">
        <w:rPr>
          <w:bCs/>
          <w:lang w:val="sq-AL"/>
        </w:rPr>
        <w:t xml:space="preserve"> e papërdorur. </w:t>
      </w:r>
    </w:p>
    <w:p w:rsidR="00470C60" w:rsidRDefault="00470C60" w:rsidP="00470C60">
      <w:pPr>
        <w:tabs>
          <w:tab w:val="left" w:pos="990"/>
        </w:tabs>
        <w:rPr>
          <w:bCs/>
          <w:i/>
          <w:sz w:val="18"/>
          <w:lang w:val="sq-AL"/>
        </w:rPr>
      </w:pPr>
    </w:p>
    <w:p w:rsidR="00057B1E" w:rsidRDefault="00057B1E" w:rsidP="00470C60">
      <w:pPr>
        <w:tabs>
          <w:tab w:val="left" w:pos="990"/>
        </w:tabs>
        <w:rPr>
          <w:bCs/>
          <w:i/>
          <w:sz w:val="18"/>
          <w:lang w:val="sq-AL"/>
        </w:rPr>
      </w:pPr>
    </w:p>
    <w:p w:rsidR="00057B1E" w:rsidRDefault="00057B1E" w:rsidP="00470C60">
      <w:pPr>
        <w:tabs>
          <w:tab w:val="left" w:pos="990"/>
        </w:tabs>
        <w:rPr>
          <w:bCs/>
          <w:i/>
          <w:sz w:val="18"/>
          <w:lang w:val="sq-AL"/>
        </w:rPr>
      </w:pPr>
    </w:p>
    <w:p w:rsidR="00057B1E" w:rsidRDefault="00057B1E" w:rsidP="00470C60">
      <w:pPr>
        <w:tabs>
          <w:tab w:val="left" w:pos="990"/>
        </w:tabs>
        <w:rPr>
          <w:bCs/>
          <w:i/>
          <w:sz w:val="18"/>
          <w:lang w:val="sq-AL"/>
        </w:rPr>
      </w:pPr>
    </w:p>
    <w:sectPr w:rsidR="00057B1E" w:rsidSect="00AA3B67">
      <w:footerReference w:type="default" r:id="rId9"/>
      <w:pgSz w:w="11907" w:h="16839" w:code="9"/>
      <w:pgMar w:top="1152" w:right="806" w:bottom="1152" w:left="806" w:header="720"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AD7" w:rsidRDefault="00481AD7" w:rsidP="00833F74">
      <w:r>
        <w:separator/>
      </w:r>
    </w:p>
  </w:endnote>
  <w:endnote w:type="continuationSeparator" w:id="0">
    <w:p w:rsidR="00481AD7" w:rsidRDefault="00481AD7" w:rsidP="0083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9D2" w:rsidRDefault="00B439D2">
    <w:pPr>
      <w:pStyle w:val="Footer"/>
      <w:jc w:val="right"/>
    </w:pPr>
    <w:r>
      <w:fldChar w:fldCharType="begin"/>
    </w:r>
    <w:r>
      <w:instrText xml:space="preserve"> PAGE   \* MERGEFORMAT </w:instrText>
    </w:r>
    <w:r>
      <w:fldChar w:fldCharType="separate"/>
    </w:r>
    <w:r w:rsidR="006C44B2">
      <w:rPr>
        <w:noProof/>
      </w:rPr>
      <w:t>1</w:t>
    </w:r>
    <w:r>
      <w:rPr>
        <w:noProof/>
      </w:rPr>
      <w:fldChar w:fldCharType="end"/>
    </w:r>
  </w:p>
  <w:p w:rsidR="00B439D2" w:rsidRDefault="00B43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AD7" w:rsidRDefault="00481AD7" w:rsidP="00833F74">
      <w:r>
        <w:separator/>
      </w:r>
    </w:p>
  </w:footnote>
  <w:footnote w:type="continuationSeparator" w:id="0">
    <w:p w:rsidR="00481AD7" w:rsidRDefault="00481AD7" w:rsidP="00833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27A56"/>
    <w:multiLevelType w:val="hybridMultilevel"/>
    <w:tmpl w:val="D78CB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449D4"/>
    <w:multiLevelType w:val="hybridMultilevel"/>
    <w:tmpl w:val="C94E5D76"/>
    <w:lvl w:ilvl="0" w:tplc="72D83BB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BB6772B"/>
    <w:multiLevelType w:val="hybridMultilevel"/>
    <w:tmpl w:val="5E381BF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E27B7"/>
    <w:multiLevelType w:val="hybridMultilevel"/>
    <w:tmpl w:val="C2721EFA"/>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228D24ED"/>
    <w:multiLevelType w:val="hybridMultilevel"/>
    <w:tmpl w:val="BA8403E2"/>
    <w:lvl w:ilvl="0" w:tplc="0409000D">
      <w:start w:val="1"/>
      <w:numFmt w:val="bullet"/>
      <w:lvlText w:val=""/>
      <w:lvlJc w:val="left"/>
      <w:pPr>
        <w:ind w:left="1806" w:hanging="360"/>
      </w:pPr>
      <w:rPr>
        <w:rFonts w:ascii="Wingdings" w:hAnsi="Wingdings" w:hint="default"/>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5">
    <w:nsid w:val="256B21AA"/>
    <w:multiLevelType w:val="hybridMultilevel"/>
    <w:tmpl w:val="CC789E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C12B89"/>
    <w:multiLevelType w:val="hybridMultilevel"/>
    <w:tmpl w:val="B4441242"/>
    <w:lvl w:ilvl="0" w:tplc="04090005">
      <w:start w:val="1"/>
      <w:numFmt w:val="bullet"/>
      <w:lvlText w:val=""/>
      <w:lvlJc w:val="left"/>
      <w:pPr>
        <w:ind w:left="990" w:hanging="360"/>
      </w:pPr>
      <w:rPr>
        <w:rFonts w:ascii="Wingdings" w:hAnsi="Wingding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EFA62D2"/>
    <w:multiLevelType w:val="hybridMultilevel"/>
    <w:tmpl w:val="F386DC94"/>
    <w:lvl w:ilvl="0" w:tplc="3B360FC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0AA1DAF"/>
    <w:multiLevelType w:val="hybridMultilevel"/>
    <w:tmpl w:val="47166824"/>
    <w:lvl w:ilvl="0" w:tplc="FEEC2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D16E6B"/>
    <w:multiLevelType w:val="hybridMultilevel"/>
    <w:tmpl w:val="8BEC5C4C"/>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nsid w:val="3C2D4DA3"/>
    <w:multiLevelType w:val="hybridMultilevel"/>
    <w:tmpl w:val="CDF6F9E2"/>
    <w:lvl w:ilvl="0" w:tplc="2CE46F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6E2CD7"/>
    <w:multiLevelType w:val="hybridMultilevel"/>
    <w:tmpl w:val="0590AB12"/>
    <w:lvl w:ilvl="0" w:tplc="52A84C42">
      <w:start w:val="1"/>
      <w:numFmt w:val="lowerLetter"/>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42FF0476"/>
    <w:multiLevelType w:val="hybridMultilevel"/>
    <w:tmpl w:val="86A2617A"/>
    <w:lvl w:ilvl="0" w:tplc="D7D6D21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46CC3E70"/>
    <w:multiLevelType w:val="hybridMultilevel"/>
    <w:tmpl w:val="6AC6C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217813"/>
    <w:multiLevelType w:val="hybridMultilevel"/>
    <w:tmpl w:val="92C88B7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4B41462C"/>
    <w:multiLevelType w:val="hybridMultilevel"/>
    <w:tmpl w:val="8B909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BF3C15"/>
    <w:multiLevelType w:val="hybridMultilevel"/>
    <w:tmpl w:val="B7F6DC3A"/>
    <w:lvl w:ilvl="0" w:tplc="0409000D">
      <w:start w:val="1"/>
      <w:numFmt w:val="bullet"/>
      <w:lvlText w:val=""/>
      <w:lvlJc w:val="left"/>
      <w:pPr>
        <w:ind w:left="540" w:hanging="360"/>
      </w:pPr>
      <w:rPr>
        <w:rFonts w:ascii="Wingdings" w:hAnsi="Wingdings" w:hint="default"/>
        <w:b/>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55EA4809"/>
    <w:multiLevelType w:val="hybridMultilevel"/>
    <w:tmpl w:val="8820997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C81486"/>
    <w:multiLevelType w:val="hybridMultilevel"/>
    <w:tmpl w:val="183E8754"/>
    <w:lvl w:ilvl="0" w:tplc="0409000D">
      <w:start w:val="1"/>
      <w:numFmt w:val="bullet"/>
      <w:lvlText w:val=""/>
      <w:lvlJc w:val="left"/>
      <w:pPr>
        <w:ind w:left="540" w:hanging="360"/>
      </w:pPr>
      <w:rPr>
        <w:rFonts w:ascii="Wingdings" w:hAnsi="Wingdings" w:hint="default"/>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19">
    <w:nsid w:val="790740F1"/>
    <w:multiLevelType w:val="hybridMultilevel"/>
    <w:tmpl w:val="D89A4698"/>
    <w:lvl w:ilvl="0" w:tplc="EFAEA67E">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9812912"/>
    <w:multiLevelType w:val="hybridMultilevel"/>
    <w:tmpl w:val="BF7CADE8"/>
    <w:lvl w:ilvl="0" w:tplc="0409000D">
      <w:start w:val="1"/>
      <w:numFmt w:val="bullet"/>
      <w:lvlText w:val=""/>
      <w:lvlJc w:val="left"/>
      <w:pPr>
        <w:ind w:left="1135" w:hanging="360"/>
      </w:pPr>
      <w:rPr>
        <w:rFonts w:ascii="Wingdings" w:hAnsi="Wingdings"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21">
    <w:nsid w:val="7DA03914"/>
    <w:multiLevelType w:val="hybridMultilevel"/>
    <w:tmpl w:val="5D48FC8A"/>
    <w:lvl w:ilvl="0" w:tplc="B6546594">
      <w:start w:val="2"/>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F717D4"/>
    <w:multiLevelType w:val="hybridMultilevel"/>
    <w:tmpl w:val="D410E87A"/>
    <w:lvl w:ilvl="0" w:tplc="41F2406A">
      <w:start w:val="1"/>
      <w:numFmt w:val="lowerLetter"/>
      <w:lvlText w:val="%1)"/>
      <w:lvlJc w:val="left"/>
      <w:pPr>
        <w:ind w:left="990" w:hanging="360"/>
      </w:pPr>
      <w:rPr>
        <w:rFonts w:ascii="Times New Roman" w:hAnsi="Times New Roman" w:cs="Times New Roman" w:hint="default"/>
        <w:b w:val="0"/>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0"/>
  </w:num>
  <w:num w:numId="2">
    <w:abstractNumId w:val="18"/>
  </w:num>
  <w:num w:numId="3">
    <w:abstractNumId w:val="15"/>
  </w:num>
  <w:num w:numId="4">
    <w:abstractNumId w:val="7"/>
  </w:num>
  <w:num w:numId="5">
    <w:abstractNumId w:val="17"/>
  </w:num>
  <w:num w:numId="6">
    <w:abstractNumId w:val="11"/>
  </w:num>
  <w:num w:numId="7">
    <w:abstractNumId w:val="2"/>
  </w:num>
  <w:num w:numId="8">
    <w:abstractNumId w:val="16"/>
  </w:num>
  <w:num w:numId="9">
    <w:abstractNumId w:val="3"/>
  </w:num>
  <w:num w:numId="10">
    <w:abstractNumId w:val="9"/>
  </w:num>
  <w:num w:numId="11">
    <w:abstractNumId w:val="0"/>
  </w:num>
  <w:num w:numId="12">
    <w:abstractNumId w:val="4"/>
  </w:num>
  <w:num w:numId="13">
    <w:abstractNumId w:val="6"/>
  </w:num>
  <w:num w:numId="14">
    <w:abstractNumId w:val="12"/>
  </w:num>
  <w:num w:numId="15">
    <w:abstractNumId w:val="22"/>
  </w:num>
  <w:num w:numId="16">
    <w:abstractNumId w:val="21"/>
  </w:num>
  <w:num w:numId="17">
    <w:abstractNumId w:val="8"/>
  </w:num>
  <w:num w:numId="18">
    <w:abstractNumId w:val="5"/>
  </w:num>
  <w:num w:numId="19">
    <w:abstractNumId w:val="20"/>
  </w:num>
  <w:num w:numId="20">
    <w:abstractNumId w:val="13"/>
  </w:num>
  <w:num w:numId="21">
    <w:abstractNumId w:val="14"/>
  </w:num>
  <w:num w:numId="22">
    <w:abstractNumId w:val="19"/>
  </w:num>
  <w:num w:numId="2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23"/>
    <w:rsid w:val="00000288"/>
    <w:rsid w:val="00000BE1"/>
    <w:rsid w:val="00001510"/>
    <w:rsid w:val="000064BF"/>
    <w:rsid w:val="00007669"/>
    <w:rsid w:val="00011526"/>
    <w:rsid w:val="00022356"/>
    <w:rsid w:val="00025A38"/>
    <w:rsid w:val="00027E70"/>
    <w:rsid w:val="0003036C"/>
    <w:rsid w:val="0003211D"/>
    <w:rsid w:val="000338AB"/>
    <w:rsid w:val="00040263"/>
    <w:rsid w:val="000407AF"/>
    <w:rsid w:val="00040A41"/>
    <w:rsid w:val="00041981"/>
    <w:rsid w:val="0004280C"/>
    <w:rsid w:val="00043E2D"/>
    <w:rsid w:val="000465F1"/>
    <w:rsid w:val="00046853"/>
    <w:rsid w:val="0004781F"/>
    <w:rsid w:val="00052884"/>
    <w:rsid w:val="00057B1E"/>
    <w:rsid w:val="00060555"/>
    <w:rsid w:val="00060800"/>
    <w:rsid w:val="00060989"/>
    <w:rsid w:val="00063E87"/>
    <w:rsid w:val="00067C6A"/>
    <w:rsid w:val="00073760"/>
    <w:rsid w:val="000766DF"/>
    <w:rsid w:val="00076BB0"/>
    <w:rsid w:val="000815E8"/>
    <w:rsid w:val="0008284C"/>
    <w:rsid w:val="00082AE5"/>
    <w:rsid w:val="0008653E"/>
    <w:rsid w:val="00090FA5"/>
    <w:rsid w:val="0009145F"/>
    <w:rsid w:val="00091C92"/>
    <w:rsid w:val="00094787"/>
    <w:rsid w:val="00097441"/>
    <w:rsid w:val="000A4CB8"/>
    <w:rsid w:val="000A70D1"/>
    <w:rsid w:val="000A74F7"/>
    <w:rsid w:val="000A7999"/>
    <w:rsid w:val="000B14F2"/>
    <w:rsid w:val="000B55ED"/>
    <w:rsid w:val="000B6E11"/>
    <w:rsid w:val="000C0129"/>
    <w:rsid w:val="000C285E"/>
    <w:rsid w:val="000C60CC"/>
    <w:rsid w:val="000C6770"/>
    <w:rsid w:val="000C6C4D"/>
    <w:rsid w:val="000D52B1"/>
    <w:rsid w:val="000D55E8"/>
    <w:rsid w:val="000D68E1"/>
    <w:rsid w:val="000D6940"/>
    <w:rsid w:val="000D7EB0"/>
    <w:rsid w:val="000E71B9"/>
    <w:rsid w:val="000F173B"/>
    <w:rsid w:val="000F2C53"/>
    <w:rsid w:val="000F3B4E"/>
    <w:rsid w:val="000F7DEF"/>
    <w:rsid w:val="001048E7"/>
    <w:rsid w:val="00105528"/>
    <w:rsid w:val="00106058"/>
    <w:rsid w:val="001061E1"/>
    <w:rsid w:val="001063E6"/>
    <w:rsid w:val="0010787D"/>
    <w:rsid w:val="00110967"/>
    <w:rsid w:val="00110A81"/>
    <w:rsid w:val="00113C69"/>
    <w:rsid w:val="0011548E"/>
    <w:rsid w:val="00115E31"/>
    <w:rsid w:val="00120CE2"/>
    <w:rsid w:val="001212D8"/>
    <w:rsid w:val="00125EC6"/>
    <w:rsid w:val="0013004F"/>
    <w:rsid w:val="00131FA4"/>
    <w:rsid w:val="001320CE"/>
    <w:rsid w:val="00133359"/>
    <w:rsid w:val="00134F8B"/>
    <w:rsid w:val="00135494"/>
    <w:rsid w:val="001377EA"/>
    <w:rsid w:val="001401E6"/>
    <w:rsid w:val="00140D22"/>
    <w:rsid w:val="001447E3"/>
    <w:rsid w:val="00144BD4"/>
    <w:rsid w:val="00145801"/>
    <w:rsid w:val="00145B9D"/>
    <w:rsid w:val="00151B76"/>
    <w:rsid w:val="00154680"/>
    <w:rsid w:val="00156658"/>
    <w:rsid w:val="001604EF"/>
    <w:rsid w:val="00160FC6"/>
    <w:rsid w:val="0016286B"/>
    <w:rsid w:val="00164CE7"/>
    <w:rsid w:val="00170E5F"/>
    <w:rsid w:val="00171AFA"/>
    <w:rsid w:val="00172814"/>
    <w:rsid w:val="00172ED9"/>
    <w:rsid w:val="001730FF"/>
    <w:rsid w:val="00175117"/>
    <w:rsid w:val="001752C9"/>
    <w:rsid w:val="00175E34"/>
    <w:rsid w:val="00177A09"/>
    <w:rsid w:val="00185D87"/>
    <w:rsid w:val="00187D35"/>
    <w:rsid w:val="001910E2"/>
    <w:rsid w:val="00193B90"/>
    <w:rsid w:val="001A3865"/>
    <w:rsid w:val="001A598A"/>
    <w:rsid w:val="001A5D68"/>
    <w:rsid w:val="001A78DA"/>
    <w:rsid w:val="001A7E28"/>
    <w:rsid w:val="001B0C3C"/>
    <w:rsid w:val="001B16DA"/>
    <w:rsid w:val="001B7E4B"/>
    <w:rsid w:val="001C5109"/>
    <w:rsid w:val="001C561A"/>
    <w:rsid w:val="001C64BC"/>
    <w:rsid w:val="001D0349"/>
    <w:rsid w:val="001D0A7B"/>
    <w:rsid w:val="001D218E"/>
    <w:rsid w:val="001D6F3D"/>
    <w:rsid w:val="001E05C8"/>
    <w:rsid w:val="001E4181"/>
    <w:rsid w:val="001E4520"/>
    <w:rsid w:val="001E6660"/>
    <w:rsid w:val="001E703A"/>
    <w:rsid w:val="001F1204"/>
    <w:rsid w:val="001F23AF"/>
    <w:rsid w:val="001F377D"/>
    <w:rsid w:val="001F4477"/>
    <w:rsid w:val="001F5832"/>
    <w:rsid w:val="001F67B0"/>
    <w:rsid w:val="001F7962"/>
    <w:rsid w:val="0020527A"/>
    <w:rsid w:val="002067CC"/>
    <w:rsid w:val="00211873"/>
    <w:rsid w:val="00211AA4"/>
    <w:rsid w:val="00214A45"/>
    <w:rsid w:val="00217391"/>
    <w:rsid w:val="00221386"/>
    <w:rsid w:val="00227824"/>
    <w:rsid w:val="00230212"/>
    <w:rsid w:val="00230745"/>
    <w:rsid w:val="002314FE"/>
    <w:rsid w:val="00234238"/>
    <w:rsid w:val="00234DC6"/>
    <w:rsid w:val="0023519D"/>
    <w:rsid w:val="00235D92"/>
    <w:rsid w:val="002374D7"/>
    <w:rsid w:val="00241AB8"/>
    <w:rsid w:val="00246803"/>
    <w:rsid w:val="00250392"/>
    <w:rsid w:val="00250F0E"/>
    <w:rsid w:val="00252CA7"/>
    <w:rsid w:val="00254F58"/>
    <w:rsid w:val="002606F1"/>
    <w:rsid w:val="0026084B"/>
    <w:rsid w:val="00261B13"/>
    <w:rsid w:val="00262A5D"/>
    <w:rsid w:val="00262F4E"/>
    <w:rsid w:val="0026356F"/>
    <w:rsid w:val="00264B22"/>
    <w:rsid w:val="00264CE1"/>
    <w:rsid w:val="00265327"/>
    <w:rsid w:val="00266AB9"/>
    <w:rsid w:val="00266D33"/>
    <w:rsid w:val="0027053C"/>
    <w:rsid w:val="00270E2D"/>
    <w:rsid w:val="0027102D"/>
    <w:rsid w:val="00271913"/>
    <w:rsid w:val="0027202D"/>
    <w:rsid w:val="00272B23"/>
    <w:rsid w:val="0027467C"/>
    <w:rsid w:val="00277A8B"/>
    <w:rsid w:val="002856E3"/>
    <w:rsid w:val="00287F8C"/>
    <w:rsid w:val="00290034"/>
    <w:rsid w:val="00290621"/>
    <w:rsid w:val="0029103B"/>
    <w:rsid w:val="00292756"/>
    <w:rsid w:val="00293682"/>
    <w:rsid w:val="00297840"/>
    <w:rsid w:val="002A30E3"/>
    <w:rsid w:val="002A673E"/>
    <w:rsid w:val="002B0223"/>
    <w:rsid w:val="002B0776"/>
    <w:rsid w:val="002B0A8D"/>
    <w:rsid w:val="002B172B"/>
    <w:rsid w:val="002B274E"/>
    <w:rsid w:val="002B38C4"/>
    <w:rsid w:val="002B39B2"/>
    <w:rsid w:val="002B4C54"/>
    <w:rsid w:val="002C28F3"/>
    <w:rsid w:val="002C2BC2"/>
    <w:rsid w:val="002C6963"/>
    <w:rsid w:val="002D186F"/>
    <w:rsid w:val="002D2696"/>
    <w:rsid w:val="002D4098"/>
    <w:rsid w:val="002D4CA0"/>
    <w:rsid w:val="002D61F4"/>
    <w:rsid w:val="002D6D9C"/>
    <w:rsid w:val="002D6F8D"/>
    <w:rsid w:val="002D79CA"/>
    <w:rsid w:val="002E3D80"/>
    <w:rsid w:val="002E74BE"/>
    <w:rsid w:val="002F1C82"/>
    <w:rsid w:val="002F24A7"/>
    <w:rsid w:val="002F59FB"/>
    <w:rsid w:val="0030201C"/>
    <w:rsid w:val="00303135"/>
    <w:rsid w:val="00307250"/>
    <w:rsid w:val="00307FAC"/>
    <w:rsid w:val="00310932"/>
    <w:rsid w:val="00310A7B"/>
    <w:rsid w:val="00311070"/>
    <w:rsid w:val="00313324"/>
    <w:rsid w:val="00317AC9"/>
    <w:rsid w:val="00320046"/>
    <w:rsid w:val="00320C6C"/>
    <w:rsid w:val="00322A5E"/>
    <w:rsid w:val="00325BB0"/>
    <w:rsid w:val="003327A1"/>
    <w:rsid w:val="00333DBB"/>
    <w:rsid w:val="00334533"/>
    <w:rsid w:val="00337E1F"/>
    <w:rsid w:val="00342E2C"/>
    <w:rsid w:val="003431F1"/>
    <w:rsid w:val="00343BC8"/>
    <w:rsid w:val="00343BE1"/>
    <w:rsid w:val="0034543D"/>
    <w:rsid w:val="00345A68"/>
    <w:rsid w:val="00353C42"/>
    <w:rsid w:val="00356F1E"/>
    <w:rsid w:val="0035740D"/>
    <w:rsid w:val="00357D38"/>
    <w:rsid w:val="003616A8"/>
    <w:rsid w:val="00361944"/>
    <w:rsid w:val="00371C94"/>
    <w:rsid w:val="003740CE"/>
    <w:rsid w:val="003752BC"/>
    <w:rsid w:val="00375AD9"/>
    <w:rsid w:val="003801E3"/>
    <w:rsid w:val="00382C47"/>
    <w:rsid w:val="0038465B"/>
    <w:rsid w:val="00384EF7"/>
    <w:rsid w:val="00385773"/>
    <w:rsid w:val="00385D65"/>
    <w:rsid w:val="003931EF"/>
    <w:rsid w:val="003A0EF1"/>
    <w:rsid w:val="003A327D"/>
    <w:rsid w:val="003A5638"/>
    <w:rsid w:val="003A5DB3"/>
    <w:rsid w:val="003A6A20"/>
    <w:rsid w:val="003B3CC2"/>
    <w:rsid w:val="003B5050"/>
    <w:rsid w:val="003B6558"/>
    <w:rsid w:val="003C1E2B"/>
    <w:rsid w:val="003C29AB"/>
    <w:rsid w:val="003C29B0"/>
    <w:rsid w:val="003C3E96"/>
    <w:rsid w:val="003C428A"/>
    <w:rsid w:val="003C5077"/>
    <w:rsid w:val="003C5B51"/>
    <w:rsid w:val="003C6657"/>
    <w:rsid w:val="003C66D2"/>
    <w:rsid w:val="003D019E"/>
    <w:rsid w:val="003D058B"/>
    <w:rsid w:val="003D2980"/>
    <w:rsid w:val="003D2B46"/>
    <w:rsid w:val="003D303C"/>
    <w:rsid w:val="003D5C81"/>
    <w:rsid w:val="003D5D63"/>
    <w:rsid w:val="003D60D2"/>
    <w:rsid w:val="003D6B3B"/>
    <w:rsid w:val="003E3BA5"/>
    <w:rsid w:val="003E46DE"/>
    <w:rsid w:val="003F077A"/>
    <w:rsid w:val="003F2E02"/>
    <w:rsid w:val="003F43D7"/>
    <w:rsid w:val="003F49A9"/>
    <w:rsid w:val="004019EC"/>
    <w:rsid w:val="0040627A"/>
    <w:rsid w:val="00407299"/>
    <w:rsid w:val="00410611"/>
    <w:rsid w:val="00410EEB"/>
    <w:rsid w:val="004124AE"/>
    <w:rsid w:val="004133C9"/>
    <w:rsid w:val="00414C0C"/>
    <w:rsid w:val="00421B95"/>
    <w:rsid w:val="00425852"/>
    <w:rsid w:val="004265EB"/>
    <w:rsid w:val="0042670C"/>
    <w:rsid w:val="0042719D"/>
    <w:rsid w:val="004271FF"/>
    <w:rsid w:val="00430CCC"/>
    <w:rsid w:val="004340B6"/>
    <w:rsid w:val="004367A7"/>
    <w:rsid w:val="004371FF"/>
    <w:rsid w:val="00437718"/>
    <w:rsid w:val="00442D38"/>
    <w:rsid w:val="0044486C"/>
    <w:rsid w:val="00444A7A"/>
    <w:rsid w:val="00444B2A"/>
    <w:rsid w:val="00445999"/>
    <w:rsid w:val="00445BC4"/>
    <w:rsid w:val="00447B5A"/>
    <w:rsid w:val="00454CEA"/>
    <w:rsid w:val="00456EBE"/>
    <w:rsid w:val="0046287F"/>
    <w:rsid w:val="00462E59"/>
    <w:rsid w:val="00464218"/>
    <w:rsid w:val="0046535F"/>
    <w:rsid w:val="00470C60"/>
    <w:rsid w:val="00476577"/>
    <w:rsid w:val="00477929"/>
    <w:rsid w:val="0048163C"/>
    <w:rsid w:val="00481AD7"/>
    <w:rsid w:val="00483755"/>
    <w:rsid w:val="004837E3"/>
    <w:rsid w:val="00493FE6"/>
    <w:rsid w:val="004945FC"/>
    <w:rsid w:val="00494828"/>
    <w:rsid w:val="004A1B83"/>
    <w:rsid w:val="004A521C"/>
    <w:rsid w:val="004B0C66"/>
    <w:rsid w:val="004B534F"/>
    <w:rsid w:val="004B69EB"/>
    <w:rsid w:val="004C1575"/>
    <w:rsid w:val="004C70C3"/>
    <w:rsid w:val="004D08A2"/>
    <w:rsid w:val="004D14D9"/>
    <w:rsid w:val="004D1B38"/>
    <w:rsid w:val="004D3F7B"/>
    <w:rsid w:val="004D476F"/>
    <w:rsid w:val="004D573D"/>
    <w:rsid w:val="004E5CE1"/>
    <w:rsid w:val="004E745D"/>
    <w:rsid w:val="004E78F5"/>
    <w:rsid w:val="004F42B5"/>
    <w:rsid w:val="004F43FD"/>
    <w:rsid w:val="004F4D10"/>
    <w:rsid w:val="00500CE9"/>
    <w:rsid w:val="00501B62"/>
    <w:rsid w:val="00502244"/>
    <w:rsid w:val="00502D53"/>
    <w:rsid w:val="00503166"/>
    <w:rsid w:val="005044A0"/>
    <w:rsid w:val="00504929"/>
    <w:rsid w:val="00511001"/>
    <w:rsid w:val="00511BED"/>
    <w:rsid w:val="0051528F"/>
    <w:rsid w:val="005156BF"/>
    <w:rsid w:val="00516551"/>
    <w:rsid w:val="005171ED"/>
    <w:rsid w:val="005205D0"/>
    <w:rsid w:val="00522F56"/>
    <w:rsid w:val="005240FE"/>
    <w:rsid w:val="00526682"/>
    <w:rsid w:val="00527F1F"/>
    <w:rsid w:val="00536A9E"/>
    <w:rsid w:val="00541F93"/>
    <w:rsid w:val="00544A3D"/>
    <w:rsid w:val="00545652"/>
    <w:rsid w:val="00547DA9"/>
    <w:rsid w:val="00550023"/>
    <w:rsid w:val="00550764"/>
    <w:rsid w:val="00550A02"/>
    <w:rsid w:val="00552D4A"/>
    <w:rsid w:val="005543BA"/>
    <w:rsid w:val="00554F38"/>
    <w:rsid w:val="00556B5B"/>
    <w:rsid w:val="00560D7F"/>
    <w:rsid w:val="005613A3"/>
    <w:rsid w:val="0056275A"/>
    <w:rsid w:val="00563729"/>
    <w:rsid w:val="00566149"/>
    <w:rsid w:val="00567D22"/>
    <w:rsid w:val="005724AC"/>
    <w:rsid w:val="00574FF4"/>
    <w:rsid w:val="005751E8"/>
    <w:rsid w:val="00581E55"/>
    <w:rsid w:val="005827C3"/>
    <w:rsid w:val="0058636F"/>
    <w:rsid w:val="0059394E"/>
    <w:rsid w:val="00597569"/>
    <w:rsid w:val="00597BEB"/>
    <w:rsid w:val="005A13A1"/>
    <w:rsid w:val="005A2B4F"/>
    <w:rsid w:val="005A312A"/>
    <w:rsid w:val="005A73BD"/>
    <w:rsid w:val="005A7EA1"/>
    <w:rsid w:val="005B3066"/>
    <w:rsid w:val="005B36B5"/>
    <w:rsid w:val="005B3776"/>
    <w:rsid w:val="005B3A6C"/>
    <w:rsid w:val="005B6249"/>
    <w:rsid w:val="005C0F97"/>
    <w:rsid w:val="005C15AB"/>
    <w:rsid w:val="005C28E4"/>
    <w:rsid w:val="005C31D7"/>
    <w:rsid w:val="005C4ED2"/>
    <w:rsid w:val="005C6B08"/>
    <w:rsid w:val="005C79F1"/>
    <w:rsid w:val="005D0B23"/>
    <w:rsid w:val="005D1859"/>
    <w:rsid w:val="005D2849"/>
    <w:rsid w:val="005D2D84"/>
    <w:rsid w:val="005D2EA0"/>
    <w:rsid w:val="005D328C"/>
    <w:rsid w:val="005D4B01"/>
    <w:rsid w:val="005E197C"/>
    <w:rsid w:val="005E4C49"/>
    <w:rsid w:val="005E74BC"/>
    <w:rsid w:val="005F092B"/>
    <w:rsid w:val="005F099A"/>
    <w:rsid w:val="005F139C"/>
    <w:rsid w:val="005F3191"/>
    <w:rsid w:val="005F4DE2"/>
    <w:rsid w:val="005F4F82"/>
    <w:rsid w:val="006006B9"/>
    <w:rsid w:val="00604C12"/>
    <w:rsid w:val="006060E3"/>
    <w:rsid w:val="00612FBF"/>
    <w:rsid w:val="006136EB"/>
    <w:rsid w:val="00614513"/>
    <w:rsid w:val="006151A8"/>
    <w:rsid w:val="00617EB9"/>
    <w:rsid w:val="006205C2"/>
    <w:rsid w:val="00620844"/>
    <w:rsid w:val="0062249C"/>
    <w:rsid w:val="0062332F"/>
    <w:rsid w:val="00624763"/>
    <w:rsid w:val="00625D1D"/>
    <w:rsid w:val="00632F00"/>
    <w:rsid w:val="00633ADB"/>
    <w:rsid w:val="00635EA5"/>
    <w:rsid w:val="00641463"/>
    <w:rsid w:val="006450FC"/>
    <w:rsid w:val="0064572F"/>
    <w:rsid w:val="0064678A"/>
    <w:rsid w:val="006476E5"/>
    <w:rsid w:val="00651689"/>
    <w:rsid w:val="0065560B"/>
    <w:rsid w:val="00656B4E"/>
    <w:rsid w:val="00660E82"/>
    <w:rsid w:val="00662897"/>
    <w:rsid w:val="00664A6E"/>
    <w:rsid w:val="006674DE"/>
    <w:rsid w:val="006701D0"/>
    <w:rsid w:val="00670563"/>
    <w:rsid w:val="006716DF"/>
    <w:rsid w:val="00671D2A"/>
    <w:rsid w:val="006755A4"/>
    <w:rsid w:val="006772CE"/>
    <w:rsid w:val="00677C17"/>
    <w:rsid w:val="00681C15"/>
    <w:rsid w:val="00681D40"/>
    <w:rsid w:val="00682A12"/>
    <w:rsid w:val="0068434A"/>
    <w:rsid w:val="00687E84"/>
    <w:rsid w:val="00690050"/>
    <w:rsid w:val="00691699"/>
    <w:rsid w:val="006916F8"/>
    <w:rsid w:val="00693295"/>
    <w:rsid w:val="006948F6"/>
    <w:rsid w:val="006964CA"/>
    <w:rsid w:val="00697995"/>
    <w:rsid w:val="006A0765"/>
    <w:rsid w:val="006A2395"/>
    <w:rsid w:val="006A3B6B"/>
    <w:rsid w:val="006A4BA5"/>
    <w:rsid w:val="006A55B3"/>
    <w:rsid w:val="006A6724"/>
    <w:rsid w:val="006A6EB1"/>
    <w:rsid w:val="006B32F8"/>
    <w:rsid w:val="006B4508"/>
    <w:rsid w:val="006B6E50"/>
    <w:rsid w:val="006B71EE"/>
    <w:rsid w:val="006B7A92"/>
    <w:rsid w:val="006C16FB"/>
    <w:rsid w:val="006C4266"/>
    <w:rsid w:val="006C44B2"/>
    <w:rsid w:val="006D0011"/>
    <w:rsid w:val="006D513D"/>
    <w:rsid w:val="006D7517"/>
    <w:rsid w:val="006E4731"/>
    <w:rsid w:val="006E66A8"/>
    <w:rsid w:val="006E722A"/>
    <w:rsid w:val="006F73D0"/>
    <w:rsid w:val="00701F8D"/>
    <w:rsid w:val="0070459C"/>
    <w:rsid w:val="00705001"/>
    <w:rsid w:val="00706CA3"/>
    <w:rsid w:val="007109ED"/>
    <w:rsid w:val="00712507"/>
    <w:rsid w:val="00713152"/>
    <w:rsid w:val="00713C8B"/>
    <w:rsid w:val="00714F24"/>
    <w:rsid w:val="00714F3B"/>
    <w:rsid w:val="00717B95"/>
    <w:rsid w:val="0072017E"/>
    <w:rsid w:val="007229C2"/>
    <w:rsid w:val="00736032"/>
    <w:rsid w:val="00736FF3"/>
    <w:rsid w:val="0074077D"/>
    <w:rsid w:val="00740CD2"/>
    <w:rsid w:val="00745709"/>
    <w:rsid w:val="00746709"/>
    <w:rsid w:val="0074684C"/>
    <w:rsid w:val="00746EAD"/>
    <w:rsid w:val="007505E0"/>
    <w:rsid w:val="00751B3F"/>
    <w:rsid w:val="0075219B"/>
    <w:rsid w:val="0075238F"/>
    <w:rsid w:val="007541D7"/>
    <w:rsid w:val="00761130"/>
    <w:rsid w:val="007641BB"/>
    <w:rsid w:val="00770678"/>
    <w:rsid w:val="00771D63"/>
    <w:rsid w:val="00780D71"/>
    <w:rsid w:val="00783F67"/>
    <w:rsid w:val="007858AA"/>
    <w:rsid w:val="00786E50"/>
    <w:rsid w:val="007904B5"/>
    <w:rsid w:val="00791A87"/>
    <w:rsid w:val="007944F5"/>
    <w:rsid w:val="00794D8C"/>
    <w:rsid w:val="00795D23"/>
    <w:rsid w:val="00795D6A"/>
    <w:rsid w:val="007C241B"/>
    <w:rsid w:val="007C2F60"/>
    <w:rsid w:val="007C50DC"/>
    <w:rsid w:val="007C577E"/>
    <w:rsid w:val="007C5A51"/>
    <w:rsid w:val="007D0125"/>
    <w:rsid w:val="007D01C5"/>
    <w:rsid w:val="007D1D17"/>
    <w:rsid w:val="007D3317"/>
    <w:rsid w:val="007D3D11"/>
    <w:rsid w:val="007D4B20"/>
    <w:rsid w:val="007D6F1B"/>
    <w:rsid w:val="007D7AFD"/>
    <w:rsid w:val="007E0672"/>
    <w:rsid w:val="007E6395"/>
    <w:rsid w:val="007E6FA3"/>
    <w:rsid w:val="007E720A"/>
    <w:rsid w:val="007E7427"/>
    <w:rsid w:val="007E754F"/>
    <w:rsid w:val="007F116B"/>
    <w:rsid w:val="007F1BCE"/>
    <w:rsid w:val="007F367D"/>
    <w:rsid w:val="007F50D9"/>
    <w:rsid w:val="00801320"/>
    <w:rsid w:val="0080146F"/>
    <w:rsid w:val="008046DA"/>
    <w:rsid w:val="00805D4A"/>
    <w:rsid w:val="00813909"/>
    <w:rsid w:val="00815EC9"/>
    <w:rsid w:val="00821B55"/>
    <w:rsid w:val="00821CAC"/>
    <w:rsid w:val="00823F70"/>
    <w:rsid w:val="00826FF1"/>
    <w:rsid w:val="00833E99"/>
    <w:rsid w:val="00833F74"/>
    <w:rsid w:val="008348CB"/>
    <w:rsid w:val="008357C2"/>
    <w:rsid w:val="008375AA"/>
    <w:rsid w:val="00840BB0"/>
    <w:rsid w:val="008421A4"/>
    <w:rsid w:val="00842515"/>
    <w:rsid w:val="008439E3"/>
    <w:rsid w:val="00846FAD"/>
    <w:rsid w:val="0085452B"/>
    <w:rsid w:val="008561EC"/>
    <w:rsid w:val="008565D9"/>
    <w:rsid w:val="0085738E"/>
    <w:rsid w:val="00863EC6"/>
    <w:rsid w:val="0086615B"/>
    <w:rsid w:val="00867DA2"/>
    <w:rsid w:val="00873E24"/>
    <w:rsid w:val="0088147B"/>
    <w:rsid w:val="00882B99"/>
    <w:rsid w:val="0088316B"/>
    <w:rsid w:val="008849F6"/>
    <w:rsid w:val="00886063"/>
    <w:rsid w:val="00890862"/>
    <w:rsid w:val="008931F7"/>
    <w:rsid w:val="008934BB"/>
    <w:rsid w:val="008A01A7"/>
    <w:rsid w:val="008A10FF"/>
    <w:rsid w:val="008A2111"/>
    <w:rsid w:val="008A21FD"/>
    <w:rsid w:val="008A5CF0"/>
    <w:rsid w:val="008A6D60"/>
    <w:rsid w:val="008B3E5E"/>
    <w:rsid w:val="008B3F49"/>
    <w:rsid w:val="008B51CB"/>
    <w:rsid w:val="008C0BBC"/>
    <w:rsid w:val="008C20CE"/>
    <w:rsid w:val="008C242B"/>
    <w:rsid w:val="008C27F6"/>
    <w:rsid w:val="008C37DB"/>
    <w:rsid w:val="008C4A71"/>
    <w:rsid w:val="008C4CAF"/>
    <w:rsid w:val="008D00C6"/>
    <w:rsid w:val="008D30F7"/>
    <w:rsid w:val="008D3E7C"/>
    <w:rsid w:val="008D49D9"/>
    <w:rsid w:val="008E0594"/>
    <w:rsid w:val="008E2117"/>
    <w:rsid w:val="008E47DE"/>
    <w:rsid w:val="008E6FA4"/>
    <w:rsid w:val="008E73DB"/>
    <w:rsid w:val="008F09A7"/>
    <w:rsid w:val="008F48EC"/>
    <w:rsid w:val="00902006"/>
    <w:rsid w:val="00903A09"/>
    <w:rsid w:val="00903EB9"/>
    <w:rsid w:val="00905723"/>
    <w:rsid w:val="0090696F"/>
    <w:rsid w:val="009070FD"/>
    <w:rsid w:val="00912290"/>
    <w:rsid w:val="00914583"/>
    <w:rsid w:val="00915BFA"/>
    <w:rsid w:val="0092071B"/>
    <w:rsid w:val="009218E5"/>
    <w:rsid w:val="009241AE"/>
    <w:rsid w:val="00926217"/>
    <w:rsid w:val="00926FC3"/>
    <w:rsid w:val="0092731B"/>
    <w:rsid w:val="00930178"/>
    <w:rsid w:val="009329BD"/>
    <w:rsid w:val="00934A60"/>
    <w:rsid w:val="00934E0C"/>
    <w:rsid w:val="00936174"/>
    <w:rsid w:val="00936192"/>
    <w:rsid w:val="009368D2"/>
    <w:rsid w:val="009410AD"/>
    <w:rsid w:val="0094155A"/>
    <w:rsid w:val="009437D8"/>
    <w:rsid w:val="00943901"/>
    <w:rsid w:val="00943AC5"/>
    <w:rsid w:val="00944C4A"/>
    <w:rsid w:val="00950FB7"/>
    <w:rsid w:val="00951891"/>
    <w:rsid w:val="00952A27"/>
    <w:rsid w:val="00954C7A"/>
    <w:rsid w:val="009563E1"/>
    <w:rsid w:val="00960FA6"/>
    <w:rsid w:val="009636E5"/>
    <w:rsid w:val="00967FAB"/>
    <w:rsid w:val="0097073F"/>
    <w:rsid w:val="00971845"/>
    <w:rsid w:val="00972466"/>
    <w:rsid w:val="00972ED7"/>
    <w:rsid w:val="0097357E"/>
    <w:rsid w:val="0097476E"/>
    <w:rsid w:val="0097652D"/>
    <w:rsid w:val="0097757A"/>
    <w:rsid w:val="009826ED"/>
    <w:rsid w:val="0098355D"/>
    <w:rsid w:val="009835F1"/>
    <w:rsid w:val="00984BA3"/>
    <w:rsid w:val="0098569F"/>
    <w:rsid w:val="0098605E"/>
    <w:rsid w:val="00986169"/>
    <w:rsid w:val="009910CB"/>
    <w:rsid w:val="00991B1F"/>
    <w:rsid w:val="00991B87"/>
    <w:rsid w:val="009931A9"/>
    <w:rsid w:val="00995FEB"/>
    <w:rsid w:val="009A1873"/>
    <w:rsid w:val="009A3976"/>
    <w:rsid w:val="009A4017"/>
    <w:rsid w:val="009A54AB"/>
    <w:rsid w:val="009B06E4"/>
    <w:rsid w:val="009B1780"/>
    <w:rsid w:val="009B17EA"/>
    <w:rsid w:val="009B1B44"/>
    <w:rsid w:val="009B2100"/>
    <w:rsid w:val="009B46D3"/>
    <w:rsid w:val="009B4EE3"/>
    <w:rsid w:val="009C324B"/>
    <w:rsid w:val="009C6718"/>
    <w:rsid w:val="009D0080"/>
    <w:rsid w:val="009D18D9"/>
    <w:rsid w:val="009D5575"/>
    <w:rsid w:val="009D59CF"/>
    <w:rsid w:val="009D5F41"/>
    <w:rsid w:val="009E1D3D"/>
    <w:rsid w:val="009E2060"/>
    <w:rsid w:val="009E2131"/>
    <w:rsid w:val="009E27F9"/>
    <w:rsid w:val="009E403A"/>
    <w:rsid w:val="009F29E5"/>
    <w:rsid w:val="009F2C4A"/>
    <w:rsid w:val="009F3F6C"/>
    <w:rsid w:val="00A01B30"/>
    <w:rsid w:val="00A027F6"/>
    <w:rsid w:val="00A032DA"/>
    <w:rsid w:val="00A048C2"/>
    <w:rsid w:val="00A04C44"/>
    <w:rsid w:val="00A05BE2"/>
    <w:rsid w:val="00A10BDA"/>
    <w:rsid w:val="00A153F5"/>
    <w:rsid w:val="00A15AF0"/>
    <w:rsid w:val="00A16004"/>
    <w:rsid w:val="00A16160"/>
    <w:rsid w:val="00A20921"/>
    <w:rsid w:val="00A21D9E"/>
    <w:rsid w:val="00A243D8"/>
    <w:rsid w:val="00A252A6"/>
    <w:rsid w:val="00A269F1"/>
    <w:rsid w:val="00A276A4"/>
    <w:rsid w:val="00A31E55"/>
    <w:rsid w:val="00A329E3"/>
    <w:rsid w:val="00A33C51"/>
    <w:rsid w:val="00A369BE"/>
    <w:rsid w:val="00A36FC2"/>
    <w:rsid w:val="00A427CD"/>
    <w:rsid w:val="00A42E2E"/>
    <w:rsid w:val="00A43781"/>
    <w:rsid w:val="00A46A3F"/>
    <w:rsid w:val="00A472CC"/>
    <w:rsid w:val="00A50DD9"/>
    <w:rsid w:val="00A512D3"/>
    <w:rsid w:val="00A5754F"/>
    <w:rsid w:val="00A617E6"/>
    <w:rsid w:val="00A62949"/>
    <w:rsid w:val="00A62E01"/>
    <w:rsid w:val="00A630F1"/>
    <w:rsid w:val="00A64B09"/>
    <w:rsid w:val="00A64BD8"/>
    <w:rsid w:val="00A70973"/>
    <w:rsid w:val="00A74250"/>
    <w:rsid w:val="00A75BFC"/>
    <w:rsid w:val="00A769CC"/>
    <w:rsid w:val="00A773B2"/>
    <w:rsid w:val="00A77E3E"/>
    <w:rsid w:val="00A80AC9"/>
    <w:rsid w:val="00A8426D"/>
    <w:rsid w:val="00A90967"/>
    <w:rsid w:val="00A9326C"/>
    <w:rsid w:val="00A947AC"/>
    <w:rsid w:val="00A94C93"/>
    <w:rsid w:val="00A95B74"/>
    <w:rsid w:val="00AA0265"/>
    <w:rsid w:val="00AA1679"/>
    <w:rsid w:val="00AA334A"/>
    <w:rsid w:val="00AA3B67"/>
    <w:rsid w:val="00AA7AED"/>
    <w:rsid w:val="00AB0005"/>
    <w:rsid w:val="00AB0070"/>
    <w:rsid w:val="00AB17BF"/>
    <w:rsid w:val="00AB21F4"/>
    <w:rsid w:val="00AB4F26"/>
    <w:rsid w:val="00AB5CA2"/>
    <w:rsid w:val="00AB77DF"/>
    <w:rsid w:val="00AC665A"/>
    <w:rsid w:val="00AD19E7"/>
    <w:rsid w:val="00AD1B8C"/>
    <w:rsid w:val="00AD372F"/>
    <w:rsid w:val="00AD582C"/>
    <w:rsid w:val="00AD65A3"/>
    <w:rsid w:val="00AE240E"/>
    <w:rsid w:val="00AE6D62"/>
    <w:rsid w:val="00AF0CB0"/>
    <w:rsid w:val="00AF1B63"/>
    <w:rsid w:val="00AF34D6"/>
    <w:rsid w:val="00AF41A5"/>
    <w:rsid w:val="00AF4830"/>
    <w:rsid w:val="00AF4C90"/>
    <w:rsid w:val="00B030CE"/>
    <w:rsid w:val="00B128A3"/>
    <w:rsid w:val="00B12B4A"/>
    <w:rsid w:val="00B12FAA"/>
    <w:rsid w:val="00B14150"/>
    <w:rsid w:val="00B17073"/>
    <w:rsid w:val="00B17164"/>
    <w:rsid w:val="00B221D6"/>
    <w:rsid w:val="00B236FF"/>
    <w:rsid w:val="00B23C37"/>
    <w:rsid w:val="00B25DC1"/>
    <w:rsid w:val="00B26221"/>
    <w:rsid w:val="00B2772F"/>
    <w:rsid w:val="00B30316"/>
    <w:rsid w:val="00B31259"/>
    <w:rsid w:val="00B33424"/>
    <w:rsid w:val="00B33CA7"/>
    <w:rsid w:val="00B34114"/>
    <w:rsid w:val="00B34994"/>
    <w:rsid w:val="00B34F19"/>
    <w:rsid w:val="00B35D08"/>
    <w:rsid w:val="00B362CA"/>
    <w:rsid w:val="00B376FD"/>
    <w:rsid w:val="00B41543"/>
    <w:rsid w:val="00B439D2"/>
    <w:rsid w:val="00B44527"/>
    <w:rsid w:val="00B475E3"/>
    <w:rsid w:val="00B50996"/>
    <w:rsid w:val="00B51E31"/>
    <w:rsid w:val="00B54FA6"/>
    <w:rsid w:val="00B553B6"/>
    <w:rsid w:val="00B55AAE"/>
    <w:rsid w:val="00B6138F"/>
    <w:rsid w:val="00B642BB"/>
    <w:rsid w:val="00B658C6"/>
    <w:rsid w:val="00B6677D"/>
    <w:rsid w:val="00B67197"/>
    <w:rsid w:val="00B70775"/>
    <w:rsid w:val="00B71C6B"/>
    <w:rsid w:val="00B75A9E"/>
    <w:rsid w:val="00B75E39"/>
    <w:rsid w:val="00B77982"/>
    <w:rsid w:val="00B80546"/>
    <w:rsid w:val="00B80A11"/>
    <w:rsid w:val="00B80AC5"/>
    <w:rsid w:val="00B81FA8"/>
    <w:rsid w:val="00B9098A"/>
    <w:rsid w:val="00B92678"/>
    <w:rsid w:val="00B92D75"/>
    <w:rsid w:val="00B953AE"/>
    <w:rsid w:val="00B969D9"/>
    <w:rsid w:val="00B97603"/>
    <w:rsid w:val="00BA24AB"/>
    <w:rsid w:val="00BA256E"/>
    <w:rsid w:val="00BA3BE9"/>
    <w:rsid w:val="00BA4F42"/>
    <w:rsid w:val="00BA7219"/>
    <w:rsid w:val="00BB427B"/>
    <w:rsid w:val="00BB6492"/>
    <w:rsid w:val="00BC0617"/>
    <w:rsid w:val="00BC2BEB"/>
    <w:rsid w:val="00BC5529"/>
    <w:rsid w:val="00BC72B2"/>
    <w:rsid w:val="00BD6891"/>
    <w:rsid w:val="00BD7866"/>
    <w:rsid w:val="00BD7E0F"/>
    <w:rsid w:val="00BE1120"/>
    <w:rsid w:val="00BE1310"/>
    <w:rsid w:val="00BE63A5"/>
    <w:rsid w:val="00BF2E22"/>
    <w:rsid w:val="00C03F27"/>
    <w:rsid w:val="00C054CB"/>
    <w:rsid w:val="00C07BD3"/>
    <w:rsid w:val="00C11737"/>
    <w:rsid w:val="00C11CF5"/>
    <w:rsid w:val="00C15761"/>
    <w:rsid w:val="00C158C4"/>
    <w:rsid w:val="00C218C1"/>
    <w:rsid w:val="00C21D2B"/>
    <w:rsid w:val="00C221D6"/>
    <w:rsid w:val="00C24C77"/>
    <w:rsid w:val="00C2524C"/>
    <w:rsid w:val="00C3023D"/>
    <w:rsid w:val="00C321E1"/>
    <w:rsid w:val="00C362E0"/>
    <w:rsid w:val="00C36EB5"/>
    <w:rsid w:val="00C40356"/>
    <w:rsid w:val="00C46D06"/>
    <w:rsid w:val="00C47D27"/>
    <w:rsid w:val="00C534E3"/>
    <w:rsid w:val="00C54472"/>
    <w:rsid w:val="00C55B96"/>
    <w:rsid w:val="00C57AC9"/>
    <w:rsid w:val="00C65696"/>
    <w:rsid w:val="00C70F6C"/>
    <w:rsid w:val="00C74077"/>
    <w:rsid w:val="00C74B67"/>
    <w:rsid w:val="00C80FC7"/>
    <w:rsid w:val="00C814AD"/>
    <w:rsid w:val="00C81786"/>
    <w:rsid w:val="00C83A16"/>
    <w:rsid w:val="00C95CA5"/>
    <w:rsid w:val="00CA0303"/>
    <w:rsid w:val="00CA2488"/>
    <w:rsid w:val="00CA55A8"/>
    <w:rsid w:val="00CA6A69"/>
    <w:rsid w:val="00CA76D6"/>
    <w:rsid w:val="00CB04F6"/>
    <w:rsid w:val="00CB349B"/>
    <w:rsid w:val="00CB4A91"/>
    <w:rsid w:val="00CB5523"/>
    <w:rsid w:val="00CC06D9"/>
    <w:rsid w:val="00CC1DCE"/>
    <w:rsid w:val="00CC2F90"/>
    <w:rsid w:val="00CC3C1D"/>
    <w:rsid w:val="00CC4D5B"/>
    <w:rsid w:val="00CC7618"/>
    <w:rsid w:val="00CD0664"/>
    <w:rsid w:val="00CD44B7"/>
    <w:rsid w:val="00CD6E7E"/>
    <w:rsid w:val="00CE0763"/>
    <w:rsid w:val="00CE33FB"/>
    <w:rsid w:val="00CE3FFC"/>
    <w:rsid w:val="00CE5289"/>
    <w:rsid w:val="00CE5DF4"/>
    <w:rsid w:val="00CF0323"/>
    <w:rsid w:val="00CF0496"/>
    <w:rsid w:val="00CF183B"/>
    <w:rsid w:val="00CF1FAE"/>
    <w:rsid w:val="00CF266C"/>
    <w:rsid w:val="00CF293F"/>
    <w:rsid w:val="00CF541E"/>
    <w:rsid w:val="00D0041B"/>
    <w:rsid w:val="00D01923"/>
    <w:rsid w:val="00D01C32"/>
    <w:rsid w:val="00D04599"/>
    <w:rsid w:val="00D04D7E"/>
    <w:rsid w:val="00D0500B"/>
    <w:rsid w:val="00D104B0"/>
    <w:rsid w:val="00D11294"/>
    <w:rsid w:val="00D11869"/>
    <w:rsid w:val="00D133B4"/>
    <w:rsid w:val="00D14957"/>
    <w:rsid w:val="00D14E73"/>
    <w:rsid w:val="00D15B81"/>
    <w:rsid w:val="00D15EB2"/>
    <w:rsid w:val="00D233D4"/>
    <w:rsid w:val="00D23B8A"/>
    <w:rsid w:val="00D24AAC"/>
    <w:rsid w:val="00D271D6"/>
    <w:rsid w:val="00D27C76"/>
    <w:rsid w:val="00D36A29"/>
    <w:rsid w:val="00D40A9E"/>
    <w:rsid w:val="00D45E24"/>
    <w:rsid w:val="00D45F30"/>
    <w:rsid w:val="00D46456"/>
    <w:rsid w:val="00D47BD6"/>
    <w:rsid w:val="00D5159E"/>
    <w:rsid w:val="00D5306C"/>
    <w:rsid w:val="00D56724"/>
    <w:rsid w:val="00D56A68"/>
    <w:rsid w:val="00D63D2A"/>
    <w:rsid w:val="00D6457B"/>
    <w:rsid w:val="00D64C0F"/>
    <w:rsid w:val="00D655D1"/>
    <w:rsid w:val="00D673BB"/>
    <w:rsid w:val="00D70BFB"/>
    <w:rsid w:val="00D73464"/>
    <w:rsid w:val="00D742F8"/>
    <w:rsid w:val="00D74DAA"/>
    <w:rsid w:val="00D755B1"/>
    <w:rsid w:val="00D75F04"/>
    <w:rsid w:val="00D81AA2"/>
    <w:rsid w:val="00D83A1B"/>
    <w:rsid w:val="00D83AC5"/>
    <w:rsid w:val="00D87F6B"/>
    <w:rsid w:val="00D9014E"/>
    <w:rsid w:val="00D90248"/>
    <w:rsid w:val="00D92CA1"/>
    <w:rsid w:val="00D92CAB"/>
    <w:rsid w:val="00D932A8"/>
    <w:rsid w:val="00D97DE2"/>
    <w:rsid w:val="00DA0A2E"/>
    <w:rsid w:val="00DA131D"/>
    <w:rsid w:val="00DA2DA9"/>
    <w:rsid w:val="00DA4373"/>
    <w:rsid w:val="00DA480B"/>
    <w:rsid w:val="00DB07CC"/>
    <w:rsid w:val="00DB0EDD"/>
    <w:rsid w:val="00DB27D7"/>
    <w:rsid w:val="00DB3CF5"/>
    <w:rsid w:val="00DB6404"/>
    <w:rsid w:val="00DB6FD3"/>
    <w:rsid w:val="00DC09FD"/>
    <w:rsid w:val="00DC15F8"/>
    <w:rsid w:val="00DC369A"/>
    <w:rsid w:val="00DC4401"/>
    <w:rsid w:val="00DC7B0A"/>
    <w:rsid w:val="00DE65DA"/>
    <w:rsid w:val="00DF0991"/>
    <w:rsid w:val="00DF14DD"/>
    <w:rsid w:val="00DF2339"/>
    <w:rsid w:val="00DF3166"/>
    <w:rsid w:val="00DF3AFD"/>
    <w:rsid w:val="00DF71EC"/>
    <w:rsid w:val="00E000ED"/>
    <w:rsid w:val="00E018E1"/>
    <w:rsid w:val="00E02385"/>
    <w:rsid w:val="00E06B72"/>
    <w:rsid w:val="00E103F6"/>
    <w:rsid w:val="00E115A1"/>
    <w:rsid w:val="00E119CE"/>
    <w:rsid w:val="00E11CAD"/>
    <w:rsid w:val="00E14164"/>
    <w:rsid w:val="00E149AB"/>
    <w:rsid w:val="00E16FEC"/>
    <w:rsid w:val="00E17149"/>
    <w:rsid w:val="00E2007C"/>
    <w:rsid w:val="00E21B9D"/>
    <w:rsid w:val="00E2589A"/>
    <w:rsid w:val="00E25F71"/>
    <w:rsid w:val="00E267A7"/>
    <w:rsid w:val="00E270F0"/>
    <w:rsid w:val="00E277CE"/>
    <w:rsid w:val="00E32C4B"/>
    <w:rsid w:val="00E343DD"/>
    <w:rsid w:val="00E36138"/>
    <w:rsid w:val="00E37172"/>
    <w:rsid w:val="00E44453"/>
    <w:rsid w:val="00E44622"/>
    <w:rsid w:val="00E44E38"/>
    <w:rsid w:val="00E45439"/>
    <w:rsid w:val="00E50383"/>
    <w:rsid w:val="00E54F47"/>
    <w:rsid w:val="00E55E58"/>
    <w:rsid w:val="00E57D6E"/>
    <w:rsid w:val="00E609CA"/>
    <w:rsid w:val="00E619E2"/>
    <w:rsid w:val="00E61CAF"/>
    <w:rsid w:val="00E64445"/>
    <w:rsid w:val="00E64807"/>
    <w:rsid w:val="00E64BE5"/>
    <w:rsid w:val="00E67501"/>
    <w:rsid w:val="00E71025"/>
    <w:rsid w:val="00E72744"/>
    <w:rsid w:val="00E72ADF"/>
    <w:rsid w:val="00E763B3"/>
    <w:rsid w:val="00E81368"/>
    <w:rsid w:val="00E8142E"/>
    <w:rsid w:val="00E82052"/>
    <w:rsid w:val="00E82CCF"/>
    <w:rsid w:val="00E82DA0"/>
    <w:rsid w:val="00E84756"/>
    <w:rsid w:val="00E84B38"/>
    <w:rsid w:val="00E8651D"/>
    <w:rsid w:val="00E869C3"/>
    <w:rsid w:val="00E917E9"/>
    <w:rsid w:val="00E92DF3"/>
    <w:rsid w:val="00E93C00"/>
    <w:rsid w:val="00E95F2A"/>
    <w:rsid w:val="00E96774"/>
    <w:rsid w:val="00E97F28"/>
    <w:rsid w:val="00EA0235"/>
    <w:rsid w:val="00EA3000"/>
    <w:rsid w:val="00EA43BD"/>
    <w:rsid w:val="00EA4CC4"/>
    <w:rsid w:val="00EA5C1D"/>
    <w:rsid w:val="00EA5D56"/>
    <w:rsid w:val="00EA7821"/>
    <w:rsid w:val="00EA79FE"/>
    <w:rsid w:val="00EA7C39"/>
    <w:rsid w:val="00EA7F3A"/>
    <w:rsid w:val="00EB4AEB"/>
    <w:rsid w:val="00EB5370"/>
    <w:rsid w:val="00EB7473"/>
    <w:rsid w:val="00EC0635"/>
    <w:rsid w:val="00EC379E"/>
    <w:rsid w:val="00EC6605"/>
    <w:rsid w:val="00ED4112"/>
    <w:rsid w:val="00ED66D9"/>
    <w:rsid w:val="00EE7679"/>
    <w:rsid w:val="00EE7F1D"/>
    <w:rsid w:val="00EF1466"/>
    <w:rsid w:val="00EF295E"/>
    <w:rsid w:val="00EF3186"/>
    <w:rsid w:val="00F0073F"/>
    <w:rsid w:val="00F03D3C"/>
    <w:rsid w:val="00F04E94"/>
    <w:rsid w:val="00F060F5"/>
    <w:rsid w:val="00F065AD"/>
    <w:rsid w:val="00F14398"/>
    <w:rsid w:val="00F2079A"/>
    <w:rsid w:val="00F20B1C"/>
    <w:rsid w:val="00F248CE"/>
    <w:rsid w:val="00F26B63"/>
    <w:rsid w:val="00F26EF2"/>
    <w:rsid w:val="00F27D29"/>
    <w:rsid w:val="00F308B5"/>
    <w:rsid w:val="00F341E9"/>
    <w:rsid w:val="00F35CFF"/>
    <w:rsid w:val="00F37225"/>
    <w:rsid w:val="00F37A4D"/>
    <w:rsid w:val="00F4328B"/>
    <w:rsid w:val="00F4732B"/>
    <w:rsid w:val="00F50605"/>
    <w:rsid w:val="00F51C72"/>
    <w:rsid w:val="00F51CDD"/>
    <w:rsid w:val="00F52D17"/>
    <w:rsid w:val="00F54015"/>
    <w:rsid w:val="00F55CC9"/>
    <w:rsid w:val="00F56C6D"/>
    <w:rsid w:val="00F63DB7"/>
    <w:rsid w:val="00F734B9"/>
    <w:rsid w:val="00F73C7F"/>
    <w:rsid w:val="00F7503C"/>
    <w:rsid w:val="00F80DD4"/>
    <w:rsid w:val="00F8497E"/>
    <w:rsid w:val="00F84F56"/>
    <w:rsid w:val="00F85B56"/>
    <w:rsid w:val="00F8764D"/>
    <w:rsid w:val="00F92567"/>
    <w:rsid w:val="00F948A4"/>
    <w:rsid w:val="00F977DB"/>
    <w:rsid w:val="00FA032D"/>
    <w:rsid w:val="00FA3CE9"/>
    <w:rsid w:val="00FA405C"/>
    <w:rsid w:val="00FA4363"/>
    <w:rsid w:val="00FA49C4"/>
    <w:rsid w:val="00FB047F"/>
    <w:rsid w:val="00FB0DBC"/>
    <w:rsid w:val="00FB283F"/>
    <w:rsid w:val="00FB2EBF"/>
    <w:rsid w:val="00FB344F"/>
    <w:rsid w:val="00FB47AF"/>
    <w:rsid w:val="00FB698D"/>
    <w:rsid w:val="00FC6AC9"/>
    <w:rsid w:val="00FC73CD"/>
    <w:rsid w:val="00FD1C06"/>
    <w:rsid w:val="00FD3DD0"/>
    <w:rsid w:val="00FD427E"/>
    <w:rsid w:val="00FD5286"/>
    <w:rsid w:val="00FD6687"/>
    <w:rsid w:val="00FD7D18"/>
    <w:rsid w:val="00FE396D"/>
    <w:rsid w:val="00FE5D49"/>
    <w:rsid w:val="00FE670B"/>
    <w:rsid w:val="00FF4F4A"/>
    <w:rsid w:val="00FF5230"/>
    <w:rsid w:val="00FF61FC"/>
    <w:rsid w:val="00FF7D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691849-CD5A-45C7-A4FC-DF4BFF25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523"/>
    <w:rPr>
      <w:sz w:val="24"/>
      <w:szCs w:val="24"/>
    </w:rPr>
  </w:style>
  <w:style w:type="paragraph" w:styleId="Heading1">
    <w:name w:val="heading 1"/>
    <w:basedOn w:val="Normal"/>
    <w:next w:val="Normal"/>
    <w:qFormat/>
    <w:rsid w:val="00CB5523"/>
    <w:pPr>
      <w:keepNext/>
      <w:tabs>
        <w:tab w:val="center" w:pos="5954"/>
      </w:tabs>
      <w:ind w:right="-1"/>
      <w:jc w:val="right"/>
      <w:outlineLvl w:val="0"/>
    </w:pPr>
    <w:rPr>
      <w:b/>
      <w:caps/>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sid w:val="00CB5523"/>
    <w:rPr>
      <w:rFonts w:ascii="Arial Black" w:hAnsi="Arial Black"/>
      <w:spacing w:val="-10"/>
      <w:sz w:val="18"/>
    </w:rPr>
  </w:style>
  <w:style w:type="paragraph" w:styleId="Subtitle">
    <w:name w:val="Subtitle"/>
    <w:basedOn w:val="Normal"/>
    <w:qFormat/>
    <w:rsid w:val="00CB5523"/>
    <w:pPr>
      <w:jc w:val="center"/>
    </w:pPr>
    <w:rPr>
      <w:b/>
      <w:bCs/>
      <w:lang w:val="it-IT"/>
    </w:rPr>
  </w:style>
  <w:style w:type="character" w:styleId="FollowedHyperlink">
    <w:name w:val="FollowedHyperlink"/>
    <w:rsid w:val="00CB5523"/>
    <w:rPr>
      <w:color w:val="800080"/>
      <w:u w:val="single"/>
    </w:rPr>
  </w:style>
  <w:style w:type="table" w:styleId="TableGrid">
    <w:name w:val="Table Grid"/>
    <w:basedOn w:val="TableNormal"/>
    <w:rsid w:val="007F11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5EA5"/>
    <w:pPr>
      <w:spacing w:before="120" w:after="120"/>
      <w:ind w:left="720"/>
      <w:contextualSpacing/>
      <w:jc w:val="both"/>
    </w:pPr>
    <w:rPr>
      <w:rFonts w:ascii="Calibri" w:eastAsia="MS Mincho" w:hAnsi="Calibri"/>
      <w:sz w:val="22"/>
    </w:rPr>
  </w:style>
  <w:style w:type="paragraph" w:styleId="Header">
    <w:name w:val="header"/>
    <w:basedOn w:val="Normal"/>
    <w:link w:val="HeaderChar"/>
    <w:rsid w:val="00833F74"/>
    <w:pPr>
      <w:tabs>
        <w:tab w:val="center" w:pos="4680"/>
        <w:tab w:val="right" w:pos="9360"/>
      </w:tabs>
    </w:pPr>
    <w:rPr>
      <w:lang w:val="x-none" w:eastAsia="x-none"/>
    </w:rPr>
  </w:style>
  <w:style w:type="character" w:customStyle="1" w:styleId="HeaderChar">
    <w:name w:val="Header Char"/>
    <w:link w:val="Header"/>
    <w:rsid w:val="00833F74"/>
    <w:rPr>
      <w:sz w:val="24"/>
      <w:szCs w:val="24"/>
    </w:rPr>
  </w:style>
  <w:style w:type="paragraph" w:styleId="Footer">
    <w:name w:val="footer"/>
    <w:basedOn w:val="Normal"/>
    <w:link w:val="FooterChar"/>
    <w:uiPriority w:val="99"/>
    <w:rsid w:val="00833F74"/>
    <w:pPr>
      <w:tabs>
        <w:tab w:val="center" w:pos="4680"/>
        <w:tab w:val="right" w:pos="9360"/>
      </w:tabs>
    </w:pPr>
    <w:rPr>
      <w:lang w:val="x-none" w:eastAsia="x-none"/>
    </w:rPr>
  </w:style>
  <w:style w:type="character" w:customStyle="1" w:styleId="FooterChar">
    <w:name w:val="Footer Char"/>
    <w:link w:val="Footer"/>
    <w:uiPriority w:val="99"/>
    <w:rsid w:val="00833F74"/>
    <w:rPr>
      <w:sz w:val="24"/>
      <w:szCs w:val="24"/>
    </w:rPr>
  </w:style>
  <w:style w:type="paragraph" w:styleId="BalloonText">
    <w:name w:val="Balloon Text"/>
    <w:basedOn w:val="Normal"/>
    <w:link w:val="BalloonTextChar"/>
    <w:rsid w:val="004C70C3"/>
    <w:rPr>
      <w:rFonts w:ascii="Tahoma" w:hAnsi="Tahoma" w:cs="Tahoma"/>
      <w:sz w:val="16"/>
      <w:szCs w:val="16"/>
    </w:rPr>
  </w:style>
  <w:style w:type="character" w:customStyle="1" w:styleId="BalloonTextChar">
    <w:name w:val="Balloon Text Char"/>
    <w:basedOn w:val="DefaultParagraphFont"/>
    <w:link w:val="BalloonText"/>
    <w:rsid w:val="004C70C3"/>
    <w:rPr>
      <w:rFonts w:ascii="Tahoma" w:hAnsi="Tahoma" w:cs="Tahoma"/>
      <w:sz w:val="16"/>
      <w:szCs w:val="16"/>
    </w:rPr>
  </w:style>
  <w:style w:type="character" w:styleId="Strong">
    <w:name w:val="Strong"/>
    <w:basedOn w:val="DefaultParagraphFont"/>
    <w:qFormat/>
    <w:rsid w:val="00DC369A"/>
    <w:rPr>
      <w:b/>
      <w:bCs/>
    </w:rPr>
  </w:style>
  <w:style w:type="paragraph" w:styleId="NoSpacing">
    <w:name w:val="No Spacing"/>
    <w:uiPriority w:val="1"/>
    <w:qFormat/>
    <w:rsid w:val="004A521C"/>
    <w:rPr>
      <w:rFonts w:ascii="Calibri" w:eastAsia="Calibri" w:hAnsi="Calibri"/>
      <w:sz w:val="22"/>
      <w:szCs w:val="22"/>
      <w:lang w:val="sq-AL"/>
    </w:rPr>
  </w:style>
  <w:style w:type="table" w:customStyle="1" w:styleId="TableGridLight1">
    <w:name w:val="Table Grid Light1"/>
    <w:basedOn w:val="TableNormal"/>
    <w:uiPriority w:val="40"/>
    <w:rsid w:val="00C218C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DE65DA"/>
    <w:pPr>
      <w:spacing w:after="120"/>
      <w:ind w:left="360"/>
    </w:pPr>
  </w:style>
  <w:style w:type="character" w:customStyle="1" w:styleId="BodyTextIndentChar">
    <w:name w:val="Body Text Indent Char"/>
    <w:basedOn w:val="DefaultParagraphFont"/>
    <w:link w:val="BodyTextIndent"/>
    <w:semiHidden/>
    <w:rsid w:val="00DE65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1993">
      <w:bodyDiv w:val="1"/>
      <w:marLeft w:val="0"/>
      <w:marRight w:val="0"/>
      <w:marTop w:val="0"/>
      <w:marBottom w:val="0"/>
      <w:divBdr>
        <w:top w:val="none" w:sz="0" w:space="0" w:color="auto"/>
        <w:left w:val="none" w:sz="0" w:space="0" w:color="auto"/>
        <w:bottom w:val="none" w:sz="0" w:space="0" w:color="auto"/>
        <w:right w:val="none" w:sz="0" w:space="0" w:color="auto"/>
      </w:divBdr>
    </w:div>
    <w:div w:id="92016154">
      <w:bodyDiv w:val="1"/>
      <w:marLeft w:val="0"/>
      <w:marRight w:val="0"/>
      <w:marTop w:val="0"/>
      <w:marBottom w:val="0"/>
      <w:divBdr>
        <w:top w:val="none" w:sz="0" w:space="0" w:color="auto"/>
        <w:left w:val="none" w:sz="0" w:space="0" w:color="auto"/>
        <w:bottom w:val="none" w:sz="0" w:space="0" w:color="auto"/>
        <w:right w:val="none" w:sz="0" w:space="0" w:color="auto"/>
      </w:divBdr>
    </w:div>
    <w:div w:id="92241577">
      <w:bodyDiv w:val="1"/>
      <w:marLeft w:val="0"/>
      <w:marRight w:val="0"/>
      <w:marTop w:val="0"/>
      <w:marBottom w:val="0"/>
      <w:divBdr>
        <w:top w:val="none" w:sz="0" w:space="0" w:color="auto"/>
        <w:left w:val="none" w:sz="0" w:space="0" w:color="auto"/>
        <w:bottom w:val="none" w:sz="0" w:space="0" w:color="auto"/>
        <w:right w:val="none" w:sz="0" w:space="0" w:color="auto"/>
      </w:divBdr>
    </w:div>
    <w:div w:id="103233271">
      <w:bodyDiv w:val="1"/>
      <w:marLeft w:val="0"/>
      <w:marRight w:val="0"/>
      <w:marTop w:val="0"/>
      <w:marBottom w:val="0"/>
      <w:divBdr>
        <w:top w:val="none" w:sz="0" w:space="0" w:color="auto"/>
        <w:left w:val="none" w:sz="0" w:space="0" w:color="auto"/>
        <w:bottom w:val="none" w:sz="0" w:space="0" w:color="auto"/>
        <w:right w:val="none" w:sz="0" w:space="0" w:color="auto"/>
      </w:divBdr>
    </w:div>
    <w:div w:id="108549342">
      <w:bodyDiv w:val="1"/>
      <w:marLeft w:val="0"/>
      <w:marRight w:val="0"/>
      <w:marTop w:val="0"/>
      <w:marBottom w:val="0"/>
      <w:divBdr>
        <w:top w:val="none" w:sz="0" w:space="0" w:color="auto"/>
        <w:left w:val="none" w:sz="0" w:space="0" w:color="auto"/>
        <w:bottom w:val="none" w:sz="0" w:space="0" w:color="auto"/>
        <w:right w:val="none" w:sz="0" w:space="0" w:color="auto"/>
      </w:divBdr>
    </w:div>
    <w:div w:id="117726345">
      <w:bodyDiv w:val="1"/>
      <w:marLeft w:val="0"/>
      <w:marRight w:val="0"/>
      <w:marTop w:val="0"/>
      <w:marBottom w:val="0"/>
      <w:divBdr>
        <w:top w:val="none" w:sz="0" w:space="0" w:color="auto"/>
        <w:left w:val="none" w:sz="0" w:space="0" w:color="auto"/>
        <w:bottom w:val="none" w:sz="0" w:space="0" w:color="auto"/>
        <w:right w:val="none" w:sz="0" w:space="0" w:color="auto"/>
      </w:divBdr>
    </w:div>
    <w:div w:id="119997861">
      <w:bodyDiv w:val="1"/>
      <w:marLeft w:val="0"/>
      <w:marRight w:val="0"/>
      <w:marTop w:val="0"/>
      <w:marBottom w:val="0"/>
      <w:divBdr>
        <w:top w:val="none" w:sz="0" w:space="0" w:color="auto"/>
        <w:left w:val="none" w:sz="0" w:space="0" w:color="auto"/>
        <w:bottom w:val="none" w:sz="0" w:space="0" w:color="auto"/>
        <w:right w:val="none" w:sz="0" w:space="0" w:color="auto"/>
      </w:divBdr>
    </w:div>
    <w:div w:id="190992051">
      <w:bodyDiv w:val="1"/>
      <w:marLeft w:val="0"/>
      <w:marRight w:val="0"/>
      <w:marTop w:val="0"/>
      <w:marBottom w:val="0"/>
      <w:divBdr>
        <w:top w:val="none" w:sz="0" w:space="0" w:color="auto"/>
        <w:left w:val="none" w:sz="0" w:space="0" w:color="auto"/>
        <w:bottom w:val="none" w:sz="0" w:space="0" w:color="auto"/>
        <w:right w:val="none" w:sz="0" w:space="0" w:color="auto"/>
      </w:divBdr>
    </w:div>
    <w:div w:id="191920423">
      <w:bodyDiv w:val="1"/>
      <w:marLeft w:val="0"/>
      <w:marRight w:val="0"/>
      <w:marTop w:val="0"/>
      <w:marBottom w:val="0"/>
      <w:divBdr>
        <w:top w:val="none" w:sz="0" w:space="0" w:color="auto"/>
        <w:left w:val="none" w:sz="0" w:space="0" w:color="auto"/>
        <w:bottom w:val="none" w:sz="0" w:space="0" w:color="auto"/>
        <w:right w:val="none" w:sz="0" w:space="0" w:color="auto"/>
      </w:divBdr>
    </w:div>
    <w:div w:id="206913532">
      <w:bodyDiv w:val="1"/>
      <w:marLeft w:val="0"/>
      <w:marRight w:val="0"/>
      <w:marTop w:val="0"/>
      <w:marBottom w:val="0"/>
      <w:divBdr>
        <w:top w:val="none" w:sz="0" w:space="0" w:color="auto"/>
        <w:left w:val="none" w:sz="0" w:space="0" w:color="auto"/>
        <w:bottom w:val="none" w:sz="0" w:space="0" w:color="auto"/>
        <w:right w:val="none" w:sz="0" w:space="0" w:color="auto"/>
      </w:divBdr>
    </w:div>
    <w:div w:id="211160223">
      <w:bodyDiv w:val="1"/>
      <w:marLeft w:val="0"/>
      <w:marRight w:val="0"/>
      <w:marTop w:val="0"/>
      <w:marBottom w:val="0"/>
      <w:divBdr>
        <w:top w:val="none" w:sz="0" w:space="0" w:color="auto"/>
        <w:left w:val="none" w:sz="0" w:space="0" w:color="auto"/>
        <w:bottom w:val="none" w:sz="0" w:space="0" w:color="auto"/>
        <w:right w:val="none" w:sz="0" w:space="0" w:color="auto"/>
      </w:divBdr>
    </w:div>
    <w:div w:id="271474177">
      <w:bodyDiv w:val="1"/>
      <w:marLeft w:val="0"/>
      <w:marRight w:val="0"/>
      <w:marTop w:val="0"/>
      <w:marBottom w:val="0"/>
      <w:divBdr>
        <w:top w:val="none" w:sz="0" w:space="0" w:color="auto"/>
        <w:left w:val="none" w:sz="0" w:space="0" w:color="auto"/>
        <w:bottom w:val="none" w:sz="0" w:space="0" w:color="auto"/>
        <w:right w:val="none" w:sz="0" w:space="0" w:color="auto"/>
      </w:divBdr>
    </w:div>
    <w:div w:id="287131020">
      <w:bodyDiv w:val="1"/>
      <w:marLeft w:val="0"/>
      <w:marRight w:val="0"/>
      <w:marTop w:val="0"/>
      <w:marBottom w:val="0"/>
      <w:divBdr>
        <w:top w:val="none" w:sz="0" w:space="0" w:color="auto"/>
        <w:left w:val="none" w:sz="0" w:space="0" w:color="auto"/>
        <w:bottom w:val="none" w:sz="0" w:space="0" w:color="auto"/>
        <w:right w:val="none" w:sz="0" w:space="0" w:color="auto"/>
      </w:divBdr>
    </w:div>
    <w:div w:id="349259046">
      <w:bodyDiv w:val="1"/>
      <w:marLeft w:val="0"/>
      <w:marRight w:val="0"/>
      <w:marTop w:val="0"/>
      <w:marBottom w:val="0"/>
      <w:divBdr>
        <w:top w:val="none" w:sz="0" w:space="0" w:color="auto"/>
        <w:left w:val="none" w:sz="0" w:space="0" w:color="auto"/>
        <w:bottom w:val="none" w:sz="0" w:space="0" w:color="auto"/>
        <w:right w:val="none" w:sz="0" w:space="0" w:color="auto"/>
      </w:divBdr>
    </w:div>
    <w:div w:id="361829367">
      <w:bodyDiv w:val="1"/>
      <w:marLeft w:val="0"/>
      <w:marRight w:val="0"/>
      <w:marTop w:val="0"/>
      <w:marBottom w:val="0"/>
      <w:divBdr>
        <w:top w:val="none" w:sz="0" w:space="0" w:color="auto"/>
        <w:left w:val="none" w:sz="0" w:space="0" w:color="auto"/>
        <w:bottom w:val="none" w:sz="0" w:space="0" w:color="auto"/>
        <w:right w:val="none" w:sz="0" w:space="0" w:color="auto"/>
      </w:divBdr>
    </w:div>
    <w:div w:id="381371145">
      <w:bodyDiv w:val="1"/>
      <w:marLeft w:val="0"/>
      <w:marRight w:val="0"/>
      <w:marTop w:val="0"/>
      <w:marBottom w:val="0"/>
      <w:divBdr>
        <w:top w:val="none" w:sz="0" w:space="0" w:color="auto"/>
        <w:left w:val="none" w:sz="0" w:space="0" w:color="auto"/>
        <w:bottom w:val="none" w:sz="0" w:space="0" w:color="auto"/>
        <w:right w:val="none" w:sz="0" w:space="0" w:color="auto"/>
      </w:divBdr>
    </w:div>
    <w:div w:id="394817763">
      <w:bodyDiv w:val="1"/>
      <w:marLeft w:val="0"/>
      <w:marRight w:val="0"/>
      <w:marTop w:val="0"/>
      <w:marBottom w:val="0"/>
      <w:divBdr>
        <w:top w:val="none" w:sz="0" w:space="0" w:color="auto"/>
        <w:left w:val="none" w:sz="0" w:space="0" w:color="auto"/>
        <w:bottom w:val="none" w:sz="0" w:space="0" w:color="auto"/>
        <w:right w:val="none" w:sz="0" w:space="0" w:color="auto"/>
      </w:divBdr>
    </w:div>
    <w:div w:id="418673270">
      <w:bodyDiv w:val="1"/>
      <w:marLeft w:val="0"/>
      <w:marRight w:val="0"/>
      <w:marTop w:val="0"/>
      <w:marBottom w:val="0"/>
      <w:divBdr>
        <w:top w:val="none" w:sz="0" w:space="0" w:color="auto"/>
        <w:left w:val="none" w:sz="0" w:space="0" w:color="auto"/>
        <w:bottom w:val="none" w:sz="0" w:space="0" w:color="auto"/>
        <w:right w:val="none" w:sz="0" w:space="0" w:color="auto"/>
      </w:divBdr>
    </w:div>
    <w:div w:id="488860686">
      <w:bodyDiv w:val="1"/>
      <w:marLeft w:val="0"/>
      <w:marRight w:val="0"/>
      <w:marTop w:val="0"/>
      <w:marBottom w:val="0"/>
      <w:divBdr>
        <w:top w:val="none" w:sz="0" w:space="0" w:color="auto"/>
        <w:left w:val="none" w:sz="0" w:space="0" w:color="auto"/>
        <w:bottom w:val="none" w:sz="0" w:space="0" w:color="auto"/>
        <w:right w:val="none" w:sz="0" w:space="0" w:color="auto"/>
      </w:divBdr>
    </w:div>
    <w:div w:id="492918007">
      <w:bodyDiv w:val="1"/>
      <w:marLeft w:val="0"/>
      <w:marRight w:val="0"/>
      <w:marTop w:val="0"/>
      <w:marBottom w:val="0"/>
      <w:divBdr>
        <w:top w:val="none" w:sz="0" w:space="0" w:color="auto"/>
        <w:left w:val="none" w:sz="0" w:space="0" w:color="auto"/>
        <w:bottom w:val="none" w:sz="0" w:space="0" w:color="auto"/>
        <w:right w:val="none" w:sz="0" w:space="0" w:color="auto"/>
      </w:divBdr>
    </w:div>
    <w:div w:id="518735744">
      <w:bodyDiv w:val="1"/>
      <w:marLeft w:val="0"/>
      <w:marRight w:val="0"/>
      <w:marTop w:val="0"/>
      <w:marBottom w:val="0"/>
      <w:divBdr>
        <w:top w:val="none" w:sz="0" w:space="0" w:color="auto"/>
        <w:left w:val="none" w:sz="0" w:space="0" w:color="auto"/>
        <w:bottom w:val="none" w:sz="0" w:space="0" w:color="auto"/>
        <w:right w:val="none" w:sz="0" w:space="0" w:color="auto"/>
      </w:divBdr>
    </w:div>
    <w:div w:id="537932742">
      <w:bodyDiv w:val="1"/>
      <w:marLeft w:val="0"/>
      <w:marRight w:val="0"/>
      <w:marTop w:val="0"/>
      <w:marBottom w:val="0"/>
      <w:divBdr>
        <w:top w:val="none" w:sz="0" w:space="0" w:color="auto"/>
        <w:left w:val="none" w:sz="0" w:space="0" w:color="auto"/>
        <w:bottom w:val="none" w:sz="0" w:space="0" w:color="auto"/>
        <w:right w:val="none" w:sz="0" w:space="0" w:color="auto"/>
      </w:divBdr>
    </w:div>
    <w:div w:id="588580901">
      <w:bodyDiv w:val="1"/>
      <w:marLeft w:val="0"/>
      <w:marRight w:val="0"/>
      <w:marTop w:val="0"/>
      <w:marBottom w:val="0"/>
      <w:divBdr>
        <w:top w:val="none" w:sz="0" w:space="0" w:color="auto"/>
        <w:left w:val="none" w:sz="0" w:space="0" w:color="auto"/>
        <w:bottom w:val="none" w:sz="0" w:space="0" w:color="auto"/>
        <w:right w:val="none" w:sz="0" w:space="0" w:color="auto"/>
      </w:divBdr>
    </w:div>
    <w:div w:id="589697010">
      <w:bodyDiv w:val="1"/>
      <w:marLeft w:val="0"/>
      <w:marRight w:val="0"/>
      <w:marTop w:val="0"/>
      <w:marBottom w:val="0"/>
      <w:divBdr>
        <w:top w:val="none" w:sz="0" w:space="0" w:color="auto"/>
        <w:left w:val="none" w:sz="0" w:space="0" w:color="auto"/>
        <w:bottom w:val="none" w:sz="0" w:space="0" w:color="auto"/>
        <w:right w:val="none" w:sz="0" w:space="0" w:color="auto"/>
      </w:divBdr>
    </w:div>
    <w:div w:id="595984876">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643849693">
      <w:bodyDiv w:val="1"/>
      <w:marLeft w:val="0"/>
      <w:marRight w:val="0"/>
      <w:marTop w:val="0"/>
      <w:marBottom w:val="0"/>
      <w:divBdr>
        <w:top w:val="none" w:sz="0" w:space="0" w:color="auto"/>
        <w:left w:val="none" w:sz="0" w:space="0" w:color="auto"/>
        <w:bottom w:val="none" w:sz="0" w:space="0" w:color="auto"/>
        <w:right w:val="none" w:sz="0" w:space="0" w:color="auto"/>
      </w:divBdr>
    </w:div>
    <w:div w:id="649558038">
      <w:bodyDiv w:val="1"/>
      <w:marLeft w:val="0"/>
      <w:marRight w:val="0"/>
      <w:marTop w:val="0"/>
      <w:marBottom w:val="0"/>
      <w:divBdr>
        <w:top w:val="none" w:sz="0" w:space="0" w:color="auto"/>
        <w:left w:val="none" w:sz="0" w:space="0" w:color="auto"/>
        <w:bottom w:val="none" w:sz="0" w:space="0" w:color="auto"/>
        <w:right w:val="none" w:sz="0" w:space="0" w:color="auto"/>
      </w:divBdr>
    </w:div>
    <w:div w:id="663239200">
      <w:bodyDiv w:val="1"/>
      <w:marLeft w:val="0"/>
      <w:marRight w:val="0"/>
      <w:marTop w:val="0"/>
      <w:marBottom w:val="0"/>
      <w:divBdr>
        <w:top w:val="none" w:sz="0" w:space="0" w:color="auto"/>
        <w:left w:val="none" w:sz="0" w:space="0" w:color="auto"/>
        <w:bottom w:val="none" w:sz="0" w:space="0" w:color="auto"/>
        <w:right w:val="none" w:sz="0" w:space="0" w:color="auto"/>
      </w:divBdr>
    </w:div>
    <w:div w:id="687489112">
      <w:bodyDiv w:val="1"/>
      <w:marLeft w:val="0"/>
      <w:marRight w:val="0"/>
      <w:marTop w:val="0"/>
      <w:marBottom w:val="0"/>
      <w:divBdr>
        <w:top w:val="none" w:sz="0" w:space="0" w:color="auto"/>
        <w:left w:val="none" w:sz="0" w:space="0" w:color="auto"/>
        <w:bottom w:val="none" w:sz="0" w:space="0" w:color="auto"/>
        <w:right w:val="none" w:sz="0" w:space="0" w:color="auto"/>
      </w:divBdr>
    </w:div>
    <w:div w:id="766265538">
      <w:bodyDiv w:val="1"/>
      <w:marLeft w:val="0"/>
      <w:marRight w:val="0"/>
      <w:marTop w:val="0"/>
      <w:marBottom w:val="0"/>
      <w:divBdr>
        <w:top w:val="none" w:sz="0" w:space="0" w:color="auto"/>
        <w:left w:val="none" w:sz="0" w:space="0" w:color="auto"/>
        <w:bottom w:val="none" w:sz="0" w:space="0" w:color="auto"/>
        <w:right w:val="none" w:sz="0" w:space="0" w:color="auto"/>
      </w:divBdr>
    </w:div>
    <w:div w:id="810247821">
      <w:bodyDiv w:val="1"/>
      <w:marLeft w:val="0"/>
      <w:marRight w:val="0"/>
      <w:marTop w:val="0"/>
      <w:marBottom w:val="0"/>
      <w:divBdr>
        <w:top w:val="none" w:sz="0" w:space="0" w:color="auto"/>
        <w:left w:val="none" w:sz="0" w:space="0" w:color="auto"/>
        <w:bottom w:val="none" w:sz="0" w:space="0" w:color="auto"/>
        <w:right w:val="none" w:sz="0" w:space="0" w:color="auto"/>
      </w:divBdr>
    </w:div>
    <w:div w:id="824857305">
      <w:bodyDiv w:val="1"/>
      <w:marLeft w:val="0"/>
      <w:marRight w:val="0"/>
      <w:marTop w:val="0"/>
      <w:marBottom w:val="0"/>
      <w:divBdr>
        <w:top w:val="none" w:sz="0" w:space="0" w:color="auto"/>
        <w:left w:val="none" w:sz="0" w:space="0" w:color="auto"/>
        <w:bottom w:val="none" w:sz="0" w:space="0" w:color="auto"/>
        <w:right w:val="none" w:sz="0" w:space="0" w:color="auto"/>
      </w:divBdr>
    </w:div>
    <w:div w:id="835726776">
      <w:bodyDiv w:val="1"/>
      <w:marLeft w:val="0"/>
      <w:marRight w:val="0"/>
      <w:marTop w:val="0"/>
      <w:marBottom w:val="0"/>
      <w:divBdr>
        <w:top w:val="none" w:sz="0" w:space="0" w:color="auto"/>
        <w:left w:val="none" w:sz="0" w:space="0" w:color="auto"/>
        <w:bottom w:val="none" w:sz="0" w:space="0" w:color="auto"/>
        <w:right w:val="none" w:sz="0" w:space="0" w:color="auto"/>
      </w:divBdr>
    </w:div>
    <w:div w:id="838546782">
      <w:bodyDiv w:val="1"/>
      <w:marLeft w:val="0"/>
      <w:marRight w:val="0"/>
      <w:marTop w:val="0"/>
      <w:marBottom w:val="0"/>
      <w:divBdr>
        <w:top w:val="none" w:sz="0" w:space="0" w:color="auto"/>
        <w:left w:val="none" w:sz="0" w:space="0" w:color="auto"/>
        <w:bottom w:val="none" w:sz="0" w:space="0" w:color="auto"/>
        <w:right w:val="none" w:sz="0" w:space="0" w:color="auto"/>
      </w:divBdr>
    </w:div>
    <w:div w:id="842548851">
      <w:bodyDiv w:val="1"/>
      <w:marLeft w:val="0"/>
      <w:marRight w:val="0"/>
      <w:marTop w:val="0"/>
      <w:marBottom w:val="0"/>
      <w:divBdr>
        <w:top w:val="none" w:sz="0" w:space="0" w:color="auto"/>
        <w:left w:val="none" w:sz="0" w:space="0" w:color="auto"/>
        <w:bottom w:val="none" w:sz="0" w:space="0" w:color="auto"/>
        <w:right w:val="none" w:sz="0" w:space="0" w:color="auto"/>
      </w:divBdr>
    </w:div>
    <w:div w:id="848519440">
      <w:bodyDiv w:val="1"/>
      <w:marLeft w:val="0"/>
      <w:marRight w:val="0"/>
      <w:marTop w:val="0"/>
      <w:marBottom w:val="0"/>
      <w:divBdr>
        <w:top w:val="none" w:sz="0" w:space="0" w:color="auto"/>
        <w:left w:val="none" w:sz="0" w:space="0" w:color="auto"/>
        <w:bottom w:val="none" w:sz="0" w:space="0" w:color="auto"/>
        <w:right w:val="none" w:sz="0" w:space="0" w:color="auto"/>
      </w:divBdr>
    </w:div>
    <w:div w:id="857082121">
      <w:bodyDiv w:val="1"/>
      <w:marLeft w:val="0"/>
      <w:marRight w:val="0"/>
      <w:marTop w:val="0"/>
      <w:marBottom w:val="0"/>
      <w:divBdr>
        <w:top w:val="none" w:sz="0" w:space="0" w:color="auto"/>
        <w:left w:val="none" w:sz="0" w:space="0" w:color="auto"/>
        <w:bottom w:val="none" w:sz="0" w:space="0" w:color="auto"/>
        <w:right w:val="none" w:sz="0" w:space="0" w:color="auto"/>
      </w:divBdr>
    </w:div>
    <w:div w:id="857238001">
      <w:bodyDiv w:val="1"/>
      <w:marLeft w:val="0"/>
      <w:marRight w:val="0"/>
      <w:marTop w:val="0"/>
      <w:marBottom w:val="0"/>
      <w:divBdr>
        <w:top w:val="none" w:sz="0" w:space="0" w:color="auto"/>
        <w:left w:val="none" w:sz="0" w:space="0" w:color="auto"/>
        <w:bottom w:val="none" w:sz="0" w:space="0" w:color="auto"/>
        <w:right w:val="none" w:sz="0" w:space="0" w:color="auto"/>
      </w:divBdr>
    </w:div>
    <w:div w:id="883834345">
      <w:bodyDiv w:val="1"/>
      <w:marLeft w:val="0"/>
      <w:marRight w:val="0"/>
      <w:marTop w:val="0"/>
      <w:marBottom w:val="0"/>
      <w:divBdr>
        <w:top w:val="none" w:sz="0" w:space="0" w:color="auto"/>
        <w:left w:val="none" w:sz="0" w:space="0" w:color="auto"/>
        <w:bottom w:val="none" w:sz="0" w:space="0" w:color="auto"/>
        <w:right w:val="none" w:sz="0" w:space="0" w:color="auto"/>
      </w:divBdr>
    </w:div>
    <w:div w:id="914709305">
      <w:bodyDiv w:val="1"/>
      <w:marLeft w:val="0"/>
      <w:marRight w:val="0"/>
      <w:marTop w:val="0"/>
      <w:marBottom w:val="0"/>
      <w:divBdr>
        <w:top w:val="none" w:sz="0" w:space="0" w:color="auto"/>
        <w:left w:val="none" w:sz="0" w:space="0" w:color="auto"/>
        <w:bottom w:val="none" w:sz="0" w:space="0" w:color="auto"/>
        <w:right w:val="none" w:sz="0" w:space="0" w:color="auto"/>
      </w:divBdr>
    </w:div>
    <w:div w:id="917132171">
      <w:bodyDiv w:val="1"/>
      <w:marLeft w:val="0"/>
      <w:marRight w:val="0"/>
      <w:marTop w:val="0"/>
      <w:marBottom w:val="0"/>
      <w:divBdr>
        <w:top w:val="none" w:sz="0" w:space="0" w:color="auto"/>
        <w:left w:val="none" w:sz="0" w:space="0" w:color="auto"/>
        <w:bottom w:val="none" w:sz="0" w:space="0" w:color="auto"/>
        <w:right w:val="none" w:sz="0" w:space="0" w:color="auto"/>
      </w:divBdr>
    </w:div>
    <w:div w:id="961495576">
      <w:bodyDiv w:val="1"/>
      <w:marLeft w:val="0"/>
      <w:marRight w:val="0"/>
      <w:marTop w:val="0"/>
      <w:marBottom w:val="0"/>
      <w:divBdr>
        <w:top w:val="none" w:sz="0" w:space="0" w:color="auto"/>
        <w:left w:val="none" w:sz="0" w:space="0" w:color="auto"/>
        <w:bottom w:val="none" w:sz="0" w:space="0" w:color="auto"/>
        <w:right w:val="none" w:sz="0" w:space="0" w:color="auto"/>
      </w:divBdr>
    </w:div>
    <w:div w:id="981424733">
      <w:bodyDiv w:val="1"/>
      <w:marLeft w:val="0"/>
      <w:marRight w:val="0"/>
      <w:marTop w:val="0"/>
      <w:marBottom w:val="0"/>
      <w:divBdr>
        <w:top w:val="none" w:sz="0" w:space="0" w:color="auto"/>
        <w:left w:val="none" w:sz="0" w:space="0" w:color="auto"/>
        <w:bottom w:val="none" w:sz="0" w:space="0" w:color="auto"/>
        <w:right w:val="none" w:sz="0" w:space="0" w:color="auto"/>
      </w:divBdr>
    </w:div>
    <w:div w:id="982196063">
      <w:bodyDiv w:val="1"/>
      <w:marLeft w:val="0"/>
      <w:marRight w:val="0"/>
      <w:marTop w:val="0"/>
      <w:marBottom w:val="0"/>
      <w:divBdr>
        <w:top w:val="none" w:sz="0" w:space="0" w:color="auto"/>
        <w:left w:val="none" w:sz="0" w:space="0" w:color="auto"/>
        <w:bottom w:val="none" w:sz="0" w:space="0" w:color="auto"/>
        <w:right w:val="none" w:sz="0" w:space="0" w:color="auto"/>
      </w:divBdr>
    </w:div>
    <w:div w:id="996497941">
      <w:bodyDiv w:val="1"/>
      <w:marLeft w:val="0"/>
      <w:marRight w:val="0"/>
      <w:marTop w:val="0"/>
      <w:marBottom w:val="0"/>
      <w:divBdr>
        <w:top w:val="none" w:sz="0" w:space="0" w:color="auto"/>
        <w:left w:val="none" w:sz="0" w:space="0" w:color="auto"/>
        <w:bottom w:val="none" w:sz="0" w:space="0" w:color="auto"/>
        <w:right w:val="none" w:sz="0" w:space="0" w:color="auto"/>
      </w:divBdr>
    </w:div>
    <w:div w:id="1005129194">
      <w:bodyDiv w:val="1"/>
      <w:marLeft w:val="0"/>
      <w:marRight w:val="0"/>
      <w:marTop w:val="0"/>
      <w:marBottom w:val="0"/>
      <w:divBdr>
        <w:top w:val="none" w:sz="0" w:space="0" w:color="auto"/>
        <w:left w:val="none" w:sz="0" w:space="0" w:color="auto"/>
        <w:bottom w:val="none" w:sz="0" w:space="0" w:color="auto"/>
        <w:right w:val="none" w:sz="0" w:space="0" w:color="auto"/>
      </w:divBdr>
    </w:div>
    <w:div w:id="1012955059">
      <w:bodyDiv w:val="1"/>
      <w:marLeft w:val="0"/>
      <w:marRight w:val="0"/>
      <w:marTop w:val="0"/>
      <w:marBottom w:val="0"/>
      <w:divBdr>
        <w:top w:val="none" w:sz="0" w:space="0" w:color="auto"/>
        <w:left w:val="none" w:sz="0" w:space="0" w:color="auto"/>
        <w:bottom w:val="none" w:sz="0" w:space="0" w:color="auto"/>
        <w:right w:val="none" w:sz="0" w:space="0" w:color="auto"/>
      </w:divBdr>
    </w:div>
    <w:div w:id="1022558663">
      <w:bodyDiv w:val="1"/>
      <w:marLeft w:val="0"/>
      <w:marRight w:val="0"/>
      <w:marTop w:val="0"/>
      <w:marBottom w:val="0"/>
      <w:divBdr>
        <w:top w:val="none" w:sz="0" w:space="0" w:color="auto"/>
        <w:left w:val="none" w:sz="0" w:space="0" w:color="auto"/>
        <w:bottom w:val="none" w:sz="0" w:space="0" w:color="auto"/>
        <w:right w:val="none" w:sz="0" w:space="0" w:color="auto"/>
      </w:divBdr>
    </w:div>
    <w:div w:id="1041826347">
      <w:bodyDiv w:val="1"/>
      <w:marLeft w:val="0"/>
      <w:marRight w:val="0"/>
      <w:marTop w:val="0"/>
      <w:marBottom w:val="0"/>
      <w:divBdr>
        <w:top w:val="none" w:sz="0" w:space="0" w:color="auto"/>
        <w:left w:val="none" w:sz="0" w:space="0" w:color="auto"/>
        <w:bottom w:val="none" w:sz="0" w:space="0" w:color="auto"/>
        <w:right w:val="none" w:sz="0" w:space="0" w:color="auto"/>
      </w:divBdr>
    </w:div>
    <w:div w:id="1043290038">
      <w:bodyDiv w:val="1"/>
      <w:marLeft w:val="0"/>
      <w:marRight w:val="0"/>
      <w:marTop w:val="0"/>
      <w:marBottom w:val="0"/>
      <w:divBdr>
        <w:top w:val="none" w:sz="0" w:space="0" w:color="auto"/>
        <w:left w:val="none" w:sz="0" w:space="0" w:color="auto"/>
        <w:bottom w:val="none" w:sz="0" w:space="0" w:color="auto"/>
        <w:right w:val="none" w:sz="0" w:space="0" w:color="auto"/>
      </w:divBdr>
    </w:div>
    <w:div w:id="1102871651">
      <w:bodyDiv w:val="1"/>
      <w:marLeft w:val="0"/>
      <w:marRight w:val="0"/>
      <w:marTop w:val="0"/>
      <w:marBottom w:val="0"/>
      <w:divBdr>
        <w:top w:val="none" w:sz="0" w:space="0" w:color="auto"/>
        <w:left w:val="none" w:sz="0" w:space="0" w:color="auto"/>
        <w:bottom w:val="none" w:sz="0" w:space="0" w:color="auto"/>
        <w:right w:val="none" w:sz="0" w:space="0" w:color="auto"/>
      </w:divBdr>
    </w:div>
    <w:div w:id="1109548126">
      <w:bodyDiv w:val="1"/>
      <w:marLeft w:val="0"/>
      <w:marRight w:val="0"/>
      <w:marTop w:val="0"/>
      <w:marBottom w:val="0"/>
      <w:divBdr>
        <w:top w:val="none" w:sz="0" w:space="0" w:color="auto"/>
        <w:left w:val="none" w:sz="0" w:space="0" w:color="auto"/>
        <w:bottom w:val="none" w:sz="0" w:space="0" w:color="auto"/>
        <w:right w:val="none" w:sz="0" w:space="0" w:color="auto"/>
      </w:divBdr>
    </w:div>
    <w:div w:id="1120299071">
      <w:bodyDiv w:val="1"/>
      <w:marLeft w:val="0"/>
      <w:marRight w:val="0"/>
      <w:marTop w:val="0"/>
      <w:marBottom w:val="0"/>
      <w:divBdr>
        <w:top w:val="none" w:sz="0" w:space="0" w:color="auto"/>
        <w:left w:val="none" w:sz="0" w:space="0" w:color="auto"/>
        <w:bottom w:val="none" w:sz="0" w:space="0" w:color="auto"/>
        <w:right w:val="none" w:sz="0" w:space="0" w:color="auto"/>
      </w:divBdr>
    </w:div>
    <w:div w:id="1140537741">
      <w:bodyDiv w:val="1"/>
      <w:marLeft w:val="0"/>
      <w:marRight w:val="0"/>
      <w:marTop w:val="0"/>
      <w:marBottom w:val="0"/>
      <w:divBdr>
        <w:top w:val="none" w:sz="0" w:space="0" w:color="auto"/>
        <w:left w:val="none" w:sz="0" w:space="0" w:color="auto"/>
        <w:bottom w:val="none" w:sz="0" w:space="0" w:color="auto"/>
        <w:right w:val="none" w:sz="0" w:space="0" w:color="auto"/>
      </w:divBdr>
    </w:div>
    <w:div w:id="1195727153">
      <w:bodyDiv w:val="1"/>
      <w:marLeft w:val="0"/>
      <w:marRight w:val="0"/>
      <w:marTop w:val="0"/>
      <w:marBottom w:val="0"/>
      <w:divBdr>
        <w:top w:val="none" w:sz="0" w:space="0" w:color="auto"/>
        <w:left w:val="none" w:sz="0" w:space="0" w:color="auto"/>
        <w:bottom w:val="none" w:sz="0" w:space="0" w:color="auto"/>
        <w:right w:val="none" w:sz="0" w:space="0" w:color="auto"/>
      </w:divBdr>
    </w:div>
    <w:div w:id="1206059152">
      <w:bodyDiv w:val="1"/>
      <w:marLeft w:val="0"/>
      <w:marRight w:val="0"/>
      <w:marTop w:val="0"/>
      <w:marBottom w:val="0"/>
      <w:divBdr>
        <w:top w:val="none" w:sz="0" w:space="0" w:color="auto"/>
        <w:left w:val="none" w:sz="0" w:space="0" w:color="auto"/>
        <w:bottom w:val="none" w:sz="0" w:space="0" w:color="auto"/>
        <w:right w:val="none" w:sz="0" w:space="0" w:color="auto"/>
      </w:divBdr>
    </w:div>
    <w:div w:id="1221134825">
      <w:bodyDiv w:val="1"/>
      <w:marLeft w:val="0"/>
      <w:marRight w:val="0"/>
      <w:marTop w:val="0"/>
      <w:marBottom w:val="0"/>
      <w:divBdr>
        <w:top w:val="none" w:sz="0" w:space="0" w:color="auto"/>
        <w:left w:val="none" w:sz="0" w:space="0" w:color="auto"/>
        <w:bottom w:val="none" w:sz="0" w:space="0" w:color="auto"/>
        <w:right w:val="none" w:sz="0" w:space="0" w:color="auto"/>
      </w:divBdr>
    </w:div>
    <w:div w:id="1258097173">
      <w:bodyDiv w:val="1"/>
      <w:marLeft w:val="0"/>
      <w:marRight w:val="0"/>
      <w:marTop w:val="0"/>
      <w:marBottom w:val="0"/>
      <w:divBdr>
        <w:top w:val="none" w:sz="0" w:space="0" w:color="auto"/>
        <w:left w:val="none" w:sz="0" w:space="0" w:color="auto"/>
        <w:bottom w:val="none" w:sz="0" w:space="0" w:color="auto"/>
        <w:right w:val="none" w:sz="0" w:space="0" w:color="auto"/>
      </w:divBdr>
    </w:div>
    <w:div w:id="1272085855">
      <w:bodyDiv w:val="1"/>
      <w:marLeft w:val="0"/>
      <w:marRight w:val="0"/>
      <w:marTop w:val="0"/>
      <w:marBottom w:val="0"/>
      <w:divBdr>
        <w:top w:val="none" w:sz="0" w:space="0" w:color="auto"/>
        <w:left w:val="none" w:sz="0" w:space="0" w:color="auto"/>
        <w:bottom w:val="none" w:sz="0" w:space="0" w:color="auto"/>
        <w:right w:val="none" w:sz="0" w:space="0" w:color="auto"/>
      </w:divBdr>
    </w:div>
    <w:div w:id="1281495008">
      <w:bodyDiv w:val="1"/>
      <w:marLeft w:val="0"/>
      <w:marRight w:val="0"/>
      <w:marTop w:val="0"/>
      <w:marBottom w:val="0"/>
      <w:divBdr>
        <w:top w:val="none" w:sz="0" w:space="0" w:color="auto"/>
        <w:left w:val="none" w:sz="0" w:space="0" w:color="auto"/>
        <w:bottom w:val="none" w:sz="0" w:space="0" w:color="auto"/>
        <w:right w:val="none" w:sz="0" w:space="0" w:color="auto"/>
      </w:divBdr>
    </w:div>
    <w:div w:id="1317806120">
      <w:bodyDiv w:val="1"/>
      <w:marLeft w:val="0"/>
      <w:marRight w:val="0"/>
      <w:marTop w:val="0"/>
      <w:marBottom w:val="0"/>
      <w:divBdr>
        <w:top w:val="none" w:sz="0" w:space="0" w:color="auto"/>
        <w:left w:val="none" w:sz="0" w:space="0" w:color="auto"/>
        <w:bottom w:val="none" w:sz="0" w:space="0" w:color="auto"/>
        <w:right w:val="none" w:sz="0" w:space="0" w:color="auto"/>
      </w:divBdr>
    </w:div>
    <w:div w:id="1328748082">
      <w:bodyDiv w:val="1"/>
      <w:marLeft w:val="0"/>
      <w:marRight w:val="0"/>
      <w:marTop w:val="0"/>
      <w:marBottom w:val="0"/>
      <w:divBdr>
        <w:top w:val="none" w:sz="0" w:space="0" w:color="auto"/>
        <w:left w:val="none" w:sz="0" w:space="0" w:color="auto"/>
        <w:bottom w:val="none" w:sz="0" w:space="0" w:color="auto"/>
        <w:right w:val="none" w:sz="0" w:space="0" w:color="auto"/>
      </w:divBdr>
    </w:div>
    <w:div w:id="1339230285">
      <w:bodyDiv w:val="1"/>
      <w:marLeft w:val="0"/>
      <w:marRight w:val="0"/>
      <w:marTop w:val="0"/>
      <w:marBottom w:val="0"/>
      <w:divBdr>
        <w:top w:val="none" w:sz="0" w:space="0" w:color="auto"/>
        <w:left w:val="none" w:sz="0" w:space="0" w:color="auto"/>
        <w:bottom w:val="none" w:sz="0" w:space="0" w:color="auto"/>
        <w:right w:val="none" w:sz="0" w:space="0" w:color="auto"/>
      </w:divBdr>
    </w:div>
    <w:div w:id="1353605105">
      <w:bodyDiv w:val="1"/>
      <w:marLeft w:val="0"/>
      <w:marRight w:val="0"/>
      <w:marTop w:val="0"/>
      <w:marBottom w:val="0"/>
      <w:divBdr>
        <w:top w:val="none" w:sz="0" w:space="0" w:color="auto"/>
        <w:left w:val="none" w:sz="0" w:space="0" w:color="auto"/>
        <w:bottom w:val="none" w:sz="0" w:space="0" w:color="auto"/>
        <w:right w:val="none" w:sz="0" w:space="0" w:color="auto"/>
      </w:divBdr>
    </w:div>
    <w:div w:id="1359311466">
      <w:bodyDiv w:val="1"/>
      <w:marLeft w:val="0"/>
      <w:marRight w:val="0"/>
      <w:marTop w:val="0"/>
      <w:marBottom w:val="0"/>
      <w:divBdr>
        <w:top w:val="none" w:sz="0" w:space="0" w:color="auto"/>
        <w:left w:val="none" w:sz="0" w:space="0" w:color="auto"/>
        <w:bottom w:val="none" w:sz="0" w:space="0" w:color="auto"/>
        <w:right w:val="none" w:sz="0" w:space="0" w:color="auto"/>
      </w:divBdr>
    </w:div>
    <w:div w:id="1400709134">
      <w:bodyDiv w:val="1"/>
      <w:marLeft w:val="0"/>
      <w:marRight w:val="0"/>
      <w:marTop w:val="0"/>
      <w:marBottom w:val="0"/>
      <w:divBdr>
        <w:top w:val="none" w:sz="0" w:space="0" w:color="auto"/>
        <w:left w:val="none" w:sz="0" w:space="0" w:color="auto"/>
        <w:bottom w:val="none" w:sz="0" w:space="0" w:color="auto"/>
        <w:right w:val="none" w:sz="0" w:space="0" w:color="auto"/>
      </w:divBdr>
    </w:div>
    <w:div w:id="1408455361">
      <w:bodyDiv w:val="1"/>
      <w:marLeft w:val="0"/>
      <w:marRight w:val="0"/>
      <w:marTop w:val="0"/>
      <w:marBottom w:val="0"/>
      <w:divBdr>
        <w:top w:val="none" w:sz="0" w:space="0" w:color="auto"/>
        <w:left w:val="none" w:sz="0" w:space="0" w:color="auto"/>
        <w:bottom w:val="none" w:sz="0" w:space="0" w:color="auto"/>
        <w:right w:val="none" w:sz="0" w:space="0" w:color="auto"/>
      </w:divBdr>
    </w:div>
    <w:div w:id="1428847725">
      <w:bodyDiv w:val="1"/>
      <w:marLeft w:val="0"/>
      <w:marRight w:val="0"/>
      <w:marTop w:val="0"/>
      <w:marBottom w:val="0"/>
      <w:divBdr>
        <w:top w:val="none" w:sz="0" w:space="0" w:color="auto"/>
        <w:left w:val="none" w:sz="0" w:space="0" w:color="auto"/>
        <w:bottom w:val="none" w:sz="0" w:space="0" w:color="auto"/>
        <w:right w:val="none" w:sz="0" w:space="0" w:color="auto"/>
      </w:divBdr>
    </w:div>
    <w:div w:id="1430006228">
      <w:bodyDiv w:val="1"/>
      <w:marLeft w:val="0"/>
      <w:marRight w:val="0"/>
      <w:marTop w:val="0"/>
      <w:marBottom w:val="0"/>
      <w:divBdr>
        <w:top w:val="none" w:sz="0" w:space="0" w:color="auto"/>
        <w:left w:val="none" w:sz="0" w:space="0" w:color="auto"/>
        <w:bottom w:val="none" w:sz="0" w:space="0" w:color="auto"/>
        <w:right w:val="none" w:sz="0" w:space="0" w:color="auto"/>
      </w:divBdr>
    </w:div>
    <w:div w:id="1444108439">
      <w:bodyDiv w:val="1"/>
      <w:marLeft w:val="0"/>
      <w:marRight w:val="0"/>
      <w:marTop w:val="0"/>
      <w:marBottom w:val="0"/>
      <w:divBdr>
        <w:top w:val="none" w:sz="0" w:space="0" w:color="auto"/>
        <w:left w:val="none" w:sz="0" w:space="0" w:color="auto"/>
        <w:bottom w:val="none" w:sz="0" w:space="0" w:color="auto"/>
        <w:right w:val="none" w:sz="0" w:space="0" w:color="auto"/>
      </w:divBdr>
    </w:div>
    <w:div w:id="1497114657">
      <w:bodyDiv w:val="1"/>
      <w:marLeft w:val="0"/>
      <w:marRight w:val="0"/>
      <w:marTop w:val="0"/>
      <w:marBottom w:val="0"/>
      <w:divBdr>
        <w:top w:val="none" w:sz="0" w:space="0" w:color="auto"/>
        <w:left w:val="none" w:sz="0" w:space="0" w:color="auto"/>
        <w:bottom w:val="none" w:sz="0" w:space="0" w:color="auto"/>
        <w:right w:val="none" w:sz="0" w:space="0" w:color="auto"/>
      </w:divBdr>
    </w:div>
    <w:div w:id="1501039065">
      <w:bodyDiv w:val="1"/>
      <w:marLeft w:val="0"/>
      <w:marRight w:val="0"/>
      <w:marTop w:val="0"/>
      <w:marBottom w:val="0"/>
      <w:divBdr>
        <w:top w:val="none" w:sz="0" w:space="0" w:color="auto"/>
        <w:left w:val="none" w:sz="0" w:space="0" w:color="auto"/>
        <w:bottom w:val="none" w:sz="0" w:space="0" w:color="auto"/>
        <w:right w:val="none" w:sz="0" w:space="0" w:color="auto"/>
      </w:divBdr>
    </w:div>
    <w:div w:id="1551722751">
      <w:bodyDiv w:val="1"/>
      <w:marLeft w:val="0"/>
      <w:marRight w:val="0"/>
      <w:marTop w:val="0"/>
      <w:marBottom w:val="0"/>
      <w:divBdr>
        <w:top w:val="none" w:sz="0" w:space="0" w:color="auto"/>
        <w:left w:val="none" w:sz="0" w:space="0" w:color="auto"/>
        <w:bottom w:val="none" w:sz="0" w:space="0" w:color="auto"/>
        <w:right w:val="none" w:sz="0" w:space="0" w:color="auto"/>
      </w:divBdr>
    </w:div>
    <w:div w:id="1556769733">
      <w:bodyDiv w:val="1"/>
      <w:marLeft w:val="0"/>
      <w:marRight w:val="0"/>
      <w:marTop w:val="0"/>
      <w:marBottom w:val="0"/>
      <w:divBdr>
        <w:top w:val="none" w:sz="0" w:space="0" w:color="auto"/>
        <w:left w:val="none" w:sz="0" w:space="0" w:color="auto"/>
        <w:bottom w:val="none" w:sz="0" w:space="0" w:color="auto"/>
        <w:right w:val="none" w:sz="0" w:space="0" w:color="auto"/>
      </w:divBdr>
    </w:div>
    <w:div w:id="1581326478">
      <w:bodyDiv w:val="1"/>
      <w:marLeft w:val="0"/>
      <w:marRight w:val="0"/>
      <w:marTop w:val="0"/>
      <w:marBottom w:val="0"/>
      <w:divBdr>
        <w:top w:val="none" w:sz="0" w:space="0" w:color="auto"/>
        <w:left w:val="none" w:sz="0" w:space="0" w:color="auto"/>
        <w:bottom w:val="none" w:sz="0" w:space="0" w:color="auto"/>
        <w:right w:val="none" w:sz="0" w:space="0" w:color="auto"/>
      </w:divBdr>
    </w:div>
    <w:div w:id="1589192310">
      <w:bodyDiv w:val="1"/>
      <w:marLeft w:val="0"/>
      <w:marRight w:val="0"/>
      <w:marTop w:val="0"/>
      <w:marBottom w:val="0"/>
      <w:divBdr>
        <w:top w:val="none" w:sz="0" w:space="0" w:color="auto"/>
        <w:left w:val="none" w:sz="0" w:space="0" w:color="auto"/>
        <w:bottom w:val="none" w:sz="0" w:space="0" w:color="auto"/>
        <w:right w:val="none" w:sz="0" w:space="0" w:color="auto"/>
      </w:divBdr>
    </w:div>
    <w:div w:id="1594127771">
      <w:bodyDiv w:val="1"/>
      <w:marLeft w:val="0"/>
      <w:marRight w:val="0"/>
      <w:marTop w:val="0"/>
      <w:marBottom w:val="0"/>
      <w:divBdr>
        <w:top w:val="none" w:sz="0" w:space="0" w:color="auto"/>
        <w:left w:val="none" w:sz="0" w:space="0" w:color="auto"/>
        <w:bottom w:val="none" w:sz="0" w:space="0" w:color="auto"/>
        <w:right w:val="none" w:sz="0" w:space="0" w:color="auto"/>
      </w:divBdr>
    </w:div>
    <w:div w:id="1626615675">
      <w:bodyDiv w:val="1"/>
      <w:marLeft w:val="0"/>
      <w:marRight w:val="0"/>
      <w:marTop w:val="0"/>
      <w:marBottom w:val="0"/>
      <w:divBdr>
        <w:top w:val="none" w:sz="0" w:space="0" w:color="auto"/>
        <w:left w:val="none" w:sz="0" w:space="0" w:color="auto"/>
        <w:bottom w:val="none" w:sz="0" w:space="0" w:color="auto"/>
        <w:right w:val="none" w:sz="0" w:space="0" w:color="auto"/>
      </w:divBdr>
    </w:div>
    <w:div w:id="1639991056">
      <w:bodyDiv w:val="1"/>
      <w:marLeft w:val="0"/>
      <w:marRight w:val="0"/>
      <w:marTop w:val="0"/>
      <w:marBottom w:val="0"/>
      <w:divBdr>
        <w:top w:val="none" w:sz="0" w:space="0" w:color="auto"/>
        <w:left w:val="none" w:sz="0" w:space="0" w:color="auto"/>
        <w:bottom w:val="none" w:sz="0" w:space="0" w:color="auto"/>
        <w:right w:val="none" w:sz="0" w:space="0" w:color="auto"/>
      </w:divBdr>
    </w:div>
    <w:div w:id="1680348646">
      <w:bodyDiv w:val="1"/>
      <w:marLeft w:val="0"/>
      <w:marRight w:val="0"/>
      <w:marTop w:val="0"/>
      <w:marBottom w:val="0"/>
      <w:divBdr>
        <w:top w:val="none" w:sz="0" w:space="0" w:color="auto"/>
        <w:left w:val="none" w:sz="0" w:space="0" w:color="auto"/>
        <w:bottom w:val="none" w:sz="0" w:space="0" w:color="auto"/>
        <w:right w:val="none" w:sz="0" w:space="0" w:color="auto"/>
      </w:divBdr>
    </w:div>
    <w:div w:id="1720663514">
      <w:bodyDiv w:val="1"/>
      <w:marLeft w:val="0"/>
      <w:marRight w:val="0"/>
      <w:marTop w:val="0"/>
      <w:marBottom w:val="0"/>
      <w:divBdr>
        <w:top w:val="none" w:sz="0" w:space="0" w:color="auto"/>
        <w:left w:val="none" w:sz="0" w:space="0" w:color="auto"/>
        <w:bottom w:val="none" w:sz="0" w:space="0" w:color="auto"/>
        <w:right w:val="none" w:sz="0" w:space="0" w:color="auto"/>
      </w:divBdr>
    </w:div>
    <w:div w:id="1751925277">
      <w:bodyDiv w:val="1"/>
      <w:marLeft w:val="0"/>
      <w:marRight w:val="0"/>
      <w:marTop w:val="0"/>
      <w:marBottom w:val="0"/>
      <w:divBdr>
        <w:top w:val="none" w:sz="0" w:space="0" w:color="auto"/>
        <w:left w:val="none" w:sz="0" w:space="0" w:color="auto"/>
        <w:bottom w:val="none" w:sz="0" w:space="0" w:color="auto"/>
        <w:right w:val="none" w:sz="0" w:space="0" w:color="auto"/>
      </w:divBdr>
    </w:div>
    <w:div w:id="1758670029">
      <w:bodyDiv w:val="1"/>
      <w:marLeft w:val="0"/>
      <w:marRight w:val="0"/>
      <w:marTop w:val="0"/>
      <w:marBottom w:val="0"/>
      <w:divBdr>
        <w:top w:val="none" w:sz="0" w:space="0" w:color="auto"/>
        <w:left w:val="none" w:sz="0" w:space="0" w:color="auto"/>
        <w:bottom w:val="none" w:sz="0" w:space="0" w:color="auto"/>
        <w:right w:val="none" w:sz="0" w:space="0" w:color="auto"/>
      </w:divBdr>
    </w:div>
    <w:div w:id="1761833464">
      <w:bodyDiv w:val="1"/>
      <w:marLeft w:val="0"/>
      <w:marRight w:val="0"/>
      <w:marTop w:val="0"/>
      <w:marBottom w:val="0"/>
      <w:divBdr>
        <w:top w:val="none" w:sz="0" w:space="0" w:color="auto"/>
        <w:left w:val="none" w:sz="0" w:space="0" w:color="auto"/>
        <w:bottom w:val="none" w:sz="0" w:space="0" w:color="auto"/>
        <w:right w:val="none" w:sz="0" w:space="0" w:color="auto"/>
      </w:divBdr>
    </w:div>
    <w:div w:id="1770345500">
      <w:bodyDiv w:val="1"/>
      <w:marLeft w:val="0"/>
      <w:marRight w:val="0"/>
      <w:marTop w:val="0"/>
      <w:marBottom w:val="0"/>
      <w:divBdr>
        <w:top w:val="none" w:sz="0" w:space="0" w:color="auto"/>
        <w:left w:val="none" w:sz="0" w:space="0" w:color="auto"/>
        <w:bottom w:val="none" w:sz="0" w:space="0" w:color="auto"/>
        <w:right w:val="none" w:sz="0" w:space="0" w:color="auto"/>
      </w:divBdr>
    </w:div>
    <w:div w:id="1831484850">
      <w:bodyDiv w:val="1"/>
      <w:marLeft w:val="0"/>
      <w:marRight w:val="0"/>
      <w:marTop w:val="0"/>
      <w:marBottom w:val="0"/>
      <w:divBdr>
        <w:top w:val="none" w:sz="0" w:space="0" w:color="auto"/>
        <w:left w:val="none" w:sz="0" w:space="0" w:color="auto"/>
        <w:bottom w:val="none" w:sz="0" w:space="0" w:color="auto"/>
        <w:right w:val="none" w:sz="0" w:space="0" w:color="auto"/>
      </w:divBdr>
    </w:div>
    <w:div w:id="1839954909">
      <w:bodyDiv w:val="1"/>
      <w:marLeft w:val="0"/>
      <w:marRight w:val="0"/>
      <w:marTop w:val="0"/>
      <w:marBottom w:val="0"/>
      <w:divBdr>
        <w:top w:val="none" w:sz="0" w:space="0" w:color="auto"/>
        <w:left w:val="none" w:sz="0" w:space="0" w:color="auto"/>
        <w:bottom w:val="none" w:sz="0" w:space="0" w:color="auto"/>
        <w:right w:val="none" w:sz="0" w:space="0" w:color="auto"/>
      </w:divBdr>
    </w:div>
    <w:div w:id="1841000970">
      <w:bodyDiv w:val="1"/>
      <w:marLeft w:val="0"/>
      <w:marRight w:val="0"/>
      <w:marTop w:val="0"/>
      <w:marBottom w:val="0"/>
      <w:divBdr>
        <w:top w:val="none" w:sz="0" w:space="0" w:color="auto"/>
        <w:left w:val="none" w:sz="0" w:space="0" w:color="auto"/>
        <w:bottom w:val="none" w:sz="0" w:space="0" w:color="auto"/>
        <w:right w:val="none" w:sz="0" w:space="0" w:color="auto"/>
      </w:divBdr>
    </w:div>
    <w:div w:id="1858036812">
      <w:bodyDiv w:val="1"/>
      <w:marLeft w:val="0"/>
      <w:marRight w:val="0"/>
      <w:marTop w:val="0"/>
      <w:marBottom w:val="0"/>
      <w:divBdr>
        <w:top w:val="none" w:sz="0" w:space="0" w:color="auto"/>
        <w:left w:val="none" w:sz="0" w:space="0" w:color="auto"/>
        <w:bottom w:val="none" w:sz="0" w:space="0" w:color="auto"/>
        <w:right w:val="none" w:sz="0" w:space="0" w:color="auto"/>
      </w:divBdr>
    </w:div>
    <w:div w:id="1884948819">
      <w:bodyDiv w:val="1"/>
      <w:marLeft w:val="0"/>
      <w:marRight w:val="0"/>
      <w:marTop w:val="0"/>
      <w:marBottom w:val="0"/>
      <w:divBdr>
        <w:top w:val="none" w:sz="0" w:space="0" w:color="auto"/>
        <w:left w:val="none" w:sz="0" w:space="0" w:color="auto"/>
        <w:bottom w:val="none" w:sz="0" w:space="0" w:color="auto"/>
        <w:right w:val="none" w:sz="0" w:space="0" w:color="auto"/>
      </w:divBdr>
    </w:div>
    <w:div w:id="1914314648">
      <w:bodyDiv w:val="1"/>
      <w:marLeft w:val="0"/>
      <w:marRight w:val="0"/>
      <w:marTop w:val="0"/>
      <w:marBottom w:val="0"/>
      <w:divBdr>
        <w:top w:val="none" w:sz="0" w:space="0" w:color="auto"/>
        <w:left w:val="none" w:sz="0" w:space="0" w:color="auto"/>
        <w:bottom w:val="none" w:sz="0" w:space="0" w:color="auto"/>
        <w:right w:val="none" w:sz="0" w:space="0" w:color="auto"/>
      </w:divBdr>
    </w:div>
    <w:div w:id="1939605409">
      <w:bodyDiv w:val="1"/>
      <w:marLeft w:val="0"/>
      <w:marRight w:val="0"/>
      <w:marTop w:val="0"/>
      <w:marBottom w:val="0"/>
      <w:divBdr>
        <w:top w:val="none" w:sz="0" w:space="0" w:color="auto"/>
        <w:left w:val="none" w:sz="0" w:space="0" w:color="auto"/>
        <w:bottom w:val="none" w:sz="0" w:space="0" w:color="auto"/>
        <w:right w:val="none" w:sz="0" w:space="0" w:color="auto"/>
      </w:divBdr>
    </w:div>
    <w:div w:id="1961103358">
      <w:bodyDiv w:val="1"/>
      <w:marLeft w:val="0"/>
      <w:marRight w:val="0"/>
      <w:marTop w:val="0"/>
      <w:marBottom w:val="0"/>
      <w:divBdr>
        <w:top w:val="none" w:sz="0" w:space="0" w:color="auto"/>
        <w:left w:val="none" w:sz="0" w:space="0" w:color="auto"/>
        <w:bottom w:val="none" w:sz="0" w:space="0" w:color="auto"/>
        <w:right w:val="none" w:sz="0" w:space="0" w:color="auto"/>
      </w:divBdr>
    </w:div>
    <w:div w:id="1984891342">
      <w:bodyDiv w:val="1"/>
      <w:marLeft w:val="0"/>
      <w:marRight w:val="0"/>
      <w:marTop w:val="0"/>
      <w:marBottom w:val="0"/>
      <w:divBdr>
        <w:top w:val="none" w:sz="0" w:space="0" w:color="auto"/>
        <w:left w:val="none" w:sz="0" w:space="0" w:color="auto"/>
        <w:bottom w:val="none" w:sz="0" w:space="0" w:color="auto"/>
        <w:right w:val="none" w:sz="0" w:space="0" w:color="auto"/>
      </w:divBdr>
    </w:div>
    <w:div w:id="1991595699">
      <w:bodyDiv w:val="1"/>
      <w:marLeft w:val="0"/>
      <w:marRight w:val="0"/>
      <w:marTop w:val="0"/>
      <w:marBottom w:val="0"/>
      <w:divBdr>
        <w:top w:val="none" w:sz="0" w:space="0" w:color="auto"/>
        <w:left w:val="none" w:sz="0" w:space="0" w:color="auto"/>
        <w:bottom w:val="none" w:sz="0" w:space="0" w:color="auto"/>
        <w:right w:val="none" w:sz="0" w:space="0" w:color="auto"/>
      </w:divBdr>
    </w:div>
    <w:div w:id="1993169025">
      <w:bodyDiv w:val="1"/>
      <w:marLeft w:val="0"/>
      <w:marRight w:val="0"/>
      <w:marTop w:val="0"/>
      <w:marBottom w:val="0"/>
      <w:divBdr>
        <w:top w:val="none" w:sz="0" w:space="0" w:color="auto"/>
        <w:left w:val="none" w:sz="0" w:space="0" w:color="auto"/>
        <w:bottom w:val="none" w:sz="0" w:space="0" w:color="auto"/>
        <w:right w:val="none" w:sz="0" w:space="0" w:color="auto"/>
      </w:divBdr>
    </w:div>
    <w:div w:id="2017225592">
      <w:bodyDiv w:val="1"/>
      <w:marLeft w:val="0"/>
      <w:marRight w:val="0"/>
      <w:marTop w:val="0"/>
      <w:marBottom w:val="0"/>
      <w:divBdr>
        <w:top w:val="none" w:sz="0" w:space="0" w:color="auto"/>
        <w:left w:val="none" w:sz="0" w:space="0" w:color="auto"/>
        <w:bottom w:val="none" w:sz="0" w:space="0" w:color="auto"/>
        <w:right w:val="none" w:sz="0" w:space="0" w:color="auto"/>
      </w:divBdr>
    </w:div>
    <w:div w:id="2024237708">
      <w:bodyDiv w:val="1"/>
      <w:marLeft w:val="0"/>
      <w:marRight w:val="0"/>
      <w:marTop w:val="0"/>
      <w:marBottom w:val="0"/>
      <w:divBdr>
        <w:top w:val="none" w:sz="0" w:space="0" w:color="auto"/>
        <w:left w:val="none" w:sz="0" w:space="0" w:color="auto"/>
        <w:bottom w:val="none" w:sz="0" w:space="0" w:color="auto"/>
        <w:right w:val="none" w:sz="0" w:space="0" w:color="auto"/>
      </w:divBdr>
    </w:div>
    <w:div w:id="2026857147">
      <w:bodyDiv w:val="1"/>
      <w:marLeft w:val="0"/>
      <w:marRight w:val="0"/>
      <w:marTop w:val="0"/>
      <w:marBottom w:val="0"/>
      <w:divBdr>
        <w:top w:val="none" w:sz="0" w:space="0" w:color="auto"/>
        <w:left w:val="none" w:sz="0" w:space="0" w:color="auto"/>
        <w:bottom w:val="none" w:sz="0" w:space="0" w:color="auto"/>
        <w:right w:val="none" w:sz="0" w:space="0" w:color="auto"/>
      </w:divBdr>
    </w:div>
    <w:div w:id="2040273166">
      <w:bodyDiv w:val="1"/>
      <w:marLeft w:val="0"/>
      <w:marRight w:val="0"/>
      <w:marTop w:val="0"/>
      <w:marBottom w:val="0"/>
      <w:divBdr>
        <w:top w:val="none" w:sz="0" w:space="0" w:color="auto"/>
        <w:left w:val="none" w:sz="0" w:space="0" w:color="auto"/>
        <w:bottom w:val="none" w:sz="0" w:space="0" w:color="auto"/>
        <w:right w:val="none" w:sz="0" w:space="0" w:color="auto"/>
      </w:divBdr>
    </w:div>
    <w:div w:id="2067755639">
      <w:bodyDiv w:val="1"/>
      <w:marLeft w:val="0"/>
      <w:marRight w:val="0"/>
      <w:marTop w:val="0"/>
      <w:marBottom w:val="0"/>
      <w:divBdr>
        <w:top w:val="none" w:sz="0" w:space="0" w:color="auto"/>
        <w:left w:val="none" w:sz="0" w:space="0" w:color="auto"/>
        <w:bottom w:val="none" w:sz="0" w:space="0" w:color="auto"/>
        <w:right w:val="none" w:sz="0" w:space="0" w:color="auto"/>
      </w:divBdr>
    </w:div>
    <w:div w:id="212730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'[Perdorime te fondit rezerve me  31.12.2019.xlsx]Fondi Rezerve me VKM'!$H$45</c:f>
              <c:strCache>
                <c:ptCount val="1"/>
                <c:pt idx="0">
                  <c:v>Përdorimet e Fondit Rezervë</c:v>
                </c:pt>
              </c:strCache>
            </c:strRef>
          </c:tx>
          <c:explosion val="25"/>
          <c:dPt>
            <c:idx val="0"/>
            <c:bubble3D val="0"/>
            <c:spPr>
              <a:solidFill>
                <a:schemeClr val="accent6">
                  <a:lumMod val="75000"/>
                </a:schemeClr>
              </a:solidFill>
            </c:spPr>
          </c:dPt>
          <c:dLbls>
            <c:dLbl>
              <c:idx val="0"/>
              <c:layout>
                <c:manualLayout>
                  <c:x val="3.786318897637795E-2"/>
                  <c:y val="1.8997885680956547E-2"/>
                </c:manualLayout>
              </c:layout>
              <c:tx>
                <c:rich>
                  <a:bodyPr/>
                  <a:lstStyle/>
                  <a:p>
                    <a:r>
                      <a:rPr lang="en-US"/>
                      <a:t>91,250, </a:t>
                    </a:r>
                  </a:p>
                  <a:p>
                    <a:r>
                      <a:rPr lang="en-US"/>
                      <a:t>4%</a:t>
                    </a:r>
                  </a:p>
                </c:rich>
              </c:tx>
              <c:showLegendKey val="0"/>
              <c:showVal val="1"/>
              <c:showCatName val="0"/>
              <c:showSerName val="0"/>
              <c:showPercent val="1"/>
              <c:showBubbleSize val="0"/>
              <c:extLst>
                <c:ext xmlns:c15="http://schemas.microsoft.com/office/drawing/2012/chart" uri="{CE6537A1-D6FC-4f65-9D91-7224C49458BB}"/>
              </c:extLst>
            </c:dLbl>
            <c:dLbl>
              <c:idx val="2"/>
              <c:tx>
                <c:rich>
                  <a:bodyPr/>
                  <a:lstStyle/>
                  <a:p>
                    <a:r>
                      <a:rPr lang="en-US"/>
                      <a:t>1,757,955, </a:t>
                    </a:r>
                  </a:p>
                  <a:p>
                    <a:r>
                      <a:rPr lang="en-US"/>
                      <a:t>86%</a:t>
                    </a:r>
                  </a:p>
                </c:rich>
              </c:tx>
              <c:showLegendKey val="0"/>
              <c:showVal val="1"/>
              <c:showCatName val="0"/>
              <c:showSerName val="0"/>
              <c:showPercent val="1"/>
              <c:showBubbleSize val="0"/>
              <c:extLst>
                <c:ext xmlns:c15="http://schemas.microsoft.com/office/drawing/2012/chart" uri="{CE6537A1-D6FC-4f65-9D91-7224C49458BB}"/>
              </c:extLst>
            </c:dLbl>
            <c:dLbl>
              <c:idx val="4"/>
              <c:layout>
                <c:manualLayout>
                  <c:x val="-5.6892825896762908E-2"/>
                  <c:y val="3.5874161563137941E-2"/>
                </c:manualLayout>
              </c:layout>
              <c:tx>
                <c:rich>
                  <a:bodyPr/>
                  <a:lstStyle/>
                  <a:p>
                    <a:r>
                      <a:rPr lang="en-US"/>
                      <a:t>207,215,</a:t>
                    </a:r>
                  </a:p>
                  <a:p>
                    <a:r>
                      <a:rPr lang="en-US"/>
                      <a:t> 10%</a:t>
                    </a:r>
                  </a:p>
                </c:rich>
              </c:tx>
              <c:showLegendKey val="0"/>
              <c:showVal val="1"/>
              <c:showCatName val="0"/>
              <c:showSerName val="0"/>
              <c:showPercent val="1"/>
              <c:showBubbleSize val="0"/>
              <c:extLst>
                <c:ext xmlns:c15="http://schemas.microsoft.com/office/drawing/2012/chart" uri="{CE6537A1-D6FC-4f65-9D91-7224C49458BB}"/>
              </c:extLst>
            </c:dLbl>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'[Perdorime te fondit rezerve me  31.12.2019.xlsx]Fondi Rezerve me VKM'!$I$44:$M$44</c:f>
              <c:strCache>
                <c:ptCount val="5"/>
                <c:pt idx="0">
                  <c:v>Shpenzime personeli</c:v>
                </c:pt>
                <c:pt idx="2">
                  <c:v>Shpenzime te tjera korrente</c:v>
                </c:pt>
                <c:pt idx="4">
                  <c:v>Investime</c:v>
                </c:pt>
              </c:strCache>
            </c:strRef>
          </c:cat>
          <c:val>
            <c:numRef>
              <c:f>'[Perdorime te fondit rezerve me  31.12.2019.xlsx]Fondi Rezerve me VKM'!$I$45:$M$45</c:f>
              <c:numCache>
                <c:formatCode>General</c:formatCode>
                <c:ptCount val="5"/>
                <c:pt idx="0" formatCode="#,##0">
                  <c:v>91250</c:v>
                </c:pt>
                <c:pt idx="2" formatCode="#,##0">
                  <c:v>1757955</c:v>
                </c:pt>
                <c:pt idx="4" formatCode="#,##0">
                  <c:v>207215</c:v>
                </c:pt>
              </c:numCache>
            </c:numRef>
          </c:val>
        </c:ser>
        <c:dLbls>
          <c:showLegendKey val="0"/>
          <c:showVal val="0"/>
          <c:showCatName val="0"/>
          <c:showSerName val="0"/>
          <c:showPercent val="0"/>
          <c:showBubbleSize val="0"/>
          <c:showLeaderLines val="1"/>
        </c:dLbls>
      </c:pie3DChart>
    </c:plotArea>
    <c:legend>
      <c:legendPos val="b"/>
      <c:legendEntry>
        <c:idx val="1"/>
        <c:delete val="1"/>
      </c:legendEntry>
      <c:legendEntry>
        <c:idx val="3"/>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6CD2B-C466-431F-AC27-3D14C7BA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Minfin</Company>
  <LinksUpToDate>false</LinksUpToDate>
  <CharactersWithSpaces>10481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dc:creator>
  <cp:lastModifiedBy>Xhoana Agolli</cp:lastModifiedBy>
  <cp:revision>3</cp:revision>
  <cp:lastPrinted>2019-11-21T11:16:00Z</cp:lastPrinted>
  <dcterms:created xsi:type="dcterms:W3CDTF">2020-05-12T10:04:00Z</dcterms:created>
  <dcterms:modified xsi:type="dcterms:W3CDTF">2020-06-09T09:45:00Z</dcterms:modified>
</cp:coreProperties>
</file>