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10.xml" ContentType="application/vnd.openxmlformats-officedocument.themeOverride+xml"/>
  <Override PartName="/word/charts/chart17.xml" ContentType="application/vnd.openxmlformats-officedocument.drawingml.chart+xml"/>
  <Override PartName="/word/theme/themeOverride11.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theme/themeOverride12.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theme/themeOverride13.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Override14.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theme/themeOverride15.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theme/themeOverride16.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Override17.xml" ContentType="application/vnd.openxmlformats-officedocument.themeOverride+xml"/>
  <Override PartName="/word/charts/chart36.xml" ContentType="application/vnd.openxmlformats-officedocument.drawingml.chart+xml"/>
  <Override PartName="/word/theme/themeOverride18.xml" ContentType="application/vnd.openxmlformats-officedocument.themeOverride+xml"/>
  <Override PartName="/word/charts/chart37.xml" ContentType="application/vnd.openxmlformats-officedocument.drawingml.chart+xml"/>
  <Override PartName="/word/theme/themeOverride19.xml" ContentType="application/vnd.openxmlformats-officedocument.themeOverride+xml"/>
  <Override PartName="/word/charts/chart38.xml" ContentType="application/vnd.openxmlformats-officedocument.drawingml.chart+xml"/>
  <Override PartName="/word/theme/themeOverride20.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44B9" w:rsidRPr="00476D2E" w:rsidRDefault="007F44B9" w:rsidP="007F44B9">
      <w:pPr>
        <w:pStyle w:val="Default"/>
        <w:spacing w:line="276" w:lineRule="auto"/>
        <w:jc w:val="center"/>
        <w:rPr>
          <w:rFonts w:ascii="Calibri" w:hAnsi="Calibri" w:cs="Calibri"/>
          <w:b/>
          <w:color w:val="C00000"/>
          <w:sz w:val="72"/>
          <w:lang w:val="sq-AL"/>
        </w:rPr>
      </w:pPr>
      <w:r w:rsidRPr="00476D2E">
        <w:rPr>
          <w:rFonts w:ascii="Calibri" w:hAnsi="Calibri" w:cs="Calibri"/>
          <w:noProof/>
          <w:lang w:eastAsia="en-US"/>
        </w:rPr>
        <w:drawing>
          <wp:inline distT="0" distB="0" distL="0" distR="0" wp14:anchorId="4C8304CC" wp14:editId="01C52AF1">
            <wp:extent cx="6560820" cy="1767840"/>
            <wp:effectExtent l="0" t="0" r="0" b="3810"/>
            <wp:docPr id="296" name="Picture 296" descr="C:\Users\kostandine.dorri\Desktop\logo minist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tandine.dorri\Desktop\logo ministr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8103" cy="1769802"/>
                    </a:xfrm>
                    <a:prstGeom prst="rect">
                      <a:avLst/>
                    </a:prstGeom>
                    <a:noFill/>
                    <a:ln>
                      <a:noFill/>
                    </a:ln>
                  </pic:spPr>
                </pic:pic>
              </a:graphicData>
            </a:graphic>
          </wp:inline>
        </w:drawing>
      </w:r>
    </w:p>
    <w:p w:rsidR="007F44B9" w:rsidRPr="00476D2E" w:rsidRDefault="007F44B9" w:rsidP="007F44B9">
      <w:pPr>
        <w:pStyle w:val="Default"/>
        <w:spacing w:line="276" w:lineRule="auto"/>
        <w:jc w:val="center"/>
        <w:rPr>
          <w:rFonts w:ascii="Calibri" w:hAnsi="Calibri" w:cs="Calibri"/>
          <w:b/>
          <w:color w:val="C00000"/>
          <w:sz w:val="72"/>
          <w:lang w:val="sq-AL"/>
        </w:rPr>
      </w:pPr>
    </w:p>
    <w:p w:rsidR="007F44B9" w:rsidRPr="00476D2E" w:rsidRDefault="007F44B9" w:rsidP="007F44B9">
      <w:pPr>
        <w:pStyle w:val="Default"/>
        <w:spacing w:line="276" w:lineRule="auto"/>
        <w:rPr>
          <w:rFonts w:ascii="Calibri" w:hAnsi="Calibri" w:cs="Calibri"/>
          <w:b/>
          <w:color w:val="C00000"/>
          <w:sz w:val="72"/>
          <w:lang w:val="sq-AL"/>
        </w:rPr>
      </w:pPr>
    </w:p>
    <w:p w:rsidR="007F44B9" w:rsidRPr="00476D2E" w:rsidRDefault="007F44B9" w:rsidP="007F44B9">
      <w:pPr>
        <w:pStyle w:val="Default"/>
        <w:spacing w:line="276" w:lineRule="auto"/>
        <w:jc w:val="center"/>
        <w:rPr>
          <w:rFonts w:ascii="Calibri" w:hAnsi="Calibri" w:cs="Calibri"/>
          <w:b/>
          <w:color w:val="0B5294" w:themeColor="accent1" w:themeShade="BF"/>
          <w:sz w:val="72"/>
          <w:lang w:val="sq-AL"/>
        </w:rPr>
      </w:pPr>
      <w:r w:rsidRPr="00476D2E">
        <w:rPr>
          <w:rFonts w:ascii="Calibri" w:hAnsi="Calibri" w:cs="Calibri"/>
          <w:b/>
          <w:color w:val="C00000"/>
          <w:sz w:val="72"/>
          <w:lang w:val="sq-AL"/>
        </w:rPr>
        <w:t>RAPORT</w:t>
      </w:r>
      <w:r w:rsidRPr="00476D2E">
        <w:rPr>
          <w:rFonts w:ascii="Calibri" w:hAnsi="Calibri" w:cs="Calibri"/>
          <w:b/>
          <w:color w:val="0B5294" w:themeColor="accent1" w:themeShade="BF"/>
          <w:sz w:val="72"/>
          <w:lang w:val="sq-AL"/>
        </w:rPr>
        <w:t xml:space="preserve"> </w:t>
      </w:r>
    </w:p>
    <w:p w:rsidR="00824B19" w:rsidRPr="00476D2E" w:rsidRDefault="007F44B9" w:rsidP="00824B19">
      <w:pPr>
        <w:pStyle w:val="Default"/>
        <w:spacing w:line="276" w:lineRule="auto"/>
        <w:jc w:val="center"/>
        <w:rPr>
          <w:rFonts w:ascii="Calibri" w:hAnsi="Calibri" w:cs="Calibri"/>
          <w:b/>
          <w:color w:val="0B5294" w:themeColor="accent1" w:themeShade="BF"/>
          <w:sz w:val="48"/>
          <w:lang w:val="sq-AL"/>
        </w:rPr>
      </w:pPr>
      <w:r w:rsidRPr="00476D2E">
        <w:rPr>
          <w:rFonts w:ascii="Calibri" w:hAnsi="Calibri" w:cs="Calibri"/>
          <w:b/>
          <w:color w:val="0B5294" w:themeColor="accent1" w:themeShade="BF"/>
          <w:sz w:val="48"/>
          <w:lang w:val="sq-AL"/>
        </w:rPr>
        <w:t xml:space="preserve">MBI </w:t>
      </w:r>
    </w:p>
    <w:p w:rsidR="00824B19" w:rsidRPr="00476D2E" w:rsidRDefault="00824B19" w:rsidP="00824B19">
      <w:pPr>
        <w:pStyle w:val="Default"/>
        <w:spacing w:line="276" w:lineRule="auto"/>
        <w:jc w:val="center"/>
        <w:rPr>
          <w:rFonts w:ascii="Calibri" w:hAnsi="Calibri" w:cs="Calibri"/>
          <w:b/>
          <w:color w:val="0B5294" w:themeColor="accent1" w:themeShade="BF"/>
          <w:sz w:val="48"/>
          <w:lang w:val="sq-AL"/>
        </w:rPr>
      </w:pPr>
      <w:r w:rsidRPr="00476D2E">
        <w:rPr>
          <w:rFonts w:ascii="Calibri" w:hAnsi="Calibri" w:cs="Calibri"/>
          <w:b/>
          <w:color w:val="0B5294" w:themeColor="accent1" w:themeShade="BF"/>
          <w:sz w:val="48"/>
          <w:lang w:val="sq-AL"/>
        </w:rPr>
        <w:t xml:space="preserve">ZBATIMIN E BUXHETIT </w:t>
      </w:r>
      <w:r w:rsidR="007F44B9" w:rsidRPr="00476D2E">
        <w:rPr>
          <w:rFonts w:ascii="Calibri" w:hAnsi="Calibri" w:cs="Calibri"/>
          <w:b/>
          <w:color w:val="0B5294" w:themeColor="accent1" w:themeShade="BF"/>
          <w:sz w:val="48"/>
          <w:lang w:val="sq-AL"/>
        </w:rPr>
        <w:t>VJETOR</w:t>
      </w:r>
      <w:r w:rsidRPr="00476D2E">
        <w:rPr>
          <w:rFonts w:ascii="Calibri" w:hAnsi="Calibri" w:cs="Calibri"/>
          <w:b/>
          <w:color w:val="0B5294" w:themeColor="accent1" w:themeShade="BF"/>
          <w:sz w:val="48"/>
          <w:lang w:val="sq-AL"/>
        </w:rPr>
        <w:t xml:space="preserve">, </w:t>
      </w:r>
    </w:p>
    <w:p w:rsidR="007F44B9" w:rsidRPr="00476D2E" w:rsidRDefault="007F44B9" w:rsidP="00824B19">
      <w:pPr>
        <w:pStyle w:val="Default"/>
        <w:spacing w:line="276" w:lineRule="auto"/>
        <w:jc w:val="center"/>
        <w:rPr>
          <w:rFonts w:ascii="Calibri" w:hAnsi="Calibri" w:cs="Calibri"/>
          <w:b/>
          <w:color w:val="0B5294" w:themeColor="accent1" w:themeShade="BF"/>
          <w:sz w:val="48"/>
          <w:lang w:val="sq-AL"/>
        </w:rPr>
      </w:pPr>
      <w:r w:rsidRPr="00476D2E">
        <w:rPr>
          <w:rFonts w:ascii="Calibri" w:hAnsi="Calibri" w:cs="Calibri"/>
          <w:b/>
          <w:color w:val="0B5294" w:themeColor="accent1" w:themeShade="BF"/>
          <w:sz w:val="48"/>
          <w:lang w:val="sq-AL"/>
        </w:rPr>
        <w:t>SITUATËN MAKROEKONOMIKE</w:t>
      </w:r>
      <w:r w:rsidR="00824B19" w:rsidRPr="00476D2E">
        <w:rPr>
          <w:rFonts w:ascii="Calibri" w:hAnsi="Calibri" w:cs="Calibri"/>
          <w:b/>
          <w:color w:val="0B5294" w:themeColor="accent1" w:themeShade="BF"/>
          <w:sz w:val="48"/>
          <w:lang w:val="sq-AL"/>
        </w:rPr>
        <w:t xml:space="preserve"> </w:t>
      </w:r>
      <w:r w:rsidRPr="00476D2E">
        <w:rPr>
          <w:rFonts w:ascii="Calibri" w:hAnsi="Calibri" w:cs="Calibri"/>
          <w:b/>
          <w:color w:val="0B5294" w:themeColor="accent1" w:themeShade="BF"/>
          <w:sz w:val="48"/>
          <w:lang w:val="sq-AL"/>
        </w:rPr>
        <w:t>DHE FISKALE</w:t>
      </w:r>
    </w:p>
    <w:p w:rsidR="00824B19" w:rsidRPr="00476D2E" w:rsidRDefault="00824B19" w:rsidP="00824B19">
      <w:pPr>
        <w:pStyle w:val="Default"/>
        <w:spacing w:line="276" w:lineRule="auto"/>
        <w:jc w:val="center"/>
        <w:rPr>
          <w:rFonts w:ascii="Calibri" w:hAnsi="Calibri" w:cs="Calibri"/>
          <w:b/>
          <w:color w:val="0B5294" w:themeColor="accent1" w:themeShade="BF"/>
          <w:sz w:val="20"/>
          <w:lang w:val="sq-AL"/>
        </w:rPr>
      </w:pPr>
    </w:p>
    <w:p w:rsidR="007F44B9" w:rsidRPr="00476D2E" w:rsidRDefault="007F44B9" w:rsidP="007F44B9">
      <w:pPr>
        <w:pStyle w:val="Default"/>
        <w:spacing w:line="276" w:lineRule="auto"/>
        <w:jc w:val="center"/>
        <w:rPr>
          <w:rFonts w:ascii="Calibri" w:hAnsi="Calibri" w:cs="Calibri"/>
          <w:b/>
          <w:color w:val="0B5294" w:themeColor="accent1" w:themeShade="BF"/>
          <w:sz w:val="48"/>
          <w:lang w:val="sq-AL"/>
        </w:rPr>
      </w:pPr>
      <w:r w:rsidRPr="00476D2E">
        <w:rPr>
          <w:rFonts w:ascii="Calibri" w:hAnsi="Calibri" w:cs="Calibri"/>
          <w:b/>
          <w:color w:val="0B5294" w:themeColor="accent1" w:themeShade="BF"/>
          <w:sz w:val="48"/>
          <w:lang w:val="sq-AL"/>
        </w:rPr>
        <w:t xml:space="preserve">GJATË VITIT </w:t>
      </w:r>
      <w:r w:rsidR="00E20B9A" w:rsidRPr="00476D2E">
        <w:rPr>
          <w:rFonts w:ascii="Calibri" w:hAnsi="Calibri" w:cs="Calibri"/>
          <w:b/>
          <w:color w:val="C00000"/>
          <w:sz w:val="48"/>
          <w:lang w:val="sq-AL"/>
        </w:rPr>
        <w:t>202</w:t>
      </w:r>
      <w:r w:rsidR="006469E4">
        <w:rPr>
          <w:rFonts w:ascii="Calibri" w:hAnsi="Calibri" w:cs="Calibri"/>
          <w:b/>
          <w:color w:val="C00000"/>
          <w:sz w:val="48"/>
          <w:lang w:val="sq-AL"/>
        </w:rPr>
        <w:t>1</w:t>
      </w:r>
    </w:p>
    <w:p w:rsidR="007F44B9" w:rsidRPr="00476D2E" w:rsidRDefault="007F44B9" w:rsidP="007F44B9">
      <w:pPr>
        <w:pStyle w:val="Default"/>
        <w:spacing w:line="276" w:lineRule="auto"/>
        <w:jc w:val="center"/>
        <w:rPr>
          <w:rFonts w:ascii="Calibri" w:hAnsi="Calibri" w:cs="Calibri"/>
          <w:color w:val="auto"/>
          <w:lang w:val="sq-AL"/>
        </w:rPr>
      </w:pPr>
      <w:r w:rsidRPr="00476D2E">
        <w:rPr>
          <w:rFonts w:ascii="Calibri" w:hAnsi="Calibri" w:cs="Calibri"/>
          <w:b/>
          <w:color w:val="800000"/>
          <w:lang w:val="sq-AL"/>
        </w:rPr>
        <w:t>______________________________</w:t>
      </w:r>
    </w:p>
    <w:p w:rsidR="007F44B9" w:rsidRPr="00476D2E" w:rsidRDefault="007F44B9" w:rsidP="007F44B9">
      <w:pPr>
        <w:pStyle w:val="Default"/>
        <w:spacing w:line="276" w:lineRule="auto"/>
        <w:jc w:val="center"/>
        <w:rPr>
          <w:rFonts w:ascii="Calibri" w:hAnsi="Calibri" w:cs="Calibri"/>
          <w:color w:val="auto"/>
          <w:lang w:val="sq-AL"/>
        </w:rPr>
      </w:pPr>
    </w:p>
    <w:p w:rsidR="007F44B9" w:rsidRPr="00476D2E" w:rsidRDefault="007F44B9" w:rsidP="007F44B9">
      <w:pPr>
        <w:pStyle w:val="Default"/>
        <w:spacing w:line="276" w:lineRule="auto"/>
        <w:jc w:val="both"/>
        <w:rPr>
          <w:rFonts w:ascii="Calibri" w:hAnsi="Calibri" w:cs="Calibri"/>
          <w:color w:val="auto"/>
          <w:lang w:val="sq-AL"/>
        </w:rPr>
      </w:pPr>
    </w:p>
    <w:p w:rsidR="007F44B9" w:rsidRPr="00476D2E" w:rsidRDefault="007F44B9" w:rsidP="007F44B9">
      <w:pPr>
        <w:pStyle w:val="Default"/>
        <w:spacing w:line="276" w:lineRule="auto"/>
        <w:jc w:val="both"/>
        <w:rPr>
          <w:rFonts w:ascii="Calibri" w:hAnsi="Calibri" w:cs="Calibri"/>
          <w:color w:val="auto"/>
          <w:lang w:val="sq-AL"/>
        </w:rPr>
      </w:pPr>
    </w:p>
    <w:p w:rsidR="007F44B9" w:rsidRPr="00476D2E" w:rsidRDefault="007F44B9" w:rsidP="007F44B9">
      <w:pPr>
        <w:rPr>
          <w:rFonts w:cs="Calibri"/>
          <w:lang w:val="sq-AL"/>
        </w:rPr>
      </w:pPr>
    </w:p>
    <w:p w:rsidR="007F44B9" w:rsidRPr="00476D2E" w:rsidRDefault="007F44B9" w:rsidP="007F44B9">
      <w:pPr>
        <w:rPr>
          <w:rFonts w:cs="Calibri"/>
          <w:lang w:val="sq-AL"/>
        </w:rPr>
      </w:pPr>
    </w:p>
    <w:p w:rsidR="007F44B9" w:rsidRPr="00476D2E" w:rsidRDefault="007F44B9" w:rsidP="007F44B9">
      <w:pPr>
        <w:rPr>
          <w:rFonts w:cs="Calibri"/>
          <w:lang w:val="sq-AL"/>
        </w:rPr>
      </w:pPr>
    </w:p>
    <w:p w:rsidR="007F44B9" w:rsidRPr="00476D2E" w:rsidRDefault="007F44B9" w:rsidP="007F44B9">
      <w:pPr>
        <w:rPr>
          <w:rFonts w:cs="Calibri"/>
          <w:lang w:val="sq-AL"/>
        </w:rPr>
      </w:pPr>
    </w:p>
    <w:p w:rsidR="007F44B9" w:rsidRPr="00476D2E" w:rsidRDefault="007F44B9" w:rsidP="007F44B9">
      <w:pPr>
        <w:rPr>
          <w:rFonts w:cs="Calibri"/>
          <w:b/>
          <w:color w:val="C00000"/>
          <w:sz w:val="32"/>
          <w:lang w:val="sq-AL"/>
        </w:rPr>
      </w:pPr>
      <w:r w:rsidRPr="00476D2E">
        <w:rPr>
          <w:rFonts w:cs="Calibri"/>
          <w:b/>
          <w:color w:val="C00000"/>
          <w:sz w:val="32"/>
          <w:lang w:val="sq-AL"/>
        </w:rPr>
        <w:t>Tiranë, Maj 20</w:t>
      </w:r>
      <w:r w:rsidR="00203A54" w:rsidRPr="00476D2E">
        <w:rPr>
          <w:rFonts w:cs="Calibri"/>
          <w:b/>
          <w:color w:val="C00000"/>
          <w:sz w:val="32"/>
          <w:lang w:val="sq-AL"/>
        </w:rPr>
        <w:t>2</w:t>
      </w:r>
      <w:r w:rsidR="006469E4">
        <w:rPr>
          <w:rFonts w:cs="Calibri"/>
          <w:b/>
          <w:color w:val="C00000"/>
          <w:sz w:val="32"/>
          <w:lang w:val="sq-AL"/>
        </w:rPr>
        <w:t>2</w:t>
      </w:r>
    </w:p>
    <w:p w:rsidR="0077678B" w:rsidRPr="00476D2E" w:rsidRDefault="0077678B" w:rsidP="007F44B9">
      <w:pPr>
        <w:rPr>
          <w:rFonts w:cs="Calibri"/>
          <w:b/>
          <w:color w:val="C00000"/>
          <w:sz w:val="32"/>
          <w:lang w:val="sq-AL"/>
        </w:rPr>
        <w:sectPr w:rsidR="0077678B" w:rsidRPr="00476D2E" w:rsidSect="00B83536">
          <w:headerReference w:type="even" r:id="rId9"/>
          <w:headerReference w:type="default" r:id="rId10"/>
          <w:footerReference w:type="even" r:id="rId11"/>
          <w:footerReference w:type="default" r:id="rId12"/>
          <w:pgSz w:w="12240" w:h="15840"/>
          <w:pgMar w:top="1440" w:right="907" w:bottom="1440" w:left="806" w:header="720" w:footer="720" w:gutter="0"/>
          <w:cols w:space="720"/>
          <w:docGrid w:linePitch="360"/>
        </w:sectPr>
      </w:pPr>
    </w:p>
    <w:p w:rsidR="00DF1136" w:rsidRPr="001D56FA" w:rsidRDefault="00DF1136" w:rsidP="00DF1136">
      <w:pPr>
        <w:pStyle w:val="TOCHeading"/>
        <w:spacing w:before="0" w:line="360" w:lineRule="auto"/>
        <w:jc w:val="center"/>
        <w:rPr>
          <w:rFonts w:ascii="Calibri" w:hAnsi="Calibri" w:cs="Calibri"/>
          <w:color w:val="C00000"/>
          <w:sz w:val="36"/>
          <w:szCs w:val="24"/>
          <w:lang w:val="sq-AL"/>
        </w:rPr>
      </w:pPr>
      <w:r w:rsidRPr="001D56FA">
        <w:rPr>
          <w:rFonts w:ascii="Calibri" w:hAnsi="Calibri" w:cs="Calibri"/>
          <w:color w:val="C00000"/>
          <w:sz w:val="36"/>
          <w:szCs w:val="24"/>
          <w:lang w:val="sq-AL"/>
        </w:rPr>
        <w:lastRenderedPageBreak/>
        <w:t>P Ë R M B A J T J A</w:t>
      </w:r>
    </w:p>
    <w:sdt>
      <w:sdtPr>
        <w:rPr>
          <w:rFonts w:eastAsiaTheme="minorEastAsia" w:cs="Calibri"/>
          <w:b w:val="0"/>
          <w:bCs/>
          <w:i/>
          <w:noProof w:val="0"/>
          <w:sz w:val="20"/>
          <w:lang w:val="en-US"/>
        </w:rPr>
        <w:id w:val="929244835"/>
        <w:docPartObj>
          <w:docPartGallery w:val="Table of Contents"/>
          <w:docPartUnique/>
        </w:docPartObj>
      </w:sdtPr>
      <w:sdtEndPr>
        <w:rPr>
          <w:rFonts w:eastAsia="Times New Roman"/>
          <w:b/>
          <w:bCs w:val="0"/>
          <w:noProof/>
        </w:rPr>
      </w:sdtEndPr>
      <w:sdtContent>
        <w:p w:rsidR="00A538D2" w:rsidRDefault="005209FF" w:rsidP="008D19CE">
          <w:pPr>
            <w:pStyle w:val="TOC1"/>
            <w:spacing w:before="0"/>
            <w:rPr>
              <w:rStyle w:val="Hyperlink"/>
              <w:rFonts w:cs="Calibri"/>
              <w:color w:val="0070C0"/>
              <w:sz w:val="24"/>
            </w:rPr>
          </w:pPr>
          <w:r w:rsidRPr="008D19CE">
            <w:rPr>
              <w:sz w:val="24"/>
            </w:rPr>
            <w:fldChar w:fldCharType="begin"/>
          </w:r>
          <w:r w:rsidRPr="008D19CE">
            <w:rPr>
              <w:sz w:val="24"/>
            </w:rPr>
            <w:instrText xml:space="preserve"> TOC \o "1-3" \h \z \u </w:instrText>
          </w:r>
          <w:r w:rsidRPr="008D19CE">
            <w:rPr>
              <w:sz w:val="24"/>
            </w:rPr>
            <w:fldChar w:fldCharType="separate"/>
          </w:r>
          <w:hyperlink w:anchor="_Toc104980309" w:history="1">
            <w:r w:rsidR="00A538D2" w:rsidRPr="008D19CE">
              <w:rPr>
                <w:rStyle w:val="Hyperlink"/>
                <w:rFonts w:cs="Calibri"/>
                <w:color w:val="0070C0"/>
                <w:sz w:val="24"/>
              </w:rPr>
              <w:t>1.</w:t>
            </w:r>
            <w:r w:rsidR="00A538D2" w:rsidRPr="008D19CE">
              <w:rPr>
                <w:rStyle w:val="Hyperlink"/>
                <w:rFonts w:cs="Calibri"/>
                <w:color w:val="0070C0"/>
                <w:sz w:val="24"/>
              </w:rPr>
              <w:tab/>
              <w:t>REZULTATI I BUXHETIT TË KONSOLIDUAR</w:t>
            </w:r>
            <w:r w:rsidR="00ED403D">
              <w:rPr>
                <w:rStyle w:val="Hyperlink"/>
                <w:rFonts w:cs="Calibri"/>
                <w:color w:val="0070C0"/>
                <w:sz w:val="24"/>
              </w:rPr>
              <w:t>...</w:t>
            </w:r>
            <w:r w:rsidR="00ED403D">
              <w:rPr>
                <w:rStyle w:val="Hyperlink"/>
                <w:rFonts w:cs="Calibri"/>
                <w:color w:val="0070C0"/>
                <w:sz w:val="24"/>
              </w:rPr>
              <w:tab/>
            </w:r>
            <w:r w:rsidR="00A538D2" w:rsidRPr="008D19CE">
              <w:rPr>
                <w:rStyle w:val="Hyperlink"/>
                <w:rFonts w:cs="Calibri"/>
                <w:webHidden/>
                <w:color w:val="0070C0"/>
                <w:sz w:val="24"/>
              </w:rPr>
              <w:tab/>
            </w:r>
            <w:r w:rsidR="00A538D2" w:rsidRPr="008D19CE">
              <w:rPr>
                <w:rStyle w:val="Hyperlink"/>
                <w:rFonts w:cs="Calibri"/>
                <w:webHidden/>
                <w:color w:val="0070C0"/>
                <w:sz w:val="24"/>
              </w:rPr>
              <w:fldChar w:fldCharType="begin"/>
            </w:r>
            <w:r w:rsidR="00A538D2" w:rsidRPr="008D19CE">
              <w:rPr>
                <w:rStyle w:val="Hyperlink"/>
                <w:rFonts w:cs="Calibri"/>
                <w:webHidden/>
                <w:color w:val="0070C0"/>
                <w:sz w:val="24"/>
              </w:rPr>
              <w:instrText xml:space="preserve"> PAGEREF _Toc104980309 \h </w:instrText>
            </w:r>
            <w:r w:rsidR="00A538D2" w:rsidRPr="008D19CE">
              <w:rPr>
                <w:rStyle w:val="Hyperlink"/>
                <w:rFonts w:cs="Calibri"/>
                <w:webHidden/>
                <w:color w:val="0070C0"/>
                <w:sz w:val="24"/>
              </w:rPr>
            </w:r>
            <w:r w:rsidR="00A538D2" w:rsidRPr="008D19CE">
              <w:rPr>
                <w:rStyle w:val="Hyperlink"/>
                <w:rFonts w:cs="Calibri"/>
                <w:webHidden/>
                <w:color w:val="0070C0"/>
                <w:sz w:val="24"/>
              </w:rPr>
              <w:fldChar w:fldCharType="separate"/>
            </w:r>
            <w:r w:rsidR="002A6746">
              <w:rPr>
                <w:rStyle w:val="Hyperlink"/>
                <w:rFonts w:cs="Calibri"/>
                <w:webHidden/>
                <w:color w:val="0070C0"/>
                <w:sz w:val="24"/>
              </w:rPr>
              <w:t>6</w:t>
            </w:r>
            <w:r w:rsidR="00A538D2" w:rsidRPr="008D19CE">
              <w:rPr>
                <w:rStyle w:val="Hyperlink"/>
                <w:rFonts w:cs="Calibri"/>
                <w:webHidden/>
                <w:color w:val="0070C0"/>
                <w:sz w:val="24"/>
              </w:rPr>
              <w:fldChar w:fldCharType="end"/>
            </w:r>
          </w:hyperlink>
        </w:p>
        <w:p w:rsidR="008D19CE" w:rsidRPr="008D19CE" w:rsidRDefault="008D19CE" w:rsidP="001323FC">
          <w:pPr>
            <w:spacing w:before="0"/>
            <w:rPr>
              <w:rFonts w:eastAsiaTheme="minorEastAsia"/>
              <w:noProof/>
              <w:lang w:val="sq-AL"/>
            </w:rPr>
          </w:pPr>
        </w:p>
        <w:p w:rsidR="00A538D2" w:rsidRPr="008D19CE" w:rsidRDefault="00EA28E4" w:rsidP="008D19CE">
          <w:pPr>
            <w:pStyle w:val="TOC1"/>
            <w:spacing w:before="0"/>
            <w:rPr>
              <w:rStyle w:val="Hyperlink"/>
              <w:rFonts w:cs="Calibri"/>
              <w:color w:val="0070C0"/>
              <w:sz w:val="24"/>
            </w:rPr>
          </w:pPr>
          <w:hyperlink w:anchor="_Toc104980310" w:history="1">
            <w:r w:rsidR="00A538D2" w:rsidRPr="008D19CE">
              <w:rPr>
                <w:rStyle w:val="Hyperlink"/>
                <w:rFonts w:cs="Calibri"/>
                <w:color w:val="0070C0"/>
                <w:sz w:val="24"/>
              </w:rPr>
              <w:t>2.</w:t>
            </w:r>
            <w:r w:rsidR="00A538D2" w:rsidRPr="008D19CE">
              <w:rPr>
                <w:rStyle w:val="Hyperlink"/>
                <w:rFonts w:cs="Calibri"/>
                <w:color w:val="0070C0"/>
                <w:sz w:val="24"/>
              </w:rPr>
              <w:tab/>
              <w:t>PASQYRË E ZHVILLIMEVE MAKROEKONOMIKE</w:t>
            </w:r>
            <w:r w:rsidR="00A538D2" w:rsidRPr="008D19CE">
              <w:rPr>
                <w:rStyle w:val="Hyperlink"/>
                <w:rFonts w:cs="Calibri"/>
                <w:webHidden/>
                <w:color w:val="0070C0"/>
                <w:sz w:val="24"/>
              </w:rPr>
              <w:tab/>
            </w:r>
            <w:r w:rsidR="00ED403D">
              <w:rPr>
                <w:rStyle w:val="Hyperlink"/>
                <w:rFonts w:cs="Calibri"/>
                <w:webHidden/>
                <w:color w:val="0070C0"/>
                <w:sz w:val="24"/>
              </w:rPr>
              <w:tab/>
            </w:r>
            <w:r w:rsidR="00A538D2" w:rsidRPr="008D19CE">
              <w:rPr>
                <w:rStyle w:val="Hyperlink"/>
                <w:rFonts w:cs="Calibri"/>
                <w:webHidden/>
                <w:color w:val="0070C0"/>
                <w:sz w:val="24"/>
              </w:rPr>
              <w:fldChar w:fldCharType="begin"/>
            </w:r>
            <w:r w:rsidR="00A538D2" w:rsidRPr="008D19CE">
              <w:rPr>
                <w:rStyle w:val="Hyperlink"/>
                <w:rFonts w:cs="Calibri"/>
                <w:webHidden/>
                <w:color w:val="0070C0"/>
                <w:sz w:val="24"/>
              </w:rPr>
              <w:instrText xml:space="preserve"> PAGEREF _Toc104980310 \h </w:instrText>
            </w:r>
            <w:r w:rsidR="00A538D2" w:rsidRPr="008D19CE">
              <w:rPr>
                <w:rStyle w:val="Hyperlink"/>
                <w:rFonts w:cs="Calibri"/>
                <w:webHidden/>
                <w:color w:val="0070C0"/>
                <w:sz w:val="24"/>
              </w:rPr>
            </w:r>
            <w:r w:rsidR="00A538D2" w:rsidRPr="008D19CE">
              <w:rPr>
                <w:rStyle w:val="Hyperlink"/>
                <w:rFonts w:cs="Calibri"/>
                <w:webHidden/>
                <w:color w:val="0070C0"/>
                <w:sz w:val="24"/>
              </w:rPr>
              <w:fldChar w:fldCharType="separate"/>
            </w:r>
            <w:r w:rsidR="002A6746">
              <w:rPr>
                <w:rStyle w:val="Hyperlink"/>
                <w:rFonts w:cs="Calibri"/>
                <w:webHidden/>
                <w:color w:val="0070C0"/>
                <w:sz w:val="24"/>
              </w:rPr>
              <w:t>7</w:t>
            </w:r>
            <w:r w:rsidR="00A538D2" w:rsidRPr="008D19CE">
              <w:rPr>
                <w:rStyle w:val="Hyperlink"/>
                <w:rFonts w:cs="Calibri"/>
                <w:webHidden/>
                <w:color w:val="0070C0"/>
                <w:sz w:val="24"/>
              </w:rPr>
              <w:fldChar w:fldCharType="end"/>
            </w:r>
          </w:hyperlink>
        </w:p>
        <w:p w:rsidR="00A538D2" w:rsidRPr="008D19CE" w:rsidRDefault="00EA28E4">
          <w:pPr>
            <w:pStyle w:val="TOC2"/>
            <w:rPr>
              <w:rStyle w:val="Hyperlink"/>
              <w:rFonts w:asciiTheme="majorHAnsi" w:hAnsiTheme="majorHAnsi"/>
              <w:color w:val="0070C0"/>
              <w:sz w:val="20"/>
            </w:rPr>
          </w:pPr>
          <w:hyperlink w:anchor="_Toc104980311" w:history="1">
            <w:r w:rsidR="00A538D2" w:rsidRPr="008D19CE">
              <w:rPr>
                <w:rStyle w:val="Hyperlink"/>
                <w:rFonts w:asciiTheme="majorHAnsi" w:hAnsiTheme="majorHAnsi"/>
                <w:color w:val="0070C0"/>
                <w:sz w:val="20"/>
              </w:rPr>
              <w:t>2.1</w:t>
            </w:r>
            <w:r w:rsidR="00A538D2" w:rsidRPr="008D19CE">
              <w:rPr>
                <w:rStyle w:val="Hyperlink"/>
                <w:rFonts w:asciiTheme="majorHAnsi" w:hAnsiTheme="majorHAnsi"/>
                <w:color w:val="0070C0"/>
                <w:sz w:val="20"/>
              </w:rPr>
              <w:tab/>
              <w:t>Zhvillimet e fundit ekonomike</w:t>
            </w:r>
            <w:r w:rsidR="00A538D2" w:rsidRPr="008D19CE">
              <w:rPr>
                <w:rStyle w:val="Hyperlink"/>
                <w:rFonts w:asciiTheme="majorHAnsi" w:hAnsiTheme="majorHAnsi"/>
                <w:webHidden/>
                <w:color w:val="0070C0"/>
                <w:sz w:val="20"/>
              </w:rPr>
              <w:tab/>
            </w:r>
            <w:r w:rsidR="00ED403D">
              <w:rPr>
                <w:rStyle w:val="Hyperlink"/>
                <w:rFonts w:asciiTheme="majorHAnsi" w:hAnsiTheme="majorHAnsi"/>
                <w:webHidden/>
                <w:color w:val="0070C0"/>
                <w:sz w:val="20"/>
              </w:rPr>
              <w:tab/>
            </w:r>
            <w:r w:rsidR="00A538D2" w:rsidRPr="008D19CE">
              <w:rPr>
                <w:rStyle w:val="Hyperlink"/>
                <w:rFonts w:asciiTheme="majorHAnsi" w:hAnsiTheme="majorHAnsi"/>
                <w:webHidden/>
                <w:color w:val="0070C0"/>
                <w:sz w:val="20"/>
              </w:rPr>
              <w:fldChar w:fldCharType="begin"/>
            </w:r>
            <w:r w:rsidR="00A538D2" w:rsidRPr="008D19CE">
              <w:rPr>
                <w:rStyle w:val="Hyperlink"/>
                <w:rFonts w:asciiTheme="majorHAnsi" w:hAnsiTheme="majorHAnsi"/>
                <w:webHidden/>
                <w:color w:val="0070C0"/>
                <w:sz w:val="20"/>
              </w:rPr>
              <w:instrText xml:space="preserve"> PAGEREF _Toc104980311 \h </w:instrText>
            </w:r>
            <w:r w:rsidR="00A538D2" w:rsidRPr="008D19CE">
              <w:rPr>
                <w:rStyle w:val="Hyperlink"/>
                <w:rFonts w:asciiTheme="majorHAnsi" w:hAnsiTheme="majorHAnsi"/>
                <w:webHidden/>
                <w:color w:val="0070C0"/>
                <w:sz w:val="20"/>
              </w:rPr>
            </w:r>
            <w:r w:rsidR="00A538D2" w:rsidRPr="008D19CE">
              <w:rPr>
                <w:rStyle w:val="Hyperlink"/>
                <w:rFonts w:asciiTheme="majorHAnsi" w:hAnsiTheme="majorHAnsi"/>
                <w:webHidden/>
                <w:color w:val="0070C0"/>
                <w:sz w:val="20"/>
              </w:rPr>
              <w:fldChar w:fldCharType="separate"/>
            </w:r>
            <w:r w:rsidR="002A6746">
              <w:rPr>
                <w:rStyle w:val="Hyperlink"/>
                <w:rFonts w:asciiTheme="majorHAnsi" w:hAnsiTheme="majorHAnsi"/>
                <w:webHidden/>
                <w:color w:val="0070C0"/>
                <w:sz w:val="20"/>
              </w:rPr>
              <w:t>7</w:t>
            </w:r>
            <w:r w:rsidR="00A538D2" w:rsidRPr="008D19CE">
              <w:rPr>
                <w:rStyle w:val="Hyperlink"/>
                <w:rFonts w:asciiTheme="majorHAnsi" w:hAnsiTheme="majorHAnsi"/>
                <w:webHidden/>
                <w:color w:val="0070C0"/>
                <w:sz w:val="20"/>
              </w:rPr>
              <w:fldChar w:fldCharType="end"/>
            </w:r>
          </w:hyperlink>
        </w:p>
        <w:p w:rsidR="00A538D2" w:rsidRPr="008D19CE" w:rsidRDefault="00EA28E4">
          <w:pPr>
            <w:pStyle w:val="TOC3"/>
            <w:rPr>
              <w:rStyle w:val="Hyperlink"/>
              <w:color w:val="0070C0"/>
            </w:rPr>
          </w:pPr>
          <w:hyperlink w:anchor="_Toc104980312" w:history="1">
            <w:r w:rsidR="00A538D2" w:rsidRPr="008D19CE">
              <w:rPr>
                <w:rStyle w:val="Hyperlink"/>
                <w:b w:val="0"/>
                <w:color w:val="0070C0"/>
              </w:rPr>
              <w:t>2.1.1</w:t>
            </w:r>
            <w:r w:rsidR="00A538D2" w:rsidRPr="008D19CE">
              <w:rPr>
                <w:rStyle w:val="Hyperlink"/>
                <w:color w:val="0070C0"/>
              </w:rPr>
              <w:tab/>
            </w:r>
            <w:r w:rsidR="00A538D2" w:rsidRPr="008D19CE">
              <w:rPr>
                <w:rStyle w:val="Hyperlink"/>
                <w:b w:val="0"/>
                <w:color w:val="0070C0"/>
              </w:rPr>
              <w:t>Sektori real</w:t>
            </w:r>
            <w:r w:rsidR="00A538D2" w:rsidRPr="008D19CE">
              <w:rPr>
                <w:rStyle w:val="Hyperlink"/>
                <w:b w:val="0"/>
                <w:webHidden/>
                <w:color w:val="0070C0"/>
              </w:rPr>
              <w:tab/>
            </w:r>
            <w:r w:rsidR="00ED403D">
              <w:rPr>
                <w:rStyle w:val="Hyperlink"/>
                <w:b w:val="0"/>
                <w:webHidden/>
                <w:color w:val="0070C0"/>
              </w:rPr>
              <w:tab/>
            </w:r>
            <w:r w:rsidR="00A538D2" w:rsidRPr="008D19CE">
              <w:rPr>
                <w:rStyle w:val="Hyperlink"/>
                <w:b w:val="0"/>
                <w:webHidden/>
                <w:color w:val="0070C0"/>
              </w:rPr>
              <w:fldChar w:fldCharType="begin"/>
            </w:r>
            <w:r w:rsidR="00A538D2" w:rsidRPr="008D19CE">
              <w:rPr>
                <w:rStyle w:val="Hyperlink"/>
                <w:b w:val="0"/>
                <w:webHidden/>
                <w:color w:val="0070C0"/>
              </w:rPr>
              <w:instrText xml:space="preserve"> PAGEREF _Toc104980312 \h </w:instrText>
            </w:r>
            <w:r w:rsidR="00A538D2" w:rsidRPr="008D19CE">
              <w:rPr>
                <w:rStyle w:val="Hyperlink"/>
                <w:b w:val="0"/>
                <w:webHidden/>
                <w:color w:val="0070C0"/>
              </w:rPr>
            </w:r>
            <w:r w:rsidR="00A538D2" w:rsidRPr="008D19CE">
              <w:rPr>
                <w:rStyle w:val="Hyperlink"/>
                <w:b w:val="0"/>
                <w:webHidden/>
                <w:color w:val="0070C0"/>
              </w:rPr>
              <w:fldChar w:fldCharType="separate"/>
            </w:r>
            <w:r w:rsidR="002A6746">
              <w:rPr>
                <w:rStyle w:val="Hyperlink"/>
                <w:b w:val="0"/>
                <w:webHidden/>
                <w:color w:val="0070C0"/>
              </w:rPr>
              <w:t>7</w:t>
            </w:r>
            <w:r w:rsidR="00A538D2" w:rsidRPr="008D19CE">
              <w:rPr>
                <w:rStyle w:val="Hyperlink"/>
                <w:b w:val="0"/>
                <w:webHidden/>
                <w:color w:val="0070C0"/>
              </w:rPr>
              <w:fldChar w:fldCharType="end"/>
            </w:r>
          </w:hyperlink>
        </w:p>
        <w:p w:rsidR="00A538D2" w:rsidRPr="008D19CE" w:rsidRDefault="00EA28E4">
          <w:pPr>
            <w:pStyle w:val="TOC3"/>
            <w:rPr>
              <w:rStyle w:val="Hyperlink"/>
              <w:color w:val="0070C0"/>
            </w:rPr>
          </w:pPr>
          <w:hyperlink w:anchor="_Toc104980313" w:history="1">
            <w:r w:rsidR="00A538D2" w:rsidRPr="008D19CE">
              <w:rPr>
                <w:rStyle w:val="Hyperlink"/>
                <w:b w:val="0"/>
                <w:color w:val="0070C0"/>
              </w:rPr>
              <w:t>2.1.2</w:t>
            </w:r>
            <w:r w:rsidR="00A538D2" w:rsidRPr="008D19CE">
              <w:rPr>
                <w:rStyle w:val="Hyperlink"/>
                <w:color w:val="0070C0"/>
              </w:rPr>
              <w:tab/>
            </w:r>
            <w:r w:rsidR="00A538D2" w:rsidRPr="008D19CE">
              <w:rPr>
                <w:rStyle w:val="Hyperlink"/>
                <w:b w:val="0"/>
                <w:color w:val="0070C0"/>
              </w:rPr>
              <w:t>Sektori monetar</w:t>
            </w:r>
            <w:r w:rsidR="00A538D2" w:rsidRPr="008D19CE">
              <w:rPr>
                <w:rStyle w:val="Hyperlink"/>
                <w:b w:val="0"/>
                <w:webHidden/>
                <w:color w:val="0070C0"/>
              </w:rPr>
              <w:tab/>
            </w:r>
            <w:r w:rsidR="00ED403D">
              <w:rPr>
                <w:rStyle w:val="Hyperlink"/>
                <w:b w:val="0"/>
                <w:webHidden/>
                <w:color w:val="0070C0"/>
              </w:rPr>
              <w:tab/>
            </w:r>
            <w:r w:rsidR="00A538D2" w:rsidRPr="008D19CE">
              <w:rPr>
                <w:rStyle w:val="Hyperlink"/>
                <w:b w:val="0"/>
                <w:webHidden/>
                <w:color w:val="0070C0"/>
              </w:rPr>
              <w:fldChar w:fldCharType="begin"/>
            </w:r>
            <w:r w:rsidR="00A538D2" w:rsidRPr="008D19CE">
              <w:rPr>
                <w:rStyle w:val="Hyperlink"/>
                <w:b w:val="0"/>
                <w:webHidden/>
                <w:color w:val="0070C0"/>
              </w:rPr>
              <w:instrText xml:space="preserve"> PAGEREF _Toc104980313 \h </w:instrText>
            </w:r>
            <w:r w:rsidR="00A538D2" w:rsidRPr="008D19CE">
              <w:rPr>
                <w:rStyle w:val="Hyperlink"/>
                <w:b w:val="0"/>
                <w:webHidden/>
                <w:color w:val="0070C0"/>
              </w:rPr>
            </w:r>
            <w:r w:rsidR="00A538D2" w:rsidRPr="008D19CE">
              <w:rPr>
                <w:rStyle w:val="Hyperlink"/>
                <w:b w:val="0"/>
                <w:webHidden/>
                <w:color w:val="0070C0"/>
              </w:rPr>
              <w:fldChar w:fldCharType="separate"/>
            </w:r>
            <w:r w:rsidR="002A6746">
              <w:rPr>
                <w:rStyle w:val="Hyperlink"/>
                <w:b w:val="0"/>
                <w:webHidden/>
                <w:color w:val="0070C0"/>
              </w:rPr>
              <w:t>7</w:t>
            </w:r>
            <w:r w:rsidR="00A538D2" w:rsidRPr="008D19CE">
              <w:rPr>
                <w:rStyle w:val="Hyperlink"/>
                <w:b w:val="0"/>
                <w:webHidden/>
                <w:color w:val="0070C0"/>
              </w:rPr>
              <w:fldChar w:fldCharType="end"/>
            </w:r>
          </w:hyperlink>
        </w:p>
        <w:p w:rsidR="00A538D2" w:rsidRPr="008D19CE" w:rsidRDefault="00EA28E4">
          <w:pPr>
            <w:pStyle w:val="TOC3"/>
            <w:rPr>
              <w:rStyle w:val="Hyperlink"/>
              <w:color w:val="0070C0"/>
            </w:rPr>
          </w:pPr>
          <w:hyperlink w:anchor="_Toc104980314" w:history="1">
            <w:r w:rsidR="00A538D2" w:rsidRPr="008D19CE">
              <w:rPr>
                <w:rStyle w:val="Hyperlink"/>
                <w:b w:val="0"/>
                <w:color w:val="0070C0"/>
              </w:rPr>
              <w:t>2.1.3</w:t>
            </w:r>
            <w:r w:rsidR="00A538D2" w:rsidRPr="008D19CE">
              <w:rPr>
                <w:rStyle w:val="Hyperlink"/>
                <w:color w:val="0070C0"/>
              </w:rPr>
              <w:tab/>
            </w:r>
            <w:r w:rsidR="00A538D2" w:rsidRPr="008D19CE">
              <w:rPr>
                <w:rStyle w:val="Hyperlink"/>
                <w:b w:val="0"/>
                <w:color w:val="0070C0"/>
              </w:rPr>
              <w:t>Sektori i jashtëm</w:t>
            </w:r>
            <w:r w:rsidR="00A538D2" w:rsidRPr="008D19CE">
              <w:rPr>
                <w:rStyle w:val="Hyperlink"/>
                <w:b w:val="0"/>
                <w:webHidden/>
                <w:color w:val="0070C0"/>
              </w:rPr>
              <w:tab/>
            </w:r>
            <w:r w:rsidR="00ED403D">
              <w:rPr>
                <w:rStyle w:val="Hyperlink"/>
                <w:b w:val="0"/>
                <w:webHidden/>
                <w:color w:val="0070C0"/>
              </w:rPr>
              <w:tab/>
            </w:r>
            <w:r w:rsidR="00A538D2" w:rsidRPr="008D19CE">
              <w:rPr>
                <w:rStyle w:val="Hyperlink"/>
                <w:b w:val="0"/>
                <w:webHidden/>
                <w:color w:val="0070C0"/>
              </w:rPr>
              <w:fldChar w:fldCharType="begin"/>
            </w:r>
            <w:r w:rsidR="00A538D2" w:rsidRPr="008D19CE">
              <w:rPr>
                <w:rStyle w:val="Hyperlink"/>
                <w:b w:val="0"/>
                <w:webHidden/>
                <w:color w:val="0070C0"/>
              </w:rPr>
              <w:instrText xml:space="preserve"> PAGEREF _Toc104980314 \h </w:instrText>
            </w:r>
            <w:r w:rsidR="00A538D2" w:rsidRPr="008D19CE">
              <w:rPr>
                <w:rStyle w:val="Hyperlink"/>
                <w:b w:val="0"/>
                <w:webHidden/>
                <w:color w:val="0070C0"/>
              </w:rPr>
            </w:r>
            <w:r w:rsidR="00A538D2" w:rsidRPr="008D19CE">
              <w:rPr>
                <w:rStyle w:val="Hyperlink"/>
                <w:b w:val="0"/>
                <w:webHidden/>
                <w:color w:val="0070C0"/>
              </w:rPr>
              <w:fldChar w:fldCharType="separate"/>
            </w:r>
            <w:r w:rsidR="002A6746">
              <w:rPr>
                <w:rStyle w:val="Hyperlink"/>
                <w:b w:val="0"/>
                <w:webHidden/>
                <w:color w:val="0070C0"/>
              </w:rPr>
              <w:t>8</w:t>
            </w:r>
            <w:r w:rsidR="00A538D2" w:rsidRPr="008D19CE">
              <w:rPr>
                <w:rStyle w:val="Hyperlink"/>
                <w:b w:val="0"/>
                <w:webHidden/>
                <w:color w:val="0070C0"/>
              </w:rPr>
              <w:fldChar w:fldCharType="end"/>
            </w:r>
          </w:hyperlink>
        </w:p>
        <w:p w:rsidR="00A538D2" w:rsidRPr="001323FC" w:rsidRDefault="00EA28E4" w:rsidP="001323FC">
          <w:pPr>
            <w:pStyle w:val="TOC2"/>
            <w:spacing w:after="0"/>
            <w:rPr>
              <w:rStyle w:val="Hyperlink"/>
              <w:color w:val="0070C0"/>
              <w:sz w:val="20"/>
            </w:rPr>
          </w:pPr>
          <w:hyperlink w:anchor="_Toc104980315" w:history="1">
            <w:r w:rsidR="00A538D2" w:rsidRPr="001323FC">
              <w:rPr>
                <w:rStyle w:val="Hyperlink"/>
                <w:rFonts w:asciiTheme="majorHAnsi" w:hAnsiTheme="majorHAnsi"/>
                <w:color w:val="0070C0"/>
                <w:sz w:val="20"/>
              </w:rPr>
              <w:t>2.2</w:t>
            </w:r>
            <w:r w:rsidR="00A538D2" w:rsidRPr="001323FC">
              <w:rPr>
                <w:rStyle w:val="Hyperlink"/>
                <w:color w:val="0070C0"/>
                <w:sz w:val="20"/>
              </w:rPr>
              <w:tab/>
            </w:r>
            <w:r w:rsidR="00A538D2" w:rsidRPr="001323FC">
              <w:rPr>
                <w:rStyle w:val="Hyperlink"/>
                <w:rFonts w:asciiTheme="majorHAnsi" w:hAnsiTheme="majorHAnsi"/>
                <w:color w:val="0070C0"/>
                <w:sz w:val="20"/>
              </w:rPr>
              <w:t>Krahasimi me vendet e rajonit</w:t>
            </w:r>
            <w:r w:rsidR="00A538D2" w:rsidRPr="001323FC">
              <w:rPr>
                <w:rStyle w:val="Hyperlink"/>
                <w:webHidden/>
                <w:color w:val="0070C0"/>
                <w:sz w:val="20"/>
              </w:rPr>
              <w:tab/>
            </w:r>
            <w:r w:rsidR="00ED403D">
              <w:rPr>
                <w:rStyle w:val="Hyperlink"/>
                <w:webHidden/>
                <w:color w:val="0070C0"/>
                <w:sz w:val="20"/>
              </w:rPr>
              <w:tab/>
            </w:r>
            <w:r w:rsidR="00A538D2" w:rsidRPr="001323FC">
              <w:rPr>
                <w:rStyle w:val="Hyperlink"/>
                <w:webHidden/>
                <w:color w:val="0070C0"/>
                <w:sz w:val="20"/>
              </w:rPr>
              <w:fldChar w:fldCharType="begin"/>
            </w:r>
            <w:r w:rsidR="00A538D2" w:rsidRPr="001323FC">
              <w:rPr>
                <w:rStyle w:val="Hyperlink"/>
                <w:webHidden/>
                <w:color w:val="0070C0"/>
                <w:sz w:val="20"/>
              </w:rPr>
              <w:instrText xml:space="preserve"> PAGEREF _Toc104980315 \h </w:instrText>
            </w:r>
            <w:r w:rsidR="00A538D2" w:rsidRPr="001323FC">
              <w:rPr>
                <w:rStyle w:val="Hyperlink"/>
                <w:webHidden/>
                <w:color w:val="0070C0"/>
                <w:sz w:val="20"/>
              </w:rPr>
            </w:r>
            <w:r w:rsidR="00A538D2" w:rsidRPr="001323FC">
              <w:rPr>
                <w:rStyle w:val="Hyperlink"/>
                <w:webHidden/>
                <w:color w:val="0070C0"/>
                <w:sz w:val="20"/>
              </w:rPr>
              <w:fldChar w:fldCharType="separate"/>
            </w:r>
            <w:r w:rsidR="002A6746">
              <w:rPr>
                <w:rStyle w:val="Hyperlink"/>
                <w:webHidden/>
                <w:color w:val="0070C0"/>
                <w:sz w:val="20"/>
              </w:rPr>
              <w:t>9</w:t>
            </w:r>
            <w:r w:rsidR="00A538D2" w:rsidRPr="001323FC">
              <w:rPr>
                <w:rStyle w:val="Hyperlink"/>
                <w:webHidden/>
                <w:color w:val="0070C0"/>
                <w:sz w:val="20"/>
              </w:rPr>
              <w:fldChar w:fldCharType="end"/>
            </w:r>
          </w:hyperlink>
        </w:p>
        <w:p w:rsidR="008D19CE" w:rsidRDefault="008D19CE" w:rsidP="008D19CE">
          <w:pPr>
            <w:pStyle w:val="TOC1"/>
            <w:spacing w:before="0"/>
            <w:rPr>
              <w:rStyle w:val="Hyperlink"/>
              <w:rFonts w:cs="Calibri"/>
              <w:color w:val="0070C0"/>
              <w:sz w:val="24"/>
            </w:rPr>
          </w:pPr>
        </w:p>
        <w:p w:rsidR="00A538D2" w:rsidRPr="008D19CE" w:rsidRDefault="00EA28E4" w:rsidP="008D19CE">
          <w:pPr>
            <w:pStyle w:val="TOC1"/>
            <w:spacing w:before="0"/>
            <w:rPr>
              <w:rStyle w:val="Hyperlink"/>
              <w:rFonts w:cs="Calibri"/>
              <w:color w:val="0070C0"/>
              <w:sz w:val="24"/>
            </w:rPr>
          </w:pPr>
          <w:hyperlink w:anchor="_Toc104980316" w:history="1">
            <w:r w:rsidR="00A538D2" w:rsidRPr="008D19CE">
              <w:rPr>
                <w:rStyle w:val="Hyperlink"/>
                <w:rFonts w:cs="Calibri"/>
                <w:color w:val="0070C0"/>
                <w:sz w:val="24"/>
              </w:rPr>
              <w:t>3.</w:t>
            </w:r>
            <w:r w:rsidR="00A538D2" w:rsidRPr="008D19CE">
              <w:rPr>
                <w:rStyle w:val="Hyperlink"/>
                <w:rFonts w:cs="Calibri"/>
                <w:color w:val="0070C0"/>
                <w:sz w:val="24"/>
              </w:rPr>
              <w:tab/>
              <w:t>POLITIKAT FISKALE DHE REZULTATI I MBLEDHJES SË TË ARDHURAVE</w:t>
            </w:r>
            <w:r w:rsidR="00A538D2" w:rsidRPr="008D19CE">
              <w:rPr>
                <w:rStyle w:val="Hyperlink"/>
                <w:rFonts w:cs="Calibri"/>
                <w:webHidden/>
                <w:color w:val="0070C0"/>
                <w:sz w:val="24"/>
              </w:rPr>
              <w:tab/>
            </w:r>
            <w:r w:rsidR="00ED403D">
              <w:rPr>
                <w:rStyle w:val="Hyperlink"/>
                <w:rFonts w:cs="Calibri"/>
                <w:webHidden/>
                <w:color w:val="0070C0"/>
                <w:sz w:val="24"/>
              </w:rPr>
              <w:tab/>
            </w:r>
            <w:r w:rsidR="00A538D2" w:rsidRPr="008D19CE">
              <w:rPr>
                <w:rStyle w:val="Hyperlink"/>
                <w:rFonts w:cs="Calibri"/>
                <w:webHidden/>
                <w:color w:val="0070C0"/>
                <w:sz w:val="24"/>
              </w:rPr>
              <w:fldChar w:fldCharType="begin"/>
            </w:r>
            <w:r w:rsidR="00A538D2" w:rsidRPr="008D19CE">
              <w:rPr>
                <w:rStyle w:val="Hyperlink"/>
                <w:rFonts w:cs="Calibri"/>
                <w:webHidden/>
                <w:color w:val="0070C0"/>
                <w:sz w:val="24"/>
              </w:rPr>
              <w:instrText xml:space="preserve"> PAGEREF _Toc104980316 \h </w:instrText>
            </w:r>
            <w:r w:rsidR="00A538D2" w:rsidRPr="008D19CE">
              <w:rPr>
                <w:rStyle w:val="Hyperlink"/>
                <w:rFonts w:cs="Calibri"/>
                <w:webHidden/>
                <w:color w:val="0070C0"/>
                <w:sz w:val="24"/>
              </w:rPr>
            </w:r>
            <w:r w:rsidR="00A538D2" w:rsidRPr="008D19CE">
              <w:rPr>
                <w:rStyle w:val="Hyperlink"/>
                <w:rFonts w:cs="Calibri"/>
                <w:webHidden/>
                <w:color w:val="0070C0"/>
                <w:sz w:val="24"/>
              </w:rPr>
              <w:fldChar w:fldCharType="separate"/>
            </w:r>
            <w:r w:rsidR="002A6746">
              <w:rPr>
                <w:rStyle w:val="Hyperlink"/>
                <w:rFonts w:cs="Calibri"/>
                <w:webHidden/>
                <w:color w:val="0070C0"/>
                <w:sz w:val="24"/>
              </w:rPr>
              <w:t>11</w:t>
            </w:r>
            <w:r w:rsidR="00A538D2" w:rsidRPr="008D19CE">
              <w:rPr>
                <w:rStyle w:val="Hyperlink"/>
                <w:rFonts w:cs="Calibri"/>
                <w:webHidden/>
                <w:color w:val="0070C0"/>
                <w:sz w:val="24"/>
              </w:rPr>
              <w:fldChar w:fldCharType="end"/>
            </w:r>
          </w:hyperlink>
        </w:p>
        <w:p w:rsidR="00A538D2" w:rsidRPr="008D19CE" w:rsidRDefault="00EA28E4">
          <w:pPr>
            <w:pStyle w:val="TOC2"/>
            <w:rPr>
              <w:rStyle w:val="Hyperlink"/>
              <w:color w:val="0070C0"/>
              <w:sz w:val="20"/>
            </w:rPr>
          </w:pPr>
          <w:hyperlink w:anchor="_Toc104980317" w:history="1">
            <w:r w:rsidR="00A538D2" w:rsidRPr="008D19CE">
              <w:rPr>
                <w:rStyle w:val="Hyperlink"/>
                <w:rFonts w:asciiTheme="majorHAnsi" w:hAnsiTheme="majorHAnsi"/>
                <w:color w:val="0070C0"/>
                <w:sz w:val="20"/>
              </w:rPr>
              <w:t>3.1</w:t>
            </w:r>
            <w:r w:rsidR="00A538D2" w:rsidRPr="008D19CE">
              <w:rPr>
                <w:rStyle w:val="Hyperlink"/>
                <w:color w:val="0070C0"/>
                <w:sz w:val="20"/>
              </w:rPr>
              <w:tab/>
            </w:r>
            <w:r w:rsidR="00A538D2" w:rsidRPr="008D19CE">
              <w:rPr>
                <w:rStyle w:val="Hyperlink"/>
                <w:rFonts w:asciiTheme="majorHAnsi" w:hAnsiTheme="majorHAnsi"/>
                <w:color w:val="0070C0"/>
                <w:sz w:val="20"/>
              </w:rPr>
              <w:t>Politika fiskale në vitin 2021 dhe efektet në buxhet e në ekonomi</w:t>
            </w:r>
            <w:r w:rsidR="00A538D2" w:rsidRPr="008D19CE">
              <w:rPr>
                <w:rStyle w:val="Hyperlink"/>
                <w:webHidden/>
                <w:color w:val="0070C0"/>
                <w:sz w:val="20"/>
              </w:rPr>
              <w:tab/>
            </w:r>
            <w:r w:rsidR="00ED403D">
              <w:rPr>
                <w:rStyle w:val="Hyperlink"/>
                <w:webHidden/>
                <w:color w:val="0070C0"/>
                <w:sz w:val="20"/>
              </w:rPr>
              <w:tab/>
            </w:r>
            <w:r w:rsidR="00A538D2" w:rsidRPr="008D19CE">
              <w:rPr>
                <w:rStyle w:val="Hyperlink"/>
                <w:webHidden/>
                <w:color w:val="0070C0"/>
                <w:sz w:val="20"/>
              </w:rPr>
              <w:fldChar w:fldCharType="begin"/>
            </w:r>
            <w:r w:rsidR="00A538D2" w:rsidRPr="008D19CE">
              <w:rPr>
                <w:rStyle w:val="Hyperlink"/>
                <w:webHidden/>
                <w:color w:val="0070C0"/>
                <w:sz w:val="20"/>
              </w:rPr>
              <w:instrText xml:space="preserve"> PAGEREF _Toc104980317 \h </w:instrText>
            </w:r>
            <w:r w:rsidR="00A538D2" w:rsidRPr="008D19CE">
              <w:rPr>
                <w:rStyle w:val="Hyperlink"/>
                <w:webHidden/>
                <w:color w:val="0070C0"/>
                <w:sz w:val="20"/>
              </w:rPr>
            </w:r>
            <w:r w:rsidR="00A538D2" w:rsidRPr="008D19CE">
              <w:rPr>
                <w:rStyle w:val="Hyperlink"/>
                <w:webHidden/>
                <w:color w:val="0070C0"/>
                <w:sz w:val="20"/>
              </w:rPr>
              <w:fldChar w:fldCharType="separate"/>
            </w:r>
            <w:r w:rsidR="002A6746">
              <w:rPr>
                <w:rStyle w:val="Hyperlink"/>
                <w:webHidden/>
                <w:color w:val="0070C0"/>
                <w:sz w:val="20"/>
              </w:rPr>
              <w:t>11</w:t>
            </w:r>
            <w:r w:rsidR="00A538D2" w:rsidRPr="008D19CE">
              <w:rPr>
                <w:rStyle w:val="Hyperlink"/>
                <w:webHidden/>
                <w:color w:val="0070C0"/>
                <w:sz w:val="20"/>
              </w:rPr>
              <w:fldChar w:fldCharType="end"/>
            </w:r>
          </w:hyperlink>
        </w:p>
        <w:p w:rsidR="00A538D2" w:rsidRPr="008D19CE" w:rsidRDefault="00EA28E4">
          <w:pPr>
            <w:pStyle w:val="TOC3"/>
            <w:rPr>
              <w:rStyle w:val="Hyperlink"/>
              <w:color w:val="0070C0"/>
            </w:rPr>
          </w:pPr>
          <w:hyperlink w:anchor="_Toc104980318" w:history="1">
            <w:r w:rsidR="00A538D2" w:rsidRPr="008D19CE">
              <w:rPr>
                <w:rStyle w:val="Hyperlink"/>
                <w:b w:val="0"/>
                <w:color w:val="0070C0"/>
              </w:rPr>
              <w:t>3.1.1</w:t>
            </w:r>
            <w:r w:rsidR="00A538D2" w:rsidRPr="008D19CE">
              <w:rPr>
                <w:rStyle w:val="Hyperlink"/>
                <w:color w:val="0070C0"/>
              </w:rPr>
              <w:tab/>
            </w:r>
            <w:r w:rsidR="00A538D2" w:rsidRPr="008D19CE">
              <w:rPr>
                <w:rStyle w:val="Hyperlink"/>
                <w:b w:val="0"/>
                <w:color w:val="0070C0"/>
              </w:rPr>
              <w:t>Tatimi mbi Vlerën e Shtuar</w:t>
            </w:r>
            <w:r w:rsidR="00A538D2" w:rsidRPr="008D19CE">
              <w:rPr>
                <w:rStyle w:val="Hyperlink"/>
                <w:b w:val="0"/>
                <w:webHidden/>
                <w:color w:val="0070C0"/>
              </w:rPr>
              <w:tab/>
            </w:r>
            <w:r w:rsidR="00ED403D">
              <w:rPr>
                <w:rStyle w:val="Hyperlink"/>
                <w:b w:val="0"/>
                <w:webHidden/>
                <w:color w:val="0070C0"/>
              </w:rPr>
              <w:tab/>
            </w:r>
            <w:r w:rsidR="00A538D2" w:rsidRPr="008D19CE">
              <w:rPr>
                <w:rStyle w:val="Hyperlink"/>
                <w:b w:val="0"/>
                <w:webHidden/>
                <w:color w:val="0070C0"/>
              </w:rPr>
              <w:fldChar w:fldCharType="begin"/>
            </w:r>
            <w:r w:rsidR="00A538D2" w:rsidRPr="008D19CE">
              <w:rPr>
                <w:rStyle w:val="Hyperlink"/>
                <w:b w:val="0"/>
                <w:webHidden/>
                <w:color w:val="0070C0"/>
              </w:rPr>
              <w:instrText xml:space="preserve"> PAGEREF _Toc104980318 \h </w:instrText>
            </w:r>
            <w:r w:rsidR="00A538D2" w:rsidRPr="008D19CE">
              <w:rPr>
                <w:rStyle w:val="Hyperlink"/>
                <w:b w:val="0"/>
                <w:webHidden/>
                <w:color w:val="0070C0"/>
              </w:rPr>
            </w:r>
            <w:r w:rsidR="00A538D2" w:rsidRPr="008D19CE">
              <w:rPr>
                <w:rStyle w:val="Hyperlink"/>
                <w:b w:val="0"/>
                <w:webHidden/>
                <w:color w:val="0070C0"/>
              </w:rPr>
              <w:fldChar w:fldCharType="separate"/>
            </w:r>
            <w:r w:rsidR="002A6746">
              <w:rPr>
                <w:rStyle w:val="Hyperlink"/>
                <w:b w:val="0"/>
                <w:webHidden/>
                <w:color w:val="0070C0"/>
              </w:rPr>
              <w:t>11</w:t>
            </w:r>
            <w:r w:rsidR="00A538D2" w:rsidRPr="008D19CE">
              <w:rPr>
                <w:rStyle w:val="Hyperlink"/>
                <w:b w:val="0"/>
                <w:webHidden/>
                <w:color w:val="0070C0"/>
              </w:rPr>
              <w:fldChar w:fldCharType="end"/>
            </w:r>
          </w:hyperlink>
        </w:p>
        <w:p w:rsidR="00A538D2" w:rsidRPr="008D19CE" w:rsidRDefault="00EA28E4">
          <w:pPr>
            <w:pStyle w:val="TOC3"/>
            <w:rPr>
              <w:rStyle w:val="Hyperlink"/>
              <w:color w:val="0070C0"/>
            </w:rPr>
          </w:pPr>
          <w:hyperlink w:anchor="_Toc104980319" w:history="1">
            <w:r w:rsidR="00A538D2" w:rsidRPr="008D19CE">
              <w:rPr>
                <w:rStyle w:val="Hyperlink"/>
                <w:b w:val="0"/>
                <w:color w:val="0070C0"/>
              </w:rPr>
              <w:t>3.1.2</w:t>
            </w:r>
            <w:r w:rsidR="00A538D2" w:rsidRPr="008D19CE">
              <w:rPr>
                <w:rStyle w:val="Hyperlink"/>
                <w:color w:val="0070C0"/>
              </w:rPr>
              <w:tab/>
            </w:r>
            <w:r w:rsidR="00A538D2" w:rsidRPr="008D19CE">
              <w:rPr>
                <w:rStyle w:val="Hyperlink"/>
                <w:b w:val="0"/>
                <w:color w:val="0070C0"/>
              </w:rPr>
              <w:t>Tatimi mbi të Ardhurat</w:t>
            </w:r>
            <w:r w:rsidR="00A538D2" w:rsidRPr="008D19CE">
              <w:rPr>
                <w:rStyle w:val="Hyperlink"/>
                <w:b w:val="0"/>
                <w:webHidden/>
                <w:color w:val="0070C0"/>
              </w:rPr>
              <w:tab/>
            </w:r>
            <w:r w:rsidR="00ED403D">
              <w:rPr>
                <w:rStyle w:val="Hyperlink"/>
                <w:b w:val="0"/>
                <w:webHidden/>
                <w:color w:val="0070C0"/>
              </w:rPr>
              <w:tab/>
            </w:r>
            <w:r w:rsidR="00A538D2" w:rsidRPr="008D19CE">
              <w:rPr>
                <w:rStyle w:val="Hyperlink"/>
                <w:b w:val="0"/>
                <w:webHidden/>
                <w:color w:val="0070C0"/>
              </w:rPr>
              <w:fldChar w:fldCharType="begin"/>
            </w:r>
            <w:r w:rsidR="00A538D2" w:rsidRPr="008D19CE">
              <w:rPr>
                <w:rStyle w:val="Hyperlink"/>
                <w:b w:val="0"/>
                <w:webHidden/>
                <w:color w:val="0070C0"/>
              </w:rPr>
              <w:instrText xml:space="preserve"> PAGEREF _Toc104980319 \h </w:instrText>
            </w:r>
            <w:r w:rsidR="00A538D2" w:rsidRPr="008D19CE">
              <w:rPr>
                <w:rStyle w:val="Hyperlink"/>
                <w:b w:val="0"/>
                <w:webHidden/>
                <w:color w:val="0070C0"/>
              </w:rPr>
            </w:r>
            <w:r w:rsidR="00A538D2" w:rsidRPr="008D19CE">
              <w:rPr>
                <w:rStyle w:val="Hyperlink"/>
                <w:b w:val="0"/>
                <w:webHidden/>
                <w:color w:val="0070C0"/>
              </w:rPr>
              <w:fldChar w:fldCharType="separate"/>
            </w:r>
            <w:r w:rsidR="002A6746">
              <w:rPr>
                <w:rStyle w:val="Hyperlink"/>
                <w:b w:val="0"/>
                <w:webHidden/>
                <w:color w:val="0070C0"/>
              </w:rPr>
              <w:t>11</w:t>
            </w:r>
            <w:r w:rsidR="00A538D2" w:rsidRPr="008D19CE">
              <w:rPr>
                <w:rStyle w:val="Hyperlink"/>
                <w:b w:val="0"/>
                <w:webHidden/>
                <w:color w:val="0070C0"/>
              </w:rPr>
              <w:fldChar w:fldCharType="end"/>
            </w:r>
          </w:hyperlink>
        </w:p>
        <w:p w:rsidR="00A538D2" w:rsidRPr="008D19CE" w:rsidRDefault="00EA28E4">
          <w:pPr>
            <w:pStyle w:val="TOC3"/>
            <w:rPr>
              <w:rStyle w:val="Hyperlink"/>
              <w:color w:val="0070C0"/>
            </w:rPr>
          </w:pPr>
          <w:hyperlink w:anchor="_Toc104980320" w:history="1">
            <w:r w:rsidR="00A538D2" w:rsidRPr="008D19CE">
              <w:rPr>
                <w:rStyle w:val="Hyperlink"/>
                <w:b w:val="0"/>
                <w:color w:val="0070C0"/>
              </w:rPr>
              <w:t>3.1.3</w:t>
            </w:r>
            <w:r w:rsidR="00A538D2" w:rsidRPr="008D19CE">
              <w:rPr>
                <w:rStyle w:val="Hyperlink"/>
                <w:color w:val="0070C0"/>
              </w:rPr>
              <w:tab/>
            </w:r>
            <w:r w:rsidR="00A538D2" w:rsidRPr="008D19CE">
              <w:rPr>
                <w:rStyle w:val="Hyperlink"/>
                <w:b w:val="0"/>
                <w:color w:val="0070C0"/>
              </w:rPr>
              <w:t>Akciza</w:t>
            </w:r>
            <w:r w:rsidR="00A538D2" w:rsidRPr="008D19CE">
              <w:rPr>
                <w:rStyle w:val="Hyperlink"/>
                <w:b w:val="0"/>
                <w:webHidden/>
                <w:color w:val="0070C0"/>
              </w:rPr>
              <w:tab/>
            </w:r>
            <w:r w:rsidR="00ED403D">
              <w:rPr>
                <w:rStyle w:val="Hyperlink"/>
                <w:b w:val="0"/>
                <w:webHidden/>
                <w:color w:val="0070C0"/>
              </w:rPr>
              <w:tab/>
            </w:r>
            <w:r w:rsidR="00A538D2" w:rsidRPr="008D19CE">
              <w:rPr>
                <w:rStyle w:val="Hyperlink"/>
                <w:b w:val="0"/>
                <w:webHidden/>
                <w:color w:val="0070C0"/>
              </w:rPr>
              <w:fldChar w:fldCharType="begin"/>
            </w:r>
            <w:r w:rsidR="00A538D2" w:rsidRPr="008D19CE">
              <w:rPr>
                <w:rStyle w:val="Hyperlink"/>
                <w:b w:val="0"/>
                <w:webHidden/>
                <w:color w:val="0070C0"/>
              </w:rPr>
              <w:instrText xml:space="preserve"> PAGEREF _Toc104980320 \h </w:instrText>
            </w:r>
            <w:r w:rsidR="00A538D2" w:rsidRPr="008D19CE">
              <w:rPr>
                <w:rStyle w:val="Hyperlink"/>
                <w:b w:val="0"/>
                <w:webHidden/>
                <w:color w:val="0070C0"/>
              </w:rPr>
            </w:r>
            <w:r w:rsidR="00A538D2" w:rsidRPr="008D19CE">
              <w:rPr>
                <w:rStyle w:val="Hyperlink"/>
                <w:b w:val="0"/>
                <w:webHidden/>
                <w:color w:val="0070C0"/>
              </w:rPr>
              <w:fldChar w:fldCharType="separate"/>
            </w:r>
            <w:r w:rsidR="002A6746">
              <w:rPr>
                <w:rStyle w:val="Hyperlink"/>
                <w:b w:val="0"/>
                <w:webHidden/>
                <w:color w:val="0070C0"/>
              </w:rPr>
              <w:t>12</w:t>
            </w:r>
            <w:r w:rsidR="00A538D2" w:rsidRPr="008D19CE">
              <w:rPr>
                <w:rStyle w:val="Hyperlink"/>
                <w:b w:val="0"/>
                <w:webHidden/>
                <w:color w:val="0070C0"/>
              </w:rPr>
              <w:fldChar w:fldCharType="end"/>
            </w:r>
          </w:hyperlink>
        </w:p>
        <w:p w:rsidR="00A538D2" w:rsidRPr="008D19CE" w:rsidRDefault="00EA28E4">
          <w:pPr>
            <w:pStyle w:val="TOC3"/>
            <w:rPr>
              <w:rStyle w:val="Hyperlink"/>
              <w:color w:val="0070C0"/>
            </w:rPr>
          </w:pPr>
          <w:hyperlink w:anchor="_Toc104980321" w:history="1">
            <w:r w:rsidR="00A538D2" w:rsidRPr="008D19CE">
              <w:rPr>
                <w:rStyle w:val="Hyperlink"/>
                <w:b w:val="0"/>
                <w:color w:val="0070C0"/>
              </w:rPr>
              <w:t>3.1.4</w:t>
            </w:r>
            <w:r w:rsidR="00A538D2" w:rsidRPr="008D19CE">
              <w:rPr>
                <w:rStyle w:val="Hyperlink"/>
                <w:color w:val="0070C0"/>
              </w:rPr>
              <w:tab/>
            </w:r>
            <w:r w:rsidR="00A538D2" w:rsidRPr="008D19CE">
              <w:rPr>
                <w:rStyle w:val="Hyperlink"/>
                <w:b w:val="0"/>
                <w:color w:val="0070C0"/>
              </w:rPr>
              <w:t>Taksat Vendore</w:t>
            </w:r>
            <w:r w:rsidR="00A538D2" w:rsidRPr="008D19CE">
              <w:rPr>
                <w:rStyle w:val="Hyperlink"/>
                <w:b w:val="0"/>
                <w:webHidden/>
                <w:color w:val="0070C0"/>
              </w:rPr>
              <w:tab/>
            </w:r>
            <w:r w:rsidR="00ED403D">
              <w:rPr>
                <w:rStyle w:val="Hyperlink"/>
                <w:b w:val="0"/>
                <w:webHidden/>
                <w:color w:val="0070C0"/>
              </w:rPr>
              <w:tab/>
            </w:r>
            <w:r w:rsidR="00A538D2" w:rsidRPr="008D19CE">
              <w:rPr>
                <w:rStyle w:val="Hyperlink"/>
                <w:b w:val="0"/>
                <w:webHidden/>
                <w:color w:val="0070C0"/>
              </w:rPr>
              <w:fldChar w:fldCharType="begin"/>
            </w:r>
            <w:r w:rsidR="00A538D2" w:rsidRPr="008D19CE">
              <w:rPr>
                <w:rStyle w:val="Hyperlink"/>
                <w:b w:val="0"/>
                <w:webHidden/>
                <w:color w:val="0070C0"/>
              </w:rPr>
              <w:instrText xml:space="preserve"> PAGEREF _Toc104980321 \h </w:instrText>
            </w:r>
            <w:r w:rsidR="00A538D2" w:rsidRPr="008D19CE">
              <w:rPr>
                <w:rStyle w:val="Hyperlink"/>
                <w:b w:val="0"/>
                <w:webHidden/>
                <w:color w:val="0070C0"/>
              </w:rPr>
            </w:r>
            <w:r w:rsidR="00A538D2" w:rsidRPr="008D19CE">
              <w:rPr>
                <w:rStyle w:val="Hyperlink"/>
                <w:b w:val="0"/>
                <w:webHidden/>
                <w:color w:val="0070C0"/>
              </w:rPr>
              <w:fldChar w:fldCharType="separate"/>
            </w:r>
            <w:r w:rsidR="002A6746">
              <w:rPr>
                <w:rStyle w:val="Hyperlink"/>
                <w:b w:val="0"/>
                <w:webHidden/>
                <w:color w:val="0070C0"/>
              </w:rPr>
              <w:t>12</w:t>
            </w:r>
            <w:r w:rsidR="00A538D2" w:rsidRPr="008D19CE">
              <w:rPr>
                <w:rStyle w:val="Hyperlink"/>
                <w:b w:val="0"/>
                <w:webHidden/>
                <w:color w:val="0070C0"/>
              </w:rPr>
              <w:fldChar w:fldCharType="end"/>
            </w:r>
          </w:hyperlink>
        </w:p>
        <w:p w:rsidR="00A538D2" w:rsidRPr="008D19CE" w:rsidRDefault="00EA28E4">
          <w:pPr>
            <w:pStyle w:val="TOC2"/>
            <w:rPr>
              <w:rStyle w:val="Hyperlink"/>
              <w:color w:val="0070C0"/>
              <w:sz w:val="20"/>
            </w:rPr>
          </w:pPr>
          <w:hyperlink w:anchor="_Toc104980322" w:history="1">
            <w:r w:rsidR="00A538D2" w:rsidRPr="008D19CE">
              <w:rPr>
                <w:rStyle w:val="Hyperlink"/>
                <w:rFonts w:asciiTheme="majorHAnsi" w:hAnsiTheme="majorHAnsi"/>
                <w:color w:val="0070C0"/>
                <w:sz w:val="20"/>
              </w:rPr>
              <w:t>3.2</w:t>
            </w:r>
            <w:r w:rsidR="00A538D2" w:rsidRPr="008D19CE">
              <w:rPr>
                <w:rStyle w:val="Hyperlink"/>
                <w:color w:val="0070C0"/>
                <w:sz w:val="20"/>
              </w:rPr>
              <w:tab/>
            </w:r>
            <w:r w:rsidR="00A538D2" w:rsidRPr="008D19CE">
              <w:rPr>
                <w:rStyle w:val="Hyperlink"/>
                <w:rFonts w:asciiTheme="majorHAnsi" w:hAnsiTheme="majorHAnsi"/>
                <w:color w:val="0070C0"/>
                <w:sz w:val="20"/>
              </w:rPr>
              <w:t>Të ardhurat e përgjithshme</w:t>
            </w:r>
            <w:r w:rsidR="00A538D2" w:rsidRPr="008D19CE">
              <w:rPr>
                <w:rStyle w:val="Hyperlink"/>
                <w:webHidden/>
                <w:color w:val="0070C0"/>
                <w:sz w:val="20"/>
              </w:rPr>
              <w:tab/>
            </w:r>
            <w:r w:rsidR="00ED403D">
              <w:rPr>
                <w:rStyle w:val="Hyperlink"/>
                <w:webHidden/>
                <w:color w:val="0070C0"/>
                <w:sz w:val="20"/>
              </w:rPr>
              <w:tab/>
            </w:r>
            <w:r w:rsidR="00A538D2" w:rsidRPr="008D19CE">
              <w:rPr>
                <w:rStyle w:val="Hyperlink"/>
                <w:webHidden/>
                <w:color w:val="0070C0"/>
                <w:sz w:val="20"/>
              </w:rPr>
              <w:fldChar w:fldCharType="begin"/>
            </w:r>
            <w:r w:rsidR="00A538D2" w:rsidRPr="008D19CE">
              <w:rPr>
                <w:rStyle w:val="Hyperlink"/>
                <w:webHidden/>
                <w:color w:val="0070C0"/>
                <w:sz w:val="20"/>
              </w:rPr>
              <w:instrText xml:space="preserve"> PAGEREF _Toc104980322 \h </w:instrText>
            </w:r>
            <w:r w:rsidR="00A538D2" w:rsidRPr="008D19CE">
              <w:rPr>
                <w:rStyle w:val="Hyperlink"/>
                <w:webHidden/>
                <w:color w:val="0070C0"/>
                <w:sz w:val="20"/>
              </w:rPr>
            </w:r>
            <w:r w:rsidR="00A538D2" w:rsidRPr="008D19CE">
              <w:rPr>
                <w:rStyle w:val="Hyperlink"/>
                <w:webHidden/>
                <w:color w:val="0070C0"/>
                <w:sz w:val="20"/>
              </w:rPr>
              <w:fldChar w:fldCharType="separate"/>
            </w:r>
            <w:r w:rsidR="002A6746">
              <w:rPr>
                <w:rStyle w:val="Hyperlink"/>
                <w:webHidden/>
                <w:color w:val="0070C0"/>
                <w:sz w:val="20"/>
              </w:rPr>
              <w:t>13</w:t>
            </w:r>
            <w:r w:rsidR="00A538D2" w:rsidRPr="008D19CE">
              <w:rPr>
                <w:rStyle w:val="Hyperlink"/>
                <w:webHidden/>
                <w:color w:val="0070C0"/>
                <w:sz w:val="20"/>
              </w:rPr>
              <w:fldChar w:fldCharType="end"/>
            </w:r>
          </w:hyperlink>
        </w:p>
        <w:p w:rsidR="00A538D2" w:rsidRPr="008D19CE" w:rsidRDefault="00EA28E4">
          <w:pPr>
            <w:pStyle w:val="TOC3"/>
            <w:rPr>
              <w:rStyle w:val="Hyperlink"/>
              <w:color w:val="0070C0"/>
            </w:rPr>
          </w:pPr>
          <w:hyperlink w:anchor="_Toc104980323" w:history="1">
            <w:r w:rsidR="00A538D2" w:rsidRPr="008D19CE">
              <w:rPr>
                <w:rStyle w:val="Hyperlink"/>
                <w:b w:val="0"/>
                <w:color w:val="0070C0"/>
              </w:rPr>
              <w:t>3.2.1</w:t>
            </w:r>
            <w:r w:rsidR="00A538D2" w:rsidRPr="008D19CE">
              <w:rPr>
                <w:rStyle w:val="Hyperlink"/>
                <w:color w:val="0070C0"/>
              </w:rPr>
              <w:tab/>
            </w:r>
            <w:r w:rsidR="00A538D2" w:rsidRPr="008D19CE">
              <w:rPr>
                <w:rStyle w:val="Hyperlink"/>
                <w:b w:val="0"/>
                <w:color w:val="0070C0"/>
              </w:rPr>
              <w:t>Të ardhurat nga ndihmat</w:t>
            </w:r>
            <w:r w:rsidR="00A538D2" w:rsidRPr="008D19CE">
              <w:rPr>
                <w:rStyle w:val="Hyperlink"/>
                <w:b w:val="0"/>
                <w:webHidden/>
                <w:color w:val="0070C0"/>
              </w:rPr>
              <w:tab/>
            </w:r>
            <w:r w:rsidR="00ED403D">
              <w:rPr>
                <w:rStyle w:val="Hyperlink"/>
                <w:b w:val="0"/>
                <w:webHidden/>
                <w:color w:val="0070C0"/>
              </w:rPr>
              <w:tab/>
            </w:r>
            <w:r w:rsidR="00A538D2" w:rsidRPr="008D19CE">
              <w:rPr>
                <w:rStyle w:val="Hyperlink"/>
                <w:b w:val="0"/>
                <w:webHidden/>
                <w:color w:val="0070C0"/>
              </w:rPr>
              <w:fldChar w:fldCharType="begin"/>
            </w:r>
            <w:r w:rsidR="00A538D2" w:rsidRPr="008D19CE">
              <w:rPr>
                <w:rStyle w:val="Hyperlink"/>
                <w:b w:val="0"/>
                <w:webHidden/>
                <w:color w:val="0070C0"/>
              </w:rPr>
              <w:instrText xml:space="preserve"> PAGEREF _Toc104980323 \h </w:instrText>
            </w:r>
            <w:r w:rsidR="00A538D2" w:rsidRPr="008D19CE">
              <w:rPr>
                <w:rStyle w:val="Hyperlink"/>
                <w:b w:val="0"/>
                <w:webHidden/>
                <w:color w:val="0070C0"/>
              </w:rPr>
            </w:r>
            <w:r w:rsidR="00A538D2" w:rsidRPr="008D19CE">
              <w:rPr>
                <w:rStyle w:val="Hyperlink"/>
                <w:b w:val="0"/>
                <w:webHidden/>
                <w:color w:val="0070C0"/>
              </w:rPr>
              <w:fldChar w:fldCharType="separate"/>
            </w:r>
            <w:r w:rsidR="002A6746">
              <w:rPr>
                <w:rStyle w:val="Hyperlink"/>
                <w:b w:val="0"/>
                <w:webHidden/>
                <w:color w:val="0070C0"/>
              </w:rPr>
              <w:t>14</w:t>
            </w:r>
            <w:r w:rsidR="00A538D2" w:rsidRPr="008D19CE">
              <w:rPr>
                <w:rStyle w:val="Hyperlink"/>
                <w:b w:val="0"/>
                <w:webHidden/>
                <w:color w:val="0070C0"/>
              </w:rPr>
              <w:fldChar w:fldCharType="end"/>
            </w:r>
          </w:hyperlink>
        </w:p>
        <w:p w:rsidR="00A538D2" w:rsidRPr="008D19CE" w:rsidRDefault="00EA28E4">
          <w:pPr>
            <w:pStyle w:val="TOC3"/>
            <w:rPr>
              <w:rStyle w:val="Hyperlink"/>
              <w:color w:val="0070C0"/>
            </w:rPr>
          </w:pPr>
          <w:hyperlink w:anchor="_Toc104980324" w:history="1">
            <w:r w:rsidR="00A538D2" w:rsidRPr="008D19CE">
              <w:rPr>
                <w:rStyle w:val="Hyperlink"/>
                <w:b w:val="0"/>
                <w:color w:val="0070C0"/>
              </w:rPr>
              <w:t>3.2.2</w:t>
            </w:r>
            <w:r w:rsidR="00A538D2" w:rsidRPr="008D19CE">
              <w:rPr>
                <w:rStyle w:val="Hyperlink"/>
                <w:color w:val="0070C0"/>
              </w:rPr>
              <w:tab/>
            </w:r>
            <w:r w:rsidR="00A538D2" w:rsidRPr="008D19CE">
              <w:rPr>
                <w:rStyle w:val="Hyperlink"/>
                <w:b w:val="0"/>
                <w:color w:val="0070C0"/>
              </w:rPr>
              <w:t>Të ardhurat tatimore</w:t>
            </w:r>
            <w:r w:rsidR="00A538D2" w:rsidRPr="008D19CE">
              <w:rPr>
                <w:rStyle w:val="Hyperlink"/>
                <w:b w:val="0"/>
                <w:webHidden/>
                <w:color w:val="0070C0"/>
              </w:rPr>
              <w:tab/>
            </w:r>
            <w:r w:rsidR="00ED403D">
              <w:rPr>
                <w:rStyle w:val="Hyperlink"/>
                <w:b w:val="0"/>
                <w:webHidden/>
                <w:color w:val="0070C0"/>
              </w:rPr>
              <w:tab/>
            </w:r>
            <w:r w:rsidR="00A538D2" w:rsidRPr="008D19CE">
              <w:rPr>
                <w:rStyle w:val="Hyperlink"/>
                <w:b w:val="0"/>
                <w:webHidden/>
                <w:color w:val="0070C0"/>
              </w:rPr>
              <w:fldChar w:fldCharType="begin"/>
            </w:r>
            <w:r w:rsidR="00A538D2" w:rsidRPr="008D19CE">
              <w:rPr>
                <w:rStyle w:val="Hyperlink"/>
                <w:b w:val="0"/>
                <w:webHidden/>
                <w:color w:val="0070C0"/>
              </w:rPr>
              <w:instrText xml:space="preserve"> PAGEREF _Toc104980324 \h </w:instrText>
            </w:r>
            <w:r w:rsidR="00A538D2" w:rsidRPr="008D19CE">
              <w:rPr>
                <w:rStyle w:val="Hyperlink"/>
                <w:b w:val="0"/>
                <w:webHidden/>
                <w:color w:val="0070C0"/>
              </w:rPr>
            </w:r>
            <w:r w:rsidR="00A538D2" w:rsidRPr="008D19CE">
              <w:rPr>
                <w:rStyle w:val="Hyperlink"/>
                <w:b w:val="0"/>
                <w:webHidden/>
                <w:color w:val="0070C0"/>
              </w:rPr>
              <w:fldChar w:fldCharType="separate"/>
            </w:r>
            <w:r w:rsidR="002A6746">
              <w:rPr>
                <w:rStyle w:val="Hyperlink"/>
                <w:b w:val="0"/>
                <w:webHidden/>
                <w:color w:val="0070C0"/>
              </w:rPr>
              <w:t>14</w:t>
            </w:r>
            <w:r w:rsidR="00A538D2" w:rsidRPr="008D19CE">
              <w:rPr>
                <w:rStyle w:val="Hyperlink"/>
                <w:b w:val="0"/>
                <w:webHidden/>
                <w:color w:val="0070C0"/>
              </w:rPr>
              <w:fldChar w:fldCharType="end"/>
            </w:r>
          </w:hyperlink>
        </w:p>
        <w:p w:rsidR="00A538D2" w:rsidRPr="008D19CE" w:rsidRDefault="00EA28E4">
          <w:pPr>
            <w:pStyle w:val="TOC3"/>
            <w:rPr>
              <w:rStyle w:val="Hyperlink"/>
              <w:color w:val="0070C0"/>
            </w:rPr>
          </w:pPr>
          <w:hyperlink w:anchor="_Toc104980325" w:history="1">
            <w:r w:rsidR="00A538D2" w:rsidRPr="008D19CE">
              <w:rPr>
                <w:rStyle w:val="Hyperlink"/>
                <w:b w:val="0"/>
                <w:color w:val="0070C0"/>
              </w:rPr>
              <w:t>3.2.3</w:t>
            </w:r>
            <w:r w:rsidR="00A538D2" w:rsidRPr="008D19CE">
              <w:rPr>
                <w:rStyle w:val="Hyperlink"/>
                <w:color w:val="0070C0"/>
              </w:rPr>
              <w:tab/>
            </w:r>
            <w:r w:rsidR="00A538D2" w:rsidRPr="008D19CE">
              <w:rPr>
                <w:rStyle w:val="Hyperlink"/>
                <w:b w:val="0"/>
                <w:color w:val="0070C0"/>
              </w:rPr>
              <w:t>Të ardhurat nga pushteti vendor</w:t>
            </w:r>
            <w:r w:rsidR="00A538D2" w:rsidRPr="008D19CE">
              <w:rPr>
                <w:rStyle w:val="Hyperlink"/>
                <w:b w:val="0"/>
                <w:webHidden/>
                <w:color w:val="0070C0"/>
              </w:rPr>
              <w:tab/>
            </w:r>
            <w:r w:rsidR="00ED403D">
              <w:rPr>
                <w:rStyle w:val="Hyperlink"/>
                <w:b w:val="0"/>
                <w:webHidden/>
                <w:color w:val="0070C0"/>
              </w:rPr>
              <w:tab/>
            </w:r>
            <w:r w:rsidR="00A538D2" w:rsidRPr="008D19CE">
              <w:rPr>
                <w:rStyle w:val="Hyperlink"/>
                <w:b w:val="0"/>
                <w:webHidden/>
                <w:color w:val="0070C0"/>
              </w:rPr>
              <w:fldChar w:fldCharType="begin"/>
            </w:r>
            <w:r w:rsidR="00A538D2" w:rsidRPr="008D19CE">
              <w:rPr>
                <w:rStyle w:val="Hyperlink"/>
                <w:b w:val="0"/>
                <w:webHidden/>
                <w:color w:val="0070C0"/>
              </w:rPr>
              <w:instrText xml:space="preserve"> PAGEREF _Toc104980325 \h </w:instrText>
            </w:r>
            <w:r w:rsidR="00A538D2" w:rsidRPr="008D19CE">
              <w:rPr>
                <w:rStyle w:val="Hyperlink"/>
                <w:b w:val="0"/>
                <w:webHidden/>
                <w:color w:val="0070C0"/>
              </w:rPr>
            </w:r>
            <w:r w:rsidR="00A538D2" w:rsidRPr="008D19CE">
              <w:rPr>
                <w:rStyle w:val="Hyperlink"/>
                <w:b w:val="0"/>
                <w:webHidden/>
                <w:color w:val="0070C0"/>
              </w:rPr>
              <w:fldChar w:fldCharType="separate"/>
            </w:r>
            <w:r w:rsidR="002A6746">
              <w:rPr>
                <w:rStyle w:val="Hyperlink"/>
                <w:b w:val="0"/>
                <w:webHidden/>
                <w:color w:val="0070C0"/>
              </w:rPr>
              <w:t>14</w:t>
            </w:r>
            <w:r w:rsidR="00A538D2" w:rsidRPr="008D19CE">
              <w:rPr>
                <w:rStyle w:val="Hyperlink"/>
                <w:b w:val="0"/>
                <w:webHidden/>
                <w:color w:val="0070C0"/>
              </w:rPr>
              <w:fldChar w:fldCharType="end"/>
            </w:r>
          </w:hyperlink>
        </w:p>
        <w:p w:rsidR="00A538D2" w:rsidRPr="008D19CE" w:rsidRDefault="00EA28E4">
          <w:pPr>
            <w:pStyle w:val="TOC3"/>
            <w:rPr>
              <w:rStyle w:val="Hyperlink"/>
              <w:color w:val="0070C0"/>
            </w:rPr>
          </w:pPr>
          <w:hyperlink w:anchor="_Toc104980326" w:history="1">
            <w:r w:rsidR="00A538D2" w:rsidRPr="008D19CE">
              <w:rPr>
                <w:rStyle w:val="Hyperlink"/>
                <w:b w:val="0"/>
                <w:color w:val="0070C0"/>
              </w:rPr>
              <w:t>3.2.4</w:t>
            </w:r>
            <w:r w:rsidR="00A538D2" w:rsidRPr="008D19CE">
              <w:rPr>
                <w:rStyle w:val="Hyperlink"/>
                <w:color w:val="0070C0"/>
              </w:rPr>
              <w:tab/>
            </w:r>
            <w:r w:rsidR="00A538D2" w:rsidRPr="008D19CE">
              <w:rPr>
                <w:rStyle w:val="Hyperlink"/>
                <w:b w:val="0"/>
                <w:color w:val="0070C0"/>
              </w:rPr>
              <w:t>Të ardhurat nga fondet speciale</w:t>
            </w:r>
            <w:r w:rsidR="00A538D2" w:rsidRPr="008D19CE">
              <w:rPr>
                <w:rStyle w:val="Hyperlink"/>
                <w:b w:val="0"/>
                <w:webHidden/>
                <w:color w:val="0070C0"/>
              </w:rPr>
              <w:tab/>
            </w:r>
            <w:r w:rsidR="00ED403D">
              <w:rPr>
                <w:rStyle w:val="Hyperlink"/>
                <w:b w:val="0"/>
                <w:webHidden/>
                <w:color w:val="0070C0"/>
              </w:rPr>
              <w:tab/>
            </w:r>
            <w:r w:rsidR="00A538D2" w:rsidRPr="008D19CE">
              <w:rPr>
                <w:rStyle w:val="Hyperlink"/>
                <w:b w:val="0"/>
                <w:webHidden/>
                <w:color w:val="0070C0"/>
              </w:rPr>
              <w:fldChar w:fldCharType="begin"/>
            </w:r>
            <w:r w:rsidR="00A538D2" w:rsidRPr="008D19CE">
              <w:rPr>
                <w:rStyle w:val="Hyperlink"/>
                <w:b w:val="0"/>
                <w:webHidden/>
                <w:color w:val="0070C0"/>
              </w:rPr>
              <w:instrText xml:space="preserve"> PAGEREF _Toc104980326 \h </w:instrText>
            </w:r>
            <w:r w:rsidR="00A538D2" w:rsidRPr="008D19CE">
              <w:rPr>
                <w:rStyle w:val="Hyperlink"/>
                <w:b w:val="0"/>
                <w:webHidden/>
                <w:color w:val="0070C0"/>
              </w:rPr>
            </w:r>
            <w:r w:rsidR="00A538D2" w:rsidRPr="008D19CE">
              <w:rPr>
                <w:rStyle w:val="Hyperlink"/>
                <w:b w:val="0"/>
                <w:webHidden/>
                <w:color w:val="0070C0"/>
              </w:rPr>
              <w:fldChar w:fldCharType="separate"/>
            </w:r>
            <w:r w:rsidR="002A6746">
              <w:rPr>
                <w:rStyle w:val="Hyperlink"/>
                <w:b w:val="0"/>
                <w:webHidden/>
                <w:color w:val="0070C0"/>
              </w:rPr>
              <w:t>15</w:t>
            </w:r>
            <w:r w:rsidR="00A538D2" w:rsidRPr="008D19CE">
              <w:rPr>
                <w:rStyle w:val="Hyperlink"/>
                <w:b w:val="0"/>
                <w:webHidden/>
                <w:color w:val="0070C0"/>
              </w:rPr>
              <w:fldChar w:fldCharType="end"/>
            </w:r>
          </w:hyperlink>
        </w:p>
        <w:p w:rsidR="00A538D2" w:rsidRPr="008D19CE" w:rsidRDefault="00EA28E4">
          <w:pPr>
            <w:pStyle w:val="TOC3"/>
            <w:rPr>
              <w:rStyle w:val="Hyperlink"/>
              <w:color w:val="0070C0"/>
            </w:rPr>
          </w:pPr>
          <w:hyperlink w:anchor="_Toc104980327" w:history="1">
            <w:r w:rsidR="00A538D2" w:rsidRPr="008D19CE">
              <w:rPr>
                <w:rStyle w:val="Hyperlink"/>
                <w:b w:val="0"/>
                <w:color w:val="0070C0"/>
              </w:rPr>
              <w:t>3.2.5</w:t>
            </w:r>
            <w:r w:rsidR="00A538D2" w:rsidRPr="008D19CE">
              <w:rPr>
                <w:rStyle w:val="Hyperlink"/>
                <w:color w:val="0070C0"/>
              </w:rPr>
              <w:tab/>
            </w:r>
            <w:r w:rsidR="00A538D2" w:rsidRPr="008D19CE">
              <w:rPr>
                <w:rStyle w:val="Hyperlink"/>
                <w:b w:val="0"/>
                <w:color w:val="0070C0"/>
              </w:rPr>
              <w:t>Të ardhurat jotatimore</w:t>
            </w:r>
            <w:r w:rsidR="00A538D2" w:rsidRPr="008D19CE">
              <w:rPr>
                <w:rStyle w:val="Hyperlink"/>
                <w:b w:val="0"/>
                <w:webHidden/>
                <w:color w:val="0070C0"/>
              </w:rPr>
              <w:tab/>
            </w:r>
            <w:r w:rsidR="00ED403D">
              <w:rPr>
                <w:rStyle w:val="Hyperlink"/>
                <w:b w:val="0"/>
                <w:webHidden/>
                <w:color w:val="0070C0"/>
              </w:rPr>
              <w:tab/>
            </w:r>
            <w:r w:rsidR="00A538D2" w:rsidRPr="008D19CE">
              <w:rPr>
                <w:rStyle w:val="Hyperlink"/>
                <w:b w:val="0"/>
                <w:webHidden/>
                <w:color w:val="0070C0"/>
              </w:rPr>
              <w:fldChar w:fldCharType="begin"/>
            </w:r>
            <w:r w:rsidR="00A538D2" w:rsidRPr="008D19CE">
              <w:rPr>
                <w:rStyle w:val="Hyperlink"/>
                <w:b w:val="0"/>
                <w:webHidden/>
                <w:color w:val="0070C0"/>
              </w:rPr>
              <w:instrText xml:space="preserve"> PAGEREF _Toc104980327 \h </w:instrText>
            </w:r>
            <w:r w:rsidR="00A538D2" w:rsidRPr="008D19CE">
              <w:rPr>
                <w:rStyle w:val="Hyperlink"/>
                <w:b w:val="0"/>
                <w:webHidden/>
                <w:color w:val="0070C0"/>
              </w:rPr>
            </w:r>
            <w:r w:rsidR="00A538D2" w:rsidRPr="008D19CE">
              <w:rPr>
                <w:rStyle w:val="Hyperlink"/>
                <w:b w:val="0"/>
                <w:webHidden/>
                <w:color w:val="0070C0"/>
              </w:rPr>
              <w:fldChar w:fldCharType="separate"/>
            </w:r>
            <w:r w:rsidR="002A6746">
              <w:rPr>
                <w:rStyle w:val="Hyperlink"/>
                <w:b w:val="0"/>
                <w:webHidden/>
                <w:color w:val="0070C0"/>
              </w:rPr>
              <w:t>16</w:t>
            </w:r>
            <w:r w:rsidR="00A538D2" w:rsidRPr="008D19CE">
              <w:rPr>
                <w:rStyle w:val="Hyperlink"/>
                <w:b w:val="0"/>
                <w:webHidden/>
                <w:color w:val="0070C0"/>
              </w:rPr>
              <w:fldChar w:fldCharType="end"/>
            </w:r>
          </w:hyperlink>
        </w:p>
        <w:p w:rsidR="00A538D2" w:rsidRPr="008D19CE" w:rsidRDefault="00EA28E4">
          <w:pPr>
            <w:pStyle w:val="TOC3"/>
            <w:rPr>
              <w:rStyle w:val="Hyperlink"/>
              <w:color w:val="0070C0"/>
            </w:rPr>
          </w:pPr>
          <w:hyperlink w:anchor="_Toc104980328" w:history="1">
            <w:r w:rsidR="00A538D2" w:rsidRPr="008D19CE">
              <w:rPr>
                <w:rStyle w:val="Hyperlink"/>
                <w:b w:val="0"/>
                <w:color w:val="0070C0"/>
              </w:rPr>
              <w:t>3.2.6</w:t>
            </w:r>
            <w:r w:rsidR="00A538D2" w:rsidRPr="008D19CE">
              <w:rPr>
                <w:rStyle w:val="Hyperlink"/>
                <w:color w:val="0070C0"/>
              </w:rPr>
              <w:tab/>
            </w:r>
            <w:r w:rsidR="00A538D2" w:rsidRPr="008D19CE">
              <w:rPr>
                <w:rStyle w:val="Hyperlink"/>
                <w:b w:val="0"/>
                <w:color w:val="0070C0"/>
              </w:rPr>
              <w:t>Të ardhurat nga tatimet dhe doganat</w:t>
            </w:r>
            <w:r w:rsidR="00A538D2" w:rsidRPr="008D19CE">
              <w:rPr>
                <w:rStyle w:val="Hyperlink"/>
                <w:b w:val="0"/>
                <w:webHidden/>
                <w:color w:val="0070C0"/>
              </w:rPr>
              <w:tab/>
            </w:r>
            <w:r w:rsidR="00ED403D">
              <w:rPr>
                <w:rStyle w:val="Hyperlink"/>
                <w:b w:val="0"/>
                <w:webHidden/>
                <w:color w:val="0070C0"/>
              </w:rPr>
              <w:tab/>
            </w:r>
            <w:r w:rsidR="00A538D2" w:rsidRPr="008D19CE">
              <w:rPr>
                <w:rStyle w:val="Hyperlink"/>
                <w:b w:val="0"/>
                <w:webHidden/>
                <w:color w:val="0070C0"/>
              </w:rPr>
              <w:fldChar w:fldCharType="begin"/>
            </w:r>
            <w:r w:rsidR="00A538D2" w:rsidRPr="008D19CE">
              <w:rPr>
                <w:rStyle w:val="Hyperlink"/>
                <w:b w:val="0"/>
                <w:webHidden/>
                <w:color w:val="0070C0"/>
              </w:rPr>
              <w:instrText xml:space="preserve"> PAGEREF _Toc104980328 \h </w:instrText>
            </w:r>
            <w:r w:rsidR="00A538D2" w:rsidRPr="008D19CE">
              <w:rPr>
                <w:rStyle w:val="Hyperlink"/>
                <w:b w:val="0"/>
                <w:webHidden/>
                <w:color w:val="0070C0"/>
              </w:rPr>
            </w:r>
            <w:r w:rsidR="00A538D2" w:rsidRPr="008D19CE">
              <w:rPr>
                <w:rStyle w:val="Hyperlink"/>
                <w:b w:val="0"/>
                <w:webHidden/>
                <w:color w:val="0070C0"/>
              </w:rPr>
              <w:fldChar w:fldCharType="separate"/>
            </w:r>
            <w:r w:rsidR="002A6746">
              <w:rPr>
                <w:rStyle w:val="Hyperlink"/>
                <w:b w:val="0"/>
                <w:webHidden/>
                <w:color w:val="0070C0"/>
              </w:rPr>
              <w:t>16</w:t>
            </w:r>
            <w:r w:rsidR="00A538D2" w:rsidRPr="008D19CE">
              <w:rPr>
                <w:rStyle w:val="Hyperlink"/>
                <w:b w:val="0"/>
                <w:webHidden/>
                <w:color w:val="0070C0"/>
              </w:rPr>
              <w:fldChar w:fldCharType="end"/>
            </w:r>
          </w:hyperlink>
        </w:p>
        <w:p w:rsidR="00A538D2" w:rsidRPr="008D19CE" w:rsidRDefault="00EA28E4">
          <w:pPr>
            <w:pStyle w:val="TOC2"/>
            <w:rPr>
              <w:rStyle w:val="Hyperlink"/>
              <w:color w:val="0070C0"/>
              <w:sz w:val="20"/>
            </w:rPr>
          </w:pPr>
          <w:hyperlink w:anchor="_Toc104980329" w:history="1">
            <w:r w:rsidR="00A538D2" w:rsidRPr="008D19CE">
              <w:rPr>
                <w:rStyle w:val="Hyperlink"/>
                <w:rFonts w:asciiTheme="majorHAnsi" w:hAnsiTheme="majorHAnsi"/>
                <w:color w:val="0070C0"/>
                <w:sz w:val="20"/>
              </w:rPr>
              <w:t>3.3</w:t>
            </w:r>
            <w:r w:rsidR="00A538D2" w:rsidRPr="008D19CE">
              <w:rPr>
                <w:rStyle w:val="Hyperlink"/>
                <w:color w:val="0070C0"/>
                <w:sz w:val="20"/>
              </w:rPr>
              <w:tab/>
            </w:r>
            <w:r w:rsidR="00A538D2" w:rsidRPr="008D19CE">
              <w:rPr>
                <w:rStyle w:val="Hyperlink"/>
                <w:rFonts w:asciiTheme="majorHAnsi" w:hAnsiTheme="majorHAnsi"/>
                <w:color w:val="0070C0"/>
                <w:sz w:val="20"/>
              </w:rPr>
              <w:t>Të ardhurat sipas taksave, tatimeve dhe burimeve të tjera</w:t>
            </w:r>
            <w:r w:rsidR="00A538D2" w:rsidRPr="008D19CE">
              <w:rPr>
                <w:rStyle w:val="Hyperlink"/>
                <w:webHidden/>
                <w:color w:val="0070C0"/>
                <w:sz w:val="20"/>
              </w:rPr>
              <w:tab/>
            </w:r>
            <w:r w:rsidR="00ED403D">
              <w:rPr>
                <w:rStyle w:val="Hyperlink"/>
                <w:webHidden/>
                <w:color w:val="0070C0"/>
                <w:sz w:val="20"/>
              </w:rPr>
              <w:tab/>
            </w:r>
            <w:r w:rsidR="00A538D2" w:rsidRPr="008D19CE">
              <w:rPr>
                <w:rStyle w:val="Hyperlink"/>
                <w:webHidden/>
                <w:color w:val="0070C0"/>
                <w:sz w:val="20"/>
              </w:rPr>
              <w:fldChar w:fldCharType="begin"/>
            </w:r>
            <w:r w:rsidR="00A538D2" w:rsidRPr="008D19CE">
              <w:rPr>
                <w:rStyle w:val="Hyperlink"/>
                <w:webHidden/>
                <w:color w:val="0070C0"/>
                <w:sz w:val="20"/>
              </w:rPr>
              <w:instrText xml:space="preserve"> PAGEREF _Toc104980329 \h </w:instrText>
            </w:r>
            <w:r w:rsidR="00A538D2" w:rsidRPr="008D19CE">
              <w:rPr>
                <w:rStyle w:val="Hyperlink"/>
                <w:webHidden/>
                <w:color w:val="0070C0"/>
                <w:sz w:val="20"/>
              </w:rPr>
            </w:r>
            <w:r w:rsidR="00A538D2" w:rsidRPr="008D19CE">
              <w:rPr>
                <w:rStyle w:val="Hyperlink"/>
                <w:webHidden/>
                <w:color w:val="0070C0"/>
                <w:sz w:val="20"/>
              </w:rPr>
              <w:fldChar w:fldCharType="separate"/>
            </w:r>
            <w:r w:rsidR="002A6746">
              <w:rPr>
                <w:rStyle w:val="Hyperlink"/>
                <w:webHidden/>
                <w:color w:val="0070C0"/>
                <w:sz w:val="20"/>
              </w:rPr>
              <w:t>19</w:t>
            </w:r>
            <w:r w:rsidR="00A538D2" w:rsidRPr="008D19CE">
              <w:rPr>
                <w:rStyle w:val="Hyperlink"/>
                <w:webHidden/>
                <w:color w:val="0070C0"/>
                <w:sz w:val="20"/>
              </w:rPr>
              <w:fldChar w:fldCharType="end"/>
            </w:r>
          </w:hyperlink>
        </w:p>
        <w:p w:rsidR="00A538D2" w:rsidRPr="008D19CE" w:rsidRDefault="00EA28E4">
          <w:pPr>
            <w:pStyle w:val="TOC3"/>
            <w:rPr>
              <w:rStyle w:val="Hyperlink"/>
              <w:color w:val="0070C0"/>
            </w:rPr>
          </w:pPr>
          <w:hyperlink w:anchor="_Toc104980330" w:history="1">
            <w:r w:rsidR="00A538D2" w:rsidRPr="008D19CE">
              <w:rPr>
                <w:rStyle w:val="Hyperlink"/>
                <w:b w:val="0"/>
                <w:color w:val="0070C0"/>
              </w:rPr>
              <w:t>3.3.1</w:t>
            </w:r>
            <w:r w:rsidR="00A538D2" w:rsidRPr="008D19CE">
              <w:rPr>
                <w:rStyle w:val="Hyperlink"/>
                <w:color w:val="0070C0"/>
              </w:rPr>
              <w:tab/>
            </w:r>
            <w:r w:rsidR="00A538D2" w:rsidRPr="008D19CE">
              <w:rPr>
                <w:rStyle w:val="Hyperlink"/>
                <w:b w:val="0"/>
                <w:color w:val="0070C0"/>
              </w:rPr>
              <w:t>Taksimi Indirekt</w:t>
            </w:r>
            <w:r w:rsidR="00A538D2" w:rsidRPr="008D19CE">
              <w:rPr>
                <w:rStyle w:val="Hyperlink"/>
                <w:b w:val="0"/>
                <w:webHidden/>
                <w:color w:val="0070C0"/>
              </w:rPr>
              <w:tab/>
            </w:r>
            <w:r w:rsidR="00ED403D">
              <w:rPr>
                <w:rStyle w:val="Hyperlink"/>
                <w:b w:val="0"/>
                <w:webHidden/>
                <w:color w:val="0070C0"/>
              </w:rPr>
              <w:tab/>
            </w:r>
            <w:r w:rsidR="00A538D2" w:rsidRPr="008D19CE">
              <w:rPr>
                <w:rStyle w:val="Hyperlink"/>
                <w:b w:val="0"/>
                <w:webHidden/>
                <w:color w:val="0070C0"/>
              </w:rPr>
              <w:fldChar w:fldCharType="begin"/>
            </w:r>
            <w:r w:rsidR="00A538D2" w:rsidRPr="008D19CE">
              <w:rPr>
                <w:rStyle w:val="Hyperlink"/>
                <w:b w:val="0"/>
                <w:webHidden/>
                <w:color w:val="0070C0"/>
              </w:rPr>
              <w:instrText xml:space="preserve"> PAGEREF _Toc104980330 \h </w:instrText>
            </w:r>
            <w:r w:rsidR="00A538D2" w:rsidRPr="008D19CE">
              <w:rPr>
                <w:rStyle w:val="Hyperlink"/>
                <w:b w:val="0"/>
                <w:webHidden/>
                <w:color w:val="0070C0"/>
              </w:rPr>
            </w:r>
            <w:r w:rsidR="00A538D2" w:rsidRPr="008D19CE">
              <w:rPr>
                <w:rStyle w:val="Hyperlink"/>
                <w:b w:val="0"/>
                <w:webHidden/>
                <w:color w:val="0070C0"/>
              </w:rPr>
              <w:fldChar w:fldCharType="separate"/>
            </w:r>
            <w:r w:rsidR="002A6746">
              <w:rPr>
                <w:rStyle w:val="Hyperlink"/>
                <w:b w:val="0"/>
                <w:webHidden/>
                <w:color w:val="0070C0"/>
              </w:rPr>
              <w:t>19</w:t>
            </w:r>
            <w:r w:rsidR="00A538D2" w:rsidRPr="008D19CE">
              <w:rPr>
                <w:rStyle w:val="Hyperlink"/>
                <w:b w:val="0"/>
                <w:webHidden/>
                <w:color w:val="0070C0"/>
              </w:rPr>
              <w:fldChar w:fldCharType="end"/>
            </w:r>
          </w:hyperlink>
        </w:p>
        <w:p w:rsidR="00A538D2" w:rsidRPr="008D19CE" w:rsidRDefault="00EA28E4" w:rsidP="001323FC">
          <w:pPr>
            <w:pStyle w:val="TOC3"/>
            <w:spacing w:after="0"/>
            <w:rPr>
              <w:rStyle w:val="Hyperlink"/>
              <w:color w:val="0070C0"/>
            </w:rPr>
          </w:pPr>
          <w:hyperlink w:anchor="_Toc104980331" w:history="1">
            <w:r w:rsidR="00A538D2" w:rsidRPr="008D19CE">
              <w:rPr>
                <w:rStyle w:val="Hyperlink"/>
                <w:b w:val="0"/>
                <w:color w:val="0070C0"/>
              </w:rPr>
              <w:t>3.3.2</w:t>
            </w:r>
            <w:r w:rsidR="00A538D2" w:rsidRPr="008D19CE">
              <w:rPr>
                <w:rStyle w:val="Hyperlink"/>
                <w:color w:val="0070C0"/>
              </w:rPr>
              <w:tab/>
            </w:r>
            <w:r w:rsidR="00A538D2" w:rsidRPr="008D19CE">
              <w:rPr>
                <w:rStyle w:val="Hyperlink"/>
                <w:b w:val="0"/>
                <w:color w:val="0070C0"/>
              </w:rPr>
              <w:t>Taksimi direkt</w:t>
            </w:r>
            <w:r w:rsidR="00A538D2" w:rsidRPr="008D19CE">
              <w:rPr>
                <w:rStyle w:val="Hyperlink"/>
                <w:b w:val="0"/>
                <w:webHidden/>
                <w:color w:val="0070C0"/>
              </w:rPr>
              <w:tab/>
            </w:r>
            <w:r w:rsidR="00ED403D">
              <w:rPr>
                <w:rStyle w:val="Hyperlink"/>
                <w:b w:val="0"/>
                <w:webHidden/>
                <w:color w:val="0070C0"/>
              </w:rPr>
              <w:tab/>
            </w:r>
            <w:r w:rsidR="00A538D2" w:rsidRPr="008D19CE">
              <w:rPr>
                <w:rStyle w:val="Hyperlink"/>
                <w:b w:val="0"/>
                <w:webHidden/>
                <w:color w:val="0070C0"/>
              </w:rPr>
              <w:fldChar w:fldCharType="begin"/>
            </w:r>
            <w:r w:rsidR="00A538D2" w:rsidRPr="008D19CE">
              <w:rPr>
                <w:rStyle w:val="Hyperlink"/>
                <w:b w:val="0"/>
                <w:webHidden/>
                <w:color w:val="0070C0"/>
              </w:rPr>
              <w:instrText xml:space="preserve"> PAGEREF _Toc104980331 \h </w:instrText>
            </w:r>
            <w:r w:rsidR="00A538D2" w:rsidRPr="008D19CE">
              <w:rPr>
                <w:rStyle w:val="Hyperlink"/>
                <w:b w:val="0"/>
                <w:webHidden/>
                <w:color w:val="0070C0"/>
              </w:rPr>
            </w:r>
            <w:r w:rsidR="00A538D2" w:rsidRPr="008D19CE">
              <w:rPr>
                <w:rStyle w:val="Hyperlink"/>
                <w:b w:val="0"/>
                <w:webHidden/>
                <w:color w:val="0070C0"/>
              </w:rPr>
              <w:fldChar w:fldCharType="separate"/>
            </w:r>
            <w:r w:rsidR="002A6746">
              <w:rPr>
                <w:rStyle w:val="Hyperlink"/>
                <w:b w:val="0"/>
                <w:webHidden/>
                <w:color w:val="0070C0"/>
              </w:rPr>
              <w:t>22</w:t>
            </w:r>
            <w:r w:rsidR="00A538D2" w:rsidRPr="008D19CE">
              <w:rPr>
                <w:rStyle w:val="Hyperlink"/>
                <w:b w:val="0"/>
                <w:webHidden/>
                <w:color w:val="0070C0"/>
              </w:rPr>
              <w:fldChar w:fldCharType="end"/>
            </w:r>
          </w:hyperlink>
        </w:p>
        <w:p w:rsidR="008D19CE" w:rsidRDefault="008D19CE" w:rsidP="008D19CE">
          <w:pPr>
            <w:pStyle w:val="TOC1"/>
            <w:spacing w:before="0"/>
            <w:rPr>
              <w:rStyle w:val="Hyperlink"/>
              <w:rFonts w:cs="Calibri"/>
              <w:color w:val="0070C0"/>
              <w:sz w:val="24"/>
            </w:rPr>
          </w:pPr>
        </w:p>
        <w:p w:rsidR="00A538D2" w:rsidRPr="008D19CE" w:rsidRDefault="00EA28E4" w:rsidP="008D19CE">
          <w:pPr>
            <w:pStyle w:val="TOC1"/>
            <w:spacing w:before="0"/>
            <w:rPr>
              <w:rStyle w:val="Hyperlink"/>
              <w:rFonts w:cs="Calibri"/>
              <w:color w:val="0070C0"/>
              <w:sz w:val="24"/>
            </w:rPr>
          </w:pPr>
          <w:hyperlink w:anchor="_Toc104980332" w:history="1">
            <w:r w:rsidR="00A538D2" w:rsidRPr="008D19CE">
              <w:rPr>
                <w:rStyle w:val="Hyperlink"/>
                <w:rFonts w:cs="Calibri"/>
                <w:color w:val="0070C0"/>
                <w:sz w:val="24"/>
              </w:rPr>
              <w:t>4.</w:t>
            </w:r>
            <w:r w:rsidR="00A538D2" w:rsidRPr="008D19CE">
              <w:rPr>
                <w:rStyle w:val="Hyperlink"/>
                <w:rFonts w:cs="Calibri"/>
                <w:color w:val="0070C0"/>
                <w:sz w:val="24"/>
              </w:rPr>
              <w:tab/>
              <w:t>SHPENZIMET E PËRGJITHSHME</w:t>
            </w:r>
            <w:r w:rsidR="00A538D2" w:rsidRPr="008D19CE">
              <w:rPr>
                <w:rStyle w:val="Hyperlink"/>
                <w:rFonts w:cs="Calibri"/>
                <w:webHidden/>
                <w:color w:val="0070C0"/>
                <w:sz w:val="24"/>
              </w:rPr>
              <w:tab/>
            </w:r>
            <w:r w:rsidR="00ED403D">
              <w:rPr>
                <w:rStyle w:val="Hyperlink"/>
                <w:rFonts w:cs="Calibri"/>
                <w:webHidden/>
                <w:color w:val="0070C0"/>
                <w:sz w:val="24"/>
              </w:rPr>
              <w:tab/>
            </w:r>
            <w:r w:rsidR="00A538D2" w:rsidRPr="008D19CE">
              <w:rPr>
                <w:rStyle w:val="Hyperlink"/>
                <w:rFonts w:cs="Calibri"/>
                <w:webHidden/>
                <w:color w:val="0070C0"/>
                <w:sz w:val="24"/>
              </w:rPr>
              <w:fldChar w:fldCharType="begin"/>
            </w:r>
            <w:r w:rsidR="00A538D2" w:rsidRPr="008D19CE">
              <w:rPr>
                <w:rStyle w:val="Hyperlink"/>
                <w:rFonts w:cs="Calibri"/>
                <w:webHidden/>
                <w:color w:val="0070C0"/>
                <w:sz w:val="24"/>
              </w:rPr>
              <w:instrText xml:space="preserve"> PAGEREF _Toc104980332 \h </w:instrText>
            </w:r>
            <w:r w:rsidR="00A538D2" w:rsidRPr="008D19CE">
              <w:rPr>
                <w:rStyle w:val="Hyperlink"/>
                <w:rFonts w:cs="Calibri"/>
                <w:webHidden/>
                <w:color w:val="0070C0"/>
                <w:sz w:val="24"/>
              </w:rPr>
            </w:r>
            <w:r w:rsidR="00A538D2" w:rsidRPr="008D19CE">
              <w:rPr>
                <w:rStyle w:val="Hyperlink"/>
                <w:rFonts w:cs="Calibri"/>
                <w:webHidden/>
                <w:color w:val="0070C0"/>
                <w:sz w:val="24"/>
              </w:rPr>
              <w:fldChar w:fldCharType="separate"/>
            </w:r>
            <w:r w:rsidR="002A6746">
              <w:rPr>
                <w:rStyle w:val="Hyperlink"/>
                <w:rFonts w:cs="Calibri"/>
                <w:webHidden/>
                <w:color w:val="0070C0"/>
                <w:sz w:val="24"/>
              </w:rPr>
              <w:t>25</w:t>
            </w:r>
            <w:r w:rsidR="00A538D2" w:rsidRPr="008D19CE">
              <w:rPr>
                <w:rStyle w:val="Hyperlink"/>
                <w:rFonts w:cs="Calibri"/>
                <w:webHidden/>
                <w:color w:val="0070C0"/>
                <w:sz w:val="24"/>
              </w:rPr>
              <w:fldChar w:fldCharType="end"/>
            </w:r>
          </w:hyperlink>
        </w:p>
        <w:p w:rsidR="00A538D2" w:rsidRPr="008D19CE" w:rsidRDefault="00EA28E4">
          <w:pPr>
            <w:pStyle w:val="TOC2"/>
            <w:rPr>
              <w:rStyle w:val="Hyperlink"/>
              <w:color w:val="0070C0"/>
              <w:sz w:val="20"/>
            </w:rPr>
          </w:pPr>
          <w:hyperlink w:anchor="_Toc104980333" w:history="1">
            <w:r w:rsidR="00A538D2" w:rsidRPr="008D19CE">
              <w:rPr>
                <w:rStyle w:val="Hyperlink"/>
                <w:rFonts w:asciiTheme="majorHAnsi" w:hAnsiTheme="majorHAnsi"/>
                <w:color w:val="0070C0"/>
                <w:sz w:val="20"/>
              </w:rPr>
              <w:t>4.1</w:t>
            </w:r>
            <w:r w:rsidR="00A538D2" w:rsidRPr="008D19CE">
              <w:rPr>
                <w:rStyle w:val="Hyperlink"/>
                <w:color w:val="0070C0"/>
                <w:sz w:val="20"/>
              </w:rPr>
              <w:tab/>
            </w:r>
            <w:r w:rsidR="00A538D2" w:rsidRPr="008D19CE">
              <w:rPr>
                <w:rStyle w:val="Hyperlink"/>
                <w:rFonts w:asciiTheme="majorHAnsi" w:hAnsiTheme="majorHAnsi"/>
                <w:color w:val="0070C0"/>
                <w:sz w:val="20"/>
              </w:rPr>
              <w:t>Shpenzimet sipas natyrës ekonomike</w:t>
            </w:r>
            <w:r w:rsidR="00A538D2" w:rsidRPr="008D19CE">
              <w:rPr>
                <w:rStyle w:val="Hyperlink"/>
                <w:webHidden/>
                <w:color w:val="0070C0"/>
                <w:sz w:val="20"/>
              </w:rPr>
              <w:tab/>
            </w:r>
            <w:r w:rsidR="00ED403D">
              <w:rPr>
                <w:rStyle w:val="Hyperlink"/>
                <w:webHidden/>
                <w:color w:val="0070C0"/>
                <w:sz w:val="20"/>
              </w:rPr>
              <w:tab/>
            </w:r>
            <w:r w:rsidR="00A538D2" w:rsidRPr="008D19CE">
              <w:rPr>
                <w:rStyle w:val="Hyperlink"/>
                <w:webHidden/>
                <w:color w:val="0070C0"/>
                <w:sz w:val="20"/>
              </w:rPr>
              <w:fldChar w:fldCharType="begin"/>
            </w:r>
            <w:r w:rsidR="00A538D2" w:rsidRPr="008D19CE">
              <w:rPr>
                <w:rStyle w:val="Hyperlink"/>
                <w:webHidden/>
                <w:color w:val="0070C0"/>
                <w:sz w:val="20"/>
              </w:rPr>
              <w:instrText xml:space="preserve"> PAGEREF _Toc104980333 \h </w:instrText>
            </w:r>
            <w:r w:rsidR="00A538D2" w:rsidRPr="008D19CE">
              <w:rPr>
                <w:rStyle w:val="Hyperlink"/>
                <w:webHidden/>
                <w:color w:val="0070C0"/>
                <w:sz w:val="20"/>
              </w:rPr>
            </w:r>
            <w:r w:rsidR="00A538D2" w:rsidRPr="008D19CE">
              <w:rPr>
                <w:rStyle w:val="Hyperlink"/>
                <w:webHidden/>
                <w:color w:val="0070C0"/>
                <w:sz w:val="20"/>
              </w:rPr>
              <w:fldChar w:fldCharType="separate"/>
            </w:r>
            <w:r w:rsidR="002A6746">
              <w:rPr>
                <w:rStyle w:val="Hyperlink"/>
                <w:webHidden/>
                <w:color w:val="0070C0"/>
                <w:sz w:val="20"/>
              </w:rPr>
              <w:t>25</w:t>
            </w:r>
            <w:r w:rsidR="00A538D2" w:rsidRPr="008D19CE">
              <w:rPr>
                <w:rStyle w:val="Hyperlink"/>
                <w:webHidden/>
                <w:color w:val="0070C0"/>
                <w:sz w:val="20"/>
              </w:rPr>
              <w:fldChar w:fldCharType="end"/>
            </w:r>
          </w:hyperlink>
        </w:p>
        <w:p w:rsidR="00A538D2" w:rsidRPr="008D19CE" w:rsidRDefault="00EA28E4">
          <w:pPr>
            <w:pStyle w:val="TOC2"/>
            <w:rPr>
              <w:rStyle w:val="Hyperlink"/>
              <w:color w:val="0070C0"/>
              <w:sz w:val="20"/>
            </w:rPr>
          </w:pPr>
          <w:hyperlink w:anchor="_Toc104980334" w:history="1">
            <w:r w:rsidR="00A538D2" w:rsidRPr="008D19CE">
              <w:rPr>
                <w:rStyle w:val="Hyperlink"/>
                <w:rFonts w:asciiTheme="majorHAnsi" w:hAnsiTheme="majorHAnsi"/>
                <w:color w:val="0070C0"/>
                <w:sz w:val="20"/>
              </w:rPr>
              <w:t>4.2</w:t>
            </w:r>
            <w:r w:rsidR="00A538D2" w:rsidRPr="008D19CE">
              <w:rPr>
                <w:rStyle w:val="Hyperlink"/>
                <w:color w:val="0070C0"/>
                <w:sz w:val="20"/>
              </w:rPr>
              <w:tab/>
            </w:r>
            <w:r w:rsidR="00A538D2" w:rsidRPr="008D19CE">
              <w:rPr>
                <w:rStyle w:val="Hyperlink"/>
                <w:rFonts w:asciiTheme="majorHAnsi" w:hAnsiTheme="majorHAnsi"/>
                <w:color w:val="0070C0"/>
                <w:sz w:val="20"/>
              </w:rPr>
              <w:t>Shpenzimet sipas natyrës funksionale</w:t>
            </w:r>
            <w:r w:rsidR="00A538D2" w:rsidRPr="008D19CE">
              <w:rPr>
                <w:rStyle w:val="Hyperlink"/>
                <w:webHidden/>
                <w:color w:val="0070C0"/>
                <w:sz w:val="20"/>
              </w:rPr>
              <w:tab/>
            </w:r>
            <w:r w:rsidR="00ED403D">
              <w:rPr>
                <w:rStyle w:val="Hyperlink"/>
                <w:webHidden/>
                <w:color w:val="0070C0"/>
                <w:sz w:val="20"/>
              </w:rPr>
              <w:tab/>
            </w:r>
            <w:r w:rsidR="00A538D2" w:rsidRPr="008D19CE">
              <w:rPr>
                <w:rStyle w:val="Hyperlink"/>
                <w:webHidden/>
                <w:color w:val="0070C0"/>
                <w:sz w:val="20"/>
              </w:rPr>
              <w:fldChar w:fldCharType="begin"/>
            </w:r>
            <w:r w:rsidR="00A538D2" w:rsidRPr="008D19CE">
              <w:rPr>
                <w:rStyle w:val="Hyperlink"/>
                <w:webHidden/>
                <w:color w:val="0070C0"/>
                <w:sz w:val="20"/>
              </w:rPr>
              <w:instrText xml:space="preserve"> PAGEREF _Toc104980334 \h </w:instrText>
            </w:r>
            <w:r w:rsidR="00A538D2" w:rsidRPr="008D19CE">
              <w:rPr>
                <w:rStyle w:val="Hyperlink"/>
                <w:webHidden/>
                <w:color w:val="0070C0"/>
                <w:sz w:val="20"/>
              </w:rPr>
            </w:r>
            <w:r w:rsidR="00A538D2" w:rsidRPr="008D19CE">
              <w:rPr>
                <w:rStyle w:val="Hyperlink"/>
                <w:webHidden/>
                <w:color w:val="0070C0"/>
                <w:sz w:val="20"/>
              </w:rPr>
              <w:fldChar w:fldCharType="separate"/>
            </w:r>
            <w:r w:rsidR="002A6746">
              <w:rPr>
                <w:rStyle w:val="Hyperlink"/>
                <w:webHidden/>
                <w:color w:val="0070C0"/>
                <w:sz w:val="20"/>
              </w:rPr>
              <w:t>31</w:t>
            </w:r>
            <w:r w:rsidR="00A538D2" w:rsidRPr="008D19CE">
              <w:rPr>
                <w:rStyle w:val="Hyperlink"/>
                <w:webHidden/>
                <w:color w:val="0070C0"/>
                <w:sz w:val="20"/>
              </w:rPr>
              <w:fldChar w:fldCharType="end"/>
            </w:r>
          </w:hyperlink>
        </w:p>
        <w:p w:rsidR="00A538D2" w:rsidRPr="008D19CE" w:rsidRDefault="00EA28E4">
          <w:pPr>
            <w:pStyle w:val="TOC2"/>
            <w:rPr>
              <w:rStyle w:val="Hyperlink"/>
              <w:color w:val="0070C0"/>
              <w:sz w:val="20"/>
            </w:rPr>
          </w:pPr>
          <w:hyperlink w:anchor="_Toc104980335" w:history="1">
            <w:r w:rsidR="00A538D2" w:rsidRPr="008D19CE">
              <w:rPr>
                <w:rStyle w:val="Hyperlink"/>
                <w:rFonts w:asciiTheme="majorHAnsi" w:hAnsiTheme="majorHAnsi"/>
                <w:color w:val="0070C0"/>
                <w:sz w:val="20"/>
              </w:rPr>
              <w:t>4.3</w:t>
            </w:r>
            <w:r w:rsidR="00A538D2" w:rsidRPr="008D19CE">
              <w:rPr>
                <w:rStyle w:val="Hyperlink"/>
                <w:color w:val="0070C0"/>
                <w:sz w:val="20"/>
              </w:rPr>
              <w:tab/>
            </w:r>
            <w:r w:rsidR="00A538D2" w:rsidRPr="008D19CE">
              <w:rPr>
                <w:rStyle w:val="Hyperlink"/>
                <w:rFonts w:asciiTheme="majorHAnsi" w:hAnsiTheme="majorHAnsi"/>
                <w:color w:val="0070C0"/>
                <w:sz w:val="20"/>
              </w:rPr>
              <w:t>Ndryshimet në ligjin e buxhetit 2021</w:t>
            </w:r>
            <w:r w:rsidR="00A538D2" w:rsidRPr="008D19CE">
              <w:rPr>
                <w:rStyle w:val="Hyperlink"/>
                <w:webHidden/>
                <w:color w:val="0070C0"/>
                <w:sz w:val="20"/>
              </w:rPr>
              <w:tab/>
            </w:r>
            <w:r w:rsidR="00ED403D">
              <w:rPr>
                <w:rStyle w:val="Hyperlink"/>
                <w:webHidden/>
                <w:color w:val="0070C0"/>
                <w:sz w:val="20"/>
              </w:rPr>
              <w:tab/>
            </w:r>
            <w:r w:rsidR="00A538D2" w:rsidRPr="008D19CE">
              <w:rPr>
                <w:rStyle w:val="Hyperlink"/>
                <w:webHidden/>
                <w:color w:val="0070C0"/>
                <w:sz w:val="20"/>
              </w:rPr>
              <w:fldChar w:fldCharType="begin"/>
            </w:r>
            <w:r w:rsidR="00A538D2" w:rsidRPr="008D19CE">
              <w:rPr>
                <w:rStyle w:val="Hyperlink"/>
                <w:webHidden/>
                <w:color w:val="0070C0"/>
                <w:sz w:val="20"/>
              </w:rPr>
              <w:instrText xml:space="preserve"> PAGEREF _Toc104980335 \h </w:instrText>
            </w:r>
            <w:r w:rsidR="00A538D2" w:rsidRPr="008D19CE">
              <w:rPr>
                <w:rStyle w:val="Hyperlink"/>
                <w:webHidden/>
                <w:color w:val="0070C0"/>
                <w:sz w:val="20"/>
              </w:rPr>
            </w:r>
            <w:r w:rsidR="00A538D2" w:rsidRPr="008D19CE">
              <w:rPr>
                <w:rStyle w:val="Hyperlink"/>
                <w:webHidden/>
                <w:color w:val="0070C0"/>
                <w:sz w:val="20"/>
              </w:rPr>
              <w:fldChar w:fldCharType="separate"/>
            </w:r>
            <w:r w:rsidR="002A6746">
              <w:rPr>
                <w:rStyle w:val="Hyperlink"/>
                <w:webHidden/>
                <w:color w:val="0070C0"/>
                <w:sz w:val="20"/>
              </w:rPr>
              <w:t>32</w:t>
            </w:r>
            <w:r w:rsidR="00A538D2" w:rsidRPr="008D19CE">
              <w:rPr>
                <w:rStyle w:val="Hyperlink"/>
                <w:webHidden/>
                <w:color w:val="0070C0"/>
                <w:sz w:val="20"/>
              </w:rPr>
              <w:fldChar w:fldCharType="end"/>
            </w:r>
          </w:hyperlink>
        </w:p>
        <w:p w:rsidR="00A538D2" w:rsidRPr="008D19CE" w:rsidRDefault="00EA28E4">
          <w:pPr>
            <w:pStyle w:val="TOC2"/>
            <w:rPr>
              <w:rStyle w:val="Hyperlink"/>
              <w:color w:val="0070C0"/>
              <w:sz w:val="20"/>
            </w:rPr>
          </w:pPr>
          <w:hyperlink w:anchor="_Toc104980336" w:history="1">
            <w:r w:rsidR="00A538D2" w:rsidRPr="008D19CE">
              <w:rPr>
                <w:rStyle w:val="Hyperlink"/>
                <w:rFonts w:asciiTheme="majorHAnsi" w:hAnsiTheme="majorHAnsi"/>
                <w:color w:val="0070C0"/>
                <w:sz w:val="20"/>
              </w:rPr>
              <w:t>4.4</w:t>
            </w:r>
            <w:r w:rsidR="00A538D2" w:rsidRPr="008D19CE">
              <w:rPr>
                <w:rStyle w:val="Hyperlink"/>
                <w:color w:val="0070C0"/>
                <w:sz w:val="20"/>
              </w:rPr>
              <w:tab/>
            </w:r>
            <w:r w:rsidR="00A538D2" w:rsidRPr="008D19CE">
              <w:rPr>
                <w:rStyle w:val="Hyperlink"/>
                <w:rFonts w:asciiTheme="majorHAnsi" w:hAnsiTheme="majorHAnsi"/>
                <w:color w:val="0070C0"/>
                <w:sz w:val="20"/>
              </w:rPr>
              <w:t>Fondi Rezervë dhe Kontigjenca</w:t>
            </w:r>
            <w:r w:rsidR="00A538D2" w:rsidRPr="008D19CE">
              <w:rPr>
                <w:rStyle w:val="Hyperlink"/>
                <w:webHidden/>
                <w:color w:val="0070C0"/>
                <w:sz w:val="20"/>
              </w:rPr>
              <w:tab/>
            </w:r>
            <w:r w:rsidR="00ED403D">
              <w:rPr>
                <w:rStyle w:val="Hyperlink"/>
                <w:webHidden/>
                <w:color w:val="0070C0"/>
                <w:sz w:val="20"/>
              </w:rPr>
              <w:tab/>
            </w:r>
            <w:r w:rsidR="00A538D2" w:rsidRPr="008D19CE">
              <w:rPr>
                <w:rStyle w:val="Hyperlink"/>
                <w:webHidden/>
                <w:color w:val="0070C0"/>
                <w:sz w:val="20"/>
              </w:rPr>
              <w:fldChar w:fldCharType="begin"/>
            </w:r>
            <w:r w:rsidR="00A538D2" w:rsidRPr="008D19CE">
              <w:rPr>
                <w:rStyle w:val="Hyperlink"/>
                <w:webHidden/>
                <w:color w:val="0070C0"/>
                <w:sz w:val="20"/>
              </w:rPr>
              <w:instrText xml:space="preserve"> PAGEREF _Toc104980336 \h </w:instrText>
            </w:r>
            <w:r w:rsidR="00A538D2" w:rsidRPr="008D19CE">
              <w:rPr>
                <w:rStyle w:val="Hyperlink"/>
                <w:webHidden/>
                <w:color w:val="0070C0"/>
                <w:sz w:val="20"/>
              </w:rPr>
            </w:r>
            <w:r w:rsidR="00A538D2" w:rsidRPr="008D19CE">
              <w:rPr>
                <w:rStyle w:val="Hyperlink"/>
                <w:webHidden/>
                <w:color w:val="0070C0"/>
                <w:sz w:val="20"/>
              </w:rPr>
              <w:fldChar w:fldCharType="separate"/>
            </w:r>
            <w:r w:rsidR="002A6746">
              <w:rPr>
                <w:rStyle w:val="Hyperlink"/>
                <w:webHidden/>
                <w:color w:val="0070C0"/>
                <w:sz w:val="20"/>
              </w:rPr>
              <w:t>35</w:t>
            </w:r>
            <w:r w:rsidR="00A538D2" w:rsidRPr="008D19CE">
              <w:rPr>
                <w:rStyle w:val="Hyperlink"/>
                <w:webHidden/>
                <w:color w:val="0070C0"/>
                <w:sz w:val="20"/>
              </w:rPr>
              <w:fldChar w:fldCharType="end"/>
            </w:r>
          </w:hyperlink>
        </w:p>
        <w:p w:rsidR="00A538D2" w:rsidRDefault="00EA28E4" w:rsidP="001323FC">
          <w:pPr>
            <w:pStyle w:val="TOC2"/>
            <w:spacing w:after="0"/>
            <w:rPr>
              <w:rStyle w:val="Hyperlink"/>
              <w:rFonts w:asciiTheme="majorHAnsi" w:hAnsiTheme="majorHAnsi"/>
              <w:color w:val="0070C0"/>
              <w:sz w:val="20"/>
            </w:rPr>
          </w:pPr>
          <w:hyperlink w:anchor="_Toc104980337" w:history="1">
            <w:r w:rsidR="00A538D2" w:rsidRPr="008D19CE">
              <w:rPr>
                <w:rStyle w:val="Hyperlink"/>
                <w:rFonts w:asciiTheme="majorHAnsi" w:hAnsiTheme="majorHAnsi"/>
                <w:color w:val="0070C0"/>
                <w:sz w:val="20"/>
              </w:rPr>
              <w:t>4.5</w:t>
            </w:r>
            <w:r w:rsidR="00A538D2" w:rsidRPr="008D19CE">
              <w:rPr>
                <w:rStyle w:val="Hyperlink"/>
                <w:color w:val="0070C0"/>
                <w:sz w:val="20"/>
              </w:rPr>
              <w:tab/>
            </w:r>
            <w:r w:rsidR="00A538D2" w:rsidRPr="008D19CE">
              <w:rPr>
                <w:rStyle w:val="Hyperlink"/>
                <w:rFonts w:asciiTheme="majorHAnsi" w:hAnsiTheme="majorHAnsi"/>
                <w:color w:val="0070C0"/>
                <w:sz w:val="20"/>
              </w:rPr>
              <w:t>Programi i Rindërtimit</w:t>
            </w:r>
            <w:r w:rsidR="00A538D2" w:rsidRPr="008D19CE">
              <w:rPr>
                <w:rStyle w:val="Hyperlink"/>
                <w:webHidden/>
                <w:color w:val="0070C0"/>
                <w:sz w:val="20"/>
              </w:rPr>
              <w:tab/>
            </w:r>
            <w:r w:rsidR="00ED403D">
              <w:rPr>
                <w:rStyle w:val="Hyperlink"/>
                <w:webHidden/>
                <w:color w:val="0070C0"/>
                <w:sz w:val="20"/>
              </w:rPr>
              <w:tab/>
            </w:r>
            <w:r w:rsidR="00A538D2" w:rsidRPr="008D19CE">
              <w:rPr>
                <w:rStyle w:val="Hyperlink"/>
                <w:webHidden/>
                <w:color w:val="0070C0"/>
                <w:sz w:val="20"/>
              </w:rPr>
              <w:fldChar w:fldCharType="begin"/>
            </w:r>
            <w:r w:rsidR="00A538D2" w:rsidRPr="008D19CE">
              <w:rPr>
                <w:rStyle w:val="Hyperlink"/>
                <w:webHidden/>
                <w:color w:val="0070C0"/>
                <w:sz w:val="20"/>
              </w:rPr>
              <w:instrText xml:space="preserve"> PAGEREF _Toc104980337 \h </w:instrText>
            </w:r>
            <w:r w:rsidR="00A538D2" w:rsidRPr="008D19CE">
              <w:rPr>
                <w:rStyle w:val="Hyperlink"/>
                <w:webHidden/>
                <w:color w:val="0070C0"/>
                <w:sz w:val="20"/>
              </w:rPr>
            </w:r>
            <w:r w:rsidR="00A538D2" w:rsidRPr="008D19CE">
              <w:rPr>
                <w:rStyle w:val="Hyperlink"/>
                <w:webHidden/>
                <w:color w:val="0070C0"/>
                <w:sz w:val="20"/>
              </w:rPr>
              <w:fldChar w:fldCharType="separate"/>
            </w:r>
            <w:r w:rsidR="002A6746">
              <w:rPr>
                <w:rStyle w:val="Hyperlink"/>
                <w:webHidden/>
                <w:color w:val="0070C0"/>
                <w:sz w:val="20"/>
              </w:rPr>
              <w:t>36</w:t>
            </w:r>
            <w:r w:rsidR="00A538D2" w:rsidRPr="008D19CE">
              <w:rPr>
                <w:rStyle w:val="Hyperlink"/>
                <w:webHidden/>
                <w:color w:val="0070C0"/>
                <w:sz w:val="20"/>
              </w:rPr>
              <w:fldChar w:fldCharType="end"/>
            </w:r>
          </w:hyperlink>
        </w:p>
        <w:p w:rsidR="001323FC" w:rsidRPr="001323FC" w:rsidRDefault="001323FC" w:rsidP="001323FC">
          <w:pPr>
            <w:spacing w:before="0"/>
            <w:rPr>
              <w:noProof/>
              <w:lang w:val="sq-AL"/>
            </w:rPr>
          </w:pPr>
        </w:p>
        <w:p w:rsidR="00A538D2" w:rsidRPr="008D19CE" w:rsidRDefault="00EA28E4" w:rsidP="008D19CE">
          <w:pPr>
            <w:pStyle w:val="TOC1"/>
            <w:spacing w:before="0"/>
            <w:rPr>
              <w:rFonts w:eastAsiaTheme="minorEastAsia" w:cstheme="minorBidi"/>
              <w:b w:val="0"/>
              <w:color w:val="auto"/>
              <w:sz w:val="22"/>
              <w:szCs w:val="22"/>
              <w:lang w:val="en-US"/>
            </w:rPr>
          </w:pPr>
          <w:hyperlink w:anchor="_Toc104980338" w:history="1">
            <w:r w:rsidR="00A538D2" w:rsidRPr="008D19CE">
              <w:rPr>
                <w:rStyle w:val="Hyperlink"/>
                <w:rFonts w:cs="Calibri"/>
                <w:color w:val="0070C0"/>
                <w:sz w:val="24"/>
              </w:rPr>
              <w:t>5.</w:t>
            </w:r>
            <w:r w:rsidR="00A538D2" w:rsidRPr="008D19CE">
              <w:rPr>
                <w:rStyle w:val="Hyperlink"/>
                <w:rFonts w:cs="Calibri"/>
                <w:color w:val="0070C0"/>
                <w:sz w:val="24"/>
              </w:rPr>
              <w:tab/>
              <w:t>BUXHETI VENDOR</w:t>
            </w:r>
            <w:r w:rsidR="00A538D2" w:rsidRPr="008D19CE">
              <w:rPr>
                <w:rStyle w:val="Hyperlink"/>
                <w:rFonts w:cs="Calibri"/>
                <w:webHidden/>
                <w:color w:val="0070C0"/>
                <w:sz w:val="24"/>
              </w:rPr>
              <w:tab/>
            </w:r>
            <w:r w:rsidR="00ED403D">
              <w:rPr>
                <w:rStyle w:val="Hyperlink"/>
                <w:rFonts w:cs="Calibri"/>
                <w:webHidden/>
                <w:color w:val="0070C0"/>
                <w:sz w:val="24"/>
              </w:rPr>
              <w:tab/>
            </w:r>
            <w:r w:rsidR="00A538D2" w:rsidRPr="008D19CE">
              <w:rPr>
                <w:rStyle w:val="Hyperlink"/>
                <w:rFonts w:cs="Calibri"/>
                <w:webHidden/>
                <w:color w:val="0070C0"/>
                <w:sz w:val="24"/>
              </w:rPr>
              <w:fldChar w:fldCharType="begin"/>
            </w:r>
            <w:r w:rsidR="00A538D2" w:rsidRPr="008D19CE">
              <w:rPr>
                <w:rStyle w:val="Hyperlink"/>
                <w:rFonts w:cs="Calibri"/>
                <w:webHidden/>
                <w:color w:val="0070C0"/>
                <w:sz w:val="24"/>
              </w:rPr>
              <w:instrText xml:space="preserve"> PAGEREF _Toc104980338 \h </w:instrText>
            </w:r>
            <w:r w:rsidR="00A538D2" w:rsidRPr="008D19CE">
              <w:rPr>
                <w:rStyle w:val="Hyperlink"/>
                <w:rFonts w:cs="Calibri"/>
                <w:webHidden/>
                <w:color w:val="0070C0"/>
                <w:sz w:val="24"/>
              </w:rPr>
            </w:r>
            <w:r w:rsidR="00A538D2" w:rsidRPr="008D19CE">
              <w:rPr>
                <w:rStyle w:val="Hyperlink"/>
                <w:rFonts w:cs="Calibri"/>
                <w:webHidden/>
                <w:color w:val="0070C0"/>
                <w:sz w:val="24"/>
              </w:rPr>
              <w:fldChar w:fldCharType="separate"/>
            </w:r>
            <w:r w:rsidR="002A6746">
              <w:rPr>
                <w:rStyle w:val="Hyperlink"/>
                <w:rFonts w:cs="Calibri"/>
                <w:webHidden/>
                <w:color w:val="0070C0"/>
                <w:sz w:val="24"/>
              </w:rPr>
              <w:t>39</w:t>
            </w:r>
            <w:r w:rsidR="00A538D2" w:rsidRPr="008D19CE">
              <w:rPr>
                <w:rStyle w:val="Hyperlink"/>
                <w:rFonts w:cs="Calibri"/>
                <w:webHidden/>
                <w:color w:val="0070C0"/>
                <w:sz w:val="24"/>
              </w:rPr>
              <w:fldChar w:fldCharType="end"/>
            </w:r>
          </w:hyperlink>
        </w:p>
        <w:p w:rsidR="00A538D2" w:rsidRPr="008D19CE" w:rsidRDefault="00EA28E4">
          <w:pPr>
            <w:pStyle w:val="TOC2"/>
            <w:rPr>
              <w:rStyle w:val="Hyperlink"/>
              <w:color w:val="0070C0"/>
              <w:sz w:val="20"/>
            </w:rPr>
          </w:pPr>
          <w:hyperlink w:anchor="_Toc104980339" w:history="1">
            <w:r w:rsidR="00A538D2" w:rsidRPr="008D19CE">
              <w:rPr>
                <w:rStyle w:val="Hyperlink"/>
                <w:rFonts w:asciiTheme="majorHAnsi" w:hAnsiTheme="majorHAnsi"/>
                <w:color w:val="0070C0"/>
                <w:sz w:val="20"/>
              </w:rPr>
              <w:t>5.1</w:t>
            </w:r>
            <w:r w:rsidR="00A538D2" w:rsidRPr="008D19CE">
              <w:rPr>
                <w:rStyle w:val="Hyperlink"/>
                <w:color w:val="0070C0"/>
                <w:sz w:val="20"/>
              </w:rPr>
              <w:tab/>
            </w:r>
            <w:r w:rsidR="00A538D2" w:rsidRPr="008D19CE">
              <w:rPr>
                <w:rStyle w:val="Hyperlink"/>
                <w:rFonts w:asciiTheme="majorHAnsi" w:hAnsiTheme="majorHAnsi"/>
                <w:color w:val="0070C0"/>
                <w:sz w:val="20"/>
              </w:rPr>
              <w:t>Të ardhurat e njësive të vetëqeverisjes vendore</w:t>
            </w:r>
            <w:r w:rsidR="00A538D2" w:rsidRPr="008D19CE">
              <w:rPr>
                <w:rStyle w:val="Hyperlink"/>
                <w:webHidden/>
                <w:color w:val="0070C0"/>
                <w:sz w:val="20"/>
              </w:rPr>
              <w:tab/>
            </w:r>
            <w:r w:rsidR="00ED403D">
              <w:rPr>
                <w:rStyle w:val="Hyperlink"/>
                <w:webHidden/>
                <w:color w:val="0070C0"/>
                <w:sz w:val="20"/>
              </w:rPr>
              <w:tab/>
            </w:r>
            <w:r w:rsidR="00A538D2" w:rsidRPr="008D19CE">
              <w:rPr>
                <w:rStyle w:val="Hyperlink"/>
                <w:webHidden/>
                <w:color w:val="0070C0"/>
                <w:sz w:val="20"/>
              </w:rPr>
              <w:fldChar w:fldCharType="begin"/>
            </w:r>
            <w:r w:rsidR="00A538D2" w:rsidRPr="008D19CE">
              <w:rPr>
                <w:rStyle w:val="Hyperlink"/>
                <w:webHidden/>
                <w:color w:val="0070C0"/>
                <w:sz w:val="20"/>
              </w:rPr>
              <w:instrText xml:space="preserve"> PAGEREF _Toc104980339 \h </w:instrText>
            </w:r>
            <w:r w:rsidR="00A538D2" w:rsidRPr="008D19CE">
              <w:rPr>
                <w:rStyle w:val="Hyperlink"/>
                <w:webHidden/>
                <w:color w:val="0070C0"/>
                <w:sz w:val="20"/>
              </w:rPr>
            </w:r>
            <w:r w:rsidR="00A538D2" w:rsidRPr="008D19CE">
              <w:rPr>
                <w:rStyle w:val="Hyperlink"/>
                <w:webHidden/>
                <w:color w:val="0070C0"/>
                <w:sz w:val="20"/>
              </w:rPr>
              <w:fldChar w:fldCharType="separate"/>
            </w:r>
            <w:r w:rsidR="002A6746">
              <w:rPr>
                <w:rStyle w:val="Hyperlink"/>
                <w:webHidden/>
                <w:color w:val="0070C0"/>
                <w:sz w:val="20"/>
              </w:rPr>
              <w:t>39</w:t>
            </w:r>
            <w:r w:rsidR="00A538D2" w:rsidRPr="008D19CE">
              <w:rPr>
                <w:rStyle w:val="Hyperlink"/>
                <w:webHidden/>
                <w:color w:val="0070C0"/>
                <w:sz w:val="20"/>
              </w:rPr>
              <w:fldChar w:fldCharType="end"/>
            </w:r>
          </w:hyperlink>
        </w:p>
        <w:p w:rsidR="00A538D2" w:rsidRDefault="00EA28E4" w:rsidP="00517BE0">
          <w:pPr>
            <w:pStyle w:val="TOC2"/>
            <w:spacing w:after="0"/>
            <w:rPr>
              <w:rStyle w:val="Hyperlink"/>
              <w:rFonts w:asciiTheme="majorHAnsi" w:hAnsiTheme="majorHAnsi"/>
              <w:color w:val="0070C0"/>
              <w:sz w:val="20"/>
            </w:rPr>
          </w:pPr>
          <w:hyperlink w:anchor="_Toc104980340" w:history="1">
            <w:r w:rsidR="00A538D2" w:rsidRPr="008D19CE">
              <w:rPr>
                <w:rStyle w:val="Hyperlink"/>
                <w:rFonts w:asciiTheme="majorHAnsi" w:hAnsiTheme="majorHAnsi"/>
                <w:color w:val="0070C0"/>
                <w:sz w:val="20"/>
              </w:rPr>
              <w:t>5.2</w:t>
            </w:r>
            <w:r w:rsidR="00A538D2" w:rsidRPr="008D19CE">
              <w:rPr>
                <w:rStyle w:val="Hyperlink"/>
                <w:color w:val="0070C0"/>
                <w:sz w:val="20"/>
              </w:rPr>
              <w:tab/>
            </w:r>
            <w:r w:rsidR="00A538D2" w:rsidRPr="008D19CE">
              <w:rPr>
                <w:rStyle w:val="Hyperlink"/>
                <w:rFonts w:asciiTheme="majorHAnsi" w:hAnsiTheme="majorHAnsi"/>
                <w:color w:val="0070C0"/>
                <w:sz w:val="20"/>
              </w:rPr>
              <w:t>Shpenzimet e njësive të vetëqeverisjes vendore</w:t>
            </w:r>
            <w:r w:rsidR="00A538D2" w:rsidRPr="008D19CE">
              <w:rPr>
                <w:rStyle w:val="Hyperlink"/>
                <w:webHidden/>
                <w:color w:val="0070C0"/>
                <w:sz w:val="20"/>
              </w:rPr>
              <w:tab/>
            </w:r>
            <w:r w:rsidR="00ED403D">
              <w:rPr>
                <w:rStyle w:val="Hyperlink"/>
                <w:webHidden/>
                <w:color w:val="0070C0"/>
                <w:sz w:val="20"/>
              </w:rPr>
              <w:tab/>
            </w:r>
            <w:r w:rsidR="00A538D2" w:rsidRPr="008D19CE">
              <w:rPr>
                <w:rStyle w:val="Hyperlink"/>
                <w:webHidden/>
                <w:color w:val="0070C0"/>
                <w:sz w:val="20"/>
              </w:rPr>
              <w:fldChar w:fldCharType="begin"/>
            </w:r>
            <w:r w:rsidR="00A538D2" w:rsidRPr="008D19CE">
              <w:rPr>
                <w:rStyle w:val="Hyperlink"/>
                <w:webHidden/>
                <w:color w:val="0070C0"/>
                <w:sz w:val="20"/>
              </w:rPr>
              <w:instrText xml:space="preserve"> PAGEREF _Toc104980340 \h </w:instrText>
            </w:r>
            <w:r w:rsidR="00A538D2" w:rsidRPr="008D19CE">
              <w:rPr>
                <w:rStyle w:val="Hyperlink"/>
                <w:webHidden/>
                <w:color w:val="0070C0"/>
                <w:sz w:val="20"/>
              </w:rPr>
            </w:r>
            <w:r w:rsidR="00A538D2" w:rsidRPr="008D19CE">
              <w:rPr>
                <w:rStyle w:val="Hyperlink"/>
                <w:webHidden/>
                <w:color w:val="0070C0"/>
                <w:sz w:val="20"/>
              </w:rPr>
              <w:fldChar w:fldCharType="separate"/>
            </w:r>
            <w:r w:rsidR="002A6746">
              <w:rPr>
                <w:rStyle w:val="Hyperlink"/>
                <w:webHidden/>
                <w:color w:val="0070C0"/>
                <w:sz w:val="20"/>
              </w:rPr>
              <w:t>42</w:t>
            </w:r>
            <w:r w:rsidR="00A538D2" w:rsidRPr="008D19CE">
              <w:rPr>
                <w:rStyle w:val="Hyperlink"/>
                <w:webHidden/>
                <w:color w:val="0070C0"/>
                <w:sz w:val="20"/>
              </w:rPr>
              <w:fldChar w:fldCharType="end"/>
            </w:r>
          </w:hyperlink>
        </w:p>
        <w:p w:rsidR="00517BE0" w:rsidRPr="00517BE0" w:rsidRDefault="00517BE0" w:rsidP="00517BE0">
          <w:pPr>
            <w:spacing w:before="0"/>
            <w:rPr>
              <w:noProof/>
              <w:lang w:val="sq-AL"/>
            </w:rPr>
          </w:pPr>
        </w:p>
        <w:p w:rsidR="00A538D2" w:rsidRDefault="00EA28E4" w:rsidP="008D19CE">
          <w:pPr>
            <w:pStyle w:val="TOC1"/>
            <w:spacing w:before="0"/>
            <w:rPr>
              <w:rStyle w:val="Hyperlink"/>
              <w:rFonts w:cs="Calibri"/>
              <w:color w:val="0070C0"/>
              <w:sz w:val="24"/>
            </w:rPr>
          </w:pPr>
          <w:hyperlink w:anchor="_Toc104980341" w:history="1">
            <w:r w:rsidR="00A538D2" w:rsidRPr="008D19CE">
              <w:rPr>
                <w:rStyle w:val="Hyperlink"/>
                <w:rFonts w:cs="Calibri"/>
                <w:color w:val="0070C0"/>
                <w:sz w:val="24"/>
              </w:rPr>
              <w:t>6.</w:t>
            </w:r>
            <w:r w:rsidR="00A538D2" w:rsidRPr="008D19CE">
              <w:rPr>
                <w:rStyle w:val="Hyperlink"/>
                <w:rFonts w:cs="Calibri"/>
                <w:color w:val="0070C0"/>
                <w:sz w:val="24"/>
              </w:rPr>
              <w:tab/>
              <w:t>MENAXHIMI I BORXHIT PUBLIK</w:t>
            </w:r>
            <w:r w:rsidR="00A538D2" w:rsidRPr="008D19CE">
              <w:rPr>
                <w:rStyle w:val="Hyperlink"/>
                <w:rFonts w:cs="Calibri"/>
                <w:webHidden/>
                <w:color w:val="0070C0"/>
                <w:sz w:val="24"/>
              </w:rPr>
              <w:tab/>
            </w:r>
            <w:r w:rsidR="00ED403D">
              <w:rPr>
                <w:rStyle w:val="Hyperlink"/>
                <w:rFonts w:cs="Calibri"/>
                <w:webHidden/>
                <w:color w:val="0070C0"/>
                <w:sz w:val="24"/>
              </w:rPr>
              <w:tab/>
            </w:r>
            <w:r w:rsidR="00A538D2" w:rsidRPr="008D19CE">
              <w:rPr>
                <w:rStyle w:val="Hyperlink"/>
                <w:rFonts w:cs="Calibri"/>
                <w:webHidden/>
                <w:color w:val="0070C0"/>
                <w:sz w:val="24"/>
              </w:rPr>
              <w:fldChar w:fldCharType="begin"/>
            </w:r>
            <w:r w:rsidR="00A538D2" w:rsidRPr="008D19CE">
              <w:rPr>
                <w:rStyle w:val="Hyperlink"/>
                <w:rFonts w:cs="Calibri"/>
                <w:webHidden/>
                <w:color w:val="0070C0"/>
                <w:sz w:val="24"/>
              </w:rPr>
              <w:instrText xml:space="preserve"> PAGEREF _Toc104980341 \h </w:instrText>
            </w:r>
            <w:r w:rsidR="00A538D2" w:rsidRPr="008D19CE">
              <w:rPr>
                <w:rStyle w:val="Hyperlink"/>
                <w:rFonts w:cs="Calibri"/>
                <w:webHidden/>
                <w:color w:val="0070C0"/>
                <w:sz w:val="24"/>
              </w:rPr>
            </w:r>
            <w:r w:rsidR="00A538D2" w:rsidRPr="008D19CE">
              <w:rPr>
                <w:rStyle w:val="Hyperlink"/>
                <w:rFonts w:cs="Calibri"/>
                <w:webHidden/>
                <w:color w:val="0070C0"/>
                <w:sz w:val="24"/>
              </w:rPr>
              <w:fldChar w:fldCharType="separate"/>
            </w:r>
            <w:r w:rsidR="002A6746">
              <w:rPr>
                <w:rStyle w:val="Hyperlink"/>
                <w:rFonts w:cs="Calibri"/>
                <w:webHidden/>
                <w:color w:val="0070C0"/>
                <w:sz w:val="24"/>
              </w:rPr>
              <w:t>45</w:t>
            </w:r>
            <w:r w:rsidR="00A538D2" w:rsidRPr="008D19CE">
              <w:rPr>
                <w:rStyle w:val="Hyperlink"/>
                <w:rFonts w:cs="Calibri"/>
                <w:webHidden/>
                <w:color w:val="0070C0"/>
                <w:sz w:val="24"/>
              </w:rPr>
              <w:fldChar w:fldCharType="end"/>
            </w:r>
          </w:hyperlink>
        </w:p>
        <w:p w:rsidR="00517BE0" w:rsidRPr="00517BE0" w:rsidRDefault="00517BE0" w:rsidP="00517BE0">
          <w:pPr>
            <w:spacing w:before="0"/>
            <w:rPr>
              <w:noProof/>
              <w:lang w:val="sq-AL"/>
            </w:rPr>
          </w:pPr>
        </w:p>
        <w:p w:rsidR="00A538D2" w:rsidRDefault="00EA28E4" w:rsidP="008D19CE">
          <w:pPr>
            <w:pStyle w:val="TOC1"/>
            <w:spacing w:before="0"/>
            <w:rPr>
              <w:rStyle w:val="Hyperlink"/>
              <w:rFonts w:cs="Calibri"/>
              <w:color w:val="0070C0"/>
              <w:sz w:val="24"/>
            </w:rPr>
          </w:pPr>
          <w:hyperlink w:anchor="_Toc104980342" w:history="1">
            <w:r w:rsidR="00A538D2" w:rsidRPr="008D19CE">
              <w:rPr>
                <w:rStyle w:val="Hyperlink"/>
                <w:rFonts w:cs="Calibri"/>
                <w:color w:val="0070C0"/>
                <w:sz w:val="24"/>
              </w:rPr>
              <w:t>7.</w:t>
            </w:r>
            <w:r w:rsidR="00A538D2" w:rsidRPr="008D19CE">
              <w:rPr>
                <w:rStyle w:val="Hyperlink"/>
                <w:rFonts w:cs="Calibri"/>
                <w:color w:val="0070C0"/>
                <w:sz w:val="24"/>
              </w:rPr>
              <w:tab/>
              <w:t>RREZIQET FISKALE DHE DETYRIMET KONTIGJENTE</w:t>
            </w:r>
            <w:r w:rsidR="00A538D2" w:rsidRPr="008D19CE">
              <w:rPr>
                <w:rStyle w:val="Hyperlink"/>
                <w:rFonts w:cs="Calibri"/>
                <w:webHidden/>
                <w:color w:val="0070C0"/>
                <w:sz w:val="24"/>
              </w:rPr>
              <w:tab/>
            </w:r>
            <w:r w:rsidR="00ED403D">
              <w:rPr>
                <w:rStyle w:val="Hyperlink"/>
                <w:rFonts w:cs="Calibri"/>
                <w:webHidden/>
                <w:color w:val="0070C0"/>
                <w:sz w:val="24"/>
              </w:rPr>
              <w:tab/>
            </w:r>
            <w:r w:rsidR="00A538D2" w:rsidRPr="008D19CE">
              <w:rPr>
                <w:rStyle w:val="Hyperlink"/>
                <w:rFonts w:cs="Calibri"/>
                <w:webHidden/>
                <w:color w:val="0070C0"/>
                <w:sz w:val="24"/>
              </w:rPr>
              <w:fldChar w:fldCharType="begin"/>
            </w:r>
            <w:r w:rsidR="00A538D2" w:rsidRPr="008D19CE">
              <w:rPr>
                <w:rStyle w:val="Hyperlink"/>
                <w:rFonts w:cs="Calibri"/>
                <w:webHidden/>
                <w:color w:val="0070C0"/>
                <w:sz w:val="24"/>
              </w:rPr>
              <w:instrText xml:space="preserve"> PAGEREF _Toc104980342 \h </w:instrText>
            </w:r>
            <w:r w:rsidR="00A538D2" w:rsidRPr="008D19CE">
              <w:rPr>
                <w:rStyle w:val="Hyperlink"/>
                <w:rFonts w:cs="Calibri"/>
                <w:webHidden/>
                <w:color w:val="0070C0"/>
                <w:sz w:val="24"/>
              </w:rPr>
            </w:r>
            <w:r w:rsidR="00A538D2" w:rsidRPr="008D19CE">
              <w:rPr>
                <w:rStyle w:val="Hyperlink"/>
                <w:rFonts w:cs="Calibri"/>
                <w:webHidden/>
                <w:color w:val="0070C0"/>
                <w:sz w:val="24"/>
              </w:rPr>
              <w:fldChar w:fldCharType="separate"/>
            </w:r>
            <w:r w:rsidR="002A6746">
              <w:rPr>
                <w:rStyle w:val="Hyperlink"/>
                <w:rFonts w:cs="Calibri"/>
                <w:webHidden/>
                <w:color w:val="0070C0"/>
                <w:sz w:val="24"/>
              </w:rPr>
              <w:t>46</w:t>
            </w:r>
            <w:r w:rsidR="00A538D2" w:rsidRPr="008D19CE">
              <w:rPr>
                <w:rStyle w:val="Hyperlink"/>
                <w:rFonts w:cs="Calibri"/>
                <w:webHidden/>
                <w:color w:val="0070C0"/>
                <w:sz w:val="24"/>
              </w:rPr>
              <w:fldChar w:fldCharType="end"/>
            </w:r>
          </w:hyperlink>
        </w:p>
        <w:p w:rsidR="00517BE0" w:rsidRPr="00517BE0" w:rsidRDefault="00517BE0" w:rsidP="00517BE0">
          <w:pPr>
            <w:spacing w:before="0"/>
            <w:rPr>
              <w:noProof/>
              <w:lang w:val="sq-AL"/>
            </w:rPr>
          </w:pPr>
        </w:p>
        <w:p w:rsidR="00A538D2" w:rsidRPr="008D19CE" w:rsidRDefault="00EA28E4" w:rsidP="00517BE0">
          <w:pPr>
            <w:pStyle w:val="TOC2"/>
            <w:spacing w:before="0"/>
            <w:rPr>
              <w:rStyle w:val="Hyperlink"/>
              <w:color w:val="0070C0"/>
              <w:sz w:val="20"/>
            </w:rPr>
          </w:pPr>
          <w:hyperlink w:anchor="_Toc104980343" w:history="1">
            <w:r w:rsidR="00A538D2" w:rsidRPr="008D19CE">
              <w:rPr>
                <w:rStyle w:val="Hyperlink"/>
                <w:rFonts w:asciiTheme="majorHAnsi" w:hAnsiTheme="majorHAnsi"/>
                <w:color w:val="0070C0"/>
                <w:sz w:val="20"/>
              </w:rPr>
              <w:t>7.1</w:t>
            </w:r>
            <w:r w:rsidR="00A538D2" w:rsidRPr="008D19CE">
              <w:rPr>
                <w:rStyle w:val="Hyperlink"/>
                <w:color w:val="0070C0"/>
                <w:sz w:val="20"/>
              </w:rPr>
              <w:tab/>
            </w:r>
            <w:r w:rsidR="00A538D2" w:rsidRPr="008D19CE">
              <w:rPr>
                <w:rStyle w:val="Hyperlink"/>
                <w:rFonts w:asciiTheme="majorHAnsi" w:hAnsiTheme="majorHAnsi"/>
                <w:color w:val="0070C0"/>
                <w:sz w:val="20"/>
              </w:rPr>
              <w:t>Ndërmarrjet shtetërore</w:t>
            </w:r>
            <w:r w:rsidR="00A538D2" w:rsidRPr="008D19CE">
              <w:rPr>
                <w:rStyle w:val="Hyperlink"/>
                <w:webHidden/>
                <w:color w:val="0070C0"/>
                <w:sz w:val="20"/>
              </w:rPr>
              <w:tab/>
            </w:r>
            <w:r w:rsidR="00ED403D">
              <w:rPr>
                <w:rStyle w:val="Hyperlink"/>
                <w:webHidden/>
                <w:color w:val="0070C0"/>
                <w:sz w:val="20"/>
              </w:rPr>
              <w:tab/>
            </w:r>
            <w:r w:rsidR="00A538D2" w:rsidRPr="008D19CE">
              <w:rPr>
                <w:rStyle w:val="Hyperlink"/>
                <w:webHidden/>
                <w:color w:val="0070C0"/>
                <w:sz w:val="20"/>
              </w:rPr>
              <w:fldChar w:fldCharType="begin"/>
            </w:r>
            <w:r w:rsidR="00A538D2" w:rsidRPr="008D19CE">
              <w:rPr>
                <w:rStyle w:val="Hyperlink"/>
                <w:webHidden/>
                <w:color w:val="0070C0"/>
                <w:sz w:val="20"/>
              </w:rPr>
              <w:instrText xml:space="preserve"> PAGEREF _Toc104980343 \h </w:instrText>
            </w:r>
            <w:r w:rsidR="00A538D2" w:rsidRPr="008D19CE">
              <w:rPr>
                <w:rStyle w:val="Hyperlink"/>
                <w:webHidden/>
                <w:color w:val="0070C0"/>
                <w:sz w:val="20"/>
              </w:rPr>
            </w:r>
            <w:r w:rsidR="00A538D2" w:rsidRPr="008D19CE">
              <w:rPr>
                <w:rStyle w:val="Hyperlink"/>
                <w:webHidden/>
                <w:color w:val="0070C0"/>
                <w:sz w:val="20"/>
              </w:rPr>
              <w:fldChar w:fldCharType="separate"/>
            </w:r>
            <w:r w:rsidR="002A6746">
              <w:rPr>
                <w:rStyle w:val="Hyperlink"/>
                <w:webHidden/>
                <w:color w:val="0070C0"/>
                <w:sz w:val="20"/>
              </w:rPr>
              <w:t>47</w:t>
            </w:r>
            <w:r w:rsidR="00A538D2" w:rsidRPr="008D19CE">
              <w:rPr>
                <w:rStyle w:val="Hyperlink"/>
                <w:webHidden/>
                <w:color w:val="0070C0"/>
                <w:sz w:val="20"/>
              </w:rPr>
              <w:fldChar w:fldCharType="end"/>
            </w:r>
          </w:hyperlink>
        </w:p>
        <w:p w:rsidR="00A538D2" w:rsidRPr="008D19CE" w:rsidRDefault="00EA28E4">
          <w:pPr>
            <w:pStyle w:val="TOC3"/>
            <w:rPr>
              <w:rStyle w:val="Hyperlink"/>
              <w:color w:val="0070C0"/>
            </w:rPr>
          </w:pPr>
          <w:hyperlink w:anchor="_Toc104980344" w:history="1">
            <w:r w:rsidR="00A538D2" w:rsidRPr="008D19CE">
              <w:rPr>
                <w:rStyle w:val="Hyperlink"/>
                <w:b w:val="0"/>
                <w:color w:val="0070C0"/>
              </w:rPr>
              <w:t>7.1.1</w:t>
            </w:r>
            <w:r w:rsidR="00A538D2" w:rsidRPr="008D19CE">
              <w:rPr>
                <w:rStyle w:val="Hyperlink"/>
                <w:color w:val="0070C0"/>
              </w:rPr>
              <w:tab/>
            </w:r>
            <w:r w:rsidR="00A538D2" w:rsidRPr="008D19CE">
              <w:rPr>
                <w:rStyle w:val="Hyperlink"/>
                <w:b w:val="0"/>
                <w:color w:val="0070C0"/>
              </w:rPr>
              <w:t>Ndërmarrjet e Sektorit Energjetik.</w:t>
            </w:r>
            <w:r w:rsidR="00A538D2" w:rsidRPr="008D19CE">
              <w:rPr>
                <w:rStyle w:val="Hyperlink"/>
                <w:b w:val="0"/>
                <w:webHidden/>
                <w:color w:val="0070C0"/>
              </w:rPr>
              <w:tab/>
            </w:r>
            <w:r w:rsidR="00ED403D">
              <w:rPr>
                <w:rStyle w:val="Hyperlink"/>
                <w:b w:val="0"/>
                <w:webHidden/>
                <w:color w:val="0070C0"/>
              </w:rPr>
              <w:tab/>
            </w:r>
            <w:r w:rsidR="00A538D2" w:rsidRPr="008D19CE">
              <w:rPr>
                <w:rStyle w:val="Hyperlink"/>
                <w:b w:val="0"/>
                <w:webHidden/>
                <w:color w:val="0070C0"/>
              </w:rPr>
              <w:fldChar w:fldCharType="begin"/>
            </w:r>
            <w:r w:rsidR="00A538D2" w:rsidRPr="008D19CE">
              <w:rPr>
                <w:rStyle w:val="Hyperlink"/>
                <w:b w:val="0"/>
                <w:webHidden/>
                <w:color w:val="0070C0"/>
              </w:rPr>
              <w:instrText xml:space="preserve"> PAGEREF _Toc104980344 \h </w:instrText>
            </w:r>
            <w:r w:rsidR="00A538D2" w:rsidRPr="008D19CE">
              <w:rPr>
                <w:rStyle w:val="Hyperlink"/>
                <w:b w:val="0"/>
                <w:webHidden/>
                <w:color w:val="0070C0"/>
              </w:rPr>
            </w:r>
            <w:r w:rsidR="00A538D2" w:rsidRPr="008D19CE">
              <w:rPr>
                <w:rStyle w:val="Hyperlink"/>
                <w:b w:val="0"/>
                <w:webHidden/>
                <w:color w:val="0070C0"/>
              </w:rPr>
              <w:fldChar w:fldCharType="separate"/>
            </w:r>
            <w:r w:rsidR="002A6746">
              <w:rPr>
                <w:rStyle w:val="Hyperlink"/>
                <w:b w:val="0"/>
                <w:webHidden/>
                <w:color w:val="0070C0"/>
              </w:rPr>
              <w:t>48</w:t>
            </w:r>
            <w:r w:rsidR="00A538D2" w:rsidRPr="008D19CE">
              <w:rPr>
                <w:rStyle w:val="Hyperlink"/>
                <w:b w:val="0"/>
                <w:webHidden/>
                <w:color w:val="0070C0"/>
              </w:rPr>
              <w:fldChar w:fldCharType="end"/>
            </w:r>
          </w:hyperlink>
        </w:p>
        <w:p w:rsidR="00A538D2" w:rsidRPr="008D19CE" w:rsidRDefault="00EA28E4">
          <w:pPr>
            <w:pStyle w:val="TOC3"/>
            <w:rPr>
              <w:rStyle w:val="Hyperlink"/>
              <w:color w:val="0070C0"/>
            </w:rPr>
          </w:pPr>
          <w:hyperlink w:anchor="_Toc104980348" w:history="1">
            <w:r w:rsidR="00A538D2" w:rsidRPr="008D19CE">
              <w:rPr>
                <w:rStyle w:val="Hyperlink"/>
                <w:b w:val="0"/>
                <w:color w:val="0070C0"/>
              </w:rPr>
              <w:t>7.1.2</w:t>
            </w:r>
            <w:r w:rsidR="00A538D2" w:rsidRPr="008D19CE">
              <w:rPr>
                <w:rStyle w:val="Hyperlink"/>
                <w:color w:val="0070C0"/>
              </w:rPr>
              <w:tab/>
            </w:r>
            <w:r w:rsidR="00A538D2" w:rsidRPr="008D19CE">
              <w:rPr>
                <w:rStyle w:val="Hyperlink"/>
                <w:b w:val="0"/>
                <w:color w:val="0070C0"/>
              </w:rPr>
              <w:t>Ndërmarrjet e Sektorit të Ujësjellës-Kanalizimeve</w:t>
            </w:r>
            <w:r w:rsidR="00A538D2" w:rsidRPr="008D19CE">
              <w:rPr>
                <w:rStyle w:val="Hyperlink"/>
                <w:b w:val="0"/>
                <w:webHidden/>
                <w:color w:val="0070C0"/>
              </w:rPr>
              <w:tab/>
            </w:r>
            <w:r w:rsidR="00A538D2" w:rsidRPr="008D19CE">
              <w:rPr>
                <w:rStyle w:val="Hyperlink"/>
                <w:b w:val="0"/>
                <w:webHidden/>
                <w:color w:val="0070C0"/>
              </w:rPr>
              <w:fldChar w:fldCharType="begin"/>
            </w:r>
            <w:r w:rsidR="00A538D2" w:rsidRPr="008D19CE">
              <w:rPr>
                <w:rStyle w:val="Hyperlink"/>
                <w:b w:val="0"/>
                <w:webHidden/>
                <w:color w:val="0070C0"/>
              </w:rPr>
              <w:instrText xml:space="preserve"> PAGEREF _Toc104980348 \h </w:instrText>
            </w:r>
            <w:r w:rsidR="00A538D2" w:rsidRPr="008D19CE">
              <w:rPr>
                <w:rStyle w:val="Hyperlink"/>
                <w:b w:val="0"/>
                <w:webHidden/>
                <w:color w:val="0070C0"/>
              </w:rPr>
            </w:r>
            <w:r w:rsidR="00A538D2" w:rsidRPr="008D19CE">
              <w:rPr>
                <w:rStyle w:val="Hyperlink"/>
                <w:b w:val="0"/>
                <w:webHidden/>
                <w:color w:val="0070C0"/>
              </w:rPr>
              <w:fldChar w:fldCharType="separate"/>
            </w:r>
            <w:r w:rsidR="002A6746">
              <w:rPr>
                <w:rStyle w:val="Hyperlink"/>
                <w:b w:val="0"/>
                <w:webHidden/>
                <w:color w:val="0070C0"/>
              </w:rPr>
              <w:t>52</w:t>
            </w:r>
            <w:r w:rsidR="00A538D2" w:rsidRPr="008D19CE">
              <w:rPr>
                <w:rStyle w:val="Hyperlink"/>
                <w:b w:val="0"/>
                <w:webHidden/>
                <w:color w:val="0070C0"/>
              </w:rPr>
              <w:fldChar w:fldCharType="end"/>
            </w:r>
          </w:hyperlink>
        </w:p>
        <w:p w:rsidR="00A538D2" w:rsidRPr="001323FC" w:rsidRDefault="00EA28E4">
          <w:pPr>
            <w:pStyle w:val="TOC2"/>
            <w:rPr>
              <w:rStyle w:val="Hyperlink"/>
              <w:color w:val="0070C0"/>
              <w:sz w:val="20"/>
            </w:rPr>
          </w:pPr>
          <w:hyperlink w:anchor="_Toc104980349" w:history="1">
            <w:r w:rsidR="00A538D2" w:rsidRPr="001323FC">
              <w:rPr>
                <w:rStyle w:val="Hyperlink"/>
                <w:rFonts w:asciiTheme="majorHAnsi" w:hAnsiTheme="majorHAnsi"/>
                <w:color w:val="0070C0"/>
                <w:sz w:val="20"/>
              </w:rPr>
              <w:t>7.2</w:t>
            </w:r>
            <w:r w:rsidR="00A538D2" w:rsidRPr="001323FC">
              <w:rPr>
                <w:rStyle w:val="Hyperlink"/>
                <w:color w:val="0070C0"/>
                <w:sz w:val="20"/>
              </w:rPr>
              <w:tab/>
            </w:r>
            <w:r w:rsidR="00A538D2" w:rsidRPr="001323FC">
              <w:rPr>
                <w:rStyle w:val="Hyperlink"/>
                <w:rFonts w:asciiTheme="majorHAnsi" w:hAnsiTheme="majorHAnsi"/>
                <w:color w:val="0070C0"/>
                <w:sz w:val="20"/>
              </w:rPr>
              <w:t>Detyrimet e prapambetura të Qeverisjes së Përgjithshme</w:t>
            </w:r>
            <w:r w:rsidR="00A538D2" w:rsidRPr="001323FC">
              <w:rPr>
                <w:rStyle w:val="Hyperlink"/>
                <w:webHidden/>
                <w:color w:val="0070C0"/>
                <w:sz w:val="20"/>
              </w:rPr>
              <w:tab/>
            </w:r>
            <w:r w:rsidR="00ED403D">
              <w:rPr>
                <w:rStyle w:val="Hyperlink"/>
                <w:webHidden/>
                <w:color w:val="0070C0"/>
                <w:sz w:val="20"/>
              </w:rPr>
              <w:tab/>
            </w:r>
            <w:r w:rsidR="00A538D2" w:rsidRPr="001323FC">
              <w:rPr>
                <w:rStyle w:val="Hyperlink"/>
                <w:webHidden/>
                <w:color w:val="0070C0"/>
                <w:sz w:val="20"/>
              </w:rPr>
              <w:fldChar w:fldCharType="begin"/>
            </w:r>
            <w:r w:rsidR="00A538D2" w:rsidRPr="001323FC">
              <w:rPr>
                <w:rStyle w:val="Hyperlink"/>
                <w:webHidden/>
                <w:color w:val="0070C0"/>
                <w:sz w:val="20"/>
              </w:rPr>
              <w:instrText xml:space="preserve"> PAGEREF _Toc104980349 \h </w:instrText>
            </w:r>
            <w:r w:rsidR="00A538D2" w:rsidRPr="001323FC">
              <w:rPr>
                <w:rStyle w:val="Hyperlink"/>
                <w:webHidden/>
                <w:color w:val="0070C0"/>
                <w:sz w:val="20"/>
              </w:rPr>
            </w:r>
            <w:r w:rsidR="00A538D2" w:rsidRPr="001323FC">
              <w:rPr>
                <w:rStyle w:val="Hyperlink"/>
                <w:webHidden/>
                <w:color w:val="0070C0"/>
                <w:sz w:val="20"/>
              </w:rPr>
              <w:fldChar w:fldCharType="separate"/>
            </w:r>
            <w:r w:rsidR="002A6746">
              <w:rPr>
                <w:rStyle w:val="Hyperlink"/>
                <w:webHidden/>
                <w:color w:val="0070C0"/>
                <w:sz w:val="20"/>
              </w:rPr>
              <w:t>53</w:t>
            </w:r>
            <w:r w:rsidR="00A538D2" w:rsidRPr="001323FC">
              <w:rPr>
                <w:rStyle w:val="Hyperlink"/>
                <w:webHidden/>
                <w:color w:val="0070C0"/>
                <w:sz w:val="20"/>
              </w:rPr>
              <w:fldChar w:fldCharType="end"/>
            </w:r>
          </w:hyperlink>
        </w:p>
        <w:p w:rsidR="00A538D2" w:rsidRPr="008D19CE" w:rsidRDefault="00EA28E4">
          <w:pPr>
            <w:pStyle w:val="TOC3"/>
            <w:rPr>
              <w:rStyle w:val="Hyperlink"/>
              <w:color w:val="0070C0"/>
            </w:rPr>
          </w:pPr>
          <w:hyperlink w:anchor="_Toc104980350" w:history="1">
            <w:r w:rsidR="00A538D2" w:rsidRPr="008D19CE">
              <w:rPr>
                <w:rStyle w:val="Hyperlink"/>
                <w:b w:val="0"/>
                <w:color w:val="0070C0"/>
              </w:rPr>
              <w:t>7.2.1</w:t>
            </w:r>
            <w:r w:rsidR="00A538D2" w:rsidRPr="008D19CE">
              <w:rPr>
                <w:rStyle w:val="Hyperlink"/>
                <w:color w:val="0070C0"/>
              </w:rPr>
              <w:tab/>
            </w:r>
            <w:r w:rsidR="00A538D2" w:rsidRPr="008D19CE">
              <w:rPr>
                <w:rStyle w:val="Hyperlink"/>
                <w:b w:val="0"/>
                <w:color w:val="0070C0"/>
              </w:rPr>
              <w:t>Detyrimet e prapambetura për njësitë e Qeverisjes Qendrore</w:t>
            </w:r>
            <w:r w:rsidR="00A538D2" w:rsidRPr="008D19CE">
              <w:rPr>
                <w:rStyle w:val="Hyperlink"/>
                <w:b w:val="0"/>
                <w:webHidden/>
                <w:color w:val="0070C0"/>
              </w:rPr>
              <w:tab/>
            </w:r>
            <w:r w:rsidR="00A538D2" w:rsidRPr="008D19CE">
              <w:rPr>
                <w:rStyle w:val="Hyperlink"/>
                <w:b w:val="0"/>
                <w:webHidden/>
                <w:color w:val="0070C0"/>
              </w:rPr>
              <w:fldChar w:fldCharType="begin"/>
            </w:r>
            <w:r w:rsidR="00A538D2" w:rsidRPr="008D19CE">
              <w:rPr>
                <w:rStyle w:val="Hyperlink"/>
                <w:b w:val="0"/>
                <w:webHidden/>
                <w:color w:val="0070C0"/>
              </w:rPr>
              <w:instrText xml:space="preserve"> PAGEREF _Toc104980350 \h </w:instrText>
            </w:r>
            <w:r w:rsidR="00A538D2" w:rsidRPr="008D19CE">
              <w:rPr>
                <w:rStyle w:val="Hyperlink"/>
                <w:b w:val="0"/>
                <w:webHidden/>
                <w:color w:val="0070C0"/>
              </w:rPr>
            </w:r>
            <w:r w:rsidR="00A538D2" w:rsidRPr="008D19CE">
              <w:rPr>
                <w:rStyle w:val="Hyperlink"/>
                <w:b w:val="0"/>
                <w:webHidden/>
                <w:color w:val="0070C0"/>
              </w:rPr>
              <w:fldChar w:fldCharType="separate"/>
            </w:r>
            <w:r w:rsidR="002A6746">
              <w:rPr>
                <w:rStyle w:val="Hyperlink"/>
                <w:b w:val="0"/>
                <w:webHidden/>
                <w:color w:val="0070C0"/>
              </w:rPr>
              <w:t>54</w:t>
            </w:r>
            <w:r w:rsidR="00A538D2" w:rsidRPr="008D19CE">
              <w:rPr>
                <w:rStyle w:val="Hyperlink"/>
                <w:b w:val="0"/>
                <w:webHidden/>
                <w:color w:val="0070C0"/>
              </w:rPr>
              <w:fldChar w:fldCharType="end"/>
            </w:r>
          </w:hyperlink>
        </w:p>
        <w:p w:rsidR="00A538D2" w:rsidRPr="008D19CE" w:rsidRDefault="00EA28E4">
          <w:pPr>
            <w:pStyle w:val="TOC3"/>
            <w:rPr>
              <w:rStyle w:val="Hyperlink"/>
              <w:color w:val="0070C0"/>
            </w:rPr>
          </w:pPr>
          <w:hyperlink w:anchor="_Toc104980351" w:history="1">
            <w:r w:rsidR="00A538D2" w:rsidRPr="008D19CE">
              <w:rPr>
                <w:rStyle w:val="Hyperlink"/>
                <w:b w:val="0"/>
                <w:color w:val="0070C0"/>
              </w:rPr>
              <w:t>7.2.2</w:t>
            </w:r>
            <w:r w:rsidR="00A538D2" w:rsidRPr="008D19CE">
              <w:rPr>
                <w:rStyle w:val="Hyperlink"/>
                <w:color w:val="0070C0"/>
              </w:rPr>
              <w:tab/>
            </w:r>
            <w:r w:rsidR="00A538D2" w:rsidRPr="008D19CE">
              <w:rPr>
                <w:rStyle w:val="Hyperlink"/>
                <w:b w:val="0"/>
                <w:color w:val="0070C0"/>
              </w:rPr>
              <w:t>Detyrimet e prapambetura për njësitë e Vetëqeverisjes Vendore (NJVQV)</w:t>
            </w:r>
            <w:r w:rsidR="00A538D2" w:rsidRPr="008D19CE">
              <w:rPr>
                <w:rStyle w:val="Hyperlink"/>
                <w:b w:val="0"/>
                <w:webHidden/>
                <w:color w:val="0070C0"/>
              </w:rPr>
              <w:tab/>
            </w:r>
            <w:r w:rsidR="00A538D2" w:rsidRPr="008D19CE">
              <w:rPr>
                <w:rStyle w:val="Hyperlink"/>
                <w:b w:val="0"/>
                <w:webHidden/>
                <w:color w:val="0070C0"/>
              </w:rPr>
              <w:fldChar w:fldCharType="begin"/>
            </w:r>
            <w:r w:rsidR="00A538D2" w:rsidRPr="008D19CE">
              <w:rPr>
                <w:rStyle w:val="Hyperlink"/>
                <w:b w:val="0"/>
                <w:webHidden/>
                <w:color w:val="0070C0"/>
              </w:rPr>
              <w:instrText xml:space="preserve"> PAGEREF _Toc104980351 \h </w:instrText>
            </w:r>
            <w:r w:rsidR="00A538D2" w:rsidRPr="008D19CE">
              <w:rPr>
                <w:rStyle w:val="Hyperlink"/>
                <w:b w:val="0"/>
                <w:webHidden/>
                <w:color w:val="0070C0"/>
              </w:rPr>
            </w:r>
            <w:r w:rsidR="00A538D2" w:rsidRPr="008D19CE">
              <w:rPr>
                <w:rStyle w:val="Hyperlink"/>
                <w:b w:val="0"/>
                <w:webHidden/>
                <w:color w:val="0070C0"/>
              </w:rPr>
              <w:fldChar w:fldCharType="separate"/>
            </w:r>
            <w:r w:rsidR="002A6746">
              <w:rPr>
                <w:rStyle w:val="Hyperlink"/>
                <w:b w:val="0"/>
                <w:webHidden/>
                <w:color w:val="0070C0"/>
              </w:rPr>
              <w:t>55</w:t>
            </w:r>
            <w:r w:rsidR="00A538D2" w:rsidRPr="008D19CE">
              <w:rPr>
                <w:rStyle w:val="Hyperlink"/>
                <w:b w:val="0"/>
                <w:webHidden/>
                <w:color w:val="0070C0"/>
              </w:rPr>
              <w:fldChar w:fldCharType="end"/>
            </w:r>
          </w:hyperlink>
        </w:p>
        <w:p w:rsidR="00A538D2" w:rsidRPr="008D19CE" w:rsidRDefault="00EA28E4">
          <w:pPr>
            <w:pStyle w:val="TOC2"/>
            <w:rPr>
              <w:rFonts w:asciiTheme="majorHAnsi" w:eastAsiaTheme="minorEastAsia" w:hAnsiTheme="majorHAnsi" w:cstheme="minorBidi"/>
              <w:b w:val="0"/>
              <w:lang w:val="en-US"/>
            </w:rPr>
          </w:pPr>
          <w:hyperlink w:anchor="_Toc104980352" w:history="1">
            <w:r w:rsidR="00A538D2" w:rsidRPr="001323FC">
              <w:rPr>
                <w:rStyle w:val="Hyperlink"/>
                <w:rFonts w:asciiTheme="majorHAnsi" w:hAnsiTheme="majorHAnsi"/>
                <w:color w:val="0070C0"/>
                <w:sz w:val="20"/>
              </w:rPr>
              <w:t>7.3</w:t>
            </w:r>
            <w:r w:rsidR="00A538D2" w:rsidRPr="001323FC">
              <w:rPr>
                <w:rStyle w:val="Hyperlink"/>
                <w:color w:val="0070C0"/>
                <w:sz w:val="20"/>
              </w:rPr>
              <w:tab/>
            </w:r>
            <w:r w:rsidR="00A538D2" w:rsidRPr="001323FC">
              <w:rPr>
                <w:rStyle w:val="Hyperlink"/>
                <w:rFonts w:asciiTheme="majorHAnsi" w:hAnsiTheme="majorHAnsi"/>
                <w:color w:val="0070C0"/>
                <w:sz w:val="20"/>
              </w:rPr>
              <w:t>Koncesionet/PPP-të</w:t>
            </w:r>
            <w:r w:rsidR="00A538D2" w:rsidRPr="001323FC">
              <w:rPr>
                <w:rStyle w:val="Hyperlink"/>
                <w:webHidden/>
                <w:color w:val="0070C0"/>
                <w:sz w:val="20"/>
              </w:rPr>
              <w:tab/>
            </w:r>
            <w:r w:rsidR="00ED403D">
              <w:rPr>
                <w:rStyle w:val="Hyperlink"/>
                <w:webHidden/>
                <w:color w:val="0070C0"/>
                <w:sz w:val="20"/>
              </w:rPr>
              <w:tab/>
            </w:r>
            <w:r w:rsidR="00A538D2" w:rsidRPr="001323FC">
              <w:rPr>
                <w:rStyle w:val="Hyperlink"/>
                <w:webHidden/>
                <w:color w:val="0070C0"/>
                <w:sz w:val="20"/>
              </w:rPr>
              <w:fldChar w:fldCharType="begin"/>
            </w:r>
            <w:r w:rsidR="00A538D2" w:rsidRPr="001323FC">
              <w:rPr>
                <w:rStyle w:val="Hyperlink"/>
                <w:webHidden/>
                <w:color w:val="0070C0"/>
                <w:sz w:val="20"/>
              </w:rPr>
              <w:instrText xml:space="preserve"> PAGEREF _Toc104980352 \h </w:instrText>
            </w:r>
            <w:r w:rsidR="00A538D2" w:rsidRPr="001323FC">
              <w:rPr>
                <w:rStyle w:val="Hyperlink"/>
                <w:webHidden/>
                <w:color w:val="0070C0"/>
                <w:sz w:val="20"/>
              </w:rPr>
            </w:r>
            <w:r w:rsidR="00A538D2" w:rsidRPr="001323FC">
              <w:rPr>
                <w:rStyle w:val="Hyperlink"/>
                <w:webHidden/>
                <w:color w:val="0070C0"/>
                <w:sz w:val="20"/>
              </w:rPr>
              <w:fldChar w:fldCharType="separate"/>
            </w:r>
            <w:r w:rsidR="002A6746">
              <w:rPr>
                <w:rStyle w:val="Hyperlink"/>
                <w:webHidden/>
                <w:color w:val="0070C0"/>
                <w:sz w:val="20"/>
              </w:rPr>
              <w:t>56</w:t>
            </w:r>
            <w:r w:rsidR="00A538D2" w:rsidRPr="001323FC">
              <w:rPr>
                <w:rStyle w:val="Hyperlink"/>
                <w:webHidden/>
                <w:color w:val="0070C0"/>
                <w:sz w:val="20"/>
              </w:rPr>
              <w:fldChar w:fldCharType="end"/>
            </w:r>
          </w:hyperlink>
        </w:p>
        <w:p w:rsidR="00A538D2" w:rsidRPr="001323FC" w:rsidRDefault="00EA28E4">
          <w:pPr>
            <w:pStyle w:val="TOC2"/>
            <w:rPr>
              <w:rStyle w:val="Hyperlink"/>
              <w:color w:val="0070C0"/>
              <w:sz w:val="20"/>
            </w:rPr>
          </w:pPr>
          <w:hyperlink w:anchor="_Toc104980353" w:history="1">
            <w:r w:rsidR="00A538D2" w:rsidRPr="001323FC">
              <w:rPr>
                <w:rStyle w:val="Hyperlink"/>
                <w:rFonts w:asciiTheme="majorHAnsi" w:hAnsiTheme="majorHAnsi"/>
                <w:color w:val="0070C0"/>
                <w:sz w:val="20"/>
              </w:rPr>
              <w:t>7.4</w:t>
            </w:r>
            <w:r w:rsidR="00A538D2" w:rsidRPr="001323FC">
              <w:rPr>
                <w:rStyle w:val="Hyperlink"/>
                <w:color w:val="0070C0"/>
                <w:sz w:val="20"/>
              </w:rPr>
              <w:tab/>
            </w:r>
            <w:r w:rsidR="00A538D2" w:rsidRPr="001323FC">
              <w:rPr>
                <w:rStyle w:val="Hyperlink"/>
                <w:rFonts w:asciiTheme="majorHAnsi" w:hAnsiTheme="majorHAnsi"/>
                <w:color w:val="0070C0"/>
                <w:sz w:val="20"/>
              </w:rPr>
              <w:t>Detyrime të tjera Kontigjente:</w:t>
            </w:r>
            <w:r w:rsidR="00A538D2" w:rsidRPr="001323FC">
              <w:rPr>
                <w:rStyle w:val="Hyperlink"/>
                <w:webHidden/>
                <w:color w:val="0070C0"/>
                <w:sz w:val="20"/>
              </w:rPr>
              <w:tab/>
            </w:r>
            <w:r w:rsidR="00ED403D">
              <w:rPr>
                <w:rStyle w:val="Hyperlink"/>
                <w:webHidden/>
                <w:color w:val="0070C0"/>
                <w:sz w:val="20"/>
              </w:rPr>
              <w:tab/>
            </w:r>
            <w:r w:rsidR="00A538D2" w:rsidRPr="001323FC">
              <w:rPr>
                <w:rStyle w:val="Hyperlink"/>
                <w:webHidden/>
                <w:color w:val="0070C0"/>
                <w:sz w:val="20"/>
              </w:rPr>
              <w:fldChar w:fldCharType="begin"/>
            </w:r>
            <w:r w:rsidR="00A538D2" w:rsidRPr="001323FC">
              <w:rPr>
                <w:rStyle w:val="Hyperlink"/>
                <w:webHidden/>
                <w:color w:val="0070C0"/>
                <w:sz w:val="20"/>
              </w:rPr>
              <w:instrText xml:space="preserve"> PAGEREF _Toc104980353 \h </w:instrText>
            </w:r>
            <w:r w:rsidR="00A538D2" w:rsidRPr="001323FC">
              <w:rPr>
                <w:rStyle w:val="Hyperlink"/>
                <w:webHidden/>
                <w:color w:val="0070C0"/>
                <w:sz w:val="20"/>
              </w:rPr>
            </w:r>
            <w:r w:rsidR="00A538D2" w:rsidRPr="001323FC">
              <w:rPr>
                <w:rStyle w:val="Hyperlink"/>
                <w:webHidden/>
                <w:color w:val="0070C0"/>
                <w:sz w:val="20"/>
              </w:rPr>
              <w:fldChar w:fldCharType="separate"/>
            </w:r>
            <w:r w:rsidR="002A6746">
              <w:rPr>
                <w:rStyle w:val="Hyperlink"/>
                <w:webHidden/>
                <w:color w:val="0070C0"/>
                <w:sz w:val="20"/>
              </w:rPr>
              <w:t>57</w:t>
            </w:r>
            <w:r w:rsidR="00A538D2" w:rsidRPr="001323FC">
              <w:rPr>
                <w:rStyle w:val="Hyperlink"/>
                <w:webHidden/>
                <w:color w:val="0070C0"/>
                <w:sz w:val="20"/>
              </w:rPr>
              <w:fldChar w:fldCharType="end"/>
            </w:r>
          </w:hyperlink>
        </w:p>
        <w:p w:rsidR="00A538D2" w:rsidRPr="008D19CE" w:rsidRDefault="00EA28E4">
          <w:pPr>
            <w:pStyle w:val="TOC3"/>
            <w:rPr>
              <w:rStyle w:val="Hyperlink"/>
              <w:color w:val="0070C0"/>
            </w:rPr>
          </w:pPr>
          <w:hyperlink w:anchor="_Toc104980354" w:history="1">
            <w:r w:rsidR="00A538D2" w:rsidRPr="008D19CE">
              <w:rPr>
                <w:rStyle w:val="Hyperlink"/>
                <w:b w:val="0"/>
                <w:color w:val="0070C0"/>
              </w:rPr>
              <w:t>7.4.1</w:t>
            </w:r>
            <w:r w:rsidR="00A538D2" w:rsidRPr="008D19CE">
              <w:rPr>
                <w:rStyle w:val="Hyperlink"/>
                <w:color w:val="0070C0"/>
              </w:rPr>
              <w:tab/>
            </w:r>
            <w:r w:rsidR="00A538D2" w:rsidRPr="008D19CE">
              <w:rPr>
                <w:rStyle w:val="Hyperlink"/>
                <w:b w:val="0"/>
                <w:color w:val="0070C0"/>
              </w:rPr>
              <w:t>Vendimet e Gjykatës së të Drejtave të Njeriut në Strasburg (GJEDNJ)</w:t>
            </w:r>
            <w:r w:rsidR="00A538D2" w:rsidRPr="008D19CE">
              <w:rPr>
                <w:rStyle w:val="Hyperlink"/>
                <w:b w:val="0"/>
                <w:webHidden/>
                <w:color w:val="0070C0"/>
              </w:rPr>
              <w:tab/>
            </w:r>
            <w:r w:rsidR="00A538D2" w:rsidRPr="008D19CE">
              <w:rPr>
                <w:rStyle w:val="Hyperlink"/>
                <w:b w:val="0"/>
                <w:webHidden/>
                <w:color w:val="0070C0"/>
              </w:rPr>
              <w:fldChar w:fldCharType="begin"/>
            </w:r>
            <w:r w:rsidR="00A538D2" w:rsidRPr="008D19CE">
              <w:rPr>
                <w:rStyle w:val="Hyperlink"/>
                <w:b w:val="0"/>
                <w:webHidden/>
                <w:color w:val="0070C0"/>
              </w:rPr>
              <w:instrText xml:space="preserve"> PAGEREF _Toc104980354 \h </w:instrText>
            </w:r>
            <w:r w:rsidR="00A538D2" w:rsidRPr="008D19CE">
              <w:rPr>
                <w:rStyle w:val="Hyperlink"/>
                <w:b w:val="0"/>
                <w:webHidden/>
                <w:color w:val="0070C0"/>
              </w:rPr>
            </w:r>
            <w:r w:rsidR="00A538D2" w:rsidRPr="008D19CE">
              <w:rPr>
                <w:rStyle w:val="Hyperlink"/>
                <w:b w:val="0"/>
                <w:webHidden/>
                <w:color w:val="0070C0"/>
              </w:rPr>
              <w:fldChar w:fldCharType="separate"/>
            </w:r>
            <w:r w:rsidR="002A6746">
              <w:rPr>
                <w:rStyle w:val="Hyperlink"/>
                <w:b w:val="0"/>
                <w:webHidden/>
                <w:color w:val="0070C0"/>
              </w:rPr>
              <w:t>57</w:t>
            </w:r>
            <w:r w:rsidR="00A538D2" w:rsidRPr="008D19CE">
              <w:rPr>
                <w:rStyle w:val="Hyperlink"/>
                <w:b w:val="0"/>
                <w:webHidden/>
                <w:color w:val="0070C0"/>
              </w:rPr>
              <w:fldChar w:fldCharType="end"/>
            </w:r>
          </w:hyperlink>
        </w:p>
        <w:p w:rsidR="00A538D2" w:rsidRDefault="00EA28E4" w:rsidP="00517BE0">
          <w:pPr>
            <w:pStyle w:val="TOC3"/>
            <w:spacing w:after="0"/>
            <w:rPr>
              <w:rStyle w:val="Hyperlink"/>
              <w:b w:val="0"/>
              <w:color w:val="0070C0"/>
            </w:rPr>
          </w:pPr>
          <w:hyperlink w:anchor="_Toc104980355" w:history="1">
            <w:r w:rsidR="00A538D2" w:rsidRPr="008D19CE">
              <w:rPr>
                <w:rStyle w:val="Hyperlink"/>
                <w:b w:val="0"/>
                <w:color w:val="0070C0"/>
              </w:rPr>
              <w:t>7.4.2</w:t>
            </w:r>
            <w:r w:rsidR="00A538D2" w:rsidRPr="008D19CE">
              <w:rPr>
                <w:rStyle w:val="Hyperlink"/>
                <w:color w:val="0070C0"/>
              </w:rPr>
              <w:tab/>
            </w:r>
            <w:r w:rsidR="00A538D2" w:rsidRPr="008D19CE">
              <w:rPr>
                <w:rStyle w:val="Hyperlink"/>
                <w:b w:val="0"/>
                <w:color w:val="0070C0"/>
              </w:rPr>
              <w:t>Vendimet e Gjykatës Ndërkombëtare të Arbitrazhit</w:t>
            </w:r>
            <w:r w:rsidR="00A538D2" w:rsidRPr="008D19CE">
              <w:rPr>
                <w:rStyle w:val="Hyperlink"/>
                <w:b w:val="0"/>
                <w:webHidden/>
                <w:color w:val="0070C0"/>
              </w:rPr>
              <w:tab/>
            </w:r>
            <w:r w:rsidR="00A538D2" w:rsidRPr="008D19CE">
              <w:rPr>
                <w:rStyle w:val="Hyperlink"/>
                <w:b w:val="0"/>
                <w:webHidden/>
                <w:color w:val="0070C0"/>
              </w:rPr>
              <w:fldChar w:fldCharType="begin"/>
            </w:r>
            <w:r w:rsidR="00A538D2" w:rsidRPr="008D19CE">
              <w:rPr>
                <w:rStyle w:val="Hyperlink"/>
                <w:b w:val="0"/>
                <w:webHidden/>
                <w:color w:val="0070C0"/>
              </w:rPr>
              <w:instrText xml:space="preserve"> PAGEREF _Toc104980355 \h </w:instrText>
            </w:r>
            <w:r w:rsidR="00A538D2" w:rsidRPr="008D19CE">
              <w:rPr>
                <w:rStyle w:val="Hyperlink"/>
                <w:b w:val="0"/>
                <w:webHidden/>
                <w:color w:val="0070C0"/>
              </w:rPr>
            </w:r>
            <w:r w:rsidR="00A538D2" w:rsidRPr="008D19CE">
              <w:rPr>
                <w:rStyle w:val="Hyperlink"/>
                <w:b w:val="0"/>
                <w:webHidden/>
                <w:color w:val="0070C0"/>
              </w:rPr>
              <w:fldChar w:fldCharType="separate"/>
            </w:r>
            <w:r w:rsidR="002A6746">
              <w:rPr>
                <w:rStyle w:val="Hyperlink"/>
                <w:b w:val="0"/>
                <w:webHidden/>
                <w:color w:val="0070C0"/>
              </w:rPr>
              <w:t>58</w:t>
            </w:r>
            <w:r w:rsidR="00A538D2" w:rsidRPr="008D19CE">
              <w:rPr>
                <w:rStyle w:val="Hyperlink"/>
                <w:b w:val="0"/>
                <w:webHidden/>
                <w:color w:val="0070C0"/>
              </w:rPr>
              <w:fldChar w:fldCharType="end"/>
            </w:r>
          </w:hyperlink>
        </w:p>
        <w:p w:rsidR="00517BE0" w:rsidRPr="00517BE0" w:rsidRDefault="00517BE0" w:rsidP="00517BE0">
          <w:pPr>
            <w:spacing w:before="0"/>
            <w:rPr>
              <w:noProof/>
            </w:rPr>
          </w:pPr>
        </w:p>
        <w:p w:rsidR="00A538D2" w:rsidRPr="008D19CE" w:rsidRDefault="00EA28E4" w:rsidP="008D19CE">
          <w:pPr>
            <w:pStyle w:val="TOC1"/>
            <w:spacing w:before="0"/>
            <w:rPr>
              <w:rStyle w:val="Hyperlink"/>
              <w:rFonts w:cs="Calibri"/>
              <w:color w:val="0070C0"/>
              <w:sz w:val="24"/>
            </w:rPr>
          </w:pPr>
          <w:hyperlink w:anchor="_Toc104980356" w:history="1">
            <w:r w:rsidR="00A538D2" w:rsidRPr="008D19CE">
              <w:rPr>
                <w:rStyle w:val="Hyperlink"/>
                <w:rFonts w:cs="Calibri"/>
                <w:color w:val="0070C0"/>
                <w:sz w:val="24"/>
              </w:rPr>
              <w:t>8.</w:t>
            </w:r>
            <w:r w:rsidR="00A538D2" w:rsidRPr="008D19CE">
              <w:rPr>
                <w:rStyle w:val="Hyperlink"/>
                <w:rFonts w:cs="Calibri"/>
                <w:color w:val="0070C0"/>
                <w:sz w:val="24"/>
              </w:rPr>
              <w:tab/>
              <w:t>SHTOJCAT</w:t>
            </w:r>
            <w:r w:rsidR="00A538D2" w:rsidRPr="008D19CE">
              <w:rPr>
                <w:rStyle w:val="Hyperlink"/>
                <w:rFonts w:cs="Calibri"/>
                <w:webHidden/>
                <w:color w:val="0070C0"/>
                <w:sz w:val="24"/>
              </w:rPr>
              <w:tab/>
            </w:r>
            <w:r w:rsidR="00ED403D">
              <w:rPr>
                <w:rStyle w:val="Hyperlink"/>
                <w:rFonts w:cs="Calibri"/>
                <w:webHidden/>
                <w:color w:val="0070C0"/>
                <w:sz w:val="24"/>
              </w:rPr>
              <w:tab/>
            </w:r>
            <w:r w:rsidR="00A538D2" w:rsidRPr="008D19CE">
              <w:rPr>
                <w:rStyle w:val="Hyperlink"/>
                <w:rFonts w:cs="Calibri"/>
                <w:webHidden/>
                <w:color w:val="0070C0"/>
                <w:sz w:val="24"/>
              </w:rPr>
              <w:fldChar w:fldCharType="begin"/>
            </w:r>
            <w:r w:rsidR="00A538D2" w:rsidRPr="008D19CE">
              <w:rPr>
                <w:rStyle w:val="Hyperlink"/>
                <w:rFonts w:cs="Calibri"/>
                <w:webHidden/>
                <w:color w:val="0070C0"/>
                <w:sz w:val="24"/>
              </w:rPr>
              <w:instrText xml:space="preserve"> PAGEREF _Toc104980356 \h </w:instrText>
            </w:r>
            <w:r w:rsidR="00A538D2" w:rsidRPr="008D19CE">
              <w:rPr>
                <w:rStyle w:val="Hyperlink"/>
                <w:rFonts w:cs="Calibri"/>
                <w:webHidden/>
                <w:color w:val="0070C0"/>
                <w:sz w:val="24"/>
              </w:rPr>
            </w:r>
            <w:r w:rsidR="00A538D2" w:rsidRPr="008D19CE">
              <w:rPr>
                <w:rStyle w:val="Hyperlink"/>
                <w:rFonts w:cs="Calibri"/>
                <w:webHidden/>
                <w:color w:val="0070C0"/>
                <w:sz w:val="24"/>
              </w:rPr>
              <w:fldChar w:fldCharType="separate"/>
            </w:r>
            <w:r w:rsidR="002A6746">
              <w:rPr>
                <w:rStyle w:val="Hyperlink"/>
                <w:rFonts w:cs="Calibri"/>
                <w:webHidden/>
                <w:color w:val="0070C0"/>
                <w:sz w:val="24"/>
              </w:rPr>
              <w:t>59</w:t>
            </w:r>
            <w:r w:rsidR="00A538D2" w:rsidRPr="008D19CE">
              <w:rPr>
                <w:rStyle w:val="Hyperlink"/>
                <w:rFonts w:cs="Calibri"/>
                <w:webHidden/>
                <w:color w:val="0070C0"/>
                <w:sz w:val="24"/>
              </w:rPr>
              <w:fldChar w:fldCharType="end"/>
            </w:r>
          </w:hyperlink>
        </w:p>
        <w:p w:rsidR="00A538D2" w:rsidRPr="001323FC" w:rsidRDefault="00EA28E4">
          <w:pPr>
            <w:pStyle w:val="TOC2"/>
            <w:rPr>
              <w:rStyle w:val="Hyperlink"/>
              <w:color w:val="0070C0"/>
              <w:sz w:val="20"/>
            </w:rPr>
          </w:pPr>
          <w:hyperlink w:anchor="_Toc104980357" w:history="1">
            <w:r w:rsidR="00A538D2" w:rsidRPr="001323FC">
              <w:rPr>
                <w:rStyle w:val="Hyperlink"/>
                <w:rFonts w:asciiTheme="majorHAnsi" w:hAnsiTheme="majorHAnsi"/>
                <w:color w:val="0070C0"/>
                <w:sz w:val="20"/>
              </w:rPr>
              <w:t>8.1</w:t>
            </w:r>
            <w:r w:rsidR="00A538D2" w:rsidRPr="001323FC">
              <w:rPr>
                <w:rStyle w:val="Hyperlink"/>
                <w:color w:val="0070C0"/>
                <w:sz w:val="20"/>
              </w:rPr>
              <w:tab/>
            </w:r>
            <w:r w:rsidR="00A538D2" w:rsidRPr="001323FC">
              <w:rPr>
                <w:rStyle w:val="Hyperlink"/>
                <w:rFonts w:asciiTheme="majorHAnsi" w:hAnsiTheme="majorHAnsi"/>
                <w:color w:val="0070C0"/>
                <w:sz w:val="20"/>
              </w:rPr>
              <w:t>Shtojca 1 - Zbatimi dhe monitorimi i parimeve dhe rregullave fiskale</w:t>
            </w:r>
            <w:r w:rsidR="00A538D2" w:rsidRPr="001323FC">
              <w:rPr>
                <w:rStyle w:val="Hyperlink"/>
                <w:webHidden/>
                <w:color w:val="0070C0"/>
                <w:sz w:val="20"/>
              </w:rPr>
              <w:tab/>
            </w:r>
            <w:r w:rsidR="00ED403D">
              <w:rPr>
                <w:rStyle w:val="Hyperlink"/>
                <w:webHidden/>
                <w:color w:val="0070C0"/>
                <w:sz w:val="20"/>
              </w:rPr>
              <w:tab/>
            </w:r>
            <w:r w:rsidR="00A538D2" w:rsidRPr="001323FC">
              <w:rPr>
                <w:rStyle w:val="Hyperlink"/>
                <w:webHidden/>
                <w:color w:val="0070C0"/>
                <w:sz w:val="20"/>
              </w:rPr>
              <w:fldChar w:fldCharType="begin"/>
            </w:r>
            <w:r w:rsidR="00A538D2" w:rsidRPr="001323FC">
              <w:rPr>
                <w:rStyle w:val="Hyperlink"/>
                <w:webHidden/>
                <w:color w:val="0070C0"/>
                <w:sz w:val="20"/>
              </w:rPr>
              <w:instrText xml:space="preserve"> PAGEREF _Toc104980357 \h </w:instrText>
            </w:r>
            <w:r w:rsidR="00A538D2" w:rsidRPr="001323FC">
              <w:rPr>
                <w:rStyle w:val="Hyperlink"/>
                <w:webHidden/>
                <w:color w:val="0070C0"/>
                <w:sz w:val="20"/>
              </w:rPr>
            </w:r>
            <w:r w:rsidR="00A538D2" w:rsidRPr="001323FC">
              <w:rPr>
                <w:rStyle w:val="Hyperlink"/>
                <w:webHidden/>
                <w:color w:val="0070C0"/>
                <w:sz w:val="20"/>
              </w:rPr>
              <w:fldChar w:fldCharType="separate"/>
            </w:r>
            <w:r w:rsidR="002A6746">
              <w:rPr>
                <w:rStyle w:val="Hyperlink"/>
                <w:webHidden/>
                <w:color w:val="0070C0"/>
                <w:sz w:val="20"/>
              </w:rPr>
              <w:t>59</w:t>
            </w:r>
            <w:r w:rsidR="00A538D2" w:rsidRPr="001323FC">
              <w:rPr>
                <w:rStyle w:val="Hyperlink"/>
                <w:webHidden/>
                <w:color w:val="0070C0"/>
                <w:sz w:val="20"/>
              </w:rPr>
              <w:fldChar w:fldCharType="end"/>
            </w:r>
          </w:hyperlink>
        </w:p>
        <w:p w:rsidR="00A538D2" w:rsidRPr="001323FC" w:rsidRDefault="00EA28E4">
          <w:pPr>
            <w:pStyle w:val="TOC2"/>
            <w:rPr>
              <w:rStyle w:val="Hyperlink"/>
              <w:color w:val="0070C0"/>
              <w:sz w:val="20"/>
            </w:rPr>
          </w:pPr>
          <w:hyperlink w:anchor="_Toc104980358" w:history="1">
            <w:r w:rsidR="00A538D2" w:rsidRPr="001323FC">
              <w:rPr>
                <w:rStyle w:val="Hyperlink"/>
                <w:rFonts w:asciiTheme="majorHAnsi" w:hAnsiTheme="majorHAnsi"/>
                <w:color w:val="0070C0"/>
                <w:sz w:val="20"/>
              </w:rPr>
              <w:t>8.2</w:t>
            </w:r>
            <w:r w:rsidR="00A538D2" w:rsidRPr="001323FC">
              <w:rPr>
                <w:rStyle w:val="Hyperlink"/>
                <w:color w:val="0070C0"/>
                <w:sz w:val="20"/>
              </w:rPr>
              <w:tab/>
            </w:r>
            <w:r w:rsidR="00A538D2" w:rsidRPr="001323FC">
              <w:rPr>
                <w:rStyle w:val="Hyperlink"/>
                <w:rFonts w:asciiTheme="majorHAnsi" w:hAnsiTheme="majorHAnsi"/>
                <w:color w:val="0070C0"/>
                <w:sz w:val="20"/>
              </w:rPr>
              <w:t>Shtojca 2 – Efektet e paketës fiskale 2021</w:t>
            </w:r>
            <w:r w:rsidR="00A538D2" w:rsidRPr="001323FC">
              <w:rPr>
                <w:rStyle w:val="Hyperlink"/>
                <w:webHidden/>
                <w:color w:val="0070C0"/>
                <w:sz w:val="20"/>
              </w:rPr>
              <w:tab/>
            </w:r>
            <w:r w:rsidR="00ED403D">
              <w:rPr>
                <w:rStyle w:val="Hyperlink"/>
                <w:webHidden/>
                <w:color w:val="0070C0"/>
                <w:sz w:val="20"/>
              </w:rPr>
              <w:tab/>
            </w:r>
            <w:r w:rsidR="00A538D2" w:rsidRPr="001323FC">
              <w:rPr>
                <w:rStyle w:val="Hyperlink"/>
                <w:webHidden/>
                <w:color w:val="0070C0"/>
                <w:sz w:val="20"/>
              </w:rPr>
              <w:fldChar w:fldCharType="begin"/>
            </w:r>
            <w:r w:rsidR="00A538D2" w:rsidRPr="001323FC">
              <w:rPr>
                <w:rStyle w:val="Hyperlink"/>
                <w:webHidden/>
                <w:color w:val="0070C0"/>
                <w:sz w:val="20"/>
              </w:rPr>
              <w:instrText xml:space="preserve"> PAGEREF _Toc104980358 \h </w:instrText>
            </w:r>
            <w:r w:rsidR="00A538D2" w:rsidRPr="001323FC">
              <w:rPr>
                <w:rStyle w:val="Hyperlink"/>
                <w:webHidden/>
                <w:color w:val="0070C0"/>
                <w:sz w:val="20"/>
              </w:rPr>
            </w:r>
            <w:r w:rsidR="00A538D2" w:rsidRPr="001323FC">
              <w:rPr>
                <w:rStyle w:val="Hyperlink"/>
                <w:webHidden/>
                <w:color w:val="0070C0"/>
                <w:sz w:val="20"/>
              </w:rPr>
              <w:fldChar w:fldCharType="separate"/>
            </w:r>
            <w:r w:rsidR="002A6746">
              <w:rPr>
                <w:rStyle w:val="Hyperlink"/>
                <w:webHidden/>
                <w:color w:val="0070C0"/>
                <w:sz w:val="20"/>
              </w:rPr>
              <w:t>63</w:t>
            </w:r>
            <w:r w:rsidR="00A538D2" w:rsidRPr="001323FC">
              <w:rPr>
                <w:rStyle w:val="Hyperlink"/>
                <w:webHidden/>
                <w:color w:val="0070C0"/>
                <w:sz w:val="20"/>
              </w:rPr>
              <w:fldChar w:fldCharType="end"/>
            </w:r>
          </w:hyperlink>
        </w:p>
        <w:p w:rsidR="00A538D2" w:rsidRPr="001323FC" w:rsidRDefault="00EA28E4">
          <w:pPr>
            <w:pStyle w:val="TOC2"/>
            <w:rPr>
              <w:rStyle w:val="Hyperlink"/>
              <w:color w:val="0070C0"/>
              <w:sz w:val="20"/>
            </w:rPr>
          </w:pPr>
          <w:hyperlink w:anchor="_Toc104980359" w:history="1">
            <w:r w:rsidR="00A538D2" w:rsidRPr="001323FC">
              <w:rPr>
                <w:rStyle w:val="Hyperlink"/>
                <w:rFonts w:asciiTheme="majorHAnsi" w:hAnsiTheme="majorHAnsi"/>
                <w:color w:val="0070C0"/>
                <w:sz w:val="20"/>
              </w:rPr>
              <w:t>8.3</w:t>
            </w:r>
            <w:r w:rsidR="00A538D2" w:rsidRPr="001323FC">
              <w:rPr>
                <w:rStyle w:val="Hyperlink"/>
                <w:color w:val="0070C0"/>
                <w:sz w:val="20"/>
              </w:rPr>
              <w:tab/>
            </w:r>
            <w:r w:rsidR="00A538D2" w:rsidRPr="001323FC">
              <w:rPr>
                <w:rStyle w:val="Hyperlink"/>
                <w:rFonts w:asciiTheme="majorHAnsi" w:hAnsiTheme="majorHAnsi"/>
                <w:color w:val="0070C0"/>
                <w:sz w:val="20"/>
              </w:rPr>
              <w:t>Shtojca 3 Treguesit kryesorë të performancës sipas ministrive të linjës</w:t>
            </w:r>
            <w:r w:rsidR="00A538D2" w:rsidRPr="001323FC">
              <w:rPr>
                <w:rStyle w:val="Hyperlink"/>
                <w:webHidden/>
                <w:color w:val="0070C0"/>
                <w:sz w:val="20"/>
              </w:rPr>
              <w:tab/>
            </w:r>
            <w:r w:rsidR="00ED403D">
              <w:rPr>
                <w:rStyle w:val="Hyperlink"/>
                <w:webHidden/>
                <w:color w:val="0070C0"/>
                <w:sz w:val="20"/>
              </w:rPr>
              <w:tab/>
            </w:r>
            <w:r w:rsidR="00A538D2" w:rsidRPr="001323FC">
              <w:rPr>
                <w:rStyle w:val="Hyperlink"/>
                <w:webHidden/>
                <w:color w:val="0070C0"/>
                <w:sz w:val="20"/>
              </w:rPr>
              <w:fldChar w:fldCharType="begin"/>
            </w:r>
            <w:r w:rsidR="00A538D2" w:rsidRPr="001323FC">
              <w:rPr>
                <w:rStyle w:val="Hyperlink"/>
                <w:webHidden/>
                <w:color w:val="0070C0"/>
                <w:sz w:val="20"/>
              </w:rPr>
              <w:instrText xml:space="preserve"> PAGEREF _Toc104980359 \h </w:instrText>
            </w:r>
            <w:r w:rsidR="00A538D2" w:rsidRPr="001323FC">
              <w:rPr>
                <w:rStyle w:val="Hyperlink"/>
                <w:webHidden/>
                <w:color w:val="0070C0"/>
                <w:sz w:val="20"/>
              </w:rPr>
            </w:r>
            <w:r w:rsidR="00A538D2" w:rsidRPr="001323FC">
              <w:rPr>
                <w:rStyle w:val="Hyperlink"/>
                <w:webHidden/>
                <w:color w:val="0070C0"/>
                <w:sz w:val="20"/>
              </w:rPr>
              <w:fldChar w:fldCharType="separate"/>
            </w:r>
            <w:r w:rsidR="002A6746">
              <w:rPr>
                <w:rStyle w:val="Hyperlink"/>
                <w:webHidden/>
                <w:color w:val="0070C0"/>
                <w:sz w:val="20"/>
              </w:rPr>
              <w:t>65</w:t>
            </w:r>
            <w:r w:rsidR="00A538D2" w:rsidRPr="001323FC">
              <w:rPr>
                <w:rStyle w:val="Hyperlink"/>
                <w:webHidden/>
                <w:color w:val="0070C0"/>
                <w:sz w:val="20"/>
              </w:rPr>
              <w:fldChar w:fldCharType="end"/>
            </w:r>
          </w:hyperlink>
        </w:p>
        <w:p w:rsidR="00A538D2" w:rsidRPr="008D19CE" w:rsidRDefault="00EA28E4">
          <w:pPr>
            <w:pStyle w:val="TOC3"/>
            <w:rPr>
              <w:rStyle w:val="Hyperlink"/>
              <w:color w:val="0070C0"/>
            </w:rPr>
          </w:pPr>
          <w:hyperlink w:anchor="_Toc104980360" w:history="1">
            <w:r w:rsidR="00A538D2" w:rsidRPr="008D19CE">
              <w:rPr>
                <w:rStyle w:val="Hyperlink"/>
                <w:b w:val="0"/>
                <w:color w:val="0070C0"/>
              </w:rPr>
              <w:t>8.3.1</w:t>
            </w:r>
            <w:r w:rsidR="00A538D2" w:rsidRPr="008D19CE">
              <w:rPr>
                <w:rStyle w:val="Hyperlink"/>
                <w:color w:val="0070C0"/>
              </w:rPr>
              <w:tab/>
            </w:r>
            <w:r w:rsidR="00A538D2" w:rsidRPr="008D19CE">
              <w:rPr>
                <w:rStyle w:val="Hyperlink"/>
                <w:b w:val="0"/>
                <w:color w:val="0070C0"/>
              </w:rPr>
              <w:t>Shëndetësia dhe Mbrojtja Sociale</w:t>
            </w:r>
            <w:r w:rsidR="00A538D2" w:rsidRPr="008D19CE">
              <w:rPr>
                <w:rStyle w:val="Hyperlink"/>
                <w:b w:val="0"/>
                <w:webHidden/>
                <w:color w:val="0070C0"/>
              </w:rPr>
              <w:tab/>
            </w:r>
            <w:r w:rsidR="00ED403D">
              <w:rPr>
                <w:rStyle w:val="Hyperlink"/>
                <w:b w:val="0"/>
                <w:webHidden/>
                <w:color w:val="0070C0"/>
              </w:rPr>
              <w:tab/>
            </w:r>
            <w:r w:rsidR="00A538D2" w:rsidRPr="008D19CE">
              <w:rPr>
                <w:rStyle w:val="Hyperlink"/>
                <w:b w:val="0"/>
                <w:webHidden/>
                <w:color w:val="0070C0"/>
              </w:rPr>
              <w:fldChar w:fldCharType="begin"/>
            </w:r>
            <w:r w:rsidR="00A538D2" w:rsidRPr="008D19CE">
              <w:rPr>
                <w:rStyle w:val="Hyperlink"/>
                <w:b w:val="0"/>
                <w:webHidden/>
                <w:color w:val="0070C0"/>
              </w:rPr>
              <w:instrText xml:space="preserve"> PAGEREF _Toc104980360 \h </w:instrText>
            </w:r>
            <w:r w:rsidR="00A538D2" w:rsidRPr="008D19CE">
              <w:rPr>
                <w:rStyle w:val="Hyperlink"/>
                <w:b w:val="0"/>
                <w:webHidden/>
                <w:color w:val="0070C0"/>
              </w:rPr>
            </w:r>
            <w:r w:rsidR="00A538D2" w:rsidRPr="008D19CE">
              <w:rPr>
                <w:rStyle w:val="Hyperlink"/>
                <w:b w:val="0"/>
                <w:webHidden/>
                <w:color w:val="0070C0"/>
              </w:rPr>
              <w:fldChar w:fldCharType="separate"/>
            </w:r>
            <w:r w:rsidR="002A6746">
              <w:rPr>
                <w:rStyle w:val="Hyperlink"/>
                <w:b w:val="0"/>
                <w:webHidden/>
                <w:color w:val="0070C0"/>
              </w:rPr>
              <w:t>66</w:t>
            </w:r>
            <w:r w:rsidR="00A538D2" w:rsidRPr="008D19CE">
              <w:rPr>
                <w:rStyle w:val="Hyperlink"/>
                <w:b w:val="0"/>
                <w:webHidden/>
                <w:color w:val="0070C0"/>
              </w:rPr>
              <w:fldChar w:fldCharType="end"/>
            </w:r>
          </w:hyperlink>
        </w:p>
        <w:p w:rsidR="00A538D2" w:rsidRPr="008D19CE" w:rsidRDefault="00EA28E4">
          <w:pPr>
            <w:pStyle w:val="TOC3"/>
            <w:rPr>
              <w:rStyle w:val="Hyperlink"/>
              <w:color w:val="0070C0"/>
            </w:rPr>
          </w:pPr>
          <w:hyperlink w:anchor="_Toc104980361" w:history="1">
            <w:r w:rsidR="00A538D2" w:rsidRPr="008D19CE">
              <w:rPr>
                <w:rStyle w:val="Hyperlink"/>
                <w:b w:val="0"/>
                <w:color w:val="0070C0"/>
              </w:rPr>
              <w:t>8.3.2</w:t>
            </w:r>
            <w:r w:rsidR="00A538D2" w:rsidRPr="008D19CE">
              <w:rPr>
                <w:rStyle w:val="Hyperlink"/>
                <w:color w:val="0070C0"/>
              </w:rPr>
              <w:tab/>
            </w:r>
            <w:r w:rsidR="00A538D2" w:rsidRPr="008D19CE">
              <w:rPr>
                <w:rStyle w:val="Hyperlink"/>
                <w:b w:val="0"/>
                <w:color w:val="0070C0"/>
              </w:rPr>
              <w:t>Arsimi</w:t>
            </w:r>
            <w:r w:rsidR="00A538D2" w:rsidRPr="008D19CE">
              <w:rPr>
                <w:rStyle w:val="Hyperlink"/>
                <w:b w:val="0"/>
                <w:webHidden/>
                <w:color w:val="0070C0"/>
              </w:rPr>
              <w:tab/>
            </w:r>
            <w:r w:rsidR="00ED403D">
              <w:rPr>
                <w:rStyle w:val="Hyperlink"/>
                <w:b w:val="0"/>
                <w:webHidden/>
                <w:color w:val="0070C0"/>
              </w:rPr>
              <w:tab/>
            </w:r>
            <w:r w:rsidR="00A538D2" w:rsidRPr="008D19CE">
              <w:rPr>
                <w:rStyle w:val="Hyperlink"/>
                <w:b w:val="0"/>
                <w:webHidden/>
                <w:color w:val="0070C0"/>
              </w:rPr>
              <w:fldChar w:fldCharType="begin"/>
            </w:r>
            <w:r w:rsidR="00A538D2" w:rsidRPr="008D19CE">
              <w:rPr>
                <w:rStyle w:val="Hyperlink"/>
                <w:b w:val="0"/>
                <w:webHidden/>
                <w:color w:val="0070C0"/>
              </w:rPr>
              <w:instrText xml:space="preserve"> PAGEREF _Toc104980361 \h </w:instrText>
            </w:r>
            <w:r w:rsidR="00A538D2" w:rsidRPr="008D19CE">
              <w:rPr>
                <w:rStyle w:val="Hyperlink"/>
                <w:b w:val="0"/>
                <w:webHidden/>
                <w:color w:val="0070C0"/>
              </w:rPr>
            </w:r>
            <w:r w:rsidR="00A538D2" w:rsidRPr="008D19CE">
              <w:rPr>
                <w:rStyle w:val="Hyperlink"/>
                <w:b w:val="0"/>
                <w:webHidden/>
                <w:color w:val="0070C0"/>
              </w:rPr>
              <w:fldChar w:fldCharType="separate"/>
            </w:r>
            <w:r w:rsidR="002A6746">
              <w:rPr>
                <w:rStyle w:val="Hyperlink"/>
                <w:b w:val="0"/>
                <w:webHidden/>
                <w:color w:val="0070C0"/>
              </w:rPr>
              <w:t>68</w:t>
            </w:r>
            <w:r w:rsidR="00A538D2" w:rsidRPr="008D19CE">
              <w:rPr>
                <w:rStyle w:val="Hyperlink"/>
                <w:b w:val="0"/>
                <w:webHidden/>
                <w:color w:val="0070C0"/>
              </w:rPr>
              <w:fldChar w:fldCharType="end"/>
            </w:r>
          </w:hyperlink>
        </w:p>
        <w:p w:rsidR="00A538D2" w:rsidRPr="008D19CE" w:rsidRDefault="00EA28E4">
          <w:pPr>
            <w:pStyle w:val="TOC3"/>
            <w:rPr>
              <w:rStyle w:val="Hyperlink"/>
              <w:color w:val="0070C0"/>
            </w:rPr>
          </w:pPr>
          <w:hyperlink w:anchor="_Toc104980362" w:history="1">
            <w:r w:rsidR="00A538D2" w:rsidRPr="008D19CE">
              <w:rPr>
                <w:rStyle w:val="Hyperlink"/>
                <w:b w:val="0"/>
                <w:color w:val="0070C0"/>
              </w:rPr>
              <w:t>8.3.3</w:t>
            </w:r>
            <w:r w:rsidR="00A538D2" w:rsidRPr="008D19CE">
              <w:rPr>
                <w:rStyle w:val="Hyperlink"/>
                <w:color w:val="0070C0"/>
              </w:rPr>
              <w:tab/>
            </w:r>
            <w:r w:rsidR="00A538D2" w:rsidRPr="008D19CE">
              <w:rPr>
                <w:rStyle w:val="Hyperlink"/>
                <w:b w:val="0"/>
                <w:color w:val="0070C0"/>
              </w:rPr>
              <w:t>Bujqësia dhe Zhvillimi Rural</w:t>
            </w:r>
            <w:r w:rsidR="00A538D2" w:rsidRPr="008D19CE">
              <w:rPr>
                <w:rStyle w:val="Hyperlink"/>
                <w:b w:val="0"/>
                <w:webHidden/>
                <w:color w:val="0070C0"/>
              </w:rPr>
              <w:tab/>
            </w:r>
            <w:r w:rsidR="00ED403D">
              <w:rPr>
                <w:rStyle w:val="Hyperlink"/>
                <w:b w:val="0"/>
                <w:webHidden/>
                <w:color w:val="0070C0"/>
              </w:rPr>
              <w:tab/>
            </w:r>
            <w:r w:rsidR="00A538D2" w:rsidRPr="008D19CE">
              <w:rPr>
                <w:rStyle w:val="Hyperlink"/>
                <w:b w:val="0"/>
                <w:webHidden/>
                <w:color w:val="0070C0"/>
              </w:rPr>
              <w:fldChar w:fldCharType="begin"/>
            </w:r>
            <w:r w:rsidR="00A538D2" w:rsidRPr="008D19CE">
              <w:rPr>
                <w:rStyle w:val="Hyperlink"/>
                <w:b w:val="0"/>
                <w:webHidden/>
                <w:color w:val="0070C0"/>
              </w:rPr>
              <w:instrText xml:space="preserve"> PAGEREF _Toc104980362 \h </w:instrText>
            </w:r>
            <w:r w:rsidR="00A538D2" w:rsidRPr="008D19CE">
              <w:rPr>
                <w:rStyle w:val="Hyperlink"/>
                <w:b w:val="0"/>
                <w:webHidden/>
                <w:color w:val="0070C0"/>
              </w:rPr>
            </w:r>
            <w:r w:rsidR="00A538D2" w:rsidRPr="008D19CE">
              <w:rPr>
                <w:rStyle w:val="Hyperlink"/>
                <w:b w:val="0"/>
                <w:webHidden/>
                <w:color w:val="0070C0"/>
              </w:rPr>
              <w:fldChar w:fldCharType="separate"/>
            </w:r>
            <w:r w:rsidR="002A6746">
              <w:rPr>
                <w:rStyle w:val="Hyperlink"/>
                <w:b w:val="0"/>
                <w:webHidden/>
                <w:color w:val="0070C0"/>
              </w:rPr>
              <w:t>70</w:t>
            </w:r>
            <w:r w:rsidR="00A538D2" w:rsidRPr="008D19CE">
              <w:rPr>
                <w:rStyle w:val="Hyperlink"/>
                <w:b w:val="0"/>
                <w:webHidden/>
                <w:color w:val="0070C0"/>
              </w:rPr>
              <w:fldChar w:fldCharType="end"/>
            </w:r>
          </w:hyperlink>
        </w:p>
        <w:p w:rsidR="00A538D2" w:rsidRPr="008D19CE" w:rsidRDefault="00EA28E4">
          <w:pPr>
            <w:pStyle w:val="TOC3"/>
            <w:rPr>
              <w:rStyle w:val="Hyperlink"/>
              <w:color w:val="0070C0"/>
            </w:rPr>
          </w:pPr>
          <w:hyperlink w:anchor="_Toc104980363" w:history="1">
            <w:r w:rsidR="00A538D2" w:rsidRPr="008D19CE">
              <w:rPr>
                <w:rStyle w:val="Hyperlink"/>
                <w:b w:val="0"/>
                <w:color w:val="0070C0"/>
              </w:rPr>
              <w:t>8.3.4</w:t>
            </w:r>
            <w:r w:rsidR="00A538D2" w:rsidRPr="008D19CE">
              <w:rPr>
                <w:rStyle w:val="Hyperlink"/>
                <w:color w:val="0070C0"/>
              </w:rPr>
              <w:tab/>
            </w:r>
            <w:r w:rsidR="00A538D2" w:rsidRPr="008D19CE">
              <w:rPr>
                <w:rStyle w:val="Hyperlink"/>
                <w:b w:val="0"/>
                <w:color w:val="0070C0"/>
              </w:rPr>
              <w:t>Infrastruktura dhe Energjia</w:t>
            </w:r>
            <w:r w:rsidR="00A538D2" w:rsidRPr="008D19CE">
              <w:rPr>
                <w:rStyle w:val="Hyperlink"/>
                <w:b w:val="0"/>
                <w:webHidden/>
                <w:color w:val="0070C0"/>
              </w:rPr>
              <w:tab/>
            </w:r>
            <w:r w:rsidR="00ED403D">
              <w:rPr>
                <w:rStyle w:val="Hyperlink"/>
                <w:b w:val="0"/>
                <w:webHidden/>
                <w:color w:val="0070C0"/>
              </w:rPr>
              <w:tab/>
            </w:r>
            <w:r w:rsidR="00A538D2" w:rsidRPr="008D19CE">
              <w:rPr>
                <w:rStyle w:val="Hyperlink"/>
                <w:b w:val="0"/>
                <w:webHidden/>
                <w:color w:val="0070C0"/>
              </w:rPr>
              <w:fldChar w:fldCharType="begin"/>
            </w:r>
            <w:r w:rsidR="00A538D2" w:rsidRPr="008D19CE">
              <w:rPr>
                <w:rStyle w:val="Hyperlink"/>
                <w:b w:val="0"/>
                <w:webHidden/>
                <w:color w:val="0070C0"/>
              </w:rPr>
              <w:instrText xml:space="preserve"> PAGEREF _Toc104980363 \h </w:instrText>
            </w:r>
            <w:r w:rsidR="00A538D2" w:rsidRPr="008D19CE">
              <w:rPr>
                <w:rStyle w:val="Hyperlink"/>
                <w:b w:val="0"/>
                <w:webHidden/>
                <w:color w:val="0070C0"/>
              </w:rPr>
            </w:r>
            <w:r w:rsidR="00A538D2" w:rsidRPr="008D19CE">
              <w:rPr>
                <w:rStyle w:val="Hyperlink"/>
                <w:b w:val="0"/>
                <w:webHidden/>
                <w:color w:val="0070C0"/>
              </w:rPr>
              <w:fldChar w:fldCharType="separate"/>
            </w:r>
            <w:r w:rsidR="002A6746">
              <w:rPr>
                <w:rStyle w:val="Hyperlink"/>
                <w:b w:val="0"/>
                <w:webHidden/>
                <w:color w:val="0070C0"/>
              </w:rPr>
              <w:t>72</w:t>
            </w:r>
            <w:r w:rsidR="00A538D2" w:rsidRPr="008D19CE">
              <w:rPr>
                <w:rStyle w:val="Hyperlink"/>
                <w:b w:val="0"/>
                <w:webHidden/>
                <w:color w:val="0070C0"/>
              </w:rPr>
              <w:fldChar w:fldCharType="end"/>
            </w:r>
          </w:hyperlink>
        </w:p>
        <w:p w:rsidR="00A538D2" w:rsidRPr="008D19CE" w:rsidRDefault="00EA28E4">
          <w:pPr>
            <w:pStyle w:val="TOC3"/>
            <w:rPr>
              <w:rStyle w:val="Hyperlink"/>
              <w:color w:val="0070C0"/>
            </w:rPr>
          </w:pPr>
          <w:hyperlink w:anchor="_Toc104980364" w:history="1">
            <w:r w:rsidR="00A538D2" w:rsidRPr="008D19CE">
              <w:rPr>
                <w:rStyle w:val="Hyperlink"/>
                <w:b w:val="0"/>
                <w:color w:val="0070C0"/>
              </w:rPr>
              <w:t>8.3.5</w:t>
            </w:r>
            <w:r w:rsidR="00A538D2" w:rsidRPr="008D19CE">
              <w:rPr>
                <w:rStyle w:val="Hyperlink"/>
                <w:color w:val="0070C0"/>
              </w:rPr>
              <w:tab/>
            </w:r>
            <w:r w:rsidR="00A538D2" w:rsidRPr="008D19CE">
              <w:rPr>
                <w:rStyle w:val="Hyperlink"/>
                <w:b w:val="0"/>
                <w:color w:val="0070C0"/>
              </w:rPr>
              <w:t>Turizmi dhe Mjedisi</w:t>
            </w:r>
            <w:r w:rsidR="00A538D2" w:rsidRPr="008D19CE">
              <w:rPr>
                <w:rStyle w:val="Hyperlink"/>
                <w:b w:val="0"/>
                <w:webHidden/>
                <w:color w:val="0070C0"/>
              </w:rPr>
              <w:tab/>
            </w:r>
            <w:r w:rsidR="00ED403D">
              <w:rPr>
                <w:rStyle w:val="Hyperlink"/>
                <w:b w:val="0"/>
                <w:webHidden/>
                <w:color w:val="0070C0"/>
              </w:rPr>
              <w:tab/>
            </w:r>
            <w:r w:rsidR="00A538D2" w:rsidRPr="008D19CE">
              <w:rPr>
                <w:rStyle w:val="Hyperlink"/>
                <w:b w:val="0"/>
                <w:webHidden/>
                <w:color w:val="0070C0"/>
              </w:rPr>
              <w:fldChar w:fldCharType="begin"/>
            </w:r>
            <w:r w:rsidR="00A538D2" w:rsidRPr="008D19CE">
              <w:rPr>
                <w:rStyle w:val="Hyperlink"/>
                <w:b w:val="0"/>
                <w:webHidden/>
                <w:color w:val="0070C0"/>
              </w:rPr>
              <w:instrText xml:space="preserve"> PAGEREF _Toc104980364 \h </w:instrText>
            </w:r>
            <w:r w:rsidR="00A538D2" w:rsidRPr="008D19CE">
              <w:rPr>
                <w:rStyle w:val="Hyperlink"/>
                <w:b w:val="0"/>
                <w:webHidden/>
                <w:color w:val="0070C0"/>
              </w:rPr>
            </w:r>
            <w:r w:rsidR="00A538D2" w:rsidRPr="008D19CE">
              <w:rPr>
                <w:rStyle w:val="Hyperlink"/>
                <w:b w:val="0"/>
                <w:webHidden/>
                <w:color w:val="0070C0"/>
              </w:rPr>
              <w:fldChar w:fldCharType="separate"/>
            </w:r>
            <w:r w:rsidR="002A6746">
              <w:rPr>
                <w:rStyle w:val="Hyperlink"/>
                <w:b w:val="0"/>
                <w:webHidden/>
                <w:color w:val="0070C0"/>
              </w:rPr>
              <w:t>75</w:t>
            </w:r>
            <w:r w:rsidR="00A538D2" w:rsidRPr="008D19CE">
              <w:rPr>
                <w:rStyle w:val="Hyperlink"/>
                <w:b w:val="0"/>
                <w:webHidden/>
                <w:color w:val="0070C0"/>
              </w:rPr>
              <w:fldChar w:fldCharType="end"/>
            </w:r>
          </w:hyperlink>
        </w:p>
        <w:p w:rsidR="00A538D2" w:rsidRPr="008D19CE" w:rsidRDefault="00EA28E4">
          <w:pPr>
            <w:pStyle w:val="TOC3"/>
            <w:rPr>
              <w:rStyle w:val="Hyperlink"/>
              <w:color w:val="0070C0"/>
            </w:rPr>
          </w:pPr>
          <w:hyperlink w:anchor="_Toc104980365" w:history="1">
            <w:r w:rsidR="00A538D2" w:rsidRPr="008D19CE">
              <w:rPr>
                <w:rStyle w:val="Hyperlink"/>
                <w:b w:val="0"/>
                <w:color w:val="0070C0"/>
              </w:rPr>
              <w:t>8.3.6</w:t>
            </w:r>
            <w:r w:rsidR="00A538D2" w:rsidRPr="008D19CE">
              <w:rPr>
                <w:rStyle w:val="Hyperlink"/>
                <w:color w:val="0070C0"/>
              </w:rPr>
              <w:tab/>
            </w:r>
            <w:r w:rsidR="00A538D2" w:rsidRPr="008D19CE">
              <w:rPr>
                <w:rStyle w:val="Hyperlink"/>
                <w:b w:val="0"/>
                <w:color w:val="0070C0"/>
              </w:rPr>
              <w:t>Drejtësia</w:t>
            </w:r>
            <w:r w:rsidR="00A538D2" w:rsidRPr="008D19CE">
              <w:rPr>
                <w:rStyle w:val="Hyperlink"/>
                <w:b w:val="0"/>
                <w:webHidden/>
                <w:color w:val="0070C0"/>
              </w:rPr>
              <w:tab/>
            </w:r>
            <w:r w:rsidR="00ED403D">
              <w:rPr>
                <w:rStyle w:val="Hyperlink"/>
                <w:b w:val="0"/>
                <w:webHidden/>
                <w:color w:val="0070C0"/>
              </w:rPr>
              <w:tab/>
            </w:r>
            <w:r w:rsidR="00A538D2" w:rsidRPr="008D19CE">
              <w:rPr>
                <w:rStyle w:val="Hyperlink"/>
                <w:b w:val="0"/>
                <w:webHidden/>
                <w:color w:val="0070C0"/>
              </w:rPr>
              <w:fldChar w:fldCharType="begin"/>
            </w:r>
            <w:r w:rsidR="00A538D2" w:rsidRPr="008D19CE">
              <w:rPr>
                <w:rStyle w:val="Hyperlink"/>
                <w:b w:val="0"/>
                <w:webHidden/>
                <w:color w:val="0070C0"/>
              </w:rPr>
              <w:instrText xml:space="preserve"> PAGEREF _Toc104980365 \h </w:instrText>
            </w:r>
            <w:r w:rsidR="00A538D2" w:rsidRPr="008D19CE">
              <w:rPr>
                <w:rStyle w:val="Hyperlink"/>
                <w:b w:val="0"/>
                <w:webHidden/>
                <w:color w:val="0070C0"/>
              </w:rPr>
            </w:r>
            <w:r w:rsidR="00A538D2" w:rsidRPr="008D19CE">
              <w:rPr>
                <w:rStyle w:val="Hyperlink"/>
                <w:b w:val="0"/>
                <w:webHidden/>
                <w:color w:val="0070C0"/>
              </w:rPr>
              <w:fldChar w:fldCharType="separate"/>
            </w:r>
            <w:r w:rsidR="002A6746">
              <w:rPr>
                <w:rStyle w:val="Hyperlink"/>
                <w:b w:val="0"/>
                <w:webHidden/>
                <w:color w:val="0070C0"/>
              </w:rPr>
              <w:t>77</w:t>
            </w:r>
            <w:r w:rsidR="00A538D2" w:rsidRPr="008D19CE">
              <w:rPr>
                <w:rStyle w:val="Hyperlink"/>
                <w:b w:val="0"/>
                <w:webHidden/>
                <w:color w:val="0070C0"/>
              </w:rPr>
              <w:fldChar w:fldCharType="end"/>
            </w:r>
          </w:hyperlink>
        </w:p>
        <w:p w:rsidR="00A538D2" w:rsidRPr="008D19CE" w:rsidRDefault="00EA28E4">
          <w:pPr>
            <w:pStyle w:val="TOC3"/>
            <w:rPr>
              <w:rStyle w:val="Hyperlink"/>
              <w:color w:val="0070C0"/>
            </w:rPr>
          </w:pPr>
          <w:hyperlink w:anchor="_Toc104980366" w:history="1">
            <w:r w:rsidR="00A538D2" w:rsidRPr="008D19CE">
              <w:rPr>
                <w:rStyle w:val="Hyperlink"/>
                <w:b w:val="0"/>
                <w:color w:val="0070C0"/>
              </w:rPr>
              <w:t>8.3.7</w:t>
            </w:r>
            <w:r w:rsidR="00A538D2" w:rsidRPr="008D19CE">
              <w:rPr>
                <w:rStyle w:val="Hyperlink"/>
                <w:color w:val="0070C0"/>
              </w:rPr>
              <w:tab/>
            </w:r>
            <w:r w:rsidR="00A538D2" w:rsidRPr="008D19CE">
              <w:rPr>
                <w:rStyle w:val="Hyperlink"/>
                <w:b w:val="0"/>
                <w:color w:val="0070C0"/>
              </w:rPr>
              <w:t>Institucionet e Sistemit të Drejtësisë</w:t>
            </w:r>
            <w:r w:rsidR="00A538D2" w:rsidRPr="008D19CE">
              <w:rPr>
                <w:rStyle w:val="Hyperlink"/>
                <w:b w:val="0"/>
                <w:webHidden/>
                <w:color w:val="0070C0"/>
              </w:rPr>
              <w:tab/>
            </w:r>
            <w:r w:rsidR="00ED403D">
              <w:rPr>
                <w:rStyle w:val="Hyperlink"/>
                <w:b w:val="0"/>
                <w:webHidden/>
                <w:color w:val="0070C0"/>
              </w:rPr>
              <w:tab/>
            </w:r>
            <w:r w:rsidR="00A538D2" w:rsidRPr="008D19CE">
              <w:rPr>
                <w:rStyle w:val="Hyperlink"/>
                <w:b w:val="0"/>
                <w:webHidden/>
                <w:color w:val="0070C0"/>
              </w:rPr>
              <w:fldChar w:fldCharType="begin"/>
            </w:r>
            <w:r w:rsidR="00A538D2" w:rsidRPr="008D19CE">
              <w:rPr>
                <w:rStyle w:val="Hyperlink"/>
                <w:b w:val="0"/>
                <w:webHidden/>
                <w:color w:val="0070C0"/>
              </w:rPr>
              <w:instrText xml:space="preserve"> PAGEREF _Toc104980366 \h </w:instrText>
            </w:r>
            <w:r w:rsidR="00A538D2" w:rsidRPr="008D19CE">
              <w:rPr>
                <w:rStyle w:val="Hyperlink"/>
                <w:b w:val="0"/>
                <w:webHidden/>
                <w:color w:val="0070C0"/>
              </w:rPr>
            </w:r>
            <w:r w:rsidR="00A538D2" w:rsidRPr="008D19CE">
              <w:rPr>
                <w:rStyle w:val="Hyperlink"/>
                <w:b w:val="0"/>
                <w:webHidden/>
                <w:color w:val="0070C0"/>
              </w:rPr>
              <w:fldChar w:fldCharType="separate"/>
            </w:r>
            <w:r w:rsidR="002A6746">
              <w:rPr>
                <w:rStyle w:val="Hyperlink"/>
                <w:b w:val="0"/>
                <w:webHidden/>
                <w:color w:val="0070C0"/>
              </w:rPr>
              <w:t>78</w:t>
            </w:r>
            <w:r w:rsidR="00A538D2" w:rsidRPr="008D19CE">
              <w:rPr>
                <w:rStyle w:val="Hyperlink"/>
                <w:b w:val="0"/>
                <w:webHidden/>
                <w:color w:val="0070C0"/>
              </w:rPr>
              <w:fldChar w:fldCharType="end"/>
            </w:r>
          </w:hyperlink>
        </w:p>
        <w:p w:rsidR="00A538D2" w:rsidRPr="008D19CE" w:rsidRDefault="00EA28E4">
          <w:pPr>
            <w:pStyle w:val="TOC3"/>
            <w:rPr>
              <w:rStyle w:val="Hyperlink"/>
              <w:color w:val="0070C0"/>
            </w:rPr>
          </w:pPr>
          <w:hyperlink w:anchor="_Toc104980367" w:history="1">
            <w:r w:rsidR="00A538D2" w:rsidRPr="008D19CE">
              <w:rPr>
                <w:rStyle w:val="Hyperlink"/>
                <w:b w:val="0"/>
                <w:color w:val="0070C0"/>
              </w:rPr>
              <w:t>8.3.8</w:t>
            </w:r>
            <w:r w:rsidR="00A538D2" w:rsidRPr="008D19CE">
              <w:rPr>
                <w:rStyle w:val="Hyperlink"/>
                <w:color w:val="0070C0"/>
              </w:rPr>
              <w:tab/>
            </w:r>
            <w:r w:rsidR="00A538D2" w:rsidRPr="008D19CE">
              <w:rPr>
                <w:rStyle w:val="Hyperlink"/>
                <w:b w:val="0"/>
                <w:color w:val="0070C0"/>
              </w:rPr>
              <w:t>Financat, Ekonomia, Punësimi dhe Arsimi Profesional</w:t>
            </w:r>
            <w:r w:rsidR="00A538D2" w:rsidRPr="008D19CE">
              <w:rPr>
                <w:rStyle w:val="Hyperlink"/>
                <w:b w:val="0"/>
                <w:webHidden/>
                <w:color w:val="0070C0"/>
              </w:rPr>
              <w:tab/>
            </w:r>
            <w:r w:rsidR="00A538D2" w:rsidRPr="008D19CE">
              <w:rPr>
                <w:rStyle w:val="Hyperlink"/>
                <w:b w:val="0"/>
                <w:webHidden/>
                <w:color w:val="0070C0"/>
              </w:rPr>
              <w:fldChar w:fldCharType="begin"/>
            </w:r>
            <w:r w:rsidR="00A538D2" w:rsidRPr="008D19CE">
              <w:rPr>
                <w:rStyle w:val="Hyperlink"/>
                <w:b w:val="0"/>
                <w:webHidden/>
                <w:color w:val="0070C0"/>
              </w:rPr>
              <w:instrText xml:space="preserve"> PAGEREF _Toc104980367 \h </w:instrText>
            </w:r>
            <w:r w:rsidR="00A538D2" w:rsidRPr="008D19CE">
              <w:rPr>
                <w:rStyle w:val="Hyperlink"/>
                <w:b w:val="0"/>
                <w:webHidden/>
                <w:color w:val="0070C0"/>
              </w:rPr>
            </w:r>
            <w:r w:rsidR="00A538D2" w:rsidRPr="008D19CE">
              <w:rPr>
                <w:rStyle w:val="Hyperlink"/>
                <w:b w:val="0"/>
                <w:webHidden/>
                <w:color w:val="0070C0"/>
              </w:rPr>
              <w:fldChar w:fldCharType="separate"/>
            </w:r>
            <w:r w:rsidR="002A6746">
              <w:rPr>
                <w:rStyle w:val="Hyperlink"/>
                <w:b w:val="0"/>
                <w:webHidden/>
                <w:color w:val="0070C0"/>
              </w:rPr>
              <w:t>78</w:t>
            </w:r>
            <w:r w:rsidR="00A538D2" w:rsidRPr="008D19CE">
              <w:rPr>
                <w:rStyle w:val="Hyperlink"/>
                <w:b w:val="0"/>
                <w:webHidden/>
                <w:color w:val="0070C0"/>
              </w:rPr>
              <w:fldChar w:fldCharType="end"/>
            </w:r>
          </w:hyperlink>
        </w:p>
        <w:p w:rsidR="00A538D2" w:rsidRPr="008D19CE" w:rsidRDefault="00EA28E4">
          <w:pPr>
            <w:pStyle w:val="TOC3"/>
            <w:rPr>
              <w:rStyle w:val="Hyperlink"/>
              <w:color w:val="0070C0"/>
            </w:rPr>
          </w:pPr>
          <w:hyperlink w:anchor="_Toc104980368" w:history="1">
            <w:r w:rsidR="00A538D2" w:rsidRPr="008D19CE">
              <w:rPr>
                <w:rStyle w:val="Hyperlink"/>
                <w:b w:val="0"/>
                <w:color w:val="0070C0"/>
              </w:rPr>
              <w:t>8.3.9</w:t>
            </w:r>
            <w:r w:rsidR="00A538D2" w:rsidRPr="008D19CE">
              <w:rPr>
                <w:rStyle w:val="Hyperlink"/>
                <w:color w:val="0070C0"/>
              </w:rPr>
              <w:tab/>
            </w:r>
            <w:r w:rsidR="00A538D2" w:rsidRPr="008D19CE">
              <w:rPr>
                <w:rStyle w:val="Hyperlink"/>
                <w:b w:val="0"/>
                <w:color w:val="0070C0"/>
              </w:rPr>
              <w:t>Mbrojtja</w:t>
            </w:r>
            <w:r w:rsidR="00A538D2" w:rsidRPr="008D19CE">
              <w:rPr>
                <w:rStyle w:val="Hyperlink"/>
                <w:b w:val="0"/>
                <w:webHidden/>
                <w:color w:val="0070C0"/>
              </w:rPr>
              <w:tab/>
            </w:r>
            <w:r w:rsidR="00ED403D">
              <w:rPr>
                <w:rStyle w:val="Hyperlink"/>
                <w:b w:val="0"/>
                <w:webHidden/>
                <w:color w:val="0070C0"/>
              </w:rPr>
              <w:tab/>
            </w:r>
            <w:r w:rsidR="00A538D2" w:rsidRPr="008D19CE">
              <w:rPr>
                <w:rStyle w:val="Hyperlink"/>
                <w:b w:val="0"/>
                <w:webHidden/>
                <w:color w:val="0070C0"/>
              </w:rPr>
              <w:fldChar w:fldCharType="begin"/>
            </w:r>
            <w:r w:rsidR="00A538D2" w:rsidRPr="008D19CE">
              <w:rPr>
                <w:rStyle w:val="Hyperlink"/>
                <w:b w:val="0"/>
                <w:webHidden/>
                <w:color w:val="0070C0"/>
              </w:rPr>
              <w:instrText xml:space="preserve"> PAGEREF _Toc104980368 \h </w:instrText>
            </w:r>
            <w:r w:rsidR="00A538D2" w:rsidRPr="008D19CE">
              <w:rPr>
                <w:rStyle w:val="Hyperlink"/>
                <w:b w:val="0"/>
                <w:webHidden/>
                <w:color w:val="0070C0"/>
              </w:rPr>
            </w:r>
            <w:r w:rsidR="00A538D2" w:rsidRPr="008D19CE">
              <w:rPr>
                <w:rStyle w:val="Hyperlink"/>
                <w:b w:val="0"/>
                <w:webHidden/>
                <w:color w:val="0070C0"/>
              </w:rPr>
              <w:fldChar w:fldCharType="separate"/>
            </w:r>
            <w:r w:rsidR="002A6746">
              <w:rPr>
                <w:rStyle w:val="Hyperlink"/>
                <w:b w:val="0"/>
                <w:webHidden/>
                <w:color w:val="0070C0"/>
              </w:rPr>
              <w:t>80</w:t>
            </w:r>
            <w:r w:rsidR="00A538D2" w:rsidRPr="008D19CE">
              <w:rPr>
                <w:rStyle w:val="Hyperlink"/>
                <w:b w:val="0"/>
                <w:webHidden/>
                <w:color w:val="0070C0"/>
              </w:rPr>
              <w:fldChar w:fldCharType="end"/>
            </w:r>
          </w:hyperlink>
        </w:p>
        <w:p w:rsidR="00A538D2" w:rsidRPr="008D19CE" w:rsidRDefault="00EA28E4">
          <w:pPr>
            <w:pStyle w:val="TOC3"/>
            <w:rPr>
              <w:rStyle w:val="Hyperlink"/>
              <w:color w:val="0070C0"/>
            </w:rPr>
          </w:pPr>
          <w:hyperlink w:anchor="_Toc104980369" w:history="1">
            <w:r w:rsidR="00A538D2" w:rsidRPr="008D19CE">
              <w:rPr>
                <w:rStyle w:val="Hyperlink"/>
                <w:b w:val="0"/>
                <w:color w:val="0070C0"/>
              </w:rPr>
              <w:t>8.3.10</w:t>
            </w:r>
            <w:r w:rsidR="00A538D2" w:rsidRPr="008D19CE">
              <w:rPr>
                <w:rStyle w:val="Hyperlink"/>
                <w:color w:val="0070C0"/>
              </w:rPr>
              <w:tab/>
            </w:r>
            <w:r w:rsidR="00A538D2" w:rsidRPr="008D19CE">
              <w:rPr>
                <w:rStyle w:val="Hyperlink"/>
                <w:b w:val="0"/>
                <w:color w:val="0070C0"/>
              </w:rPr>
              <w:t>Kultura</w:t>
            </w:r>
            <w:r w:rsidR="00A538D2" w:rsidRPr="008D19CE">
              <w:rPr>
                <w:rStyle w:val="Hyperlink"/>
                <w:b w:val="0"/>
                <w:webHidden/>
                <w:color w:val="0070C0"/>
              </w:rPr>
              <w:tab/>
            </w:r>
            <w:r w:rsidR="00ED403D">
              <w:rPr>
                <w:rStyle w:val="Hyperlink"/>
                <w:b w:val="0"/>
                <w:webHidden/>
                <w:color w:val="0070C0"/>
              </w:rPr>
              <w:tab/>
            </w:r>
            <w:r w:rsidR="00A538D2" w:rsidRPr="008D19CE">
              <w:rPr>
                <w:rStyle w:val="Hyperlink"/>
                <w:b w:val="0"/>
                <w:webHidden/>
                <w:color w:val="0070C0"/>
              </w:rPr>
              <w:fldChar w:fldCharType="begin"/>
            </w:r>
            <w:r w:rsidR="00A538D2" w:rsidRPr="008D19CE">
              <w:rPr>
                <w:rStyle w:val="Hyperlink"/>
                <w:b w:val="0"/>
                <w:webHidden/>
                <w:color w:val="0070C0"/>
              </w:rPr>
              <w:instrText xml:space="preserve"> PAGEREF _Toc104980369 \h </w:instrText>
            </w:r>
            <w:r w:rsidR="00A538D2" w:rsidRPr="008D19CE">
              <w:rPr>
                <w:rStyle w:val="Hyperlink"/>
                <w:b w:val="0"/>
                <w:webHidden/>
                <w:color w:val="0070C0"/>
              </w:rPr>
            </w:r>
            <w:r w:rsidR="00A538D2" w:rsidRPr="008D19CE">
              <w:rPr>
                <w:rStyle w:val="Hyperlink"/>
                <w:b w:val="0"/>
                <w:webHidden/>
                <w:color w:val="0070C0"/>
              </w:rPr>
              <w:fldChar w:fldCharType="separate"/>
            </w:r>
            <w:r w:rsidR="002A6746">
              <w:rPr>
                <w:rStyle w:val="Hyperlink"/>
                <w:b w:val="0"/>
                <w:webHidden/>
                <w:color w:val="0070C0"/>
              </w:rPr>
              <w:t>82</w:t>
            </w:r>
            <w:r w:rsidR="00A538D2" w:rsidRPr="008D19CE">
              <w:rPr>
                <w:rStyle w:val="Hyperlink"/>
                <w:b w:val="0"/>
                <w:webHidden/>
                <w:color w:val="0070C0"/>
              </w:rPr>
              <w:fldChar w:fldCharType="end"/>
            </w:r>
          </w:hyperlink>
        </w:p>
        <w:p w:rsidR="00A538D2" w:rsidRPr="008D19CE" w:rsidRDefault="00EA28E4">
          <w:pPr>
            <w:pStyle w:val="TOC3"/>
            <w:rPr>
              <w:rStyle w:val="Hyperlink"/>
              <w:color w:val="0070C0"/>
            </w:rPr>
          </w:pPr>
          <w:hyperlink w:anchor="_Toc104980370" w:history="1">
            <w:r w:rsidR="00A538D2" w:rsidRPr="008D19CE">
              <w:rPr>
                <w:rStyle w:val="Hyperlink"/>
                <w:b w:val="0"/>
                <w:color w:val="0070C0"/>
              </w:rPr>
              <w:t>8.3.11</w:t>
            </w:r>
            <w:r w:rsidR="00A538D2" w:rsidRPr="008D19CE">
              <w:rPr>
                <w:rStyle w:val="Hyperlink"/>
                <w:color w:val="0070C0"/>
              </w:rPr>
              <w:tab/>
            </w:r>
            <w:r w:rsidR="00A538D2" w:rsidRPr="008D19CE">
              <w:rPr>
                <w:rStyle w:val="Hyperlink"/>
                <w:b w:val="0"/>
                <w:color w:val="0070C0"/>
              </w:rPr>
              <w:t>Rendi dhe Siguria Publike</w:t>
            </w:r>
            <w:r w:rsidR="00A538D2" w:rsidRPr="008D19CE">
              <w:rPr>
                <w:rStyle w:val="Hyperlink"/>
                <w:b w:val="0"/>
                <w:webHidden/>
                <w:color w:val="0070C0"/>
              </w:rPr>
              <w:tab/>
            </w:r>
            <w:r w:rsidR="00ED403D">
              <w:rPr>
                <w:rStyle w:val="Hyperlink"/>
                <w:b w:val="0"/>
                <w:webHidden/>
                <w:color w:val="0070C0"/>
              </w:rPr>
              <w:tab/>
            </w:r>
            <w:r w:rsidR="00A538D2" w:rsidRPr="008D19CE">
              <w:rPr>
                <w:rStyle w:val="Hyperlink"/>
                <w:b w:val="0"/>
                <w:webHidden/>
                <w:color w:val="0070C0"/>
              </w:rPr>
              <w:fldChar w:fldCharType="begin"/>
            </w:r>
            <w:r w:rsidR="00A538D2" w:rsidRPr="008D19CE">
              <w:rPr>
                <w:rStyle w:val="Hyperlink"/>
                <w:b w:val="0"/>
                <w:webHidden/>
                <w:color w:val="0070C0"/>
              </w:rPr>
              <w:instrText xml:space="preserve"> PAGEREF _Toc104980370 \h </w:instrText>
            </w:r>
            <w:r w:rsidR="00A538D2" w:rsidRPr="008D19CE">
              <w:rPr>
                <w:rStyle w:val="Hyperlink"/>
                <w:b w:val="0"/>
                <w:webHidden/>
                <w:color w:val="0070C0"/>
              </w:rPr>
            </w:r>
            <w:r w:rsidR="00A538D2" w:rsidRPr="008D19CE">
              <w:rPr>
                <w:rStyle w:val="Hyperlink"/>
                <w:b w:val="0"/>
                <w:webHidden/>
                <w:color w:val="0070C0"/>
              </w:rPr>
              <w:fldChar w:fldCharType="separate"/>
            </w:r>
            <w:r w:rsidR="002A6746">
              <w:rPr>
                <w:rStyle w:val="Hyperlink"/>
                <w:b w:val="0"/>
                <w:webHidden/>
                <w:color w:val="0070C0"/>
              </w:rPr>
              <w:t>83</w:t>
            </w:r>
            <w:r w:rsidR="00A538D2" w:rsidRPr="008D19CE">
              <w:rPr>
                <w:rStyle w:val="Hyperlink"/>
                <w:b w:val="0"/>
                <w:webHidden/>
                <w:color w:val="0070C0"/>
              </w:rPr>
              <w:fldChar w:fldCharType="end"/>
            </w:r>
          </w:hyperlink>
        </w:p>
        <w:p w:rsidR="00A538D2" w:rsidRPr="008D19CE" w:rsidRDefault="00EA28E4">
          <w:pPr>
            <w:pStyle w:val="TOC3"/>
            <w:rPr>
              <w:rStyle w:val="Hyperlink"/>
              <w:color w:val="0070C0"/>
            </w:rPr>
          </w:pPr>
          <w:hyperlink w:anchor="_Toc104980371" w:history="1">
            <w:r w:rsidR="00A538D2" w:rsidRPr="008D19CE">
              <w:rPr>
                <w:rStyle w:val="Hyperlink"/>
                <w:b w:val="0"/>
                <w:color w:val="0070C0"/>
              </w:rPr>
              <w:t>8.3.12</w:t>
            </w:r>
            <w:r w:rsidR="00A538D2" w:rsidRPr="008D19CE">
              <w:rPr>
                <w:rStyle w:val="Hyperlink"/>
                <w:color w:val="0070C0"/>
              </w:rPr>
              <w:tab/>
            </w:r>
            <w:r w:rsidR="00A538D2" w:rsidRPr="008D19CE">
              <w:rPr>
                <w:rStyle w:val="Hyperlink"/>
                <w:b w:val="0"/>
                <w:color w:val="0070C0"/>
              </w:rPr>
              <w:t>Politika e Jashtme</w:t>
            </w:r>
            <w:r w:rsidR="00A538D2" w:rsidRPr="008D19CE">
              <w:rPr>
                <w:rStyle w:val="Hyperlink"/>
                <w:b w:val="0"/>
                <w:webHidden/>
                <w:color w:val="0070C0"/>
              </w:rPr>
              <w:tab/>
            </w:r>
            <w:r w:rsidR="00ED403D">
              <w:rPr>
                <w:rStyle w:val="Hyperlink"/>
                <w:b w:val="0"/>
                <w:webHidden/>
                <w:color w:val="0070C0"/>
              </w:rPr>
              <w:tab/>
            </w:r>
            <w:r w:rsidR="00A538D2" w:rsidRPr="008D19CE">
              <w:rPr>
                <w:rStyle w:val="Hyperlink"/>
                <w:b w:val="0"/>
                <w:webHidden/>
                <w:color w:val="0070C0"/>
              </w:rPr>
              <w:fldChar w:fldCharType="begin"/>
            </w:r>
            <w:r w:rsidR="00A538D2" w:rsidRPr="008D19CE">
              <w:rPr>
                <w:rStyle w:val="Hyperlink"/>
                <w:b w:val="0"/>
                <w:webHidden/>
                <w:color w:val="0070C0"/>
              </w:rPr>
              <w:instrText xml:space="preserve"> PAGEREF _Toc104980371 \h </w:instrText>
            </w:r>
            <w:r w:rsidR="00A538D2" w:rsidRPr="008D19CE">
              <w:rPr>
                <w:rStyle w:val="Hyperlink"/>
                <w:b w:val="0"/>
                <w:webHidden/>
                <w:color w:val="0070C0"/>
              </w:rPr>
            </w:r>
            <w:r w:rsidR="00A538D2" w:rsidRPr="008D19CE">
              <w:rPr>
                <w:rStyle w:val="Hyperlink"/>
                <w:b w:val="0"/>
                <w:webHidden/>
                <w:color w:val="0070C0"/>
              </w:rPr>
              <w:fldChar w:fldCharType="separate"/>
            </w:r>
            <w:r w:rsidR="002A6746">
              <w:rPr>
                <w:rStyle w:val="Hyperlink"/>
                <w:b w:val="0"/>
                <w:webHidden/>
                <w:color w:val="0070C0"/>
              </w:rPr>
              <w:t>84</w:t>
            </w:r>
            <w:r w:rsidR="00A538D2" w:rsidRPr="008D19CE">
              <w:rPr>
                <w:rStyle w:val="Hyperlink"/>
                <w:b w:val="0"/>
                <w:webHidden/>
                <w:color w:val="0070C0"/>
              </w:rPr>
              <w:fldChar w:fldCharType="end"/>
            </w:r>
          </w:hyperlink>
        </w:p>
        <w:p w:rsidR="005209FF" w:rsidRPr="00476D2E" w:rsidRDefault="005209FF" w:rsidP="007A5192">
          <w:pPr>
            <w:pStyle w:val="TOC3"/>
            <w:spacing w:before="0"/>
          </w:pPr>
          <w:r w:rsidRPr="008D19CE">
            <w:rPr>
              <w:bCs/>
            </w:rPr>
            <w:fldChar w:fldCharType="end"/>
          </w:r>
        </w:p>
      </w:sdtContent>
    </w:sdt>
    <w:p w:rsidR="007F44B9" w:rsidRPr="00476D2E" w:rsidRDefault="007F44B9" w:rsidP="006E5463">
      <w:pPr>
        <w:snapToGrid w:val="0"/>
        <w:jc w:val="center"/>
        <w:rPr>
          <w:rFonts w:cs="Calibri"/>
          <w:lang w:val="sq-AL"/>
        </w:rPr>
      </w:pPr>
    </w:p>
    <w:p w:rsidR="007F44B9" w:rsidRPr="00476D2E" w:rsidRDefault="007F44B9">
      <w:pPr>
        <w:rPr>
          <w:rFonts w:cs="Calibri"/>
          <w:lang w:val="sq-AL"/>
        </w:rPr>
        <w:sectPr w:rsidR="007F44B9" w:rsidRPr="00476D2E" w:rsidSect="00B83536">
          <w:pgSz w:w="12240" w:h="15840"/>
          <w:pgMar w:top="1440" w:right="907" w:bottom="1440" w:left="806" w:header="720" w:footer="720" w:gutter="0"/>
          <w:cols w:space="720"/>
          <w:docGrid w:linePitch="360"/>
        </w:sectPr>
      </w:pPr>
    </w:p>
    <w:p w:rsidR="009158B4" w:rsidRPr="004D0CC0" w:rsidRDefault="009158B4" w:rsidP="00887CC8">
      <w:pPr>
        <w:pStyle w:val="TableofFigures"/>
        <w:tabs>
          <w:tab w:val="right" w:leader="dot" w:pos="10440"/>
        </w:tabs>
        <w:spacing w:before="0"/>
        <w:jc w:val="center"/>
        <w:rPr>
          <w:rFonts w:ascii="Calibri" w:hAnsi="Calibri" w:cs="Calibri"/>
          <w:b/>
          <w:color w:val="C00000"/>
          <w:lang w:val="sq-AL"/>
        </w:rPr>
      </w:pPr>
      <w:r w:rsidRPr="004D0CC0">
        <w:rPr>
          <w:rFonts w:ascii="Calibri" w:hAnsi="Calibri" w:cs="Calibri"/>
          <w:b/>
          <w:color w:val="C00000"/>
          <w:lang w:val="sq-AL"/>
        </w:rPr>
        <w:lastRenderedPageBreak/>
        <w:t>TABELA DHE GRAFIK</w:t>
      </w:r>
      <w:r w:rsidR="00C33B16" w:rsidRPr="004D0CC0">
        <w:rPr>
          <w:rFonts w:ascii="Calibri" w:hAnsi="Calibri" w:cs="Calibri"/>
          <w:b/>
          <w:color w:val="C00000"/>
          <w:lang w:val="sq-AL"/>
        </w:rPr>
        <w:t>Ë</w:t>
      </w:r>
    </w:p>
    <w:p w:rsidR="001A1B6A" w:rsidRPr="001A1B6A" w:rsidRDefault="009158B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r w:rsidRPr="00CF3000">
        <w:rPr>
          <w:rStyle w:val="Hyperlink"/>
          <w:rFonts w:asciiTheme="majorHAnsi" w:hAnsiTheme="majorHAnsi" w:cs="Calibri"/>
          <w:noProof/>
          <w:color w:val="0070C0"/>
          <w:sz w:val="16"/>
          <w:szCs w:val="20"/>
          <w:lang w:val="sq-AL"/>
        </w:rPr>
        <w:fldChar w:fldCharType="begin"/>
      </w:r>
      <w:r w:rsidRPr="00CF3000">
        <w:rPr>
          <w:rStyle w:val="Hyperlink"/>
          <w:rFonts w:asciiTheme="majorHAnsi" w:hAnsiTheme="majorHAnsi" w:cs="Calibri"/>
          <w:noProof/>
          <w:color w:val="0070C0"/>
          <w:sz w:val="16"/>
          <w:szCs w:val="20"/>
          <w:lang w:val="sq-AL"/>
        </w:rPr>
        <w:instrText xml:space="preserve"> TOC \h \z \c "Tabela" </w:instrText>
      </w:r>
      <w:r w:rsidRPr="00CF3000">
        <w:rPr>
          <w:rStyle w:val="Hyperlink"/>
          <w:rFonts w:asciiTheme="majorHAnsi" w:hAnsiTheme="majorHAnsi" w:cs="Calibri"/>
          <w:noProof/>
          <w:color w:val="0070C0"/>
          <w:sz w:val="16"/>
          <w:szCs w:val="20"/>
          <w:lang w:val="sq-AL"/>
        </w:rPr>
        <w:fldChar w:fldCharType="separate"/>
      </w:r>
      <w:hyperlink w:anchor="_Toc104984073" w:history="1">
        <w:r w:rsidR="001A1B6A" w:rsidRPr="001A1B6A">
          <w:rPr>
            <w:rStyle w:val="Hyperlink"/>
            <w:rFonts w:asciiTheme="majorHAnsi" w:hAnsiTheme="majorHAnsi" w:cs="Calibri"/>
            <w:noProof/>
            <w:color w:val="0070C0"/>
            <w:sz w:val="16"/>
            <w:szCs w:val="18"/>
            <w:lang w:val="sq-AL"/>
          </w:rPr>
          <w:t>Tabela 1: Produkti i Brendshëm Bruto</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_Toc104984073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9</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74" w:history="1">
        <w:r w:rsidR="001A1B6A" w:rsidRPr="001A1B6A">
          <w:rPr>
            <w:rStyle w:val="Hyperlink"/>
            <w:rFonts w:asciiTheme="majorHAnsi" w:hAnsiTheme="majorHAnsi" w:cs="Calibri"/>
            <w:noProof/>
            <w:color w:val="0070C0"/>
            <w:sz w:val="16"/>
            <w:szCs w:val="18"/>
            <w:lang w:val="sq-AL"/>
          </w:rPr>
          <w:t>Tabela 2: Norma e papunësisë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_Toc104984074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9</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75" w:history="1">
        <w:r w:rsidR="001A1B6A" w:rsidRPr="001A1B6A">
          <w:rPr>
            <w:rStyle w:val="Hyperlink"/>
            <w:rFonts w:asciiTheme="majorHAnsi" w:hAnsiTheme="majorHAnsi" w:cs="Calibri"/>
            <w:noProof/>
            <w:color w:val="0070C0"/>
            <w:sz w:val="16"/>
            <w:szCs w:val="18"/>
            <w:lang w:val="sq-AL"/>
          </w:rPr>
          <w:t>Tabela 3: Bilanci tregtar</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_Toc104984075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10</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76" w:history="1">
        <w:r w:rsidR="001A1B6A" w:rsidRPr="001A1B6A">
          <w:rPr>
            <w:rStyle w:val="Hyperlink"/>
            <w:rFonts w:asciiTheme="majorHAnsi" w:hAnsiTheme="majorHAnsi" w:cs="Calibri"/>
            <w:noProof/>
            <w:color w:val="0070C0"/>
            <w:sz w:val="16"/>
            <w:szCs w:val="18"/>
            <w:lang w:val="sq-AL"/>
          </w:rPr>
          <w:t>Tabela 4: Norma e inflacionit</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_Toc104984076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10</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77" w:history="1">
        <w:r w:rsidR="001A1B6A" w:rsidRPr="001A1B6A">
          <w:rPr>
            <w:rStyle w:val="Hyperlink"/>
            <w:rFonts w:asciiTheme="majorHAnsi" w:hAnsiTheme="majorHAnsi" w:cs="Calibri"/>
            <w:noProof/>
            <w:color w:val="0070C0"/>
            <w:sz w:val="16"/>
            <w:szCs w:val="18"/>
            <w:lang w:val="sq-AL"/>
          </w:rPr>
          <w:t>Tabela 5: Bilanci fiskal</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_Toc104984077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10</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78" w:history="1">
        <w:r w:rsidR="001A1B6A" w:rsidRPr="001A1B6A">
          <w:rPr>
            <w:rStyle w:val="Hyperlink"/>
            <w:rFonts w:asciiTheme="majorHAnsi" w:hAnsiTheme="majorHAnsi" w:cs="Calibri"/>
            <w:noProof/>
            <w:color w:val="0070C0"/>
            <w:sz w:val="16"/>
            <w:szCs w:val="18"/>
            <w:lang w:val="sq-AL"/>
          </w:rPr>
          <w:t>Tabela 6: Borxhi publik</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_Toc104984078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10</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79" w:history="1">
        <w:r w:rsidR="001A1B6A" w:rsidRPr="001A1B6A">
          <w:rPr>
            <w:rStyle w:val="Hyperlink"/>
            <w:rFonts w:asciiTheme="majorHAnsi" w:hAnsiTheme="majorHAnsi" w:cs="Calibri"/>
            <w:noProof/>
            <w:color w:val="0070C0"/>
            <w:sz w:val="16"/>
            <w:szCs w:val="18"/>
            <w:lang w:val="sq-AL"/>
          </w:rPr>
          <w:t>Tabela 7 Treguesit e të ardhurave kryesore (në miliardë lekë)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_Toc104984079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14</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80" w:history="1">
        <w:r w:rsidR="001A1B6A" w:rsidRPr="001A1B6A">
          <w:rPr>
            <w:rStyle w:val="Hyperlink"/>
            <w:rFonts w:asciiTheme="majorHAnsi" w:hAnsiTheme="majorHAnsi" w:cs="Calibri"/>
            <w:noProof/>
            <w:color w:val="0070C0"/>
            <w:sz w:val="16"/>
            <w:szCs w:val="18"/>
            <w:lang w:val="sq-AL"/>
          </w:rPr>
          <w:t>Tabela 8 Të ardhurat nga tatimet dhe doganat (në milionë lekë)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_Toc104984080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18</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81" w:history="1">
        <w:r w:rsidR="001A1B6A" w:rsidRPr="001A1B6A">
          <w:rPr>
            <w:rStyle w:val="Hyperlink"/>
            <w:rFonts w:asciiTheme="majorHAnsi" w:hAnsiTheme="majorHAnsi" w:cs="Calibri"/>
            <w:noProof/>
            <w:color w:val="0070C0"/>
            <w:sz w:val="16"/>
            <w:szCs w:val="18"/>
            <w:lang w:val="sq-AL"/>
          </w:rPr>
          <w:t>Tabela 9 Performanca e të ardhurave nga akciza: mallrat kryesorë 2021 - 2020</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_Toc104984081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21</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82" w:history="1">
        <w:r w:rsidR="001A1B6A" w:rsidRPr="001A1B6A">
          <w:rPr>
            <w:rStyle w:val="Hyperlink"/>
            <w:rFonts w:asciiTheme="majorHAnsi" w:hAnsiTheme="majorHAnsi" w:cs="Calibri"/>
            <w:noProof/>
            <w:color w:val="0070C0"/>
            <w:sz w:val="16"/>
            <w:szCs w:val="18"/>
            <w:lang w:val="sq-AL"/>
          </w:rPr>
          <w:t>Tabela 10 Shpenzimet sipas funksionit (në milionë lekë)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_Toc104984082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31</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83" w:history="1">
        <w:r w:rsidR="001A1B6A" w:rsidRPr="001A1B6A">
          <w:rPr>
            <w:rStyle w:val="Hyperlink"/>
            <w:rFonts w:asciiTheme="majorHAnsi" w:hAnsiTheme="majorHAnsi" w:cs="Calibri"/>
            <w:noProof/>
            <w:color w:val="0070C0"/>
            <w:sz w:val="16"/>
            <w:szCs w:val="18"/>
            <w:lang w:val="sq-AL"/>
          </w:rPr>
          <w:t>Tabela 11  Të ardhurat dhe shpenzimet e pushtetit vendor, sipas natyrës</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_Toc104984083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44</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84" w:history="1">
        <w:r w:rsidR="001A1B6A" w:rsidRPr="001A1B6A">
          <w:rPr>
            <w:rStyle w:val="Hyperlink"/>
            <w:rFonts w:asciiTheme="majorHAnsi" w:hAnsiTheme="majorHAnsi" w:cs="Calibri"/>
            <w:noProof/>
            <w:color w:val="0070C0"/>
            <w:sz w:val="16"/>
            <w:szCs w:val="18"/>
            <w:lang w:val="sq-AL"/>
          </w:rPr>
          <w:t>Tabela 12 Matrica e riskut</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_Toc104984084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46</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85" w:history="1">
        <w:r w:rsidR="001A1B6A" w:rsidRPr="001A1B6A">
          <w:rPr>
            <w:rStyle w:val="Hyperlink"/>
            <w:rFonts w:asciiTheme="majorHAnsi" w:hAnsiTheme="majorHAnsi" w:cs="Calibri"/>
            <w:noProof/>
            <w:color w:val="0070C0"/>
            <w:sz w:val="16"/>
            <w:szCs w:val="18"/>
            <w:lang w:val="sq-AL"/>
          </w:rPr>
          <w:t>Tabela 13 Të dhënat financiare për Sektorin Energjitik (në mijë Lekë)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_Toc104984085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50</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86" w:history="1">
        <w:r w:rsidR="001A1B6A" w:rsidRPr="001A1B6A">
          <w:rPr>
            <w:rStyle w:val="Hyperlink"/>
            <w:rFonts w:asciiTheme="majorHAnsi" w:hAnsiTheme="majorHAnsi" w:cs="Calibri"/>
            <w:noProof/>
            <w:color w:val="0070C0"/>
            <w:sz w:val="16"/>
            <w:szCs w:val="18"/>
            <w:lang w:val="sq-AL"/>
          </w:rPr>
          <w:t>Tabela 14 Të dhënat financiare 12 mujore për OSHEE Group Sh.a (në mijë Lekë)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_Toc104984086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51</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87" w:history="1">
        <w:r w:rsidR="001A1B6A" w:rsidRPr="001A1B6A">
          <w:rPr>
            <w:rStyle w:val="Hyperlink"/>
            <w:rFonts w:asciiTheme="majorHAnsi" w:hAnsiTheme="majorHAnsi" w:cs="Calibri"/>
            <w:noProof/>
            <w:color w:val="0070C0"/>
            <w:sz w:val="16"/>
            <w:szCs w:val="18"/>
            <w:lang w:val="sq-AL"/>
          </w:rPr>
          <w:t>Tabela 15  Të dhënat financiare 12 mujore për KESH sh.a (në mijë Lekë)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_Toc104984087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51</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88" w:history="1">
        <w:r w:rsidR="001A1B6A" w:rsidRPr="001A1B6A">
          <w:rPr>
            <w:rStyle w:val="Hyperlink"/>
            <w:rFonts w:asciiTheme="majorHAnsi" w:hAnsiTheme="majorHAnsi" w:cs="Calibri"/>
            <w:noProof/>
            <w:color w:val="0070C0"/>
            <w:sz w:val="16"/>
            <w:szCs w:val="18"/>
            <w:lang w:val="sq-AL"/>
          </w:rPr>
          <w:t>Tabela 16 Të dhënat financiare 12 mujore për OST Sh.a (në mijë Lekë)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_Toc104984088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51</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89" w:history="1">
        <w:r w:rsidR="001A1B6A" w:rsidRPr="001A1B6A">
          <w:rPr>
            <w:rStyle w:val="Hyperlink"/>
            <w:rFonts w:asciiTheme="majorHAnsi" w:hAnsiTheme="majorHAnsi" w:cs="Calibri"/>
            <w:noProof/>
            <w:color w:val="0070C0"/>
            <w:sz w:val="16"/>
            <w:szCs w:val="18"/>
            <w:lang w:val="sq-AL"/>
          </w:rPr>
          <w:t>Tabela 17  Detyrimet e prapambetura në nivel vendor sipas kategorive</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_Toc104984089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56</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90" w:history="1">
        <w:r w:rsidR="001A1B6A" w:rsidRPr="001A1B6A">
          <w:rPr>
            <w:rStyle w:val="Hyperlink"/>
            <w:rFonts w:asciiTheme="majorHAnsi" w:hAnsiTheme="majorHAnsi" w:cs="Calibri"/>
            <w:noProof/>
            <w:color w:val="0070C0"/>
            <w:sz w:val="16"/>
            <w:szCs w:val="18"/>
            <w:lang w:val="sq-AL"/>
          </w:rPr>
          <w:t>Tabela 18 Koncesionet/PPP-të aktive me mbështetje nga buxheti i shtetit (në mijë lekë)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_Toc104984090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57</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91" w:history="1">
        <w:r w:rsidR="001A1B6A" w:rsidRPr="001A1B6A">
          <w:rPr>
            <w:rStyle w:val="Hyperlink"/>
            <w:rFonts w:asciiTheme="majorHAnsi" w:hAnsiTheme="majorHAnsi" w:cs="Calibri"/>
            <w:noProof/>
            <w:color w:val="0070C0"/>
            <w:sz w:val="16"/>
            <w:szCs w:val="18"/>
            <w:lang w:val="sq-AL"/>
          </w:rPr>
          <w:t>Tabela 19 Treguesit kryesorë të performancës sipas ministrive të linjës</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_Toc104984091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65</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92" w:history="1">
        <w:r w:rsidR="001A1B6A" w:rsidRPr="001A1B6A">
          <w:rPr>
            <w:rStyle w:val="Hyperlink"/>
            <w:rFonts w:asciiTheme="majorHAnsi" w:hAnsiTheme="majorHAnsi" w:cs="Calibri"/>
            <w:noProof/>
            <w:color w:val="0070C0"/>
            <w:sz w:val="16"/>
            <w:szCs w:val="18"/>
            <w:lang w:val="sq-AL"/>
          </w:rPr>
          <w:t>Tabela 20 Realizimi i buxhetit 2021 në disa institucione kryesore qendrore</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_Toc104984092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65</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93" w:history="1">
        <w:r w:rsidR="001A1B6A" w:rsidRPr="001A1B6A">
          <w:rPr>
            <w:rStyle w:val="Hyperlink"/>
            <w:rFonts w:asciiTheme="majorHAnsi" w:hAnsiTheme="majorHAnsi" w:cs="Calibri"/>
            <w:noProof/>
            <w:color w:val="0070C0"/>
            <w:sz w:val="16"/>
            <w:szCs w:val="18"/>
            <w:lang w:val="sq-AL"/>
          </w:rPr>
          <w:t>Tabela 21 Realizimi i buxhetit 2021 për Ministrinë e Shëndetësisë dhe Mbrojtjes Sociale (në mijë lekë)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_Toc104984093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66</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94" w:history="1">
        <w:r w:rsidR="001A1B6A" w:rsidRPr="001A1B6A">
          <w:rPr>
            <w:rStyle w:val="Hyperlink"/>
            <w:rFonts w:asciiTheme="majorHAnsi" w:hAnsiTheme="majorHAnsi" w:cs="Calibri"/>
            <w:noProof/>
            <w:color w:val="0070C0"/>
            <w:sz w:val="16"/>
            <w:szCs w:val="18"/>
            <w:lang w:val="sq-AL"/>
          </w:rPr>
          <w:t>Tabela 22 Realizimi i buxhetit 2021 për Ministrinë e Arsimit, Sportit dhe Rinisë (në mijë lekë)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_Toc104984094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68</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95" w:history="1">
        <w:r w:rsidR="001A1B6A" w:rsidRPr="001A1B6A">
          <w:rPr>
            <w:rStyle w:val="Hyperlink"/>
            <w:rFonts w:asciiTheme="majorHAnsi" w:hAnsiTheme="majorHAnsi" w:cs="Calibri"/>
            <w:noProof/>
            <w:color w:val="0070C0"/>
            <w:sz w:val="16"/>
            <w:szCs w:val="18"/>
            <w:lang w:val="sq-AL"/>
          </w:rPr>
          <w:t>Tabela 23 Realizimi i buxhetit 2021 për Ministrinë e Bujqësisë dhe Zhvillimit Rural (në mijë lekë)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_Toc104984095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70</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96" w:history="1">
        <w:r w:rsidR="001A1B6A" w:rsidRPr="001A1B6A">
          <w:rPr>
            <w:rStyle w:val="Hyperlink"/>
            <w:rFonts w:asciiTheme="majorHAnsi" w:hAnsiTheme="majorHAnsi" w:cs="Calibri"/>
            <w:noProof/>
            <w:color w:val="0070C0"/>
            <w:sz w:val="16"/>
            <w:szCs w:val="18"/>
            <w:lang w:val="sq-AL"/>
          </w:rPr>
          <w:t>Tabela 24 Realizimi i buxhetit 2021 për Ministrinë e Infrastrukturës dhe Energjisë (në mijë lekë)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_Toc104984096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72</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97" w:history="1">
        <w:r w:rsidR="001A1B6A" w:rsidRPr="001A1B6A">
          <w:rPr>
            <w:rStyle w:val="Hyperlink"/>
            <w:rFonts w:asciiTheme="majorHAnsi" w:hAnsiTheme="majorHAnsi" w:cs="Calibri"/>
            <w:noProof/>
            <w:color w:val="0070C0"/>
            <w:sz w:val="16"/>
            <w:szCs w:val="18"/>
            <w:lang w:val="sq-AL"/>
          </w:rPr>
          <w:t>Tabela 25 Realizimi i buxhetit 2021 për Ministrinë e Turizmit dhe Mjedisit</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_Toc104984097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75</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98" w:history="1">
        <w:r w:rsidR="001A1B6A" w:rsidRPr="001A1B6A">
          <w:rPr>
            <w:rStyle w:val="Hyperlink"/>
            <w:rFonts w:asciiTheme="majorHAnsi" w:hAnsiTheme="majorHAnsi" w:cs="Calibri"/>
            <w:noProof/>
            <w:color w:val="0070C0"/>
            <w:sz w:val="16"/>
            <w:szCs w:val="18"/>
            <w:lang w:val="sq-AL"/>
          </w:rPr>
          <w:t>Tabela 26 Realizimi i buxhetit 2021 për Ministrinë e Drejtësisë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_Toc104984098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77</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99" w:history="1">
        <w:r w:rsidR="001A1B6A" w:rsidRPr="001A1B6A">
          <w:rPr>
            <w:rStyle w:val="Hyperlink"/>
            <w:rFonts w:asciiTheme="majorHAnsi" w:hAnsiTheme="majorHAnsi" w:cs="Calibri"/>
            <w:noProof/>
            <w:color w:val="0070C0"/>
            <w:sz w:val="16"/>
            <w:szCs w:val="18"/>
            <w:lang w:val="sq-AL"/>
          </w:rPr>
          <w:t>Tabela 27 Realizimi i buxhetit 2021 për Institucionet e Drejtësisë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_Toc104984099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78</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100" w:history="1">
        <w:r w:rsidR="001A1B6A" w:rsidRPr="001A1B6A">
          <w:rPr>
            <w:rStyle w:val="Hyperlink"/>
            <w:rFonts w:asciiTheme="majorHAnsi" w:hAnsiTheme="majorHAnsi" w:cs="Calibri"/>
            <w:noProof/>
            <w:color w:val="0070C0"/>
            <w:sz w:val="16"/>
            <w:szCs w:val="18"/>
            <w:lang w:val="sq-AL"/>
          </w:rPr>
          <w:t>Tabela 28 Realizimi i buxhetit 2021 për Ministrinë e Financave dhe Ekonomisë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_Toc104984100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78</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101" w:history="1">
        <w:r w:rsidR="001A1B6A" w:rsidRPr="001A1B6A">
          <w:rPr>
            <w:rStyle w:val="Hyperlink"/>
            <w:rFonts w:asciiTheme="majorHAnsi" w:hAnsiTheme="majorHAnsi" w:cs="Calibri"/>
            <w:noProof/>
            <w:color w:val="0070C0"/>
            <w:sz w:val="16"/>
            <w:szCs w:val="18"/>
            <w:lang w:val="sq-AL"/>
          </w:rPr>
          <w:t>Tabela 29 Realizimi i buxhetit 2021 për Ministrinë e Mbrojtjes</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_Toc104984101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80</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102" w:history="1">
        <w:r w:rsidR="001A1B6A" w:rsidRPr="001A1B6A">
          <w:rPr>
            <w:rStyle w:val="Hyperlink"/>
            <w:rFonts w:asciiTheme="majorHAnsi" w:hAnsiTheme="majorHAnsi" w:cs="Calibri"/>
            <w:noProof/>
            <w:color w:val="0070C0"/>
            <w:sz w:val="16"/>
            <w:szCs w:val="18"/>
            <w:lang w:val="sq-AL"/>
          </w:rPr>
          <w:t>Tabela 30 Realizimi i buxhetit 2021 për Ministrinë e Kulturës</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_Toc104984102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82</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103" w:history="1">
        <w:r w:rsidR="001A1B6A" w:rsidRPr="001A1B6A">
          <w:rPr>
            <w:rStyle w:val="Hyperlink"/>
            <w:rFonts w:asciiTheme="majorHAnsi" w:hAnsiTheme="majorHAnsi" w:cs="Calibri"/>
            <w:noProof/>
            <w:color w:val="0070C0"/>
            <w:sz w:val="16"/>
            <w:szCs w:val="18"/>
            <w:lang w:val="sq-AL"/>
          </w:rPr>
          <w:t>Tabela 31 Realizimi i buxhetit 2021 për Ministrinë e Brendshme</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_Toc104984103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83</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104" w:history="1">
        <w:r w:rsidR="001A1B6A" w:rsidRPr="001A1B6A">
          <w:rPr>
            <w:rStyle w:val="Hyperlink"/>
            <w:rFonts w:asciiTheme="majorHAnsi" w:hAnsiTheme="majorHAnsi" w:cs="Calibri"/>
            <w:noProof/>
            <w:color w:val="0070C0"/>
            <w:sz w:val="16"/>
            <w:szCs w:val="18"/>
            <w:lang w:val="sq-AL"/>
          </w:rPr>
          <w:t>Tabela 32 Realizimi i buxhetit 2021 për Ministrinë për Evropën dhe Punët e Jashtme</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_Toc104984104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84</w:t>
        </w:r>
        <w:r w:rsidR="001A1B6A" w:rsidRPr="001A1B6A">
          <w:rPr>
            <w:rStyle w:val="Hyperlink"/>
            <w:rFonts w:asciiTheme="majorHAnsi" w:hAnsiTheme="majorHAnsi" w:cs="Calibri"/>
            <w:noProof/>
            <w:webHidden/>
            <w:color w:val="0070C0"/>
            <w:sz w:val="16"/>
            <w:szCs w:val="18"/>
            <w:lang w:val="sq-AL"/>
          </w:rPr>
          <w:fldChar w:fldCharType="end"/>
        </w:r>
      </w:hyperlink>
    </w:p>
    <w:p w:rsidR="009158B4" w:rsidRPr="00476D2E" w:rsidRDefault="009158B4" w:rsidP="00CF3000">
      <w:pPr>
        <w:pStyle w:val="TableofFigures"/>
        <w:tabs>
          <w:tab w:val="right" w:leader="dot" w:pos="8630"/>
        </w:tabs>
        <w:spacing w:before="0" w:line="240" w:lineRule="auto"/>
        <w:jc w:val="center"/>
        <w:rPr>
          <w:rStyle w:val="Hyperlink"/>
          <w:rFonts w:ascii="Calibri" w:hAnsi="Calibri" w:cs="Calibri"/>
          <w:noProof/>
          <w:color w:val="17406D" w:themeColor="text2"/>
          <w:sz w:val="18"/>
          <w:lang w:val="sq-AL"/>
        </w:rPr>
      </w:pPr>
      <w:r w:rsidRPr="00CF3000">
        <w:rPr>
          <w:rStyle w:val="Hyperlink"/>
          <w:rFonts w:asciiTheme="majorHAnsi" w:hAnsiTheme="majorHAnsi" w:cs="Calibri"/>
          <w:noProof/>
          <w:color w:val="0070C0"/>
          <w:sz w:val="16"/>
          <w:szCs w:val="20"/>
          <w:lang w:val="sq-AL"/>
        </w:rPr>
        <w:fldChar w:fldCharType="end"/>
      </w:r>
    </w:p>
    <w:p w:rsidR="001A1B6A" w:rsidRPr="001A1B6A" w:rsidRDefault="009158B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r w:rsidRPr="00CF3000">
        <w:rPr>
          <w:rStyle w:val="Hyperlink"/>
          <w:rFonts w:asciiTheme="majorHAnsi" w:hAnsiTheme="majorHAnsi" w:cs="Calibri"/>
          <w:noProof/>
          <w:color w:val="0070C0"/>
          <w:sz w:val="16"/>
          <w:szCs w:val="18"/>
          <w:lang w:val="sq-AL"/>
        </w:rPr>
        <w:fldChar w:fldCharType="begin"/>
      </w:r>
      <w:r w:rsidRPr="00CF3000">
        <w:rPr>
          <w:rStyle w:val="Hyperlink"/>
          <w:rFonts w:asciiTheme="majorHAnsi" w:hAnsiTheme="majorHAnsi" w:cs="Calibri"/>
          <w:noProof/>
          <w:color w:val="0070C0"/>
          <w:sz w:val="16"/>
          <w:szCs w:val="18"/>
          <w:lang w:val="sq-AL"/>
        </w:rPr>
        <w:instrText xml:space="preserve"> TOC \h \z \c "Grafiku" </w:instrText>
      </w:r>
      <w:r w:rsidRPr="00CF3000">
        <w:rPr>
          <w:rStyle w:val="Hyperlink"/>
          <w:rFonts w:asciiTheme="majorHAnsi" w:hAnsiTheme="majorHAnsi" w:cs="Calibri"/>
          <w:noProof/>
          <w:color w:val="0070C0"/>
          <w:sz w:val="16"/>
          <w:szCs w:val="18"/>
          <w:lang w:val="sq-AL"/>
        </w:rPr>
        <w:fldChar w:fldCharType="separate"/>
      </w:r>
      <w:hyperlink w:anchor="_Toc104984020" w:history="1">
        <w:r w:rsidR="001A1B6A" w:rsidRPr="001A1B6A">
          <w:rPr>
            <w:rStyle w:val="Hyperlink"/>
            <w:rFonts w:asciiTheme="majorHAnsi" w:hAnsiTheme="majorHAnsi" w:cs="Calibri"/>
            <w:noProof/>
            <w:color w:val="0070C0"/>
            <w:sz w:val="16"/>
            <w:szCs w:val="18"/>
            <w:lang w:val="sq-AL"/>
          </w:rPr>
          <w:t>Grafiku 1 Shpenzimet e përgjithshme publike ndaj PBB-së (në miliardë lekë)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_Toc104984020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7</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21" w:history="1">
        <w:r w:rsidR="001A1B6A" w:rsidRPr="001A1B6A">
          <w:rPr>
            <w:rStyle w:val="Hyperlink"/>
            <w:rFonts w:asciiTheme="majorHAnsi" w:hAnsiTheme="majorHAnsi" w:cs="Calibri"/>
            <w:noProof/>
            <w:color w:val="0070C0"/>
            <w:sz w:val="16"/>
            <w:szCs w:val="18"/>
            <w:lang w:val="sq-AL"/>
          </w:rPr>
          <w:t>Grafiku 2 Të Ardhurat e përgjithshme (në miliardë lekë) ndaj PBB-së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_Toc104984021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13</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22" w:history="1">
        <w:r w:rsidR="001A1B6A" w:rsidRPr="001A1B6A">
          <w:rPr>
            <w:rStyle w:val="Hyperlink"/>
            <w:rFonts w:asciiTheme="majorHAnsi" w:hAnsiTheme="majorHAnsi" w:cs="Calibri"/>
            <w:noProof/>
            <w:color w:val="0070C0"/>
            <w:sz w:val="16"/>
            <w:szCs w:val="18"/>
            <w:lang w:val="sq-AL"/>
          </w:rPr>
          <w:t>Grafiku 3 Ecuria e zërave kryesorë të të ardhurave</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_Toc104984022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13</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23" w:history="1">
        <w:r w:rsidR="001A1B6A" w:rsidRPr="001A1B6A">
          <w:rPr>
            <w:rStyle w:val="Hyperlink"/>
            <w:rFonts w:asciiTheme="majorHAnsi" w:hAnsiTheme="majorHAnsi" w:cs="Calibri"/>
            <w:noProof/>
            <w:color w:val="0070C0"/>
            <w:sz w:val="16"/>
            <w:szCs w:val="18"/>
            <w:lang w:val="sq-AL"/>
          </w:rPr>
          <w:t>Grafiku 4 Të ardhurat e përgjithshme (në miliardë lekë), sipas kategorive kryesore</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_Toc104984023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14</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24" w:history="1">
        <w:r w:rsidR="001A1B6A" w:rsidRPr="001A1B6A">
          <w:rPr>
            <w:rStyle w:val="Hyperlink"/>
            <w:rFonts w:asciiTheme="majorHAnsi" w:hAnsiTheme="majorHAnsi" w:cs="Calibri"/>
            <w:noProof/>
            <w:color w:val="0070C0"/>
            <w:sz w:val="16"/>
            <w:szCs w:val="18"/>
            <w:lang w:val="sq-AL"/>
          </w:rPr>
          <w:t>Grafiku 5 Të ardhura nga pushteti vendor në vite (në miliardë lekë)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_Toc104984024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15</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25" w:history="1">
        <w:r w:rsidR="001A1B6A" w:rsidRPr="001A1B6A">
          <w:rPr>
            <w:rStyle w:val="Hyperlink"/>
            <w:rFonts w:asciiTheme="majorHAnsi" w:hAnsiTheme="majorHAnsi" w:cs="Calibri"/>
            <w:noProof/>
            <w:color w:val="0070C0"/>
            <w:sz w:val="16"/>
            <w:szCs w:val="18"/>
            <w:lang w:val="sq-AL"/>
          </w:rPr>
          <w:t>Grafiku 6 Përbërja e të ardhurave nga pushteti vendor sipas zërave kryesorë (në %)</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_Toc104984025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15</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26" w:history="1">
        <w:r w:rsidR="001A1B6A" w:rsidRPr="001A1B6A">
          <w:rPr>
            <w:rStyle w:val="Hyperlink"/>
            <w:rFonts w:asciiTheme="majorHAnsi" w:hAnsiTheme="majorHAnsi" w:cs="Calibri"/>
            <w:noProof/>
            <w:color w:val="0070C0"/>
            <w:sz w:val="16"/>
            <w:szCs w:val="18"/>
            <w:lang w:val="sq-AL"/>
          </w:rPr>
          <w:t>Grafiku 7 Të ardhurat nga fondet speciale në vite (në miliardë lekë)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_Toc104984026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15</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27" w:history="1">
        <w:r w:rsidR="001A1B6A" w:rsidRPr="001A1B6A">
          <w:rPr>
            <w:rStyle w:val="Hyperlink"/>
            <w:rFonts w:asciiTheme="majorHAnsi" w:hAnsiTheme="majorHAnsi" w:cs="Calibri"/>
            <w:noProof/>
            <w:color w:val="0070C0"/>
            <w:sz w:val="16"/>
            <w:szCs w:val="18"/>
            <w:lang w:val="sq-AL"/>
          </w:rPr>
          <w:t>Grafiku 8 Përbërja e të ardhurave nga fondet speciale (në %)</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_Toc104984027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16</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28" w:history="1">
        <w:r w:rsidR="001A1B6A" w:rsidRPr="001A1B6A">
          <w:rPr>
            <w:rStyle w:val="Hyperlink"/>
            <w:rFonts w:asciiTheme="majorHAnsi" w:hAnsiTheme="majorHAnsi" w:cs="Calibri"/>
            <w:noProof/>
            <w:color w:val="0070C0"/>
            <w:sz w:val="16"/>
            <w:szCs w:val="18"/>
            <w:lang w:val="sq-AL"/>
          </w:rPr>
          <w:t>Grafiku 9 Përbërja e të ardhurave jotatimore (miliardë lekë)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_Toc104984028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16</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29" w:history="1">
        <w:r w:rsidR="001A1B6A" w:rsidRPr="001A1B6A">
          <w:rPr>
            <w:rStyle w:val="Hyperlink"/>
            <w:rFonts w:asciiTheme="majorHAnsi" w:hAnsiTheme="majorHAnsi" w:cs="Calibri"/>
            <w:noProof/>
            <w:color w:val="0070C0"/>
            <w:sz w:val="16"/>
            <w:szCs w:val="18"/>
            <w:lang w:val="sq-AL"/>
          </w:rPr>
          <w:t>Grafiku 10 Të ardhura nga tatimet dhe doganat në vite (në miliardë lekë) dhe në % të PBB-së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_Toc104984029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17</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30" w:history="1">
        <w:r w:rsidR="001A1B6A" w:rsidRPr="001A1B6A">
          <w:rPr>
            <w:rStyle w:val="Hyperlink"/>
            <w:rFonts w:asciiTheme="majorHAnsi" w:hAnsiTheme="majorHAnsi" w:cs="Calibri"/>
            <w:noProof/>
            <w:color w:val="0070C0"/>
            <w:sz w:val="16"/>
            <w:szCs w:val="18"/>
            <w:lang w:val="sq-AL"/>
          </w:rPr>
          <w:t>Grafiku 11 Të ardhurat nga tatimet dhe doganat sipas llojit</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_Toc104984030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17</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31" w:history="1">
        <w:r w:rsidR="001A1B6A" w:rsidRPr="001A1B6A">
          <w:rPr>
            <w:rStyle w:val="Hyperlink"/>
            <w:rFonts w:asciiTheme="majorHAnsi" w:hAnsiTheme="majorHAnsi" w:cs="Calibri"/>
            <w:noProof/>
            <w:color w:val="0070C0"/>
            <w:sz w:val="16"/>
            <w:szCs w:val="18"/>
            <w:lang w:val="sq-AL"/>
          </w:rPr>
          <w:t>Grafiku 12 Të ardhurat doganore, rënia vjetore sipas llojit të taksave 2021 - 2020 (në milionë lekë)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_Toc104984031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18</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32" w:history="1">
        <w:r w:rsidR="001A1B6A" w:rsidRPr="001A1B6A">
          <w:rPr>
            <w:rStyle w:val="Hyperlink"/>
            <w:rFonts w:asciiTheme="majorHAnsi" w:hAnsiTheme="majorHAnsi" w:cs="Calibri"/>
            <w:noProof/>
            <w:color w:val="0070C0"/>
            <w:sz w:val="16"/>
            <w:szCs w:val="18"/>
            <w:lang w:val="sq-AL"/>
          </w:rPr>
          <w:t>Grafiku 13 Të ardhurat tatimore, rënia vjetore sipas llojit të taksave (në milionë lekë)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_Toc104984032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19</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33" w:history="1">
        <w:r w:rsidR="001A1B6A" w:rsidRPr="001A1B6A">
          <w:rPr>
            <w:rStyle w:val="Hyperlink"/>
            <w:rFonts w:asciiTheme="majorHAnsi" w:hAnsiTheme="majorHAnsi" w:cs="Calibri"/>
            <w:noProof/>
            <w:color w:val="0070C0"/>
            <w:sz w:val="16"/>
            <w:szCs w:val="18"/>
            <w:lang w:val="sq-AL"/>
          </w:rPr>
          <w:t>Grafiku 14 Të ardhurat tatimore, sipas sektorëve (në %)</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_Toc104984033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19</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34" w:history="1">
        <w:r w:rsidR="001A1B6A" w:rsidRPr="001A1B6A">
          <w:rPr>
            <w:rStyle w:val="Hyperlink"/>
            <w:rFonts w:asciiTheme="majorHAnsi" w:hAnsiTheme="majorHAnsi" w:cs="Calibri"/>
            <w:noProof/>
            <w:color w:val="0070C0"/>
            <w:sz w:val="16"/>
            <w:szCs w:val="18"/>
            <w:lang w:val="sq-AL"/>
          </w:rPr>
          <w:t>Grafiku 15 TVSH-ja brenda vendit, sipas sektorëve (në %)</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_Toc104984034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20</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35" w:history="1">
        <w:r w:rsidR="001A1B6A" w:rsidRPr="001A1B6A">
          <w:rPr>
            <w:rStyle w:val="Hyperlink"/>
            <w:rFonts w:asciiTheme="majorHAnsi" w:hAnsiTheme="majorHAnsi" w:cs="Calibri"/>
            <w:noProof/>
            <w:color w:val="0070C0"/>
            <w:sz w:val="16"/>
            <w:szCs w:val="18"/>
            <w:lang w:val="sq-AL"/>
          </w:rPr>
          <w:t>Grafiku 16 Rimbursimi i TVSH-së në vite (në milionë lekë)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_Toc104984035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20</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36" w:history="1">
        <w:r w:rsidR="001A1B6A" w:rsidRPr="001A1B6A">
          <w:rPr>
            <w:rStyle w:val="Hyperlink"/>
            <w:rFonts w:asciiTheme="majorHAnsi" w:hAnsiTheme="majorHAnsi" w:cs="Calibri"/>
            <w:noProof/>
            <w:color w:val="0070C0"/>
            <w:sz w:val="16"/>
            <w:szCs w:val="18"/>
            <w:lang w:val="sq-AL"/>
          </w:rPr>
          <w:t>Grafiku 17 Akciza në vite (miliard lekë)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_Toc104984036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21</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37" w:history="1">
        <w:r w:rsidR="001A1B6A" w:rsidRPr="001A1B6A">
          <w:rPr>
            <w:rStyle w:val="Hyperlink"/>
            <w:rFonts w:asciiTheme="majorHAnsi" w:hAnsiTheme="majorHAnsi" w:cs="Calibri"/>
            <w:noProof/>
            <w:color w:val="0070C0"/>
            <w:sz w:val="16"/>
            <w:szCs w:val="18"/>
            <w:lang w:val="sq-AL"/>
          </w:rPr>
          <w:t>Grafiku 18 Akciza sipas natyrës së mallrave (në %)</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_Toc104984037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21</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38" w:history="1">
        <w:r w:rsidR="001A1B6A" w:rsidRPr="001A1B6A">
          <w:rPr>
            <w:rStyle w:val="Hyperlink"/>
            <w:rFonts w:asciiTheme="majorHAnsi" w:hAnsiTheme="majorHAnsi" w:cs="Calibri"/>
            <w:noProof/>
            <w:color w:val="0070C0"/>
            <w:sz w:val="16"/>
            <w:szCs w:val="18"/>
            <w:lang w:val="sq-AL"/>
          </w:rPr>
          <w:t>Grafiku 19 TAP në vite (në miliardë lekë)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_Toc104984038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22</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39" w:history="1">
        <w:r w:rsidR="001A1B6A" w:rsidRPr="001A1B6A">
          <w:rPr>
            <w:rStyle w:val="Hyperlink"/>
            <w:rFonts w:asciiTheme="majorHAnsi" w:hAnsiTheme="majorHAnsi" w:cs="Calibri"/>
            <w:noProof/>
            <w:color w:val="0070C0"/>
            <w:sz w:val="16"/>
            <w:szCs w:val="18"/>
            <w:lang w:val="sq-AL"/>
          </w:rPr>
          <w:t>Grafiku 20   TAP sipas zërave (në %)</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_Toc104984039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22</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40" w:history="1">
        <w:r w:rsidR="001A1B6A" w:rsidRPr="001A1B6A">
          <w:rPr>
            <w:rStyle w:val="Hyperlink"/>
            <w:rFonts w:asciiTheme="majorHAnsi" w:hAnsiTheme="majorHAnsi" w:cs="Calibri"/>
            <w:noProof/>
            <w:color w:val="0070C0"/>
            <w:sz w:val="16"/>
            <w:szCs w:val="18"/>
            <w:lang w:val="sq-AL"/>
          </w:rPr>
          <w:t>Grafiku 21 Tatimi mbi fitimin në vite (në miliard lekë)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_Toc104984040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23</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41" w:history="1">
        <w:r w:rsidR="001A1B6A" w:rsidRPr="001A1B6A">
          <w:rPr>
            <w:rStyle w:val="Hyperlink"/>
            <w:rFonts w:asciiTheme="majorHAnsi" w:hAnsiTheme="majorHAnsi" w:cs="Calibri"/>
            <w:noProof/>
            <w:color w:val="0070C0"/>
            <w:sz w:val="16"/>
            <w:szCs w:val="18"/>
            <w:lang w:val="sq-AL"/>
          </w:rPr>
          <w:t>Grafiku 22 Tatimi mbi fitimin sipas sektorëvë (në %)</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_Toc104984041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23</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42" w:history="1">
        <w:r w:rsidR="001A1B6A" w:rsidRPr="001A1B6A">
          <w:rPr>
            <w:rStyle w:val="Hyperlink"/>
            <w:rFonts w:asciiTheme="majorHAnsi" w:hAnsiTheme="majorHAnsi" w:cs="Calibri"/>
            <w:noProof/>
            <w:color w:val="0070C0"/>
            <w:sz w:val="16"/>
            <w:szCs w:val="18"/>
            <w:lang w:val="sq-AL"/>
          </w:rPr>
          <w:t>Grafiku 23 Kontribuesit aktivë për sigurimet shoqërore dhe shëndetësore, sipas llojit të biznesit</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_Toc104984042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24</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43" w:history="1">
        <w:r w:rsidR="001A1B6A" w:rsidRPr="001A1B6A">
          <w:rPr>
            <w:rStyle w:val="Hyperlink"/>
            <w:rFonts w:asciiTheme="majorHAnsi" w:hAnsiTheme="majorHAnsi" w:cs="Calibri"/>
            <w:noProof/>
            <w:color w:val="0070C0"/>
            <w:sz w:val="16"/>
            <w:szCs w:val="18"/>
            <w:lang w:val="sq-AL"/>
          </w:rPr>
          <w:t>Grafiku 24 Kontribuesit aktivë për sigurimet shoqërore dhe shëndetësore, sipas sektorit (në %)</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_Toc104984043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24</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44" w:history="1">
        <w:r w:rsidR="001A1B6A" w:rsidRPr="001A1B6A">
          <w:rPr>
            <w:rStyle w:val="Hyperlink"/>
            <w:rFonts w:asciiTheme="majorHAnsi" w:hAnsiTheme="majorHAnsi" w:cs="Calibri"/>
            <w:noProof/>
            <w:color w:val="0070C0"/>
            <w:sz w:val="16"/>
            <w:szCs w:val="18"/>
            <w:lang w:val="sq-AL"/>
          </w:rPr>
          <w:t>Grafiku 25 Shpenzimet e përgjithshme korrente dhe kapitale (mld  lekë) dhe ritmi i rritjes vjetore (në %)</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_Toc104984044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25</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45" w:history="1">
        <w:r w:rsidR="001A1B6A" w:rsidRPr="001A1B6A">
          <w:rPr>
            <w:rStyle w:val="Hyperlink"/>
            <w:rFonts w:asciiTheme="majorHAnsi" w:hAnsiTheme="majorHAnsi" w:cs="Calibri"/>
            <w:noProof/>
            <w:color w:val="0070C0"/>
            <w:sz w:val="16"/>
            <w:szCs w:val="18"/>
            <w:lang w:val="sq-AL"/>
          </w:rPr>
          <w:t>Grafiku 26 Shpenzimet korrente dhe kapitale plan dhe fakt ndaj totalit të shpenzimeve (mln lekë)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_Toc104984045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25</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46" w:history="1">
        <w:r w:rsidR="001A1B6A" w:rsidRPr="001A1B6A">
          <w:rPr>
            <w:rStyle w:val="Hyperlink"/>
            <w:rFonts w:asciiTheme="majorHAnsi" w:hAnsiTheme="majorHAnsi" w:cs="Calibri"/>
            <w:noProof/>
            <w:color w:val="0070C0"/>
            <w:sz w:val="16"/>
            <w:szCs w:val="18"/>
            <w:lang w:val="sq-AL"/>
          </w:rPr>
          <w:t>Grafiku 27 Struktura e shpenzimeve korente, kapitale dhe raporti me PBB-në ndër vite</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_Toc104984046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26</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47" w:history="1">
        <w:r w:rsidR="001A1B6A" w:rsidRPr="001A1B6A">
          <w:rPr>
            <w:rStyle w:val="Hyperlink"/>
            <w:rFonts w:asciiTheme="majorHAnsi" w:hAnsiTheme="majorHAnsi" w:cs="Calibri"/>
            <w:noProof/>
            <w:color w:val="0070C0"/>
            <w:sz w:val="16"/>
            <w:szCs w:val="18"/>
            <w:lang w:val="sq-AL"/>
          </w:rPr>
          <w:t>Grafiku 28 Shpenzimet korente dhe ritmi i rritjes së tyre (milion lekë)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_Toc104984047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26</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48" w:history="1">
        <w:r w:rsidR="001A1B6A" w:rsidRPr="001A1B6A">
          <w:rPr>
            <w:rStyle w:val="Hyperlink"/>
            <w:rFonts w:asciiTheme="majorHAnsi" w:hAnsiTheme="majorHAnsi" w:cs="Calibri"/>
            <w:noProof/>
            <w:color w:val="0070C0"/>
            <w:sz w:val="16"/>
            <w:szCs w:val="18"/>
            <w:lang w:val="sq-AL"/>
          </w:rPr>
          <w:t>Grafiku 29 Struktura e shpenzimeve korrente (milion lekë)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_Toc104984048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27</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49" w:history="1">
        <w:r w:rsidR="001A1B6A" w:rsidRPr="001A1B6A">
          <w:rPr>
            <w:rStyle w:val="Hyperlink"/>
            <w:rFonts w:asciiTheme="majorHAnsi" w:hAnsiTheme="majorHAnsi" w:cs="Calibri"/>
            <w:noProof/>
            <w:color w:val="0070C0"/>
            <w:sz w:val="16"/>
            <w:szCs w:val="18"/>
            <w:lang w:val="sq-AL"/>
          </w:rPr>
          <w:t>Grafiku 30 Shpenzimet e personelit në vite dhe ritmi i rritjes (miliardë lekë)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_Toc104984049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27</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50" w:history="1">
        <w:r w:rsidR="001A1B6A" w:rsidRPr="001A1B6A">
          <w:rPr>
            <w:rStyle w:val="Hyperlink"/>
            <w:rFonts w:asciiTheme="majorHAnsi" w:hAnsiTheme="majorHAnsi" w:cs="Calibri"/>
            <w:noProof/>
            <w:color w:val="0070C0"/>
            <w:sz w:val="16"/>
            <w:szCs w:val="18"/>
            <w:lang w:val="sq-AL"/>
          </w:rPr>
          <w:t>Grafiku 31 Shpenzimet për interesa në vite dhe ritmi i rritjes (miliardë lekë)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_Toc104984050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28</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51" w:history="1">
        <w:r w:rsidR="001A1B6A" w:rsidRPr="001A1B6A">
          <w:rPr>
            <w:rStyle w:val="Hyperlink"/>
            <w:rFonts w:asciiTheme="majorHAnsi" w:hAnsiTheme="majorHAnsi" w:cs="Calibri"/>
            <w:noProof/>
            <w:color w:val="0070C0"/>
            <w:sz w:val="16"/>
            <w:szCs w:val="18"/>
            <w:lang w:val="sq-AL"/>
          </w:rPr>
          <w:t>Grafiku 32 Shpenzimet operative e të mirëmbajtjes dhe ritmi i rritjes vjetore (miliardë lekë)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_Toc104984051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28</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52" w:history="1">
        <w:r w:rsidR="001A1B6A" w:rsidRPr="001A1B6A">
          <w:rPr>
            <w:rStyle w:val="Hyperlink"/>
            <w:rFonts w:asciiTheme="majorHAnsi" w:hAnsiTheme="majorHAnsi" w:cs="Calibri"/>
            <w:noProof/>
            <w:color w:val="0070C0"/>
            <w:sz w:val="16"/>
            <w:szCs w:val="18"/>
            <w:lang w:val="sq-AL"/>
          </w:rPr>
          <w:t>Grafiku 33 Shpenzimet per subvencione dhe ritmi i rritjes (miliardë lekë)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_Toc104984052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28</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53" w:history="1">
        <w:r w:rsidR="001A1B6A" w:rsidRPr="001A1B6A">
          <w:rPr>
            <w:rStyle w:val="Hyperlink"/>
            <w:rFonts w:asciiTheme="majorHAnsi" w:hAnsiTheme="majorHAnsi" w:cs="Calibri"/>
            <w:noProof/>
            <w:color w:val="0070C0"/>
            <w:sz w:val="16"/>
            <w:szCs w:val="18"/>
            <w:lang w:val="sq-AL"/>
          </w:rPr>
          <w:t>Grafiku 34 Shpenzimet per sigurimet shoqërore dhe shëndetësore (miliardë lekë)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_Toc104984053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29</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54" w:history="1">
        <w:r w:rsidR="001A1B6A" w:rsidRPr="001A1B6A">
          <w:rPr>
            <w:rStyle w:val="Hyperlink"/>
            <w:rFonts w:asciiTheme="majorHAnsi" w:hAnsiTheme="majorHAnsi" w:cs="Calibri"/>
            <w:noProof/>
            <w:color w:val="0070C0"/>
            <w:sz w:val="16"/>
            <w:szCs w:val="18"/>
            <w:lang w:val="sq-AL"/>
          </w:rPr>
          <w:t>Grafiku 35 Shpenzimet per ndihmën ekonomike, PAK dhe papunësinë (miliardë lekë)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_Toc104984054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29</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55" w:history="1">
        <w:r w:rsidR="001A1B6A" w:rsidRPr="001A1B6A">
          <w:rPr>
            <w:rStyle w:val="Hyperlink"/>
            <w:rFonts w:asciiTheme="majorHAnsi" w:hAnsiTheme="majorHAnsi" w:cs="Calibri"/>
            <w:noProof/>
            <w:color w:val="0070C0"/>
            <w:sz w:val="16"/>
            <w:szCs w:val="18"/>
            <w:lang w:val="sq-AL"/>
          </w:rPr>
          <w:t>Grafiku 36 Shpenzimet Kapitale dhe burimi i financimit të tyre (në miliardë lekë)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_Toc104984055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30</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56" w:history="1">
        <w:r w:rsidR="001A1B6A" w:rsidRPr="001A1B6A">
          <w:rPr>
            <w:rStyle w:val="Hyperlink"/>
            <w:rFonts w:asciiTheme="majorHAnsi" w:hAnsiTheme="majorHAnsi" w:cs="Calibri"/>
            <w:noProof/>
            <w:color w:val="0070C0"/>
            <w:sz w:val="16"/>
            <w:szCs w:val="18"/>
            <w:lang w:val="sq-AL"/>
          </w:rPr>
          <w:t>Grafiku 37 Transferta e pakushtëzuar dhe ritmi i ndryshimit në vite.</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_Toc104984056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39</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57" w:history="1">
        <w:r w:rsidR="001A1B6A" w:rsidRPr="001A1B6A">
          <w:rPr>
            <w:rStyle w:val="Hyperlink"/>
            <w:rFonts w:asciiTheme="majorHAnsi" w:hAnsiTheme="majorHAnsi" w:cs="Calibri"/>
            <w:noProof/>
            <w:color w:val="0070C0"/>
            <w:sz w:val="16"/>
            <w:szCs w:val="18"/>
            <w:lang w:val="sq-AL"/>
          </w:rPr>
          <w:t>Grafiku 38 Realizimi i të ardhurave tatimore dhe jotatimore 2019-2021.</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_Toc104984057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40</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58" w:history="1">
        <w:r w:rsidR="001A1B6A" w:rsidRPr="001A1B6A">
          <w:rPr>
            <w:rStyle w:val="Hyperlink"/>
            <w:rFonts w:asciiTheme="majorHAnsi" w:hAnsiTheme="majorHAnsi" w:cs="Calibri"/>
            <w:noProof/>
            <w:color w:val="0070C0"/>
            <w:sz w:val="16"/>
            <w:szCs w:val="18"/>
            <w:lang w:val="sq-AL"/>
          </w:rPr>
          <w:t>Grafiku 39 Të ardhurat e pushtetit vendor në vite dhe ritmi i ndryshimit.</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_Toc104984058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40</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59" w:history="1">
        <w:r w:rsidR="001A1B6A" w:rsidRPr="001A1B6A">
          <w:rPr>
            <w:rStyle w:val="Hyperlink"/>
            <w:rFonts w:asciiTheme="majorHAnsi" w:hAnsiTheme="majorHAnsi" w:cs="Calibri"/>
            <w:noProof/>
            <w:color w:val="0070C0"/>
            <w:sz w:val="16"/>
            <w:szCs w:val="18"/>
            <w:lang w:val="sq-AL"/>
          </w:rPr>
          <w:t>Grafiku 40  Të ardhurat vendore në raport me totalin e të ardhurave publike dhe PBB.</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_Toc104984059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41</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60" w:history="1">
        <w:r w:rsidR="001A1B6A" w:rsidRPr="001A1B6A">
          <w:rPr>
            <w:rStyle w:val="Hyperlink"/>
            <w:rFonts w:asciiTheme="majorHAnsi" w:hAnsiTheme="majorHAnsi" w:cs="Calibri"/>
            <w:noProof/>
            <w:color w:val="0070C0"/>
            <w:sz w:val="16"/>
            <w:szCs w:val="18"/>
            <w:lang w:val="sq-AL"/>
          </w:rPr>
          <w:t>Grafiku 41 Të ardhurat e veta të pushtetit vendor sipas burimit në vite</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_Toc104984060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41</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61" w:history="1">
        <w:r w:rsidR="001A1B6A" w:rsidRPr="001A1B6A">
          <w:rPr>
            <w:rStyle w:val="Hyperlink"/>
            <w:rFonts w:asciiTheme="majorHAnsi" w:hAnsiTheme="majorHAnsi" w:cs="Calibri"/>
            <w:noProof/>
            <w:color w:val="0070C0"/>
            <w:sz w:val="16"/>
            <w:szCs w:val="18"/>
            <w:lang w:val="sq-AL"/>
          </w:rPr>
          <w:t>Grafiku 42 Shpenzimet e buxhetit vendor sipas burimit të financimit në vite</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_Toc104984061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42</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62" w:history="1">
        <w:r w:rsidR="001A1B6A" w:rsidRPr="001A1B6A">
          <w:rPr>
            <w:rStyle w:val="Hyperlink"/>
            <w:rFonts w:asciiTheme="majorHAnsi" w:hAnsiTheme="majorHAnsi" w:cs="Calibri"/>
            <w:noProof/>
            <w:color w:val="0070C0"/>
            <w:sz w:val="16"/>
            <w:szCs w:val="18"/>
            <w:lang w:val="sq-AL"/>
          </w:rPr>
          <w:t>Grafiku 43 Shpenzimet e pushtetit vendor në rritje dhe ritmi i rritjes së tyre (në miliardë lekë)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_Toc104984062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43</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63" w:history="1">
        <w:r w:rsidR="001A1B6A" w:rsidRPr="001A1B6A">
          <w:rPr>
            <w:rStyle w:val="Hyperlink"/>
            <w:rFonts w:asciiTheme="majorHAnsi" w:hAnsiTheme="majorHAnsi" w:cs="Calibri"/>
            <w:noProof/>
            <w:color w:val="0070C0"/>
            <w:sz w:val="16"/>
            <w:szCs w:val="18"/>
            <w:lang w:val="sq-AL"/>
          </w:rPr>
          <w:t>Grafiku 44 Shpenzimet e pushtetit vendor sipas klasifikimit ekonomik (në milionë lekë)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_Toc104984063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43</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64" w:history="1">
        <w:r w:rsidR="001A1B6A" w:rsidRPr="001A1B6A">
          <w:rPr>
            <w:rStyle w:val="Hyperlink"/>
            <w:rFonts w:asciiTheme="majorHAnsi" w:hAnsiTheme="majorHAnsi" w:cs="Calibri"/>
            <w:noProof/>
            <w:color w:val="0070C0"/>
            <w:sz w:val="16"/>
            <w:szCs w:val="18"/>
            <w:lang w:val="sq-AL"/>
          </w:rPr>
          <w:t>Grafiku 45 Sektori quasi publik sipas numrit të ndërmarrjeve</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_Toc104984064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47</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65" w:history="1">
        <w:r w:rsidR="001A1B6A" w:rsidRPr="001A1B6A">
          <w:rPr>
            <w:rStyle w:val="Hyperlink"/>
            <w:rFonts w:asciiTheme="majorHAnsi" w:hAnsiTheme="majorHAnsi" w:cs="Calibri"/>
            <w:noProof/>
            <w:color w:val="0070C0"/>
            <w:sz w:val="16"/>
            <w:szCs w:val="18"/>
            <w:lang w:val="sq-AL"/>
          </w:rPr>
          <w:t>Grafiku 46 Ecuria e nivelit të arkëtimeve të OSHEE Group sh.a (në miliardë lekë)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_Toc104984065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48</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66" w:history="1">
        <w:r w:rsidR="001A1B6A" w:rsidRPr="001A1B6A">
          <w:rPr>
            <w:rStyle w:val="Hyperlink"/>
            <w:rFonts w:asciiTheme="majorHAnsi" w:hAnsiTheme="majorHAnsi" w:cs="Calibri"/>
            <w:noProof/>
            <w:color w:val="0070C0"/>
            <w:sz w:val="16"/>
            <w:szCs w:val="18"/>
            <w:lang w:val="sq-AL"/>
          </w:rPr>
          <w:t>Grafiku 47 Ecuria e nivelit të humbjeve në rrjet për OSHEE Group sh.a (në %)</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_Toc104984066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48</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67" w:history="1">
        <w:r w:rsidR="001A1B6A" w:rsidRPr="001A1B6A">
          <w:rPr>
            <w:rStyle w:val="Hyperlink"/>
            <w:rFonts w:asciiTheme="majorHAnsi" w:hAnsiTheme="majorHAnsi" w:cs="Calibri"/>
            <w:noProof/>
            <w:color w:val="0070C0"/>
            <w:sz w:val="16"/>
            <w:szCs w:val="18"/>
            <w:lang w:val="sq-AL"/>
          </w:rPr>
          <w:t>Grafiku 48 Stoku i detyrimeve të prapambetura e Sektorit Ujësjellës-Kanalizime ndaj OSHEE Group Sh.a (në mld lekë)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_Toc104984067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52</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68" w:history="1">
        <w:r w:rsidR="001A1B6A" w:rsidRPr="001A1B6A">
          <w:rPr>
            <w:rStyle w:val="Hyperlink"/>
            <w:rFonts w:asciiTheme="majorHAnsi" w:hAnsiTheme="majorHAnsi" w:cs="Calibri"/>
            <w:noProof/>
            <w:color w:val="0070C0"/>
            <w:sz w:val="16"/>
            <w:szCs w:val="18"/>
            <w:lang w:val="sq-AL"/>
          </w:rPr>
          <w:t>Grafiku 49 Stoku i detyrimeve të prapambetura të qeverisjes së përgjithshme, në mln lekë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_Toc104984068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53</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69" w:history="1">
        <w:r w:rsidR="001A1B6A" w:rsidRPr="001A1B6A">
          <w:rPr>
            <w:rStyle w:val="Hyperlink"/>
            <w:rFonts w:asciiTheme="majorHAnsi" w:hAnsiTheme="majorHAnsi" w:cs="Calibri"/>
            <w:noProof/>
            <w:color w:val="0070C0"/>
            <w:sz w:val="16"/>
            <w:szCs w:val="18"/>
            <w:lang w:val="sq-AL"/>
          </w:rPr>
          <w:t>Grafiku 50 Stoku i detyrimeve të Ministrisë së Energjisë dhe Infrastrukturës dhe ministrive të tjera</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_Toc104984069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54</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70" w:history="1">
        <w:r w:rsidR="001A1B6A" w:rsidRPr="001A1B6A">
          <w:rPr>
            <w:rStyle w:val="Hyperlink"/>
            <w:rFonts w:asciiTheme="majorHAnsi" w:hAnsiTheme="majorHAnsi" w:cs="Calibri"/>
            <w:noProof/>
            <w:color w:val="0070C0"/>
            <w:sz w:val="16"/>
            <w:szCs w:val="18"/>
            <w:lang w:val="sq-AL"/>
          </w:rPr>
          <w:t>Grafiku 51: Stoku i detyrimeve të prapambetura qendrore sipas zërave kryesorë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_Toc104984070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54</w:t>
        </w:r>
        <w:r w:rsidR="001A1B6A" w:rsidRPr="001A1B6A">
          <w:rPr>
            <w:rStyle w:val="Hyperlink"/>
            <w:rFonts w:asciiTheme="majorHAnsi" w:hAnsiTheme="majorHAnsi" w:cs="Calibri"/>
            <w:noProof/>
            <w:webHidden/>
            <w:color w:val="0070C0"/>
            <w:sz w:val="16"/>
            <w:szCs w:val="18"/>
            <w:lang w:val="sq-AL"/>
          </w:rPr>
          <w:fldChar w:fldCharType="end"/>
        </w:r>
      </w:hyperlink>
    </w:p>
    <w:p w:rsidR="001A1B6A" w:rsidRPr="001A1B6A" w:rsidRDefault="00EA28E4" w:rsidP="001A1B6A">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hyperlink w:anchor="_Toc104984071" w:history="1">
        <w:r w:rsidR="001A1B6A" w:rsidRPr="001A1B6A">
          <w:rPr>
            <w:rStyle w:val="Hyperlink"/>
            <w:rFonts w:asciiTheme="majorHAnsi" w:hAnsiTheme="majorHAnsi" w:cs="Calibri"/>
            <w:noProof/>
            <w:color w:val="0070C0"/>
            <w:sz w:val="16"/>
            <w:szCs w:val="18"/>
            <w:lang w:val="sq-AL"/>
          </w:rPr>
          <w:t>Grafiku 52: Stoku i detyrimeve të prapambetura vendore sipas zërave kryesorë</w:t>
        </w:r>
        <w:r w:rsidR="001A1B6A" w:rsidRPr="001A1B6A">
          <w:rPr>
            <w:rStyle w:val="Hyperlink"/>
            <w:rFonts w:asciiTheme="majorHAnsi" w:hAnsiTheme="majorHAnsi" w:cs="Calibri"/>
            <w:noProof/>
            <w:webHidden/>
            <w:color w:val="0070C0"/>
            <w:sz w:val="16"/>
            <w:szCs w:val="18"/>
            <w:lang w:val="sq-AL"/>
          </w:rPr>
          <w:tab/>
        </w:r>
        <w:r w:rsidR="001A1B6A" w:rsidRPr="001A1B6A">
          <w:rPr>
            <w:rStyle w:val="Hyperlink"/>
            <w:rFonts w:asciiTheme="majorHAnsi" w:hAnsiTheme="majorHAnsi" w:cs="Calibri"/>
            <w:noProof/>
            <w:webHidden/>
            <w:color w:val="0070C0"/>
            <w:sz w:val="16"/>
            <w:szCs w:val="18"/>
            <w:lang w:val="sq-AL"/>
          </w:rPr>
          <w:fldChar w:fldCharType="begin"/>
        </w:r>
        <w:r w:rsidR="001A1B6A" w:rsidRPr="001A1B6A">
          <w:rPr>
            <w:rStyle w:val="Hyperlink"/>
            <w:rFonts w:asciiTheme="majorHAnsi" w:hAnsiTheme="majorHAnsi" w:cs="Calibri"/>
            <w:noProof/>
            <w:webHidden/>
            <w:color w:val="0070C0"/>
            <w:sz w:val="16"/>
            <w:szCs w:val="18"/>
            <w:lang w:val="sq-AL"/>
          </w:rPr>
          <w:instrText xml:space="preserve"> PAGEREF _Toc104984071 \h </w:instrText>
        </w:r>
        <w:r w:rsidR="001A1B6A" w:rsidRPr="001A1B6A">
          <w:rPr>
            <w:rStyle w:val="Hyperlink"/>
            <w:rFonts w:asciiTheme="majorHAnsi" w:hAnsiTheme="majorHAnsi" w:cs="Calibri"/>
            <w:noProof/>
            <w:webHidden/>
            <w:color w:val="0070C0"/>
            <w:sz w:val="16"/>
            <w:szCs w:val="18"/>
            <w:lang w:val="sq-AL"/>
          </w:rPr>
        </w:r>
        <w:r w:rsidR="001A1B6A" w:rsidRPr="001A1B6A">
          <w:rPr>
            <w:rStyle w:val="Hyperlink"/>
            <w:rFonts w:asciiTheme="majorHAnsi" w:hAnsiTheme="majorHAnsi" w:cs="Calibri"/>
            <w:noProof/>
            <w:webHidden/>
            <w:color w:val="0070C0"/>
            <w:sz w:val="16"/>
            <w:szCs w:val="18"/>
            <w:lang w:val="sq-AL"/>
          </w:rPr>
          <w:fldChar w:fldCharType="separate"/>
        </w:r>
        <w:r w:rsidR="002A6746">
          <w:rPr>
            <w:rStyle w:val="Hyperlink"/>
            <w:rFonts w:asciiTheme="majorHAnsi" w:hAnsiTheme="majorHAnsi" w:cs="Calibri"/>
            <w:noProof/>
            <w:webHidden/>
            <w:color w:val="0070C0"/>
            <w:sz w:val="16"/>
            <w:szCs w:val="18"/>
            <w:lang w:val="sq-AL"/>
          </w:rPr>
          <w:t>55</w:t>
        </w:r>
        <w:r w:rsidR="001A1B6A" w:rsidRPr="001A1B6A">
          <w:rPr>
            <w:rStyle w:val="Hyperlink"/>
            <w:rFonts w:asciiTheme="majorHAnsi" w:hAnsiTheme="majorHAnsi" w:cs="Calibri"/>
            <w:noProof/>
            <w:webHidden/>
            <w:color w:val="0070C0"/>
            <w:sz w:val="16"/>
            <w:szCs w:val="18"/>
            <w:lang w:val="sq-AL"/>
          </w:rPr>
          <w:fldChar w:fldCharType="end"/>
        </w:r>
      </w:hyperlink>
    </w:p>
    <w:p w:rsidR="009158B4" w:rsidRPr="004E15B6" w:rsidRDefault="009158B4" w:rsidP="002E2899">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r w:rsidRPr="00CF3000">
        <w:rPr>
          <w:rStyle w:val="Hyperlink"/>
          <w:rFonts w:asciiTheme="majorHAnsi" w:hAnsiTheme="majorHAnsi" w:cs="Calibri"/>
          <w:noProof/>
          <w:color w:val="0070C0"/>
          <w:sz w:val="16"/>
          <w:szCs w:val="18"/>
          <w:lang w:val="sq-AL"/>
        </w:rPr>
        <w:fldChar w:fldCharType="end"/>
      </w:r>
    </w:p>
    <w:p w:rsidR="009158B4" w:rsidRPr="00476D2E" w:rsidRDefault="009158B4" w:rsidP="00887CC8">
      <w:pPr>
        <w:spacing w:before="0"/>
        <w:rPr>
          <w:rFonts w:cs="Calibri"/>
          <w:color w:val="4389D7" w:themeColor="text2" w:themeTint="99"/>
          <w:sz w:val="18"/>
          <w:lang w:val="sq-AL"/>
        </w:rPr>
        <w:sectPr w:rsidR="009158B4" w:rsidRPr="00476D2E" w:rsidSect="00D60122">
          <w:pgSz w:w="12240" w:h="15840"/>
          <w:pgMar w:top="1440" w:right="900" w:bottom="1440" w:left="900" w:header="720" w:footer="720" w:gutter="0"/>
          <w:cols w:space="720"/>
          <w:docGrid w:linePitch="360"/>
        </w:sectPr>
      </w:pPr>
    </w:p>
    <w:p w:rsidR="00FC0A43" w:rsidRPr="00F21132" w:rsidRDefault="008B6B58" w:rsidP="00B70516">
      <w:pPr>
        <w:pStyle w:val="Fiskale1"/>
        <w:rPr>
          <w:rFonts w:ascii="Calibri" w:hAnsi="Calibri" w:cs="Calibri"/>
        </w:rPr>
      </w:pPr>
      <w:bookmarkStart w:id="1" w:name="_Toc10033256"/>
      <w:bookmarkStart w:id="2" w:name="_Toc10721393"/>
      <w:bookmarkStart w:id="3" w:name="_Toc104980309"/>
      <w:r w:rsidRPr="00F21132">
        <w:rPr>
          <w:rFonts w:ascii="Calibri" w:hAnsi="Calibri" w:cs="Calibri"/>
        </w:rPr>
        <w:lastRenderedPageBreak/>
        <w:t>REZULTATI I BUXHETIT TË KONSOLIDUAR</w:t>
      </w:r>
      <w:bookmarkEnd w:id="1"/>
      <w:bookmarkEnd w:id="2"/>
      <w:bookmarkEnd w:id="3"/>
      <w:r w:rsidR="003560F2" w:rsidRPr="00F21132">
        <w:rPr>
          <w:rFonts w:ascii="Calibri" w:hAnsi="Calibri" w:cs="Calibri"/>
        </w:rPr>
        <w:t xml:space="preserve"> </w:t>
      </w:r>
    </w:p>
    <w:p w:rsidR="00243DA8" w:rsidRPr="002A00BD" w:rsidRDefault="00243DA8" w:rsidP="00243DA8">
      <w:pPr>
        <w:rPr>
          <w:lang w:val="sq-AL"/>
        </w:rPr>
      </w:pPr>
      <w:r w:rsidRPr="00C6398C">
        <w:rPr>
          <w:lang w:val="sq-AL"/>
        </w:rPr>
        <w:t>Ekonomia shqiptare u rekuperua ndjeshëm gjatë vitit 2021 pas recesionit të vitit të kaluar. Efektet e pandemisë ishin të përmbajtura si pasojë e mbështetjes nga politikat fiskale e monetare ndërthurur me masat rregullative. Rritja ekonomike rezultoi më e fortë dhe me bazë më të gjerë krahasuar me atë që pritej. Efekti bazë dhe ndikimi nga prodhimi i energjisë elektrike ishin gjithashtu faktorë të veçantë që dhanë kontribut në rritje. R</w:t>
      </w:r>
      <w:r>
        <w:rPr>
          <w:lang w:val="sq-AL"/>
        </w:rPr>
        <w:t>e</w:t>
      </w:r>
      <w:r w:rsidRPr="00C6398C">
        <w:rPr>
          <w:lang w:val="sq-AL"/>
        </w:rPr>
        <w:t>kuperimi i kërkesës ka qenë i shpejtë dhe prodhimi ka tejkaluar nivelet e para tërmetit dhe të para pandemisë. Edhe tregu i punës paraqet përmirësim me rritje të punësimit dhe rënie të normës së papunësisë. Si sektori i prodhimit, ashtu edhe ai i shërbimeve, kanë përfituar nga këto zhvillime, duke siguruar rimëkëmbje për biznesin dhe punësimin dhe duke krijuar premisa të mira për perspektivën afatmesme.</w:t>
      </w:r>
      <w:r>
        <w:rPr>
          <w:lang w:val="sq-AL"/>
        </w:rPr>
        <w:t xml:space="preserve"> </w:t>
      </w:r>
      <w:r w:rsidRPr="007D2ABF">
        <w:t xml:space="preserve">Për vitin 2021, rritja ekonomike </w:t>
      </w:r>
      <w:r>
        <w:t>prej</w:t>
      </w:r>
      <w:r w:rsidRPr="007D2ABF">
        <w:t xml:space="preserve"> </w:t>
      </w:r>
      <w:r>
        <w:t>+</w:t>
      </w:r>
      <w:r w:rsidRPr="007D2ABF">
        <w:t>8.54%</w:t>
      </w:r>
      <w:r>
        <w:t xml:space="preserve"> </w:t>
      </w:r>
      <w:r w:rsidRPr="00C6398C">
        <w:t>paraqet një rikthim shumë të fortë, dukshëm mbi parashikimin fillestar</w:t>
      </w:r>
      <w:r>
        <w:t xml:space="preserve"> dhe mbi nivelin prej -3.5% që ishte një vit më parë</w:t>
      </w:r>
      <w:r w:rsidRPr="007D2ABF">
        <w:t>. Kjo rritje ishte e shpërndarë në të gjithë sektorët e ekonomisë, ku ndikimin kryesor e ka pasur sektori i ndërtimit me 1.75 pikë përqindje, ndërkohë që tregtia ka pasur gjithashtu një kontribut të lartë pozitiv në rritje me 1.66 pikë përqindje dhe Industria me 1.48 pikë përqindje.</w:t>
      </w:r>
      <w:r>
        <w:t xml:space="preserve"> </w:t>
      </w:r>
      <w:r w:rsidRPr="007D2ABF">
        <w:t>Të gjithë sektorët kanë rezultuar në rritje, ndërkohë që sipas metodës së shpenzimeve, rritja ka ardhur si nga treguesit e konsumit final të popullatës, i cili ka pasur një kontribut me 4.4 pikë përqindje në këtë rritje, ashtu edhe nga Formimi Bruto i Kapitalit Fiks (Investimet) me një kont</w:t>
      </w:r>
      <w:r>
        <w:t xml:space="preserve">ribut prej 4.53 pikë përqindje. </w:t>
      </w:r>
      <w:r w:rsidRPr="007D2ABF">
        <w:t>Nëse do t’i referohemi shifrave të vitit 2021, rritja për këtë vit ishte 4.76 % në krahasim me vitin 2019, i cili ishte një vit me një ecuri ekonomike normale për vendin tonë. Pra, ka pasur një përshpejtim të rritjes si në krahasim me vitin 2020, ashtu edhe në krahasim me vitin 2019.</w:t>
      </w:r>
    </w:p>
    <w:p w:rsidR="00243DA8" w:rsidRPr="007D2ABF" w:rsidRDefault="00243DA8" w:rsidP="00243DA8">
      <w:r w:rsidRPr="007D2ABF">
        <w:t xml:space="preserve">Shifrat e punësimit kanë mbështetur vijimin e ecurisë së aktivitetit ekonomik ku për tremujorin e </w:t>
      </w:r>
      <w:r>
        <w:t>ka</w:t>
      </w:r>
      <w:r w:rsidRPr="007D2ABF">
        <w:t>t</w:t>
      </w:r>
      <w:r>
        <w:t>ërt</w:t>
      </w:r>
      <w:r w:rsidRPr="007D2ABF">
        <w:t xml:space="preserve"> të vitit 2021 papunësia ka vijuar të shënojë rënie dhe papunësia për grup moshën mbi 15 vjeç ka shënuar 11.4 %, ndërkohë që edhe shkalla e punësimit ka vijuar të shënojë rritje duke rezultuar në 53.5 % për popullsinë mbi 15 vjeç.</w:t>
      </w:r>
      <w:r>
        <w:t xml:space="preserve"> </w:t>
      </w:r>
      <w:r w:rsidRPr="007D2ABF">
        <w:t>Gjithashtu, edhe paga mesatare ka ndjekur të njëjtin trend dhe ka pësuar një rritje me 8% në krahasim me vitin e kaluar, duke rezultuar në 59.565 lekë në fund të vitit 2021.</w:t>
      </w:r>
    </w:p>
    <w:p w:rsidR="00243DA8" w:rsidRPr="007D2ABF" w:rsidRDefault="00243DA8" w:rsidP="00243DA8">
      <w:r w:rsidRPr="007D2ABF">
        <w:t>Përsa i përket të dhënave të tregtisë së jashtme, ato gjithashtu kanë rezultuar pozitive, si në vëllim, ashtu edhe në vlerë. Për vitin 2021 eksportet e mallrave arritën  vlerën 369 mld lekë, duke u rritur me 35</w:t>
      </w:r>
      <w:r>
        <w:t>.</w:t>
      </w:r>
      <w:r w:rsidRPr="007D2ABF">
        <w:t>6%, ndërkohë importet e mallrave arritën vlerën 801 mld lekë, duke u rritur me 32</w:t>
      </w:r>
      <w:r>
        <w:t>.</w:t>
      </w:r>
      <w:r w:rsidRPr="007D2ABF">
        <w:t>3%, krahasuar me një vit më parë. Deficiti tregtar arriti vlerën 432 mld lekë, duke u rritur me 29,6%, krahasuar me të njëjtën periudhë të 2020.</w:t>
      </w:r>
    </w:p>
    <w:p w:rsidR="00243DA8" w:rsidRPr="007D2ABF" w:rsidRDefault="00243DA8" w:rsidP="00243DA8">
      <w:pPr>
        <w:rPr>
          <w:lang w:val="sq-AL"/>
        </w:rPr>
      </w:pPr>
      <w:r w:rsidRPr="007D2ABF">
        <w:rPr>
          <w:lang w:val="sq-AL"/>
        </w:rPr>
        <w:t>Shkëmbimet tregtare, për vitin 2021, me vendet e BE-së zënë 60% të gjithë tregtisë. Në periudhën Janar–Dhjetor 2021, eksportet drejt vendeve të BE-së zënë 72</w:t>
      </w:r>
      <w:r>
        <w:rPr>
          <w:lang w:val="sq-AL"/>
        </w:rPr>
        <w:t>.</w:t>
      </w:r>
      <w:r w:rsidRPr="007D2ABF">
        <w:rPr>
          <w:lang w:val="sq-AL"/>
        </w:rPr>
        <w:t>2%  të eksporteve gjithsej dhe importet nga vendet e BE-së zënë 54</w:t>
      </w:r>
      <w:r>
        <w:rPr>
          <w:lang w:val="sq-AL"/>
        </w:rPr>
        <w:t>.</w:t>
      </w:r>
      <w:r w:rsidRPr="007D2ABF">
        <w:rPr>
          <w:lang w:val="sq-AL"/>
        </w:rPr>
        <w:t>4% të importeve gjithsej. Partnerët kryesorë tregtarë janë: Italia (29</w:t>
      </w:r>
      <w:r>
        <w:rPr>
          <w:lang w:val="sq-AL"/>
        </w:rPr>
        <w:t>.</w:t>
      </w:r>
      <w:r w:rsidRPr="007D2ABF">
        <w:rPr>
          <w:lang w:val="sq-AL"/>
        </w:rPr>
        <w:t>9%), Turqia (7</w:t>
      </w:r>
      <w:r>
        <w:rPr>
          <w:lang w:val="sq-AL"/>
        </w:rPr>
        <w:t>.</w:t>
      </w:r>
      <w:r w:rsidRPr="007D2ABF">
        <w:rPr>
          <w:lang w:val="sq-AL"/>
        </w:rPr>
        <w:t>8%), Greqia (7</w:t>
      </w:r>
      <w:r>
        <w:rPr>
          <w:lang w:val="sq-AL"/>
        </w:rPr>
        <w:t>.</w:t>
      </w:r>
      <w:r w:rsidRPr="007D2ABF">
        <w:rPr>
          <w:lang w:val="sq-AL"/>
        </w:rPr>
        <w:t>3%) dhe Gjermania (6</w:t>
      </w:r>
      <w:r>
        <w:rPr>
          <w:lang w:val="sq-AL"/>
        </w:rPr>
        <w:t>.</w:t>
      </w:r>
      <w:r w:rsidRPr="007D2ABF">
        <w:rPr>
          <w:lang w:val="sq-AL"/>
        </w:rPr>
        <w:t>4%).</w:t>
      </w:r>
      <w:r>
        <w:rPr>
          <w:lang w:val="sq-AL"/>
        </w:rPr>
        <w:t xml:space="preserve"> </w:t>
      </w:r>
      <w:r w:rsidRPr="007D2ABF">
        <w:rPr>
          <w:lang w:val="sq-AL"/>
        </w:rPr>
        <w:t xml:space="preserve">Përgjatë vitit 2021, Bilanci i Pagesave u zgjerua, duke shënuar vlerën 936 milion </w:t>
      </w:r>
      <w:r>
        <w:rPr>
          <w:lang w:val="sq-AL"/>
        </w:rPr>
        <w:t>EUR</w:t>
      </w:r>
      <w:r w:rsidRPr="007D2ABF">
        <w:rPr>
          <w:lang w:val="sq-AL"/>
        </w:rPr>
        <w:t xml:space="preserve">, nga 655 milion </w:t>
      </w:r>
      <w:r>
        <w:rPr>
          <w:lang w:val="sq-AL"/>
        </w:rPr>
        <w:t>EUR</w:t>
      </w:r>
      <w:r w:rsidRPr="007D2ABF">
        <w:rPr>
          <w:lang w:val="sq-AL"/>
        </w:rPr>
        <w:t xml:space="preserve"> që ishte një vit më parë (2020).</w:t>
      </w:r>
      <w:r w:rsidRPr="007D2ABF">
        <w:t xml:space="preserve"> Kjo situate u ndikua kryesisht nga </w:t>
      </w:r>
      <w:r w:rsidRPr="007D2ABF">
        <w:rPr>
          <w:lang w:val="sq-AL"/>
        </w:rPr>
        <w:t>Investimet e huaja direkte dhe të hyrat nga shërbimet të lidhura përgjithësisht me Turizmin, duke shënuar rritje vjetore</w:t>
      </w:r>
      <w:r>
        <w:rPr>
          <w:lang w:val="sq-AL"/>
        </w:rPr>
        <w:t xml:space="preserve"> respektivisht</w:t>
      </w:r>
      <w:r w:rsidRPr="007D2ABF">
        <w:rPr>
          <w:lang w:val="sq-AL"/>
        </w:rPr>
        <w:t xml:space="preserve"> me 8% dhe 93.5%, krahasuar me vitin 2020.  </w:t>
      </w:r>
    </w:p>
    <w:p w:rsidR="00757148" w:rsidRDefault="00243DA8" w:rsidP="00243DA8">
      <w:pPr>
        <w:rPr>
          <w:lang w:val="sq-AL"/>
        </w:rPr>
      </w:pPr>
      <w:r w:rsidRPr="007D2ABF">
        <w:rPr>
          <w:b/>
          <w:lang w:val="sq-AL"/>
        </w:rPr>
        <w:t>Të ardhurat totale</w:t>
      </w:r>
      <w:r w:rsidRPr="007D2ABF">
        <w:rPr>
          <w:lang w:val="sq-AL"/>
        </w:rPr>
        <w:t xml:space="preserve"> të buxhetit të konsoliduar për vitin 2021 ishin 510.95 miliardë lekë (27% e PBB-së), ose rreth 20</w:t>
      </w:r>
      <w:r>
        <w:rPr>
          <w:lang w:val="sq-AL"/>
        </w:rPr>
        <w:t xml:space="preserve">% më shumë se një vit më parë. </w:t>
      </w:r>
      <w:r w:rsidRPr="007D2ABF">
        <w:rPr>
          <w:lang w:val="sq-AL"/>
        </w:rPr>
        <w:t xml:space="preserve">Në terma nominalë, </w:t>
      </w:r>
      <w:r w:rsidRPr="007D2ABF">
        <w:rPr>
          <w:b/>
          <w:lang w:val="sq-AL"/>
        </w:rPr>
        <w:t>shpenzimet e përgjithshme</w:t>
      </w:r>
      <w:r w:rsidRPr="007D2ABF">
        <w:rPr>
          <w:lang w:val="sq-AL"/>
        </w:rPr>
        <w:t xml:space="preserve"> publike gjatë vitit 2021 ishin 596.28 miliardë lekë (31.5% e PBB-së), ose rreth 11</w:t>
      </w:r>
      <w:r>
        <w:rPr>
          <w:lang w:val="sq-AL"/>
        </w:rPr>
        <w:t xml:space="preserve">.2% më shumë se në vitin 2020. </w:t>
      </w:r>
      <w:r w:rsidRPr="007D2ABF">
        <w:rPr>
          <w:b/>
          <w:lang w:val="sq-AL"/>
        </w:rPr>
        <w:t>Deficiti fiskal</w:t>
      </w:r>
      <w:r w:rsidRPr="007D2ABF">
        <w:rPr>
          <w:lang w:val="sq-AL"/>
        </w:rPr>
        <w:t xml:space="preserve"> në 2021 arriti në 4.5% të PBB-së, nga një mesatare prej afro 3.4% në tre vitet e mëparshme, por megjithatë rezultoi më i ulët se sa kufiri ligjor prej 8.4% e PBB-së, ndërsa borxhi publik arriti nivelin prej 73.2% të PBB-së, në rënie me pothuaj 1.3 pikë përqindje nga viti 2020. Sidoqoftë, borxhi publik rezultoi më i ulët se sa pritshmëritë fillestare </w:t>
      </w:r>
      <w:r>
        <w:rPr>
          <w:lang w:val="sq-AL"/>
        </w:rPr>
        <w:t>(</w:t>
      </w:r>
      <w:r w:rsidRPr="007D2ABF">
        <w:rPr>
          <w:lang w:val="sq-AL"/>
        </w:rPr>
        <w:t>78.1%</w:t>
      </w:r>
      <w:r>
        <w:rPr>
          <w:lang w:val="sq-AL"/>
        </w:rPr>
        <w:t>)</w:t>
      </w:r>
      <w:r w:rsidR="00426D6A" w:rsidRPr="00476D2E">
        <w:rPr>
          <w:lang w:val="sq-AL"/>
        </w:rPr>
        <w:t>.</w:t>
      </w:r>
    </w:p>
    <w:p w:rsidR="008F6F59" w:rsidRPr="00476D2E" w:rsidRDefault="008F6F59" w:rsidP="008F6F59">
      <w:pPr>
        <w:pStyle w:val="Caption"/>
        <w:keepNext/>
        <w:spacing w:after="0"/>
        <w:rPr>
          <w:rFonts w:cs="Calibri"/>
          <w:lang w:val="sq-AL"/>
        </w:rPr>
      </w:pPr>
      <w:bookmarkStart w:id="4" w:name="_Toc104984020"/>
      <w:r w:rsidRPr="00476D2E">
        <w:rPr>
          <w:rFonts w:cs="Calibri"/>
          <w:lang w:val="sq-AL"/>
        </w:rPr>
        <w:lastRenderedPageBreak/>
        <w:t xml:space="preserve">Grafiku </w:t>
      </w:r>
      <w:r w:rsidRPr="00476D2E">
        <w:rPr>
          <w:rFonts w:cs="Calibri"/>
          <w:noProof/>
          <w:lang w:val="sq-AL"/>
        </w:rPr>
        <w:fldChar w:fldCharType="begin"/>
      </w:r>
      <w:r w:rsidRPr="00476D2E">
        <w:rPr>
          <w:rFonts w:cs="Calibri"/>
          <w:noProof/>
          <w:lang w:val="sq-AL"/>
        </w:rPr>
        <w:instrText xml:space="preserve"> SEQ Grafiku \* ARABIC </w:instrText>
      </w:r>
      <w:r w:rsidRPr="00476D2E">
        <w:rPr>
          <w:rFonts w:cs="Calibri"/>
          <w:noProof/>
          <w:lang w:val="sq-AL"/>
        </w:rPr>
        <w:fldChar w:fldCharType="separate"/>
      </w:r>
      <w:r w:rsidR="00FE66EC">
        <w:rPr>
          <w:rFonts w:cs="Calibri"/>
          <w:noProof/>
          <w:lang w:val="sq-AL"/>
        </w:rPr>
        <w:t>1</w:t>
      </w:r>
      <w:r w:rsidRPr="00476D2E">
        <w:rPr>
          <w:rFonts w:cs="Calibri"/>
          <w:noProof/>
          <w:lang w:val="sq-AL"/>
        </w:rPr>
        <w:fldChar w:fldCharType="end"/>
      </w:r>
      <w:r w:rsidRPr="00476D2E">
        <w:rPr>
          <w:rFonts w:cs="Calibri"/>
          <w:lang w:val="sq-AL"/>
        </w:rPr>
        <w:t xml:space="preserve"> Shpenzimet e përgjithshme publike ndaj PBB-së</w:t>
      </w:r>
      <w:r w:rsidR="00757148" w:rsidRPr="00476D2E">
        <w:rPr>
          <w:rFonts w:cs="Calibri"/>
          <w:lang w:val="sq-AL"/>
        </w:rPr>
        <w:t xml:space="preserve"> (në miliardë lekë)</w:t>
      </w:r>
      <w:bookmarkEnd w:id="4"/>
    </w:p>
    <w:p w:rsidR="008F6F59" w:rsidRPr="00476D2E" w:rsidRDefault="00EE6F52" w:rsidP="008F6F59">
      <w:pPr>
        <w:jc w:val="center"/>
        <w:rPr>
          <w:rFonts w:cs="Calibri"/>
          <w:lang w:val="sq-AL"/>
        </w:rPr>
      </w:pPr>
      <w:r w:rsidRPr="0075589E">
        <w:rPr>
          <w:noProof/>
        </w:rPr>
        <w:drawing>
          <wp:inline distT="0" distB="0" distL="0" distR="0" wp14:anchorId="5DB56DF3" wp14:editId="1447F7A5">
            <wp:extent cx="6423660" cy="1424940"/>
            <wp:effectExtent l="0" t="0" r="15240" b="381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F6F59" w:rsidRPr="00EE6F52" w:rsidRDefault="000661E2" w:rsidP="000661E2">
      <w:pPr>
        <w:spacing w:before="0"/>
        <w:ind w:firstLine="720"/>
        <w:rPr>
          <w:rFonts w:cs="Calibri"/>
          <w:i/>
          <w:sz w:val="18"/>
          <w:lang w:val="sq-AL"/>
        </w:rPr>
      </w:pPr>
      <w:r w:rsidRPr="00EE6F52">
        <w:rPr>
          <w:rFonts w:cs="Calibri"/>
          <w:i/>
          <w:sz w:val="18"/>
          <w:lang w:val="sq-AL"/>
        </w:rPr>
        <w:t>Burimi: Ministria e Financave dhe Ekonomisë (2022)</w:t>
      </w:r>
    </w:p>
    <w:p w:rsidR="00757148" w:rsidRPr="00476D2E" w:rsidRDefault="00243DA8" w:rsidP="00426D6A">
      <w:pPr>
        <w:rPr>
          <w:lang w:val="sq-AL"/>
        </w:rPr>
      </w:pPr>
      <w:bookmarkStart w:id="5" w:name="_Toc10033257"/>
      <w:bookmarkStart w:id="6" w:name="_Toc10721394"/>
      <w:r w:rsidRPr="00476D2E">
        <w:rPr>
          <w:b/>
          <w:lang w:val="sq-AL"/>
        </w:rPr>
        <w:t>Huamarrja</w:t>
      </w:r>
      <w:r w:rsidRPr="00476D2E">
        <w:rPr>
          <w:lang w:val="sq-AL"/>
        </w:rPr>
        <w:t xml:space="preserve"> </w:t>
      </w:r>
      <w:r w:rsidRPr="00087602">
        <w:rPr>
          <w:lang w:val="sq-AL"/>
        </w:rPr>
        <w:t xml:space="preserve">u realizua kryesisht nëpërmjet burimeve të huaja, në nivelin prej 5.5% ndaj PBB-së. Borxhi publik neto për vitin 2021 ishte 1,310.3 miliardë lekë, ose 69.3% e PBB-së, në rënie nga 74% e PBB-së </w:t>
      </w:r>
      <w:r>
        <w:rPr>
          <w:lang w:val="sq-AL"/>
        </w:rPr>
        <w:t>p</w:t>
      </w:r>
      <w:r w:rsidRPr="00087602">
        <w:rPr>
          <w:lang w:val="sq-AL"/>
        </w:rPr>
        <w:t>ë</w:t>
      </w:r>
      <w:r>
        <w:rPr>
          <w:lang w:val="sq-AL"/>
        </w:rPr>
        <w:t>r</w:t>
      </w:r>
      <w:r w:rsidRPr="00087602">
        <w:rPr>
          <w:lang w:val="sq-AL"/>
        </w:rPr>
        <w:t xml:space="preserve"> vitin 2020. Stoku bruto i borxhit që përfshin dhe likuiditetin për financimin e borxhit ndaj PBB-së gjithashtu u rrit, duke arritur</w:t>
      </w:r>
      <w:r>
        <w:rPr>
          <w:lang w:val="sq-AL"/>
        </w:rPr>
        <w:t xml:space="preserve"> nivelin</w:t>
      </w:r>
      <w:r w:rsidRPr="00087602">
        <w:rPr>
          <w:lang w:val="sq-AL"/>
        </w:rPr>
        <w:t xml:space="preserve"> 77% </w:t>
      </w:r>
      <w:r>
        <w:rPr>
          <w:lang w:val="sq-AL"/>
        </w:rPr>
        <w:t>e PBB-së</w:t>
      </w:r>
      <w:r w:rsidRPr="00087602">
        <w:rPr>
          <w:lang w:val="sq-AL"/>
        </w:rPr>
        <w:t>, në rritje me pothuaj 12.9 pikë përqindje nga viti 2020, por megjithatë edhe ky parametër rezultoi më i ulët se sa pritshmëritë fillestare prej rreth 80%</w:t>
      </w:r>
      <w:r w:rsidR="00EE6F52">
        <w:rPr>
          <w:lang w:val="sq-AL"/>
        </w:rPr>
        <w:t>.</w:t>
      </w:r>
    </w:p>
    <w:p w:rsidR="002A00BD" w:rsidRPr="00476D2E" w:rsidRDefault="002A00BD" w:rsidP="0048642D">
      <w:pPr>
        <w:rPr>
          <w:rFonts w:cs="Calibri"/>
          <w:lang w:val="sq-AL"/>
        </w:rPr>
      </w:pPr>
    </w:p>
    <w:p w:rsidR="007F44B9" w:rsidRPr="00F21132" w:rsidRDefault="0048642D" w:rsidP="00CC50CE">
      <w:pPr>
        <w:pStyle w:val="Heading1"/>
        <w:numPr>
          <w:ilvl w:val="0"/>
          <w:numId w:val="3"/>
        </w:numPr>
        <w:spacing w:before="0" w:after="240"/>
        <w:ind w:left="714" w:hanging="357"/>
        <w:rPr>
          <w:rFonts w:ascii="Calibri" w:hAnsi="Calibri" w:cs="Calibri"/>
          <w:b/>
          <w:lang w:val="sq-AL"/>
        </w:rPr>
      </w:pPr>
      <w:r w:rsidRPr="00476D2E">
        <w:rPr>
          <w:rFonts w:ascii="Calibri" w:eastAsiaTheme="minorEastAsia" w:hAnsi="Calibri" w:cs="Calibri"/>
          <w:color w:val="auto"/>
          <w:sz w:val="24"/>
          <w:szCs w:val="22"/>
          <w:lang w:val="sq-AL"/>
        </w:rPr>
        <w:t xml:space="preserve"> </w:t>
      </w:r>
      <w:bookmarkStart w:id="7" w:name="_Toc104980310"/>
      <w:r w:rsidR="008B6B58" w:rsidRPr="00F21132">
        <w:rPr>
          <w:rFonts w:ascii="Calibri" w:hAnsi="Calibri" w:cs="Calibri"/>
          <w:b/>
          <w:lang w:val="sq-AL"/>
        </w:rPr>
        <w:t>PASQYRË E ZHVILLIMEVE MAKROEKONOMIK</w:t>
      </w:r>
      <w:bookmarkEnd w:id="5"/>
      <w:bookmarkEnd w:id="6"/>
      <w:r w:rsidR="00DB689F" w:rsidRPr="00F21132">
        <w:rPr>
          <w:rFonts w:ascii="Calibri" w:hAnsi="Calibri" w:cs="Calibri"/>
          <w:b/>
          <w:lang w:val="sq-AL"/>
        </w:rPr>
        <w:t>E</w:t>
      </w:r>
      <w:bookmarkEnd w:id="7"/>
    </w:p>
    <w:p w:rsidR="007F44B9" w:rsidRPr="00476D2E" w:rsidRDefault="007F44B9" w:rsidP="00CC50CE">
      <w:pPr>
        <w:pStyle w:val="Fiskale2"/>
        <w:rPr>
          <w:rFonts w:ascii="Calibri" w:hAnsi="Calibri" w:cs="Calibri"/>
        </w:rPr>
      </w:pPr>
      <w:bookmarkStart w:id="8" w:name="_Toc515271224"/>
      <w:bookmarkStart w:id="9" w:name="_Toc10033258"/>
      <w:bookmarkStart w:id="10" w:name="_Toc10721395"/>
      <w:bookmarkStart w:id="11" w:name="_Toc104980311"/>
      <w:r w:rsidRPr="00476D2E">
        <w:rPr>
          <w:rFonts w:ascii="Calibri" w:hAnsi="Calibri" w:cs="Calibri"/>
        </w:rPr>
        <w:t>Zhvillimet e fundit ekonomike</w:t>
      </w:r>
      <w:bookmarkEnd w:id="8"/>
      <w:bookmarkEnd w:id="9"/>
      <w:bookmarkEnd w:id="10"/>
      <w:bookmarkEnd w:id="11"/>
      <w:r w:rsidRPr="00476D2E">
        <w:rPr>
          <w:rFonts w:ascii="Calibri" w:hAnsi="Calibri" w:cs="Calibri"/>
        </w:rPr>
        <w:t xml:space="preserve"> </w:t>
      </w:r>
    </w:p>
    <w:p w:rsidR="007F44B9" w:rsidRPr="00476D2E" w:rsidRDefault="007F44B9" w:rsidP="00B77671">
      <w:pPr>
        <w:pStyle w:val="fiskale3"/>
        <w:rPr>
          <w:rFonts w:ascii="Calibri" w:hAnsi="Calibri" w:cs="Calibri"/>
        </w:rPr>
      </w:pPr>
      <w:bookmarkStart w:id="12" w:name="_Toc104980312"/>
      <w:r w:rsidRPr="00476D2E">
        <w:rPr>
          <w:rFonts w:ascii="Calibri" w:hAnsi="Calibri" w:cs="Calibri"/>
        </w:rPr>
        <w:t>Sektori real</w:t>
      </w:r>
      <w:bookmarkEnd w:id="12"/>
    </w:p>
    <w:p w:rsidR="00243DA8" w:rsidRPr="005650DF" w:rsidRDefault="00243DA8" w:rsidP="00243DA8">
      <w:pPr>
        <w:spacing w:before="0" w:after="120"/>
        <w:rPr>
          <w:rFonts w:cs="Calibri"/>
          <w:lang w:val="sq-AL"/>
        </w:rPr>
      </w:pPr>
      <w:r w:rsidRPr="008E4C53">
        <w:t>Për vitin 2021, rritja ekonomike rezultoi 8.54%. Kjo rritje ishte e shpërndarë në të gjithë sektorët e ekonomisë, ku ndikimin kryesor e ka pasur sektori i ndërtimit me 1.75 pikë përqindje, ndërkohë që tregtia ka pasur gjithashtu një kontribut të lartë pozitiv në rritje me 1.66 pikë përqindje dhe Industria me 1.48 pikë përqindje.</w:t>
      </w:r>
      <w:r w:rsidRPr="008E4C53">
        <w:rPr>
          <w:rFonts w:cs="Calibri"/>
          <w:lang w:val="sq-AL"/>
        </w:rPr>
        <w:t xml:space="preserve"> N</w:t>
      </w:r>
      <w:r w:rsidRPr="008E4C53">
        <w:t>dërkohë që sipas metodës së shpenzimeve, rritja ka ardhur si nga treguesit e konsumit final të popullatës, i cili ka pasur një kontribut me 4.4 pikë përqindje në këtë rritje, ashtu edhe nga Formimi Bruto i Kapitalit Fiks (Investimet) me një kontribut prej 4.53 pikë përqindje. Pra si investimet, ashtu edhe konsumi, kanë rezultuar me rritje gjatë vitit 2021.</w:t>
      </w:r>
    </w:p>
    <w:p w:rsidR="00243DA8" w:rsidRPr="008E4C53" w:rsidRDefault="00243DA8" w:rsidP="00243DA8">
      <w:pPr>
        <w:spacing w:after="120"/>
      </w:pPr>
      <w:r w:rsidRPr="008E4C53">
        <w:t>Rishikimi i projeksioneve për rritjen nominale të rritjes ekonomike ka sjellë në rishikim dhe të treguesve kryesorë të borxhit dhe të deficitit, kur për vitin 2021 treguesi i borxhit shënoi nivelin 73.2% të GDP-së, nga 78.1% që ishte sipas parashikimeve të Ministrisë së Financave dhe Ekonomisë dhe treguesi i deficitit shënoi nivelin 4.5% nga 4.8% që ishte në parashikimet fillestare.</w:t>
      </w:r>
    </w:p>
    <w:p w:rsidR="00A664DE" w:rsidRDefault="00243DA8" w:rsidP="00243DA8">
      <w:pPr>
        <w:spacing w:before="240"/>
        <w:contextualSpacing/>
        <w:rPr>
          <w:rFonts w:cs="Calibri"/>
          <w:lang w:val="sq-AL"/>
        </w:rPr>
      </w:pPr>
      <w:r w:rsidRPr="008E4C53">
        <w:t>Ecuria pozitive e aktivitetit ekonomik gjatë vitit të kaluar është mbështetur edhe nga punësimi, ku papunësia është ulur në tremujorin e fundit të vitit 2021 në 11.4%, ndërsa shkalla e punësimit është rritur dhe ka arritur në 53.5% për popullsinë mbi 15 vjeç.</w:t>
      </w:r>
      <w:r>
        <w:t xml:space="preserve"> </w:t>
      </w:r>
      <w:r w:rsidRPr="008E4C53">
        <w:t>Gjithashtu, edhe paga mesatare ka pësuar rritje me 8% në krahasim me një vit më parë, duke rezultuar në 59.565 lekë në fund të vitit 2021</w:t>
      </w:r>
      <w:r w:rsidR="00A664DE" w:rsidRPr="00476D2E">
        <w:rPr>
          <w:rFonts w:cs="Calibri"/>
          <w:lang w:val="sq-AL"/>
        </w:rPr>
        <w:t>.</w:t>
      </w:r>
    </w:p>
    <w:p w:rsidR="00F1402E" w:rsidRPr="00476D2E" w:rsidRDefault="00F1402E" w:rsidP="00243DA8">
      <w:pPr>
        <w:spacing w:before="240"/>
        <w:contextualSpacing/>
        <w:rPr>
          <w:rFonts w:cs="Calibri"/>
          <w:lang w:val="sq-AL"/>
        </w:rPr>
      </w:pPr>
    </w:p>
    <w:p w:rsidR="007F44B9" w:rsidRPr="00476D2E" w:rsidRDefault="007F44B9" w:rsidP="002A00BD">
      <w:pPr>
        <w:pStyle w:val="fiskale3"/>
        <w:spacing w:before="0"/>
        <w:rPr>
          <w:rFonts w:ascii="Calibri" w:hAnsi="Calibri" w:cs="Calibri"/>
        </w:rPr>
      </w:pPr>
      <w:bookmarkStart w:id="13" w:name="_Toc104980313"/>
      <w:r w:rsidRPr="00476D2E">
        <w:rPr>
          <w:rFonts w:ascii="Calibri" w:hAnsi="Calibri" w:cs="Calibri"/>
        </w:rPr>
        <w:t>Sektori monetar</w:t>
      </w:r>
      <w:bookmarkEnd w:id="13"/>
    </w:p>
    <w:p w:rsidR="00243DA8" w:rsidRPr="007D7531" w:rsidRDefault="00243DA8" w:rsidP="00243DA8">
      <w:pPr>
        <w:spacing w:before="0"/>
        <w:rPr>
          <w:rFonts w:cs="Calibri"/>
          <w:lang w:val="sq-AL"/>
        </w:rPr>
      </w:pPr>
      <w:r w:rsidRPr="007D7531">
        <w:rPr>
          <w:rFonts w:cs="Calibri"/>
          <w:lang w:val="sq-AL"/>
        </w:rPr>
        <w:t>Gjatë vitit 2021, inflacioni mesatar rezultoi</w:t>
      </w:r>
      <w:r w:rsidR="00F1402E">
        <w:rPr>
          <w:rFonts w:cs="Calibri"/>
          <w:lang w:val="sq-AL"/>
        </w:rPr>
        <w:t xml:space="preserve"> 2%, ndërkohë inflacioni i fund</w:t>
      </w:r>
      <w:r w:rsidRPr="007D7531">
        <w:rPr>
          <w:rFonts w:cs="Calibri"/>
          <w:lang w:val="sq-AL"/>
        </w:rPr>
        <w:t xml:space="preserve">vitit rezultoi 3.7%. Nga tërësia e mallrave dhe shërbimeve që përbëjnë shportën e konsumit, ato </w:t>
      </w:r>
      <w:r w:rsidR="00F1402E">
        <w:rPr>
          <w:rFonts w:cs="Calibri"/>
          <w:lang w:val="sq-AL"/>
        </w:rPr>
        <w:t>që</w:t>
      </w:r>
      <w:r w:rsidRPr="007D7531">
        <w:rPr>
          <w:rFonts w:cs="Calibri"/>
          <w:lang w:val="sq-AL"/>
        </w:rPr>
        <w:t xml:space="preserve"> </w:t>
      </w:r>
      <w:r w:rsidR="00F1402E">
        <w:rPr>
          <w:rFonts w:cs="Calibri"/>
          <w:lang w:val="sq-AL"/>
        </w:rPr>
        <w:t xml:space="preserve">ndikuan më tepër në </w:t>
      </w:r>
      <w:r w:rsidRPr="007D7531">
        <w:rPr>
          <w:rFonts w:cs="Calibri"/>
          <w:lang w:val="sq-AL"/>
        </w:rPr>
        <w:t>inflacionin</w:t>
      </w:r>
      <w:r w:rsidRPr="007D7531">
        <w:rPr>
          <w:rFonts w:cs="Calibri"/>
          <w:szCs w:val="22"/>
          <w:lang w:val="sq-AL"/>
        </w:rPr>
        <w:t xml:space="preserve"> e përgjithshëm ishin: </w:t>
      </w:r>
    </w:p>
    <w:p w:rsidR="00243DA8" w:rsidRPr="002A00BD" w:rsidRDefault="00243DA8" w:rsidP="00243DA8">
      <w:pPr>
        <w:pStyle w:val="ListParagraph"/>
        <w:numPr>
          <w:ilvl w:val="0"/>
          <w:numId w:val="35"/>
        </w:numPr>
        <w:spacing w:before="0" w:line="240" w:lineRule="auto"/>
        <w:ind w:left="540" w:hanging="180"/>
        <w:rPr>
          <w:rFonts w:cs="Calibri"/>
          <w:i/>
          <w:sz w:val="20"/>
          <w:lang w:val="sq-AL"/>
        </w:rPr>
      </w:pPr>
      <w:r w:rsidRPr="002A00BD">
        <w:rPr>
          <w:rFonts w:cs="Calibri"/>
          <w:i/>
          <w:sz w:val="20"/>
          <w:lang w:val="sq-AL"/>
        </w:rPr>
        <w:t>“Ushqime dhe pije joalkolike” me rritje vjetore të çmimit prej +6.4%, duke kontribuar me +2.22 pikë përqindje në inflacionin e përgjithshëm prej +3.7%.</w:t>
      </w:r>
    </w:p>
    <w:p w:rsidR="00243DA8" w:rsidRPr="002A00BD" w:rsidRDefault="00243DA8" w:rsidP="00243DA8">
      <w:pPr>
        <w:pStyle w:val="ListParagraph"/>
        <w:numPr>
          <w:ilvl w:val="0"/>
          <w:numId w:val="35"/>
        </w:numPr>
        <w:spacing w:before="0" w:line="240" w:lineRule="auto"/>
        <w:ind w:left="540" w:hanging="180"/>
        <w:rPr>
          <w:rFonts w:cs="Calibri"/>
          <w:i/>
          <w:sz w:val="20"/>
          <w:lang w:val="sq-AL"/>
        </w:rPr>
      </w:pPr>
      <w:r w:rsidRPr="002A00BD">
        <w:rPr>
          <w:rFonts w:cs="Calibri"/>
          <w:i/>
          <w:sz w:val="20"/>
          <w:lang w:val="sq-AL"/>
        </w:rPr>
        <w:t xml:space="preserve">“Transport” me rritje vjetore të çmimit prej +9.0%, duke kontribuar me +0.48 pikë përqindje në inflacionin e përgjithshëm prej +3.7%. </w:t>
      </w:r>
    </w:p>
    <w:p w:rsidR="00243DA8" w:rsidRPr="002A00BD" w:rsidRDefault="00243DA8" w:rsidP="00243DA8">
      <w:pPr>
        <w:pStyle w:val="ListParagraph"/>
        <w:numPr>
          <w:ilvl w:val="0"/>
          <w:numId w:val="35"/>
        </w:numPr>
        <w:spacing w:before="0" w:line="240" w:lineRule="auto"/>
        <w:ind w:left="540" w:hanging="180"/>
        <w:rPr>
          <w:rFonts w:cs="Calibri"/>
          <w:i/>
          <w:sz w:val="20"/>
          <w:lang w:val="sq-AL"/>
        </w:rPr>
      </w:pPr>
      <w:r w:rsidRPr="002A00BD">
        <w:rPr>
          <w:rFonts w:cs="Calibri"/>
          <w:i/>
          <w:sz w:val="20"/>
          <w:lang w:val="sq-AL"/>
        </w:rPr>
        <w:lastRenderedPageBreak/>
        <w:t>”Komunikim”, me rritje vjetore +3.3%, duke kontribuar me +0.1 pikë përqindje në inflacionin e përgjithshëm prej +3.7%.</w:t>
      </w:r>
    </w:p>
    <w:p w:rsidR="00243DA8" w:rsidRPr="002A00BD" w:rsidRDefault="00243DA8" w:rsidP="00243DA8">
      <w:pPr>
        <w:pStyle w:val="ListParagraph"/>
        <w:numPr>
          <w:ilvl w:val="0"/>
          <w:numId w:val="35"/>
        </w:numPr>
        <w:spacing w:before="0" w:line="240" w:lineRule="auto"/>
        <w:ind w:left="540" w:hanging="180"/>
        <w:rPr>
          <w:rFonts w:cs="Calibri"/>
          <w:i/>
          <w:sz w:val="20"/>
          <w:lang w:val="sq-AL"/>
        </w:rPr>
      </w:pPr>
      <w:r w:rsidRPr="002A00BD">
        <w:rPr>
          <w:rFonts w:cs="Calibri"/>
          <w:i/>
          <w:sz w:val="20"/>
          <w:lang w:val="sq-AL"/>
        </w:rPr>
        <w:t>“Hotele, kafene dhe restorante” ka pёsuar rritje vjetore të çmimit prej +3.3%, duke kontribuar me +0.13 pikë përqindje në inflacionin e përgjithshëm prej +3.7%.</w:t>
      </w:r>
    </w:p>
    <w:p w:rsidR="00243DA8" w:rsidRPr="002A00BD" w:rsidRDefault="00243DA8" w:rsidP="00243DA8">
      <w:pPr>
        <w:pStyle w:val="ListParagraph"/>
        <w:numPr>
          <w:ilvl w:val="0"/>
          <w:numId w:val="35"/>
        </w:numPr>
        <w:spacing w:before="0" w:line="240" w:lineRule="auto"/>
        <w:ind w:left="540" w:hanging="180"/>
        <w:rPr>
          <w:rFonts w:cs="Calibri"/>
          <w:i/>
          <w:sz w:val="20"/>
          <w:lang w:val="sq-AL"/>
        </w:rPr>
      </w:pPr>
      <w:r w:rsidRPr="002A00BD">
        <w:rPr>
          <w:rFonts w:cs="Calibri"/>
          <w:i/>
          <w:sz w:val="20"/>
          <w:lang w:val="sq-AL"/>
        </w:rPr>
        <w:t>“Pije alkolike dhe duhan” me rritje vjetore të çmimit prej +2.1%, duke kontribuar me +0.08 pikë përqindje në inflacionin e përgjithshëm prej +3.7%.</w:t>
      </w:r>
    </w:p>
    <w:p w:rsidR="00D71DB3" w:rsidRPr="00476D2E" w:rsidRDefault="00243DA8" w:rsidP="00243DA8">
      <w:pPr>
        <w:spacing w:before="240"/>
        <w:rPr>
          <w:rFonts w:cs="Calibri"/>
          <w:lang w:val="sq-AL"/>
        </w:rPr>
      </w:pPr>
      <w:r w:rsidRPr="007D7531">
        <w:rPr>
          <w:rFonts w:cs="Calibri"/>
          <w:lang w:val="sq-AL"/>
        </w:rPr>
        <w:t xml:space="preserve">Në vitin 2021, </w:t>
      </w:r>
      <w:r w:rsidRPr="007D7531">
        <w:rPr>
          <w:rFonts w:cs="Calibri"/>
          <w:i/>
          <w:lang w:val="sq-AL"/>
        </w:rPr>
        <w:t>stoku total i kredive bankare</w:t>
      </w:r>
      <w:r w:rsidRPr="007D7531">
        <w:rPr>
          <w:rFonts w:cs="Calibri"/>
          <w:lang w:val="sq-AL"/>
        </w:rPr>
        <w:t xml:space="preserve"> pati një rritje me 9.5% krahasuar me vitin 2020. Stoku i kredive në lekë shënoi rritje prej 8.5%, ndërsa ai në valutë rritje prej 10.7%, krahasuar me muajin dhjetor të vitit të kaluar. Pjesa më e madhe e kontributit në rritjen e stokut total të kredisë gjatë kësaj periudhe ka ardhur prej kredive akorduar bizneseve. Stoku i kredive akorduar bizneseve jo-financiare (private dhe publike) për muajin dhjetor 2021 shënoi një rritje me 8.3%. Kredia vetëm për bizneset private jo-financiare u rrit me 6.7%, duke kontribuar pozitivisht me 4.1 pikë </w:t>
      </w:r>
      <w:r>
        <w:rPr>
          <w:rFonts w:cs="Calibri"/>
          <w:lang w:val="sq-AL"/>
        </w:rPr>
        <w:t>përqind</w:t>
      </w:r>
      <w:r w:rsidRPr="007D7531">
        <w:rPr>
          <w:rFonts w:cs="Calibri"/>
          <w:lang w:val="sq-AL"/>
        </w:rPr>
        <w:t xml:space="preserve">je në ndryshimin e stokut total të kredisë. Ndërsa, stoku i kredive akorduar bizneseve publike jo-financiare për muajin dhjetor të vitit 2021 ka shënuar rënie me 48.7%, krahasuar me dhjetorin e vitit 2020, me kontribut pozitiv prej 1.2 pikë </w:t>
      </w:r>
      <w:r>
        <w:rPr>
          <w:rFonts w:cs="Calibri"/>
          <w:lang w:val="sq-AL"/>
        </w:rPr>
        <w:t>përqind</w:t>
      </w:r>
      <w:r w:rsidRPr="007D7531">
        <w:rPr>
          <w:rFonts w:cs="Calibri"/>
          <w:lang w:val="sq-AL"/>
        </w:rPr>
        <w:t xml:space="preserve">je. Stoku i kredive akorduar individëve deri në muajin dhjetor të vitit 2021, ka shënuar rritje prej 12.1%, krahasuar me dhjetorin e vitit 2020, duke kontribuar pozitivisht në ndryshimin e stokut total të kredisë me 4.2 pikë </w:t>
      </w:r>
      <w:r>
        <w:rPr>
          <w:rFonts w:cs="Calibri"/>
          <w:lang w:val="sq-AL"/>
        </w:rPr>
        <w:t>përqind</w:t>
      </w:r>
      <w:r w:rsidRPr="007D7531">
        <w:rPr>
          <w:rFonts w:cs="Calibri"/>
          <w:lang w:val="sq-AL"/>
        </w:rPr>
        <w:t>je. Raporti i kredive me probleme zbriti në nivelin 5.65% në muajin dhjetor, duke pasqyruar masat konkrete të ndërmarra nga Banka e Shqipërisë për reduktimin e tyre, si dhe përmirësimin e ambientit ekonomik dhe të gjendj</w:t>
      </w:r>
      <w:r>
        <w:rPr>
          <w:rFonts w:cs="Calibri"/>
          <w:lang w:val="sq-AL"/>
        </w:rPr>
        <w:t xml:space="preserve">es financiare të kredimarrësve. </w:t>
      </w:r>
      <w:r w:rsidRPr="007D7531">
        <w:rPr>
          <w:rFonts w:cs="Calibri"/>
          <w:i/>
          <w:lang w:val="sq-AL"/>
        </w:rPr>
        <w:t>Monedha shqiptare</w:t>
      </w:r>
      <w:r w:rsidRPr="007D7531">
        <w:rPr>
          <w:rFonts w:cs="Calibri"/>
          <w:lang w:val="sq-AL"/>
        </w:rPr>
        <w:t xml:space="preserve"> ka vijuar të ketë një kurs këmbimi përgjithësisht të stabilizuar kundrejt valutave kryesore në tregun e këmbimit valutor. Pёrgjatё vitit 2021, kursi i këmbimit Lek/</w:t>
      </w:r>
      <w:r>
        <w:rPr>
          <w:rFonts w:cs="Calibri"/>
          <w:lang w:val="sq-AL"/>
        </w:rPr>
        <w:t>EUR</w:t>
      </w:r>
      <w:r w:rsidRPr="007D7531">
        <w:rPr>
          <w:rFonts w:cs="Calibri"/>
          <w:lang w:val="sq-AL"/>
        </w:rPr>
        <w:t xml:space="preserve"> shënoi mesatarisht në nivelin 122.46, ndërsa kursi ndaj dollarit Lek/Dollar arriti në 103.52</w:t>
      </w:r>
      <w:r w:rsidR="00A664DE" w:rsidRPr="00476D2E">
        <w:rPr>
          <w:rFonts w:cs="Calibri"/>
          <w:lang w:val="sq-AL"/>
        </w:rPr>
        <w:t xml:space="preserve">. </w:t>
      </w:r>
    </w:p>
    <w:p w:rsidR="00D71DB3" w:rsidRPr="002A00BD" w:rsidRDefault="00D71DB3" w:rsidP="007F44B9">
      <w:pPr>
        <w:autoSpaceDE w:val="0"/>
        <w:autoSpaceDN w:val="0"/>
        <w:adjustRightInd w:val="0"/>
        <w:contextualSpacing/>
        <w:rPr>
          <w:rFonts w:cs="Calibri"/>
          <w:noProof/>
          <w:sz w:val="12"/>
          <w:lang w:val="sq-AL"/>
        </w:rPr>
      </w:pPr>
    </w:p>
    <w:p w:rsidR="007F44B9" w:rsidRPr="00476D2E" w:rsidRDefault="007F44B9" w:rsidP="00B77671">
      <w:pPr>
        <w:pStyle w:val="fiskale3"/>
        <w:rPr>
          <w:rFonts w:ascii="Calibri" w:hAnsi="Calibri" w:cs="Calibri"/>
        </w:rPr>
      </w:pPr>
      <w:bookmarkStart w:id="14" w:name="_Toc104980314"/>
      <w:r w:rsidRPr="00476D2E">
        <w:rPr>
          <w:rFonts w:ascii="Calibri" w:hAnsi="Calibri" w:cs="Calibri"/>
        </w:rPr>
        <w:t>Sektori i jashtëm</w:t>
      </w:r>
      <w:bookmarkEnd w:id="14"/>
    </w:p>
    <w:p w:rsidR="00243DA8" w:rsidRPr="004277F5" w:rsidRDefault="00243DA8" w:rsidP="00243DA8">
      <w:pPr>
        <w:spacing w:before="0"/>
        <w:rPr>
          <w:rFonts w:cs="Calibri"/>
          <w:lang w:val="sq-AL"/>
        </w:rPr>
      </w:pPr>
      <w:bookmarkStart w:id="15" w:name="_Toc515271225"/>
      <w:bookmarkStart w:id="16" w:name="_Toc10033259"/>
      <w:bookmarkStart w:id="17" w:name="_Toc10721396"/>
      <w:r w:rsidRPr="004277F5">
        <w:rPr>
          <w:rFonts w:cs="Calibri"/>
          <w:lang w:val="sq-AL"/>
        </w:rPr>
        <w:t>Eksportet për periudhёn janar - dhjetor 2021 shënuan rritje prej +35.6% krahasuar me një vit më parë, ndёrsa vetёm pёr muajin dhjetor 2021 eksportet shёnuan rritje prej +38.2% nё krahasim me muajin dhjetor 2020. Në dhjetor 2021, eksportet e mallrave arritën vlerën 31.90 mld lekë, duke u rritur me 38.2%, në krahasim me të njëjtën periudhë të një viti më parë dhe duke rënë me 14.49% në krahasim me nëntorin 2021. Për tërë vitin 2021 eksportet e mallrave arritën vlerën 368.77 mld lekë, duke u rritur me 35.6%, krahasuar me një vit më parë. Rritja vjetore e eksporteve prej 38.2%, këtë muaj është ndikuar kryesisht nga grupet: “Minerale, lëndë djegëse, energji elektrike” me +12.2 pikë përqindje dhe “Materiale ndërtimi dhe metale” me kontribut +7.1 pikë përqindje.</w:t>
      </w:r>
    </w:p>
    <w:p w:rsidR="00A664DE" w:rsidRPr="00476D2E" w:rsidRDefault="00243DA8" w:rsidP="00243DA8">
      <w:pPr>
        <w:tabs>
          <w:tab w:val="left" w:pos="6480"/>
        </w:tabs>
        <w:spacing w:before="0"/>
        <w:rPr>
          <w:rFonts w:cs="Calibri"/>
          <w:lang w:val="sq-AL"/>
        </w:rPr>
      </w:pPr>
      <w:r w:rsidRPr="004277F5">
        <w:rPr>
          <w:rFonts w:cs="Calibri"/>
          <w:lang w:val="sq-AL"/>
        </w:rPr>
        <w:t>Importet e mallrave për periudhёn janar – dhjetor 2021 shënuan rritje prej +32.3% krahasuar me një vit më parё, ndërsa vetëm për muajin dhjetor 2021 importet shënuan rritje vjetore prej +43.1% në krahasim me muajin dhjetor 2020. Në dhjetor 2021 importet e mallrave arritën vlerën 87.84 mld lekë, duke u rritur me 43.1%, në krahasim me një vit më parë dhe duke u rritur me 9.1%, në krahasim me nëntor 2021. Për tërë vitin 2021, importet e mallrave arritën vlerën 800.72 mld lekë, duke u rritur me 32.3%, krahasuar me një vit më parë. Rritja vjetore e importeve prej 43.1%, këtë muaj është ndikuar kryesisht nga grupet: “Minerale, lëndë djegëse, energji elektrike” me +18.7 pikë përqindje, “Produkte kimike dhe plastike” me kontribut +4.9 pikë përqindje, “Materiale ndërtimi dhe metale” me</w:t>
      </w:r>
      <w:r>
        <w:rPr>
          <w:rFonts w:cs="Calibri"/>
          <w:lang w:val="sq-AL"/>
        </w:rPr>
        <w:t xml:space="preserve"> kontribut +6.3 pikë përqindje. </w:t>
      </w:r>
      <w:r w:rsidRPr="00047BED">
        <w:rPr>
          <w:rFonts w:cs="Calibri"/>
          <w:lang w:val="sq-AL"/>
        </w:rPr>
        <w:t>Për vitin 2021, deficiti tregtar arriti vlerën 431.95mld lekë, duke u rritur me 29.6% krahasuar me të njëjtën periudhë të 2020.</w:t>
      </w:r>
      <w:r w:rsidRPr="00047BED">
        <w:t xml:space="preserve"> </w:t>
      </w:r>
      <w:r>
        <w:t>Ndërkohë, d</w:t>
      </w:r>
      <w:r w:rsidRPr="00047BED">
        <w:rPr>
          <w:rFonts w:cs="Calibri"/>
          <w:lang w:val="sq-AL"/>
        </w:rPr>
        <w:t xml:space="preserve">eficiti tregtar </w:t>
      </w:r>
      <w:r>
        <w:rPr>
          <w:rFonts w:cs="Calibri"/>
          <w:lang w:val="sq-AL"/>
        </w:rPr>
        <w:t xml:space="preserve">për </w:t>
      </w:r>
      <w:r w:rsidRPr="00047BED">
        <w:rPr>
          <w:rFonts w:cs="Calibri"/>
          <w:lang w:val="sq-AL"/>
        </w:rPr>
        <w:t>muaji</w:t>
      </w:r>
      <w:r>
        <w:rPr>
          <w:rFonts w:cs="Calibri"/>
          <w:lang w:val="sq-AL"/>
        </w:rPr>
        <w:t>n Dhjetor 2021</w:t>
      </w:r>
      <w:r w:rsidRPr="00047BED">
        <w:rPr>
          <w:rFonts w:cs="Calibri"/>
          <w:lang w:val="sq-AL"/>
        </w:rPr>
        <w:t xml:space="preserve"> është 55.94 mld lekë, duke u rritur me 46.1%, krahasuar me dhjetor 2020 dhe duke u përkeqësuar me 29.46%, në krahasim me nëntor 2021.</w:t>
      </w:r>
      <w:r>
        <w:rPr>
          <w:rFonts w:cs="Calibri"/>
          <w:lang w:val="sq-AL"/>
        </w:rPr>
        <w:t xml:space="preserve"> </w:t>
      </w:r>
      <w:r w:rsidRPr="004277F5">
        <w:rPr>
          <w:rFonts w:cs="Calibri"/>
          <w:szCs w:val="22"/>
          <w:lang w:val="sq-AL"/>
        </w:rPr>
        <w:t xml:space="preserve">Shkëmbimet tregtare, për vitin </w:t>
      </w:r>
      <w:r w:rsidR="00552F70">
        <w:rPr>
          <w:rFonts w:cs="Calibri"/>
          <w:szCs w:val="22"/>
          <w:lang w:val="sq-AL"/>
        </w:rPr>
        <w:t>2021, me vendet e BE-së zënë 60</w:t>
      </w:r>
      <w:r w:rsidRPr="004277F5">
        <w:rPr>
          <w:rFonts w:cs="Calibri"/>
          <w:szCs w:val="22"/>
          <w:lang w:val="sq-AL"/>
        </w:rPr>
        <w:t>% të gjithë</w:t>
      </w:r>
      <w:r w:rsidR="00552F70">
        <w:rPr>
          <w:rFonts w:cs="Calibri"/>
          <w:szCs w:val="22"/>
          <w:lang w:val="sq-AL"/>
        </w:rPr>
        <w:t xml:space="preserve"> tregtisë. Në periudhën Janar-</w:t>
      </w:r>
      <w:r w:rsidRPr="004277F5">
        <w:rPr>
          <w:rFonts w:cs="Calibri"/>
          <w:szCs w:val="22"/>
          <w:lang w:val="sq-AL"/>
        </w:rPr>
        <w:t>Dhjetor 2021, eksportet drejt vendeve të BE-së zënë 72</w:t>
      </w:r>
      <w:r>
        <w:rPr>
          <w:rFonts w:cs="Calibri"/>
          <w:szCs w:val="22"/>
          <w:lang w:val="sq-AL"/>
        </w:rPr>
        <w:t>.</w:t>
      </w:r>
      <w:r w:rsidR="00552F70">
        <w:rPr>
          <w:rFonts w:cs="Calibri"/>
          <w:szCs w:val="22"/>
          <w:lang w:val="sq-AL"/>
        </w:rPr>
        <w:t>2</w:t>
      </w:r>
      <w:r w:rsidRPr="004277F5">
        <w:rPr>
          <w:rFonts w:cs="Calibri"/>
          <w:szCs w:val="22"/>
          <w:lang w:val="sq-AL"/>
        </w:rPr>
        <w:t>% të eksporteve gjithsej dhe importet nga vendet e BE zënë 54</w:t>
      </w:r>
      <w:r>
        <w:rPr>
          <w:rFonts w:cs="Calibri"/>
          <w:szCs w:val="22"/>
          <w:lang w:val="sq-AL"/>
        </w:rPr>
        <w:t>.</w:t>
      </w:r>
      <w:r w:rsidR="00552F70">
        <w:rPr>
          <w:rFonts w:cs="Calibri"/>
          <w:szCs w:val="22"/>
          <w:lang w:val="sq-AL"/>
        </w:rPr>
        <w:t>4 % të importeve</w:t>
      </w:r>
      <w:r w:rsidRPr="004277F5">
        <w:rPr>
          <w:rFonts w:cs="Calibri"/>
          <w:szCs w:val="22"/>
          <w:lang w:val="sq-AL"/>
        </w:rPr>
        <w:t>. Partnerët kryesorë tregtarë janë: Italia (29</w:t>
      </w:r>
      <w:r>
        <w:rPr>
          <w:rFonts w:cs="Calibri"/>
          <w:szCs w:val="22"/>
          <w:lang w:val="sq-AL"/>
        </w:rPr>
        <w:t>.</w:t>
      </w:r>
      <w:r w:rsidR="00552F70">
        <w:rPr>
          <w:rFonts w:cs="Calibri"/>
          <w:szCs w:val="22"/>
          <w:lang w:val="sq-AL"/>
        </w:rPr>
        <w:t>9</w:t>
      </w:r>
      <w:r w:rsidRPr="004277F5">
        <w:rPr>
          <w:rFonts w:cs="Calibri"/>
          <w:szCs w:val="22"/>
          <w:lang w:val="sq-AL"/>
        </w:rPr>
        <w:t>%), Turqia (7</w:t>
      </w:r>
      <w:r>
        <w:rPr>
          <w:rFonts w:cs="Calibri"/>
          <w:szCs w:val="22"/>
          <w:lang w:val="sq-AL"/>
        </w:rPr>
        <w:t>.</w:t>
      </w:r>
      <w:r w:rsidR="00552F70">
        <w:rPr>
          <w:rFonts w:cs="Calibri"/>
          <w:szCs w:val="22"/>
          <w:lang w:val="sq-AL"/>
        </w:rPr>
        <w:t>8</w:t>
      </w:r>
      <w:r w:rsidRPr="004277F5">
        <w:rPr>
          <w:rFonts w:cs="Calibri"/>
          <w:szCs w:val="22"/>
          <w:lang w:val="sq-AL"/>
        </w:rPr>
        <w:t>%), Greqia (7</w:t>
      </w:r>
      <w:r>
        <w:rPr>
          <w:rFonts w:cs="Calibri"/>
          <w:szCs w:val="22"/>
          <w:lang w:val="sq-AL"/>
        </w:rPr>
        <w:t>.</w:t>
      </w:r>
      <w:r w:rsidR="00552F70">
        <w:rPr>
          <w:rFonts w:cs="Calibri"/>
          <w:szCs w:val="22"/>
          <w:lang w:val="sq-AL"/>
        </w:rPr>
        <w:t>3</w:t>
      </w:r>
      <w:r w:rsidRPr="004277F5">
        <w:rPr>
          <w:rFonts w:cs="Calibri"/>
          <w:szCs w:val="22"/>
          <w:lang w:val="sq-AL"/>
        </w:rPr>
        <w:t>%) dhe Gjermania (6</w:t>
      </w:r>
      <w:r>
        <w:rPr>
          <w:rFonts w:cs="Calibri"/>
          <w:szCs w:val="22"/>
          <w:lang w:val="sq-AL"/>
        </w:rPr>
        <w:t>.</w:t>
      </w:r>
      <w:r w:rsidR="00552F70">
        <w:rPr>
          <w:rFonts w:cs="Calibri"/>
          <w:szCs w:val="22"/>
          <w:lang w:val="sq-AL"/>
        </w:rPr>
        <w:t>4</w:t>
      </w:r>
      <w:r w:rsidRPr="004277F5">
        <w:rPr>
          <w:rFonts w:cs="Calibri"/>
          <w:szCs w:val="22"/>
          <w:lang w:val="sq-AL"/>
        </w:rPr>
        <w:t>%)</w:t>
      </w:r>
      <w:r w:rsidR="00A664DE" w:rsidRPr="00476D2E">
        <w:rPr>
          <w:rFonts w:cs="Calibri"/>
          <w:lang w:val="sq-AL"/>
        </w:rPr>
        <w:t>.</w:t>
      </w:r>
    </w:p>
    <w:p w:rsidR="007F44B9" w:rsidRPr="00476D2E" w:rsidRDefault="007F44B9" w:rsidP="00B77671">
      <w:pPr>
        <w:pStyle w:val="Fiskale2"/>
        <w:rPr>
          <w:rFonts w:ascii="Calibri" w:hAnsi="Calibri" w:cs="Calibri"/>
        </w:rPr>
      </w:pPr>
      <w:bookmarkStart w:id="18" w:name="_Toc104980315"/>
      <w:r w:rsidRPr="00476D2E">
        <w:rPr>
          <w:rFonts w:ascii="Calibri" w:hAnsi="Calibri" w:cs="Calibri"/>
        </w:rPr>
        <w:lastRenderedPageBreak/>
        <w:t>Krahasimi me vendet e rajonit</w:t>
      </w:r>
      <w:bookmarkEnd w:id="15"/>
      <w:bookmarkEnd w:id="16"/>
      <w:bookmarkEnd w:id="17"/>
      <w:bookmarkEnd w:id="18"/>
    </w:p>
    <w:p w:rsidR="00A664DE" w:rsidRPr="002A00BD" w:rsidRDefault="00552F70" w:rsidP="002A00BD">
      <w:pPr>
        <w:tabs>
          <w:tab w:val="left" w:pos="6480"/>
        </w:tabs>
        <w:spacing w:before="0"/>
        <w:rPr>
          <w:rFonts w:asciiTheme="majorHAnsi" w:hAnsiTheme="majorHAnsi" w:cs="Calibri"/>
          <w:szCs w:val="22"/>
          <w:lang w:val="sq-AL"/>
        </w:rPr>
      </w:pPr>
      <w:r w:rsidRPr="00246736">
        <w:rPr>
          <w:rFonts w:asciiTheme="majorHAnsi" w:hAnsiTheme="majorHAnsi" w:cs="Calibri"/>
          <w:szCs w:val="22"/>
          <w:lang w:val="sq-AL"/>
        </w:rPr>
        <w:t>Në vitin 2021, rritja mesatare e PBB-së në Ballkanin Perëndimor ishte +7.6%, pas një tkurje me -3.3% që rezultonte në vitin 2020.</w:t>
      </w:r>
      <w:r w:rsidRPr="00246736">
        <w:rPr>
          <w:rFonts w:asciiTheme="majorHAnsi" w:hAnsiTheme="majorHAnsi"/>
          <w:szCs w:val="22"/>
        </w:rPr>
        <w:t xml:space="preserve"> </w:t>
      </w:r>
      <w:r w:rsidRPr="00246736">
        <w:rPr>
          <w:rFonts w:asciiTheme="majorHAnsi" w:hAnsiTheme="majorHAnsi" w:cs="Calibri"/>
          <w:szCs w:val="22"/>
          <w:lang w:val="sq-AL"/>
        </w:rPr>
        <w:t xml:space="preserve">Rimëkëmbja u mbështet kryesisht nga heqja graduale e masave frenuese lidhur me COVID-19, të cilat çuan në një kërkesë të brendshme dhe të jashtme më të lartë. Ky rikthim në norma pozitive i rritjes ekonomike u shoqërua me një rritje të ndjeshme të vendeve të reja të punës, ku kërkesa për punësim solli ulje të varfërisë në të </w:t>
      </w:r>
      <w:r>
        <w:rPr>
          <w:rFonts w:asciiTheme="majorHAnsi" w:hAnsiTheme="majorHAnsi" w:cs="Calibri"/>
          <w:szCs w:val="22"/>
          <w:lang w:val="sq-AL"/>
        </w:rPr>
        <w:t>6</w:t>
      </w:r>
      <w:r w:rsidRPr="00246736">
        <w:rPr>
          <w:rFonts w:asciiTheme="majorHAnsi" w:hAnsiTheme="majorHAnsi" w:cs="Calibri"/>
          <w:szCs w:val="22"/>
          <w:lang w:val="sq-AL"/>
        </w:rPr>
        <w:t xml:space="preserve"> ekonomitë e Ballkani</w:t>
      </w:r>
      <w:r>
        <w:rPr>
          <w:rFonts w:asciiTheme="majorHAnsi" w:hAnsiTheme="majorHAnsi" w:cs="Calibri"/>
          <w:szCs w:val="22"/>
          <w:lang w:val="sq-AL"/>
        </w:rPr>
        <w:t xml:space="preserve">t Perëndimor. </w:t>
      </w:r>
      <w:r w:rsidRPr="00246736">
        <w:rPr>
          <w:rFonts w:asciiTheme="majorHAnsi" w:hAnsiTheme="majorHAnsi" w:cs="Calibri"/>
          <w:szCs w:val="22"/>
          <w:lang w:val="sq-AL"/>
        </w:rPr>
        <w:t xml:space="preserve">Në </w:t>
      </w:r>
      <w:r w:rsidRPr="0083420F">
        <w:rPr>
          <w:rFonts w:asciiTheme="majorHAnsi" w:hAnsiTheme="majorHAnsi" w:cs="Calibri"/>
          <w:i/>
          <w:szCs w:val="22"/>
          <w:lang w:val="sq-AL"/>
        </w:rPr>
        <w:t>Shqipëri</w:t>
      </w:r>
      <w:r>
        <w:rPr>
          <w:rFonts w:asciiTheme="majorHAnsi" w:hAnsiTheme="majorHAnsi" w:cs="Calibri"/>
          <w:szCs w:val="22"/>
          <w:lang w:val="sq-AL"/>
        </w:rPr>
        <w:t xml:space="preserve">, rritja vjetore ekonomike </w:t>
      </w:r>
      <w:r w:rsidRPr="00246736">
        <w:rPr>
          <w:rFonts w:asciiTheme="majorHAnsi" w:hAnsiTheme="majorHAnsi"/>
          <w:szCs w:val="22"/>
          <w:lang w:val="sq-AL"/>
        </w:rPr>
        <w:t xml:space="preserve">2021 është rikuperuar plotësisht nga recesioni i shkaktuar nga pandemia. E vlerësuar në 8.5%, rritja rezultoi më e fortë nga sa ishte parashikuar, </w:t>
      </w:r>
      <w:r w:rsidRPr="00552F70">
        <w:rPr>
          <w:rFonts w:asciiTheme="majorHAnsi" w:hAnsiTheme="majorHAnsi"/>
          <w:i/>
          <w:sz w:val="20"/>
          <w:szCs w:val="22"/>
          <w:lang w:val="sq-AL"/>
        </w:rPr>
        <w:t>për shkak të politikave stimuluese dhe rigjallërimit të sektorit të udhëtimeve, ndërtimit dhe industrisë nxjerrëse</w:t>
      </w:r>
      <w:r w:rsidR="0083420F" w:rsidRPr="00246736">
        <w:rPr>
          <w:rFonts w:asciiTheme="majorHAnsi" w:hAnsiTheme="majorHAnsi"/>
          <w:szCs w:val="22"/>
          <w:lang w:val="sq-AL"/>
        </w:rPr>
        <w:t>.</w:t>
      </w:r>
    </w:p>
    <w:p w:rsidR="00A664DE" w:rsidRDefault="00A664DE" w:rsidP="00A664DE">
      <w:pPr>
        <w:pStyle w:val="Caption"/>
        <w:keepNext/>
        <w:spacing w:after="0"/>
        <w:rPr>
          <w:rFonts w:cs="Calibri"/>
          <w:lang w:val="sq-AL"/>
        </w:rPr>
      </w:pPr>
      <w:bookmarkStart w:id="19" w:name="_Toc104984073"/>
      <w:r w:rsidRPr="00476D2E">
        <w:rPr>
          <w:rFonts w:cs="Calibri"/>
          <w:lang w:val="sq-AL"/>
        </w:rPr>
        <w:t xml:space="preserve">Tabela </w:t>
      </w:r>
      <w:r w:rsidRPr="00476D2E">
        <w:rPr>
          <w:rFonts w:cs="Calibri"/>
          <w:lang w:val="sq-AL"/>
        </w:rPr>
        <w:fldChar w:fldCharType="begin"/>
      </w:r>
      <w:r w:rsidRPr="00476D2E">
        <w:rPr>
          <w:rFonts w:cs="Calibri"/>
          <w:lang w:val="sq-AL"/>
        </w:rPr>
        <w:instrText xml:space="preserve"> SEQ Tabela \* ARABIC </w:instrText>
      </w:r>
      <w:r w:rsidRPr="00476D2E">
        <w:rPr>
          <w:rFonts w:cs="Calibri"/>
          <w:lang w:val="sq-AL"/>
        </w:rPr>
        <w:fldChar w:fldCharType="separate"/>
      </w:r>
      <w:r w:rsidR="00276062">
        <w:rPr>
          <w:rFonts w:cs="Calibri"/>
          <w:noProof/>
          <w:lang w:val="sq-AL"/>
        </w:rPr>
        <w:t>1</w:t>
      </w:r>
      <w:r w:rsidRPr="00476D2E">
        <w:rPr>
          <w:rFonts w:cs="Calibri"/>
          <w:lang w:val="sq-AL"/>
        </w:rPr>
        <w:fldChar w:fldCharType="end"/>
      </w:r>
      <w:r w:rsidRPr="00476D2E">
        <w:rPr>
          <w:rFonts w:cs="Calibri"/>
          <w:lang w:val="sq-AL"/>
        </w:rPr>
        <w:t>: Produkti i Brendshëm Bruto</w:t>
      </w:r>
      <w:bookmarkEnd w:id="19"/>
    </w:p>
    <w:tbl>
      <w:tblPr>
        <w:tblStyle w:val="GridTable4-Accent11"/>
        <w:tblW w:w="4023" w:type="pct"/>
        <w:jc w:val="center"/>
        <w:tblLook w:val="04A0" w:firstRow="1" w:lastRow="0" w:firstColumn="1" w:lastColumn="0" w:noHBand="0" w:noVBand="1"/>
      </w:tblPr>
      <w:tblGrid>
        <w:gridCol w:w="5641"/>
        <w:gridCol w:w="1525"/>
        <w:gridCol w:w="1480"/>
      </w:tblGrid>
      <w:tr w:rsidR="0083420F" w:rsidRPr="00476D2E" w:rsidTr="00552F70">
        <w:trPr>
          <w:cnfStyle w:val="100000000000" w:firstRow="1" w:lastRow="0" w:firstColumn="0" w:lastColumn="0" w:oddVBand="0" w:evenVBand="0" w:oddHBand="0"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3262" w:type="pct"/>
            <w:hideMark/>
          </w:tcPr>
          <w:p w:rsidR="0083420F" w:rsidRPr="00476D2E" w:rsidRDefault="0083420F" w:rsidP="00F90F81">
            <w:pPr>
              <w:spacing w:before="0" w:line="240" w:lineRule="auto"/>
              <w:jc w:val="center"/>
              <w:rPr>
                <w:rFonts w:cs="Calibri"/>
                <w:bCs w:val="0"/>
                <w:sz w:val="18"/>
                <w:szCs w:val="20"/>
                <w:lang w:val="sq-AL"/>
              </w:rPr>
            </w:pPr>
            <w:r w:rsidRPr="00476D2E">
              <w:rPr>
                <w:rFonts w:cs="Calibri"/>
                <w:bCs w:val="0"/>
                <w:sz w:val="18"/>
                <w:szCs w:val="20"/>
                <w:lang w:val="sq-AL"/>
              </w:rPr>
              <w:t>Produkti i Brendshëm Bruto</w:t>
            </w:r>
            <w:r w:rsidRPr="00476D2E">
              <w:rPr>
                <w:rFonts w:cs="Calibri"/>
                <w:b w:val="0"/>
                <w:bCs w:val="0"/>
                <w:i/>
                <w:sz w:val="18"/>
                <w:szCs w:val="20"/>
                <w:lang w:val="sq-AL"/>
              </w:rPr>
              <w:t xml:space="preserve"> </w:t>
            </w:r>
            <w:r w:rsidRPr="00476D2E">
              <w:rPr>
                <w:rFonts w:cs="Calibri"/>
                <w:b w:val="0"/>
                <w:i/>
                <w:iCs/>
                <w:sz w:val="18"/>
                <w:szCs w:val="20"/>
                <w:lang w:val="sq-AL"/>
              </w:rPr>
              <w:t>(rritja vjetore ne %, në terma reale)</w:t>
            </w:r>
          </w:p>
        </w:tc>
        <w:tc>
          <w:tcPr>
            <w:tcW w:w="882" w:type="pct"/>
            <w:hideMark/>
          </w:tcPr>
          <w:p w:rsidR="0083420F" w:rsidRPr="00476D2E" w:rsidRDefault="0083420F" w:rsidP="00F90F81">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sz w:val="18"/>
                <w:szCs w:val="20"/>
                <w:lang w:val="sq-AL"/>
              </w:rPr>
            </w:pPr>
            <w:r w:rsidRPr="00476D2E">
              <w:rPr>
                <w:rFonts w:cs="Calibri"/>
                <w:sz w:val="18"/>
                <w:szCs w:val="20"/>
                <w:lang w:val="sq-AL"/>
              </w:rPr>
              <w:t>20</w:t>
            </w:r>
            <w:r>
              <w:rPr>
                <w:rFonts w:cs="Calibri"/>
                <w:sz w:val="18"/>
                <w:szCs w:val="20"/>
                <w:lang w:val="sq-AL"/>
              </w:rPr>
              <w:t>20</w:t>
            </w:r>
          </w:p>
        </w:tc>
        <w:tc>
          <w:tcPr>
            <w:tcW w:w="856" w:type="pct"/>
            <w:hideMark/>
          </w:tcPr>
          <w:p w:rsidR="0083420F" w:rsidRPr="00476D2E" w:rsidRDefault="0083420F" w:rsidP="00F90F81">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sz w:val="18"/>
                <w:szCs w:val="20"/>
                <w:lang w:val="sq-AL"/>
              </w:rPr>
            </w:pPr>
            <w:r w:rsidRPr="00476D2E">
              <w:rPr>
                <w:rFonts w:cs="Calibri"/>
                <w:sz w:val="18"/>
                <w:szCs w:val="20"/>
                <w:lang w:val="sq-AL"/>
              </w:rPr>
              <w:t>202</w:t>
            </w:r>
            <w:r>
              <w:rPr>
                <w:rFonts w:cs="Calibri"/>
                <w:sz w:val="18"/>
                <w:szCs w:val="20"/>
                <w:lang w:val="sq-AL"/>
              </w:rPr>
              <w:t>1</w:t>
            </w:r>
          </w:p>
        </w:tc>
      </w:tr>
      <w:tr w:rsidR="0083420F" w:rsidRPr="00476D2E" w:rsidTr="00552F70">
        <w:trPr>
          <w:cnfStyle w:val="000000100000" w:firstRow="0" w:lastRow="0" w:firstColumn="0" w:lastColumn="0" w:oddVBand="0" w:evenVBand="0" w:oddHBand="1" w:evenHBand="0" w:firstRowFirstColumn="0" w:firstRowLastColumn="0" w:lastRowFirstColumn="0" w:lastRowLastColumn="0"/>
          <w:trHeight w:val="90"/>
          <w:jc w:val="center"/>
        </w:trPr>
        <w:tc>
          <w:tcPr>
            <w:cnfStyle w:val="001000000000" w:firstRow="0" w:lastRow="0" w:firstColumn="1" w:lastColumn="0" w:oddVBand="0" w:evenVBand="0" w:oddHBand="0" w:evenHBand="0" w:firstRowFirstColumn="0" w:firstRowLastColumn="0" w:lastRowFirstColumn="0" w:lastRowLastColumn="0"/>
            <w:tcW w:w="3262" w:type="pct"/>
            <w:noWrap/>
            <w:hideMark/>
          </w:tcPr>
          <w:p w:rsidR="0083420F" w:rsidRPr="00476D2E" w:rsidRDefault="0083420F" w:rsidP="00F90F81">
            <w:pPr>
              <w:spacing w:before="0" w:line="240" w:lineRule="auto"/>
              <w:rPr>
                <w:rFonts w:cs="Calibri"/>
                <w:b w:val="0"/>
                <w:sz w:val="18"/>
                <w:szCs w:val="20"/>
                <w:lang w:val="sq-AL"/>
              </w:rPr>
            </w:pPr>
            <w:r w:rsidRPr="00476D2E">
              <w:rPr>
                <w:rFonts w:cs="Calibri"/>
                <w:b w:val="0"/>
                <w:sz w:val="18"/>
                <w:szCs w:val="20"/>
                <w:lang w:val="sq-AL"/>
              </w:rPr>
              <w:t>Maqedonia e Veriut</w:t>
            </w:r>
          </w:p>
        </w:tc>
        <w:tc>
          <w:tcPr>
            <w:tcW w:w="882" w:type="pct"/>
            <w:noWrap/>
            <w:hideMark/>
          </w:tcPr>
          <w:p w:rsidR="0083420F" w:rsidRPr="00476D2E" w:rsidRDefault="0083420F" w:rsidP="00F90F8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20"/>
                <w:lang w:val="sq-AL"/>
              </w:rPr>
            </w:pPr>
            <w:r>
              <w:rPr>
                <w:rFonts w:cs="Calibri"/>
                <w:sz w:val="18"/>
                <w:szCs w:val="20"/>
                <w:lang w:val="sq-AL"/>
              </w:rPr>
              <w:t>-6.1</w:t>
            </w:r>
          </w:p>
        </w:tc>
        <w:tc>
          <w:tcPr>
            <w:tcW w:w="856" w:type="pct"/>
            <w:noWrap/>
            <w:hideMark/>
          </w:tcPr>
          <w:p w:rsidR="0083420F" w:rsidRPr="00476D2E" w:rsidRDefault="0083420F" w:rsidP="00F90F8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20"/>
                <w:lang w:val="sq-AL"/>
              </w:rPr>
            </w:pPr>
            <w:r w:rsidRPr="00476D2E">
              <w:rPr>
                <w:rFonts w:cs="Calibri"/>
                <w:sz w:val="18"/>
                <w:szCs w:val="20"/>
                <w:lang w:val="sq-AL"/>
              </w:rPr>
              <w:t>4.</w:t>
            </w:r>
            <w:r>
              <w:rPr>
                <w:rFonts w:cs="Calibri"/>
                <w:sz w:val="18"/>
                <w:szCs w:val="20"/>
                <w:lang w:val="sq-AL"/>
              </w:rPr>
              <w:t>2</w:t>
            </w:r>
          </w:p>
        </w:tc>
      </w:tr>
      <w:tr w:rsidR="0083420F" w:rsidRPr="00476D2E" w:rsidTr="00552F70">
        <w:trPr>
          <w:trHeight w:val="75"/>
          <w:jc w:val="center"/>
        </w:trPr>
        <w:tc>
          <w:tcPr>
            <w:cnfStyle w:val="001000000000" w:firstRow="0" w:lastRow="0" w:firstColumn="1" w:lastColumn="0" w:oddVBand="0" w:evenVBand="0" w:oddHBand="0" w:evenHBand="0" w:firstRowFirstColumn="0" w:firstRowLastColumn="0" w:lastRowFirstColumn="0" w:lastRowLastColumn="0"/>
            <w:tcW w:w="3262" w:type="pct"/>
            <w:noWrap/>
            <w:hideMark/>
          </w:tcPr>
          <w:p w:rsidR="0083420F" w:rsidRPr="00476D2E" w:rsidRDefault="0083420F" w:rsidP="00F90F81">
            <w:pPr>
              <w:spacing w:before="0" w:line="240" w:lineRule="auto"/>
              <w:rPr>
                <w:rFonts w:cs="Calibri"/>
                <w:b w:val="0"/>
                <w:sz w:val="18"/>
                <w:szCs w:val="20"/>
                <w:lang w:val="sq-AL"/>
              </w:rPr>
            </w:pPr>
            <w:r w:rsidRPr="00476D2E">
              <w:rPr>
                <w:rFonts w:cs="Calibri"/>
                <w:b w:val="0"/>
                <w:sz w:val="18"/>
                <w:szCs w:val="20"/>
                <w:lang w:val="sq-AL"/>
              </w:rPr>
              <w:t>Mali i ZI</w:t>
            </w:r>
          </w:p>
        </w:tc>
        <w:tc>
          <w:tcPr>
            <w:tcW w:w="882" w:type="pct"/>
            <w:noWrap/>
            <w:hideMark/>
          </w:tcPr>
          <w:p w:rsidR="0083420F" w:rsidRPr="00476D2E" w:rsidRDefault="0083420F" w:rsidP="00F90F8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Pr>
                <w:rFonts w:cs="Calibri"/>
                <w:sz w:val="18"/>
                <w:szCs w:val="20"/>
                <w:lang w:val="sq-AL"/>
              </w:rPr>
              <w:t>-15</w:t>
            </w:r>
            <w:r w:rsidRPr="00476D2E">
              <w:rPr>
                <w:rFonts w:cs="Calibri"/>
                <w:sz w:val="18"/>
                <w:szCs w:val="20"/>
                <w:lang w:val="sq-AL"/>
              </w:rPr>
              <w:t>.</w:t>
            </w:r>
            <w:r>
              <w:rPr>
                <w:rFonts w:cs="Calibri"/>
                <w:sz w:val="18"/>
                <w:szCs w:val="20"/>
                <w:lang w:val="sq-AL"/>
              </w:rPr>
              <w:t>3</w:t>
            </w:r>
          </w:p>
        </w:tc>
        <w:tc>
          <w:tcPr>
            <w:tcW w:w="856" w:type="pct"/>
            <w:noWrap/>
            <w:hideMark/>
          </w:tcPr>
          <w:p w:rsidR="0083420F" w:rsidRPr="00476D2E" w:rsidRDefault="0083420F" w:rsidP="00F90F8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476D2E">
              <w:rPr>
                <w:rFonts w:cs="Calibri"/>
                <w:sz w:val="18"/>
                <w:szCs w:val="20"/>
                <w:lang w:val="sq-AL"/>
              </w:rPr>
              <w:t>12</w:t>
            </w:r>
            <w:r>
              <w:rPr>
                <w:rFonts w:cs="Calibri"/>
                <w:sz w:val="18"/>
                <w:szCs w:val="20"/>
                <w:lang w:val="sq-AL"/>
              </w:rPr>
              <w:t>.4</w:t>
            </w:r>
          </w:p>
        </w:tc>
      </w:tr>
      <w:tr w:rsidR="0083420F" w:rsidRPr="00476D2E" w:rsidTr="00552F70">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3262" w:type="pct"/>
            <w:noWrap/>
            <w:hideMark/>
          </w:tcPr>
          <w:p w:rsidR="0083420F" w:rsidRPr="00476D2E" w:rsidRDefault="0083420F" w:rsidP="00F90F81">
            <w:pPr>
              <w:spacing w:before="0" w:line="240" w:lineRule="auto"/>
              <w:rPr>
                <w:rFonts w:cs="Calibri"/>
                <w:b w:val="0"/>
                <w:sz w:val="18"/>
                <w:szCs w:val="20"/>
                <w:lang w:val="sq-AL"/>
              </w:rPr>
            </w:pPr>
            <w:r w:rsidRPr="00476D2E">
              <w:rPr>
                <w:rFonts w:cs="Calibri"/>
                <w:b w:val="0"/>
                <w:sz w:val="18"/>
                <w:szCs w:val="20"/>
                <w:lang w:val="sq-AL"/>
              </w:rPr>
              <w:t>Serbia</w:t>
            </w:r>
          </w:p>
        </w:tc>
        <w:tc>
          <w:tcPr>
            <w:tcW w:w="882" w:type="pct"/>
            <w:noWrap/>
            <w:hideMark/>
          </w:tcPr>
          <w:p w:rsidR="0083420F" w:rsidRPr="00476D2E" w:rsidRDefault="0083420F" w:rsidP="00F90F8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20"/>
                <w:lang w:val="sq-AL"/>
              </w:rPr>
            </w:pPr>
            <w:r>
              <w:rPr>
                <w:rFonts w:cs="Calibri"/>
                <w:sz w:val="18"/>
                <w:szCs w:val="20"/>
                <w:lang w:val="sq-AL"/>
              </w:rPr>
              <w:t>-0</w:t>
            </w:r>
            <w:r w:rsidRPr="00476D2E">
              <w:rPr>
                <w:rFonts w:cs="Calibri"/>
                <w:sz w:val="18"/>
                <w:szCs w:val="20"/>
                <w:lang w:val="sq-AL"/>
              </w:rPr>
              <w:t>.</w:t>
            </w:r>
            <w:r>
              <w:rPr>
                <w:rFonts w:cs="Calibri"/>
                <w:sz w:val="18"/>
                <w:szCs w:val="20"/>
                <w:lang w:val="sq-AL"/>
              </w:rPr>
              <w:t>9</w:t>
            </w:r>
          </w:p>
        </w:tc>
        <w:tc>
          <w:tcPr>
            <w:tcW w:w="856" w:type="pct"/>
            <w:noWrap/>
            <w:hideMark/>
          </w:tcPr>
          <w:p w:rsidR="0083420F" w:rsidRPr="00476D2E" w:rsidRDefault="0083420F" w:rsidP="00F90F8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20"/>
                <w:lang w:val="sq-AL"/>
              </w:rPr>
            </w:pPr>
            <w:r>
              <w:rPr>
                <w:rFonts w:cs="Calibri"/>
                <w:sz w:val="18"/>
                <w:szCs w:val="20"/>
                <w:lang w:val="sq-AL"/>
              </w:rPr>
              <w:t>7</w:t>
            </w:r>
            <w:r w:rsidRPr="00476D2E">
              <w:rPr>
                <w:rFonts w:cs="Calibri"/>
                <w:sz w:val="18"/>
                <w:szCs w:val="20"/>
                <w:lang w:val="sq-AL"/>
              </w:rPr>
              <w:t>.</w:t>
            </w:r>
            <w:r>
              <w:rPr>
                <w:rFonts w:cs="Calibri"/>
                <w:sz w:val="18"/>
                <w:szCs w:val="20"/>
                <w:lang w:val="sq-AL"/>
              </w:rPr>
              <w:t>4</w:t>
            </w:r>
          </w:p>
        </w:tc>
      </w:tr>
      <w:tr w:rsidR="0083420F" w:rsidRPr="00476D2E" w:rsidTr="00552F70">
        <w:trPr>
          <w:trHeight w:val="75"/>
          <w:jc w:val="center"/>
        </w:trPr>
        <w:tc>
          <w:tcPr>
            <w:cnfStyle w:val="001000000000" w:firstRow="0" w:lastRow="0" w:firstColumn="1" w:lastColumn="0" w:oddVBand="0" w:evenVBand="0" w:oddHBand="0" w:evenHBand="0" w:firstRowFirstColumn="0" w:firstRowLastColumn="0" w:lastRowFirstColumn="0" w:lastRowLastColumn="0"/>
            <w:tcW w:w="3262" w:type="pct"/>
            <w:noWrap/>
            <w:hideMark/>
          </w:tcPr>
          <w:p w:rsidR="0083420F" w:rsidRPr="00476D2E" w:rsidRDefault="0083420F" w:rsidP="00F90F81">
            <w:pPr>
              <w:spacing w:before="0" w:line="240" w:lineRule="auto"/>
              <w:rPr>
                <w:rFonts w:cs="Calibri"/>
                <w:sz w:val="18"/>
                <w:szCs w:val="20"/>
                <w:lang w:val="sq-AL"/>
              </w:rPr>
            </w:pPr>
            <w:r w:rsidRPr="00476D2E">
              <w:rPr>
                <w:rFonts w:cs="Calibri"/>
                <w:sz w:val="18"/>
                <w:szCs w:val="20"/>
                <w:lang w:val="sq-AL"/>
              </w:rPr>
              <w:t>Shqipëria</w:t>
            </w:r>
          </w:p>
        </w:tc>
        <w:tc>
          <w:tcPr>
            <w:tcW w:w="882" w:type="pct"/>
            <w:noWrap/>
            <w:hideMark/>
          </w:tcPr>
          <w:p w:rsidR="0083420F" w:rsidRPr="00476D2E" w:rsidRDefault="0083420F" w:rsidP="00F90F8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18"/>
                <w:szCs w:val="20"/>
                <w:lang w:val="sq-AL"/>
              </w:rPr>
            </w:pPr>
            <w:r>
              <w:rPr>
                <w:rFonts w:cs="Calibri"/>
                <w:b/>
                <w:sz w:val="18"/>
                <w:szCs w:val="20"/>
                <w:lang w:val="sq-AL"/>
              </w:rPr>
              <w:t>-3</w:t>
            </w:r>
            <w:r w:rsidRPr="00476D2E">
              <w:rPr>
                <w:rFonts w:cs="Calibri"/>
                <w:b/>
                <w:sz w:val="18"/>
                <w:szCs w:val="20"/>
                <w:lang w:val="sq-AL"/>
              </w:rPr>
              <w:t>.</w:t>
            </w:r>
            <w:r>
              <w:rPr>
                <w:rFonts w:cs="Calibri"/>
                <w:b/>
                <w:sz w:val="18"/>
                <w:szCs w:val="20"/>
                <w:lang w:val="sq-AL"/>
              </w:rPr>
              <w:t>5</w:t>
            </w:r>
          </w:p>
        </w:tc>
        <w:tc>
          <w:tcPr>
            <w:tcW w:w="856" w:type="pct"/>
            <w:noWrap/>
            <w:hideMark/>
          </w:tcPr>
          <w:p w:rsidR="0083420F" w:rsidRPr="00476D2E" w:rsidRDefault="0083420F" w:rsidP="00F90F8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18"/>
                <w:szCs w:val="20"/>
                <w:lang w:val="sq-AL"/>
              </w:rPr>
            </w:pPr>
            <w:r>
              <w:rPr>
                <w:rFonts w:cs="Calibri"/>
                <w:b/>
                <w:sz w:val="18"/>
                <w:szCs w:val="20"/>
                <w:lang w:val="sq-AL"/>
              </w:rPr>
              <w:t>8</w:t>
            </w:r>
            <w:r w:rsidRPr="00476D2E">
              <w:rPr>
                <w:rFonts w:cs="Calibri"/>
                <w:b/>
                <w:sz w:val="18"/>
                <w:szCs w:val="20"/>
                <w:lang w:val="sq-AL"/>
              </w:rPr>
              <w:t>.</w:t>
            </w:r>
            <w:r>
              <w:rPr>
                <w:rFonts w:cs="Calibri"/>
                <w:b/>
                <w:sz w:val="18"/>
                <w:szCs w:val="20"/>
                <w:lang w:val="sq-AL"/>
              </w:rPr>
              <w:t>5</w:t>
            </w:r>
          </w:p>
        </w:tc>
      </w:tr>
      <w:tr w:rsidR="0083420F" w:rsidRPr="00476D2E" w:rsidTr="00552F70">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3262" w:type="pct"/>
            <w:noWrap/>
            <w:hideMark/>
          </w:tcPr>
          <w:p w:rsidR="0083420F" w:rsidRPr="00476D2E" w:rsidRDefault="0083420F" w:rsidP="00F90F81">
            <w:pPr>
              <w:spacing w:before="0" w:line="240" w:lineRule="auto"/>
              <w:rPr>
                <w:rFonts w:cs="Calibri"/>
                <w:b w:val="0"/>
                <w:sz w:val="18"/>
                <w:szCs w:val="20"/>
                <w:lang w:val="sq-AL"/>
              </w:rPr>
            </w:pPr>
            <w:r w:rsidRPr="00476D2E">
              <w:rPr>
                <w:rFonts w:cs="Calibri"/>
                <w:b w:val="0"/>
                <w:sz w:val="18"/>
                <w:szCs w:val="20"/>
                <w:lang w:val="sq-AL"/>
              </w:rPr>
              <w:t>Bosnja dhe Hercegovina</w:t>
            </w:r>
          </w:p>
        </w:tc>
        <w:tc>
          <w:tcPr>
            <w:tcW w:w="882" w:type="pct"/>
            <w:noWrap/>
            <w:hideMark/>
          </w:tcPr>
          <w:p w:rsidR="0083420F" w:rsidRPr="00476D2E" w:rsidRDefault="0083420F" w:rsidP="00F90F8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20"/>
                <w:lang w:val="sq-AL"/>
              </w:rPr>
            </w:pPr>
            <w:r>
              <w:rPr>
                <w:rFonts w:cs="Calibri"/>
                <w:sz w:val="18"/>
                <w:szCs w:val="20"/>
                <w:lang w:val="sq-AL"/>
              </w:rPr>
              <w:t>-3</w:t>
            </w:r>
            <w:r w:rsidRPr="00476D2E">
              <w:rPr>
                <w:rFonts w:cs="Calibri"/>
                <w:sz w:val="18"/>
                <w:szCs w:val="20"/>
                <w:lang w:val="sq-AL"/>
              </w:rPr>
              <w:t>.</w:t>
            </w:r>
            <w:r>
              <w:rPr>
                <w:rFonts w:cs="Calibri"/>
                <w:sz w:val="18"/>
                <w:szCs w:val="20"/>
                <w:lang w:val="sq-AL"/>
              </w:rPr>
              <w:t>2</w:t>
            </w:r>
          </w:p>
        </w:tc>
        <w:tc>
          <w:tcPr>
            <w:tcW w:w="856" w:type="pct"/>
            <w:noWrap/>
            <w:hideMark/>
          </w:tcPr>
          <w:p w:rsidR="0083420F" w:rsidRPr="00476D2E" w:rsidRDefault="0083420F" w:rsidP="00F90F8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20"/>
                <w:lang w:val="sq-AL"/>
              </w:rPr>
            </w:pPr>
            <w:r>
              <w:rPr>
                <w:rFonts w:cs="Calibri"/>
                <w:sz w:val="18"/>
                <w:szCs w:val="20"/>
                <w:lang w:val="sq-AL"/>
              </w:rPr>
              <w:t>7</w:t>
            </w:r>
            <w:r w:rsidRPr="00476D2E">
              <w:rPr>
                <w:rFonts w:cs="Calibri"/>
                <w:sz w:val="18"/>
                <w:szCs w:val="20"/>
                <w:lang w:val="sq-AL"/>
              </w:rPr>
              <w:t>.</w:t>
            </w:r>
            <w:r>
              <w:rPr>
                <w:rFonts w:cs="Calibri"/>
                <w:sz w:val="18"/>
                <w:szCs w:val="20"/>
                <w:lang w:val="sq-AL"/>
              </w:rPr>
              <w:t>1</w:t>
            </w:r>
          </w:p>
        </w:tc>
      </w:tr>
      <w:tr w:rsidR="0083420F" w:rsidRPr="00476D2E" w:rsidTr="00552F70">
        <w:trPr>
          <w:trHeight w:val="75"/>
          <w:jc w:val="center"/>
        </w:trPr>
        <w:tc>
          <w:tcPr>
            <w:cnfStyle w:val="001000000000" w:firstRow="0" w:lastRow="0" w:firstColumn="1" w:lastColumn="0" w:oddVBand="0" w:evenVBand="0" w:oddHBand="0" w:evenHBand="0" w:firstRowFirstColumn="0" w:firstRowLastColumn="0" w:lastRowFirstColumn="0" w:lastRowLastColumn="0"/>
            <w:tcW w:w="3262" w:type="pct"/>
            <w:noWrap/>
            <w:hideMark/>
          </w:tcPr>
          <w:p w:rsidR="0083420F" w:rsidRPr="00476D2E" w:rsidRDefault="0083420F" w:rsidP="00F90F81">
            <w:pPr>
              <w:spacing w:before="0" w:line="240" w:lineRule="auto"/>
              <w:rPr>
                <w:rFonts w:cs="Calibri"/>
                <w:b w:val="0"/>
                <w:sz w:val="18"/>
                <w:szCs w:val="20"/>
                <w:lang w:val="sq-AL"/>
              </w:rPr>
            </w:pPr>
            <w:r w:rsidRPr="00476D2E">
              <w:rPr>
                <w:rFonts w:cs="Calibri"/>
                <w:b w:val="0"/>
                <w:sz w:val="18"/>
                <w:szCs w:val="20"/>
                <w:lang w:val="sq-AL"/>
              </w:rPr>
              <w:t>Kosova</w:t>
            </w:r>
          </w:p>
        </w:tc>
        <w:tc>
          <w:tcPr>
            <w:tcW w:w="882" w:type="pct"/>
            <w:noWrap/>
            <w:hideMark/>
          </w:tcPr>
          <w:p w:rsidR="0083420F" w:rsidRPr="00476D2E" w:rsidRDefault="0083420F" w:rsidP="00F90F8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Pr>
                <w:rFonts w:cs="Calibri"/>
                <w:sz w:val="18"/>
                <w:szCs w:val="20"/>
                <w:lang w:val="sq-AL"/>
              </w:rPr>
              <w:t>-5</w:t>
            </w:r>
            <w:r w:rsidRPr="00476D2E">
              <w:rPr>
                <w:rFonts w:cs="Calibri"/>
                <w:sz w:val="18"/>
                <w:szCs w:val="20"/>
                <w:lang w:val="sq-AL"/>
              </w:rPr>
              <w:t>.</w:t>
            </w:r>
            <w:r>
              <w:rPr>
                <w:rFonts w:cs="Calibri"/>
                <w:sz w:val="18"/>
                <w:szCs w:val="20"/>
                <w:lang w:val="sq-AL"/>
              </w:rPr>
              <w:t>3</w:t>
            </w:r>
          </w:p>
        </w:tc>
        <w:tc>
          <w:tcPr>
            <w:tcW w:w="856" w:type="pct"/>
            <w:noWrap/>
            <w:hideMark/>
          </w:tcPr>
          <w:p w:rsidR="0083420F" w:rsidRPr="00476D2E" w:rsidRDefault="0083420F" w:rsidP="00F90F8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Pr>
                <w:rFonts w:cs="Calibri"/>
                <w:sz w:val="18"/>
                <w:szCs w:val="20"/>
                <w:lang w:val="sq-AL"/>
              </w:rPr>
              <w:t>10</w:t>
            </w:r>
            <w:r w:rsidRPr="00476D2E">
              <w:rPr>
                <w:rFonts w:cs="Calibri"/>
                <w:sz w:val="18"/>
                <w:szCs w:val="20"/>
                <w:lang w:val="sq-AL"/>
              </w:rPr>
              <w:t>.</w:t>
            </w:r>
            <w:r>
              <w:rPr>
                <w:rFonts w:cs="Calibri"/>
                <w:sz w:val="18"/>
                <w:szCs w:val="20"/>
                <w:lang w:val="sq-AL"/>
              </w:rPr>
              <w:t>5</w:t>
            </w:r>
          </w:p>
        </w:tc>
      </w:tr>
    </w:tbl>
    <w:p w:rsidR="00CC50CE" w:rsidRPr="00476D2E" w:rsidRDefault="00CC50CE" w:rsidP="00552F70">
      <w:pPr>
        <w:spacing w:before="0"/>
        <w:ind w:left="720" w:firstLine="720"/>
        <w:rPr>
          <w:rFonts w:cs="Calibri"/>
          <w:lang w:val="sq-AL"/>
        </w:rPr>
      </w:pPr>
      <w:bookmarkStart w:id="20" w:name="_Toc515446548"/>
      <w:r w:rsidRPr="00476D2E">
        <w:rPr>
          <w:rFonts w:cs="Calibri"/>
          <w:i/>
          <w:sz w:val="18"/>
          <w:szCs w:val="18"/>
          <w:lang w:val="sq-AL"/>
        </w:rPr>
        <w:t>Burimi: Directorate-General for Economic and Financial Affairs (DG-ECFIN)</w:t>
      </w:r>
    </w:p>
    <w:p w:rsidR="00F1402E" w:rsidRDefault="00F1402E" w:rsidP="0005408D">
      <w:pPr>
        <w:rPr>
          <w:rStyle w:val="q4iawc"/>
          <w:lang w:val="sq-AL"/>
        </w:rPr>
      </w:pPr>
    </w:p>
    <w:p w:rsidR="0005408D" w:rsidRDefault="00552F70" w:rsidP="0005408D">
      <w:pPr>
        <w:rPr>
          <w:rFonts w:cs="Calibri"/>
          <w:lang w:val="sq-AL"/>
        </w:rPr>
      </w:pPr>
      <w:r w:rsidRPr="00197FAB">
        <w:rPr>
          <w:rStyle w:val="q4iawc"/>
          <w:lang w:val="sq-AL"/>
        </w:rPr>
        <w:t xml:space="preserve">Në përputhje me rimëkëmbjen e aktivitetit ekonomik, rritja e vendeve të punës u kthye në territor pozitiv në Ballkanin Perëndimor </w:t>
      </w:r>
      <w:r>
        <w:rPr>
          <w:rStyle w:val="q4iawc"/>
          <w:lang w:val="sq-AL"/>
        </w:rPr>
        <w:t>p</w:t>
      </w:r>
      <w:r w:rsidRPr="00197FAB">
        <w:rPr>
          <w:rStyle w:val="q4iawc"/>
          <w:lang w:val="sq-AL"/>
        </w:rPr>
        <w:t>ë</w:t>
      </w:r>
      <w:r>
        <w:rPr>
          <w:rStyle w:val="q4iawc"/>
          <w:lang w:val="sq-AL"/>
        </w:rPr>
        <w:t>r</w:t>
      </w:r>
      <w:r w:rsidRPr="00197FAB">
        <w:rPr>
          <w:rStyle w:val="q4iawc"/>
          <w:lang w:val="sq-AL"/>
        </w:rPr>
        <w:t xml:space="preserve"> vitin 2021. Norma mesatare e rritjes së punësimit rezultoi 1.2%, krahasuar me një rënie prej 1.5% në vitin 2020.</w:t>
      </w:r>
      <w:r w:rsidRPr="00197FAB">
        <w:rPr>
          <w:rStyle w:val="viiyi"/>
          <w:lang w:val="sq-AL"/>
        </w:rPr>
        <w:t xml:space="preserve"> </w:t>
      </w:r>
      <w:r w:rsidRPr="00197FAB">
        <w:rPr>
          <w:rStyle w:val="q4iawc"/>
          <w:lang w:val="sq-AL"/>
        </w:rPr>
        <w:t>Kjo bëri që normat e papunësisë të bien ose të mbeten të njëjta</w:t>
      </w:r>
      <w:r>
        <w:rPr>
          <w:rStyle w:val="q4iawc"/>
          <w:lang w:val="sq-AL"/>
        </w:rPr>
        <w:t>,</w:t>
      </w:r>
      <w:r w:rsidRPr="00197FAB">
        <w:rPr>
          <w:rStyle w:val="q4iawc"/>
          <w:lang w:val="sq-AL"/>
        </w:rPr>
        <w:t xml:space="preserve"> ndërsa pjesëmarrja në fuqinë punëtore </w:t>
      </w:r>
      <w:r>
        <w:rPr>
          <w:rStyle w:val="q4iawc"/>
          <w:lang w:val="sq-AL"/>
        </w:rPr>
        <w:t>t</w:t>
      </w:r>
      <w:r w:rsidRPr="00197FAB">
        <w:rPr>
          <w:rStyle w:val="q4iawc"/>
          <w:lang w:val="sq-AL"/>
        </w:rPr>
        <w:t>ë rr</w:t>
      </w:r>
      <w:r>
        <w:rPr>
          <w:rStyle w:val="q4iawc"/>
          <w:lang w:val="sq-AL"/>
        </w:rPr>
        <w:t>itet</w:t>
      </w:r>
      <w:r w:rsidRPr="00197FAB">
        <w:rPr>
          <w:rStyle w:val="q4iawc"/>
          <w:lang w:val="sq-AL"/>
        </w:rPr>
        <w:t>.</w:t>
      </w:r>
      <w:r w:rsidRPr="00197FAB">
        <w:rPr>
          <w:rStyle w:val="viiyi"/>
          <w:lang w:val="sq-AL"/>
        </w:rPr>
        <w:t xml:space="preserve"> </w:t>
      </w:r>
      <w:r w:rsidRPr="00197FAB">
        <w:rPr>
          <w:rStyle w:val="q4iawc"/>
          <w:lang w:val="sq-AL"/>
        </w:rPr>
        <w:t>Megjithatë, shkalla e papunësisë ka mbetur e lartë duke filluar nga 11.0% në Serbi në 25.8% në Kosovë. (kjo e fundit pasqyron të dhënat më të fundit të disponueshme nga tremujori i parë i 2021)</w:t>
      </w:r>
      <w:r w:rsidR="00A664DE" w:rsidRPr="00476D2E">
        <w:rPr>
          <w:rFonts w:cs="Calibri"/>
          <w:lang w:val="sq-AL"/>
        </w:rPr>
        <w:t>.</w:t>
      </w:r>
    </w:p>
    <w:p w:rsidR="0049325D" w:rsidRPr="002A00BD" w:rsidRDefault="0049325D" w:rsidP="0049325D">
      <w:pPr>
        <w:spacing w:before="0"/>
        <w:rPr>
          <w:rFonts w:cs="Calibri"/>
          <w:sz w:val="8"/>
          <w:szCs w:val="8"/>
          <w:lang w:val="sq-AL"/>
        </w:rPr>
      </w:pPr>
    </w:p>
    <w:p w:rsidR="00A664DE" w:rsidRDefault="00A664DE" w:rsidP="0049325D">
      <w:pPr>
        <w:pStyle w:val="Caption"/>
        <w:keepNext/>
        <w:spacing w:before="0" w:after="0"/>
        <w:rPr>
          <w:rFonts w:cs="Calibri"/>
          <w:lang w:val="sq-AL"/>
        </w:rPr>
      </w:pPr>
      <w:bookmarkStart w:id="21" w:name="_Toc104984074"/>
      <w:r w:rsidRPr="00476D2E">
        <w:rPr>
          <w:rFonts w:cs="Calibri"/>
          <w:lang w:val="sq-AL"/>
        </w:rPr>
        <w:t xml:space="preserve">Tabela </w:t>
      </w:r>
      <w:r w:rsidRPr="00476D2E">
        <w:rPr>
          <w:rFonts w:cs="Calibri"/>
          <w:lang w:val="sq-AL"/>
        </w:rPr>
        <w:fldChar w:fldCharType="begin"/>
      </w:r>
      <w:r w:rsidRPr="00476D2E">
        <w:rPr>
          <w:rFonts w:cs="Calibri"/>
          <w:lang w:val="sq-AL"/>
        </w:rPr>
        <w:instrText xml:space="preserve"> SEQ Tabela \* ARABIC </w:instrText>
      </w:r>
      <w:r w:rsidRPr="00476D2E">
        <w:rPr>
          <w:rFonts w:cs="Calibri"/>
          <w:lang w:val="sq-AL"/>
        </w:rPr>
        <w:fldChar w:fldCharType="separate"/>
      </w:r>
      <w:r w:rsidR="00276062">
        <w:rPr>
          <w:rFonts w:cs="Calibri"/>
          <w:noProof/>
          <w:lang w:val="sq-AL"/>
        </w:rPr>
        <w:t>2</w:t>
      </w:r>
      <w:r w:rsidRPr="00476D2E">
        <w:rPr>
          <w:rFonts w:cs="Calibri"/>
          <w:noProof/>
          <w:lang w:val="sq-AL"/>
        </w:rPr>
        <w:fldChar w:fldCharType="end"/>
      </w:r>
      <w:r w:rsidRPr="00476D2E">
        <w:rPr>
          <w:rFonts w:cs="Calibri"/>
          <w:noProof/>
          <w:lang w:val="sq-AL"/>
        </w:rPr>
        <w:t>:</w:t>
      </w:r>
      <w:r w:rsidRPr="00476D2E">
        <w:rPr>
          <w:rFonts w:cs="Calibri"/>
          <w:lang w:val="sq-AL"/>
        </w:rPr>
        <w:t xml:space="preserve"> Norma e papunësisë</w:t>
      </w:r>
      <w:bookmarkEnd w:id="21"/>
    </w:p>
    <w:tbl>
      <w:tblPr>
        <w:tblStyle w:val="GridTable4-Accent11"/>
        <w:tblW w:w="4343" w:type="pct"/>
        <w:jc w:val="center"/>
        <w:tblLook w:val="04A0" w:firstRow="1" w:lastRow="0" w:firstColumn="1" w:lastColumn="0" w:noHBand="0" w:noVBand="1"/>
      </w:tblPr>
      <w:tblGrid>
        <w:gridCol w:w="6080"/>
        <w:gridCol w:w="1645"/>
        <w:gridCol w:w="1609"/>
      </w:tblGrid>
      <w:tr w:rsidR="00A97E29" w:rsidRPr="00476D2E" w:rsidTr="00552F70">
        <w:trPr>
          <w:cnfStyle w:val="100000000000" w:firstRow="1" w:lastRow="0" w:firstColumn="0" w:lastColumn="0" w:oddVBand="0" w:evenVBand="0" w:oddHBand="0"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3257" w:type="pct"/>
            <w:hideMark/>
          </w:tcPr>
          <w:p w:rsidR="00A97E29" w:rsidRPr="00476D2E" w:rsidRDefault="00A97E29" w:rsidP="00F90F81">
            <w:pPr>
              <w:spacing w:before="0" w:line="240" w:lineRule="auto"/>
              <w:jc w:val="center"/>
              <w:rPr>
                <w:rFonts w:cs="Calibri"/>
                <w:bCs w:val="0"/>
                <w:sz w:val="18"/>
                <w:szCs w:val="20"/>
                <w:lang w:val="sq-AL"/>
              </w:rPr>
            </w:pPr>
            <w:r w:rsidRPr="00476D2E">
              <w:rPr>
                <w:rFonts w:cs="Calibri"/>
                <w:bCs w:val="0"/>
                <w:sz w:val="18"/>
                <w:szCs w:val="20"/>
                <w:lang w:val="sq-AL"/>
              </w:rPr>
              <w:t xml:space="preserve">Norma e Papunësisë </w:t>
            </w:r>
            <w:r w:rsidRPr="00476D2E">
              <w:rPr>
                <w:rFonts w:cs="Calibri"/>
                <w:b w:val="0"/>
                <w:bCs w:val="0"/>
                <w:i/>
                <w:iCs/>
                <w:sz w:val="18"/>
                <w:szCs w:val="20"/>
                <w:lang w:val="sq-AL"/>
              </w:rPr>
              <w:t>(mesatare vjetore, nё %)</w:t>
            </w:r>
          </w:p>
        </w:tc>
        <w:tc>
          <w:tcPr>
            <w:tcW w:w="881" w:type="pct"/>
            <w:hideMark/>
          </w:tcPr>
          <w:p w:rsidR="00A97E29" w:rsidRPr="00476D2E" w:rsidRDefault="00A97E29" w:rsidP="00F90F81">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sz w:val="18"/>
                <w:szCs w:val="20"/>
                <w:lang w:val="sq-AL"/>
              </w:rPr>
            </w:pPr>
            <w:r w:rsidRPr="00476D2E">
              <w:rPr>
                <w:rFonts w:cs="Calibri"/>
                <w:sz w:val="18"/>
                <w:szCs w:val="20"/>
                <w:lang w:val="sq-AL"/>
              </w:rPr>
              <w:t>20</w:t>
            </w:r>
            <w:r>
              <w:rPr>
                <w:rFonts w:cs="Calibri"/>
                <w:sz w:val="18"/>
                <w:szCs w:val="20"/>
                <w:lang w:val="sq-AL"/>
              </w:rPr>
              <w:t>20</w:t>
            </w:r>
          </w:p>
        </w:tc>
        <w:tc>
          <w:tcPr>
            <w:tcW w:w="863" w:type="pct"/>
            <w:hideMark/>
          </w:tcPr>
          <w:p w:rsidR="00A97E29" w:rsidRPr="00476D2E" w:rsidRDefault="00A97E29" w:rsidP="00F90F81">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sz w:val="18"/>
                <w:szCs w:val="20"/>
                <w:lang w:val="sq-AL"/>
              </w:rPr>
            </w:pPr>
            <w:r w:rsidRPr="00476D2E">
              <w:rPr>
                <w:rFonts w:cs="Calibri"/>
                <w:sz w:val="18"/>
                <w:szCs w:val="20"/>
                <w:lang w:val="sq-AL"/>
              </w:rPr>
              <w:t>202</w:t>
            </w:r>
            <w:r>
              <w:rPr>
                <w:rFonts w:cs="Calibri"/>
                <w:sz w:val="18"/>
                <w:szCs w:val="20"/>
                <w:lang w:val="sq-AL"/>
              </w:rPr>
              <w:t>1</w:t>
            </w:r>
          </w:p>
        </w:tc>
      </w:tr>
      <w:tr w:rsidR="00A97E29" w:rsidRPr="00476D2E" w:rsidTr="00552F7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3257" w:type="pct"/>
            <w:noWrap/>
            <w:hideMark/>
          </w:tcPr>
          <w:p w:rsidR="00A97E29" w:rsidRPr="00476D2E" w:rsidRDefault="00A97E29" w:rsidP="00F90F81">
            <w:pPr>
              <w:spacing w:before="0" w:line="240" w:lineRule="auto"/>
              <w:rPr>
                <w:rFonts w:cs="Calibri"/>
                <w:b w:val="0"/>
                <w:sz w:val="18"/>
                <w:szCs w:val="20"/>
                <w:lang w:val="sq-AL"/>
              </w:rPr>
            </w:pPr>
            <w:r w:rsidRPr="00476D2E">
              <w:rPr>
                <w:rFonts w:cs="Calibri"/>
                <w:b w:val="0"/>
                <w:sz w:val="18"/>
                <w:szCs w:val="20"/>
                <w:lang w:val="sq-AL"/>
              </w:rPr>
              <w:t>Maqedonia e Veriut</w:t>
            </w:r>
          </w:p>
        </w:tc>
        <w:tc>
          <w:tcPr>
            <w:tcW w:w="881" w:type="pct"/>
            <w:noWrap/>
            <w:hideMark/>
          </w:tcPr>
          <w:p w:rsidR="00A97E29" w:rsidRPr="00476D2E" w:rsidRDefault="00A97E29" w:rsidP="00F90F8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20"/>
                <w:lang w:val="sq-AL"/>
              </w:rPr>
            </w:pPr>
            <w:r w:rsidRPr="00476D2E">
              <w:rPr>
                <w:rFonts w:cs="Calibri"/>
                <w:sz w:val="18"/>
                <w:szCs w:val="20"/>
                <w:lang w:val="sq-AL"/>
              </w:rPr>
              <w:t>1</w:t>
            </w:r>
            <w:r>
              <w:rPr>
                <w:rFonts w:cs="Calibri"/>
                <w:sz w:val="18"/>
                <w:szCs w:val="20"/>
                <w:lang w:val="sq-AL"/>
              </w:rPr>
              <w:t>6</w:t>
            </w:r>
            <w:r w:rsidRPr="00476D2E">
              <w:rPr>
                <w:rFonts w:cs="Calibri"/>
                <w:sz w:val="18"/>
                <w:szCs w:val="20"/>
                <w:lang w:val="sq-AL"/>
              </w:rPr>
              <w:t>.</w:t>
            </w:r>
            <w:r>
              <w:rPr>
                <w:rFonts w:cs="Calibri"/>
                <w:sz w:val="18"/>
                <w:szCs w:val="20"/>
                <w:lang w:val="sq-AL"/>
              </w:rPr>
              <w:t>6</w:t>
            </w:r>
          </w:p>
        </w:tc>
        <w:tc>
          <w:tcPr>
            <w:tcW w:w="863" w:type="pct"/>
            <w:noWrap/>
            <w:hideMark/>
          </w:tcPr>
          <w:p w:rsidR="00A97E29" w:rsidRPr="00476D2E" w:rsidRDefault="00A97E29" w:rsidP="00F90F8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20"/>
                <w:lang w:val="sq-AL"/>
              </w:rPr>
            </w:pPr>
            <w:r w:rsidRPr="00476D2E">
              <w:rPr>
                <w:rFonts w:cs="Calibri"/>
                <w:sz w:val="18"/>
                <w:szCs w:val="20"/>
                <w:lang w:val="sq-AL"/>
              </w:rPr>
              <w:t>1</w:t>
            </w:r>
            <w:r>
              <w:rPr>
                <w:rFonts w:cs="Calibri"/>
                <w:sz w:val="18"/>
                <w:szCs w:val="20"/>
                <w:lang w:val="sq-AL"/>
              </w:rPr>
              <w:t>5</w:t>
            </w:r>
            <w:r w:rsidRPr="00476D2E">
              <w:rPr>
                <w:rFonts w:cs="Calibri"/>
                <w:sz w:val="18"/>
                <w:szCs w:val="20"/>
                <w:lang w:val="sq-AL"/>
              </w:rPr>
              <w:t>.</w:t>
            </w:r>
            <w:r>
              <w:rPr>
                <w:rFonts w:cs="Calibri"/>
                <w:sz w:val="18"/>
                <w:szCs w:val="20"/>
                <w:lang w:val="sq-AL"/>
              </w:rPr>
              <w:t>8</w:t>
            </w:r>
          </w:p>
        </w:tc>
      </w:tr>
      <w:tr w:rsidR="00A97E29" w:rsidRPr="00476D2E" w:rsidTr="00552F70">
        <w:trPr>
          <w:trHeight w:val="234"/>
          <w:jc w:val="center"/>
        </w:trPr>
        <w:tc>
          <w:tcPr>
            <w:cnfStyle w:val="001000000000" w:firstRow="0" w:lastRow="0" w:firstColumn="1" w:lastColumn="0" w:oddVBand="0" w:evenVBand="0" w:oddHBand="0" w:evenHBand="0" w:firstRowFirstColumn="0" w:firstRowLastColumn="0" w:lastRowFirstColumn="0" w:lastRowLastColumn="0"/>
            <w:tcW w:w="3257" w:type="pct"/>
            <w:noWrap/>
            <w:hideMark/>
          </w:tcPr>
          <w:p w:rsidR="00A97E29" w:rsidRPr="00476D2E" w:rsidRDefault="00A97E29" w:rsidP="00F90F81">
            <w:pPr>
              <w:spacing w:before="0" w:line="240" w:lineRule="auto"/>
              <w:rPr>
                <w:rFonts w:cs="Calibri"/>
                <w:b w:val="0"/>
                <w:sz w:val="18"/>
                <w:szCs w:val="20"/>
                <w:lang w:val="sq-AL"/>
              </w:rPr>
            </w:pPr>
            <w:r w:rsidRPr="00476D2E">
              <w:rPr>
                <w:rFonts w:cs="Calibri"/>
                <w:b w:val="0"/>
                <w:sz w:val="18"/>
                <w:szCs w:val="20"/>
                <w:lang w:val="sq-AL"/>
              </w:rPr>
              <w:t>Mali i ZI</w:t>
            </w:r>
          </w:p>
        </w:tc>
        <w:tc>
          <w:tcPr>
            <w:tcW w:w="881" w:type="pct"/>
            <w:noWrap/>
            <w:hideMark/>
          </w:tcPr>
          <w:p w:rsidR="00A97E29" w:rsidRPr="00476D2E" w:rsidRDefault="00A97E29" w:rsidP="00F90F8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476D2E">
              <w:rPr>
                <w:rFonts w:cs="Calibri"/>
                <w:sz w:val="18"/>
                <w:szCs w:val="20"/>
                <w:lang w:val="sq-AL"/>
              </w:rPr>
              <w:t>1</w:t>
            </w:r>
            <w:r>
              <w:rPr>
                <w:rFonts w:cs="Calibri"/>
                <w:sz w:val="18"/>
                <w:szCs w:val="20"/>
                <w:lang w:val="sq-AL"/>
              </w:rPr>
              <w:t>8</w:t>
            </w:r>
            <w:r w:rsidRPr="00476D2E">
              <w:rPr>
                <w:rFonts w:cs="Calibri"/>
                <w:sz w:val="18"/>
                <w:szCs w:val="20"/>
                <w:lang w:val="sq-AL"/>
              </w:rPr>
              <w:t>.4</w:t>
            </w:r>
          </w:p>
        </w:tc>
        <w:tc>
          <w:tcPr>
            <w:tcW w:w="863" w:type="pct"/>
            <w:noWrap/>
            <w:hideMark/>
          </w:tcPr>
          <w:p w:rsidR="00A97E29" w:rsidRPr="00476D2E" w:rsidRDefault="00A97E29" w:rsidP="00F90F8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476D2E">
              <w:rPr>
                <w:rFonts w:cs="Calibri"/>
                <w:sz w:val="18"/>
                <w:szCs w:val="20"/>
                <w:lang w:val="sq-AL"/>
              </w:rPr>
              <w:t>1</w:t>
            </w:r>
            <w:r>
              <w:rPr>
                <w:rFonts w:cs="Calibri"/>
                <w:sz w:val="18"/>
                <w:szCs w:val="20"/>
                <w:lang w:val="sq-AL"/>
              </w:rPr>
              <w:t>6</w:t>
            </w:r>
            <w:r w:rsidRPr="00476D2E">
              <w:rPr>
                <w:rFonts w:cs="Calibri"/>
                <w:sz w:val="18"/>
                <w:szCs w:val="20"/>
                <w:lang w:val="sq-AL"/>
              </w:rPr>
              <w:t>.</w:t>
            </w:r>
            <w:r>
              <w:rPr>
                <w:rFonts w:cs="Calibri"/>
                <w:sz w:val="18"/>
                <w:szCs w:val="20"/>
                <w:lang w:val="sq-AL"/>
              </w:rPr>
              <w:t>9</w:t>
            </w:r>
          </w:p>
        </w:tc>
      </w:tr>
      <w:tr w:rsidR="00A97E29" w:rsidRPr="00476D2E" w:rsidTr="00552F70">
        <w:trPr>
          <w:cnfStyle w:val="000000100000" w:firstRow="0" w:lastRow="0" w:firstColumn="0" w:lastColumn="0" w:oddVBand="0" w:evenVBand="0" w:oddHBand="1" w:evenHBand="0" w:firstRowFirstColumn="0" w:firstRowLastColumn="0" w:lastRowFirstColumn="0" w:lastRowLastColumn="0"/>
          <w:trHeight w:val="73"/>
          <w:jc w:val="center"/>
        </w:trPr>
        <w:tc>
          <w:tcPr>
            <w:cnfStyle w:val="001000000000" w:firstRow="0" w:lastRow="0" w:firstColumn="1" w:lastColumn="0" w:oddVBand="0" w:evenVBand="0" w:oddHBand="0" w:evenHBand="0" w:firstRowFirstColumn="0" w:firstRowLastColumn="0" w:lastRowFirstColumn="0" w:lastRowLastColumn="0"/>
            <w:tcW w:w="3257" w:type="pct"/>
            <w:noWrap/>
            <w:hideMark/>
          </w:tcPr>
          <w:p w:rsidR="00A97E29" w:rsidRPr="00476D2E" w:rsidRDefault="00A97E29" w:rsidP="00F90F81">
            <w:pPr>
              <w:spacing w:before="0" w:line="240" w:lineRule="auto"/>
              <w:rPr>
                <w:rFonts w:cs="Calibri"/>
                <w:b w:val="0"/>
                <w:sz w:val="18"/>
                <w:szCs w:val="20"/>
                <w:lang w:val="sq-AL"/>
              </w:rPr>
            </w:pPr>
            <w:r w:rsidRPr="00476D2E">
              <w:rPr>
                <w:rFonts w:cs="Calibri"/>
                <w:b w:val="0"/>
                <w:sz w:val="18"/>
                <w:szCs w:val="20"/>
                <w:lang w:val="sq-AL"/>
              </w:rPr>
              <w:t>Serbia</w:t>
            </w:r>
          </w:p>
        </w:tc>
        <w:tc>
          <w:tcPr>
            <w:tcW w:w="881" w:type="pct"/>
            <w:noWrap/>
            <w:hideMark/>
          </w:tcPr>
          <w:p w:rsidR="00A97E29" w:rsidRPr="00476D2E" w:rsidRDefault="00A97E29" w:rsidP="00F90F8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20"/>
                <w:lang w:val="sq-AL"/>
              </w:rPr>
            </w:pPr>
            <w:r>
              <w:rPr>
                <w:rFonts w:cs="Calibri"/>
                <w:sz w:val="18"/>
                <w:szCs w:val="20"/>
                <w:lang w:val="sq-AL"/>
              </w:rPr>
              <w:t>9</w:t>
            </w:r>
            <w:r w:rsidRPr="00476D2E">
              <w:rPr>
                <w:rFonts w:cs="Calibri"/>
                <w:sz w:val="18"/>
                <w:szCs w:val="20"/>
                <w:lang w:val="sq-AL"/>
              </w:rPr>
              <w:t>.</w:t>
            </w:r>
            <w:r>
              <w:rPr>
                <w:rFonts w:cs="Calibri"/>
                <w:sz w:val="18"/>
                <w:szCs w:val="20"/>
                <w:lang w:val="sq-AL"/>
              </w:rPr>
              <w:t>7</w:t>
            </w:r>
          </w:p>
        </w:tc>
        <w:tc>
          <w:tcPr>
            <w:tcW w:w="863" w:type="pct"/>
            <w:noWrap/>
            <w:hideMark/>
          </w:tcPr>
          <w:p w:rsidR="00A97E29" w:rsidRPr="00476D2E" w:rsidRDefault="00A97E29" w:rsidP="00F90F8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20"/>
                <w:lang w:val="sq-AL"/>
              </w:rPr>
            </w:pPr>
            <w:r>
              <w:rPr>
                <w:rFonts w:cs="Calibri"/>
                <w:sz w:val="18"/>
                <w:szCs w:val="20"/>
                <w:lang w:val="sq-AL"/>
              </w:rPr>
              <w:t>11.0</w:t>
            </w:r>
          </w:p>
        </w:tc>
      </w:tr>
      <w:tr w:rsidR="00A97E29" w:rsidRPr="00476D2E" w:rsidTr="00552F70">
        <w:trPr>
          <w:trHeight w:val="207"/>
          <w:jc w:val="center"/>
        </w:trPr>
        <w:tc>
          <w:tcPr>
            <w:cnfStyle w:val="001000000000" w:firstRow="0" w:lastRow="0" w:firstColumn="1" w:lastColumn="0" w:oddVBand="0" w:evenVBand="0" w:oddHBand="0" w:evenHBand="0" w:firstRowFirstColumn="0" w:firstRowLastColumn="0" w:lastRowFirstColumn="0" w:lastRowLastColumn="0"/>
            <w:tcW w:w="3257" w:type="pct"/>
            <w:noWrap/>
            <w:hideMark/>
          </w:tcPr>
          <w:p w:rsidR="00A97E29" w:rsidRPr="00476D2E" w:rsidRDefault="00A97E29" w:rsidP="00F90F81">
            <w:pPr>
              <w:spacing w:before="0" w:line="240" w:lineRule="auto"/>
              <w:rPr>
                <w:rFonts w:cs="Calibri"/>
                <w:sz w:val="18"/>
                <w:szCs w:val="20"/>
                <w:lang w:val="sq-AL"/>
              </w:rPr>
            </w:pPr>
            <w:r w:rsidRPr="00476D2E">
              <w:rPr>
                <w:rFonts w:cs="Calibri"/>
                <w:sz w:val="18"/>
                <w:szCs w:val="20"/>
                <w:lang w:val="sq-AL"/>
              </w:rPr>
              <w:t>Shqipëria</w:t>
            </w:r>
          </w:p>
        </w:tc>
        <w:tc>
          <w:tcPr>
            <w:tcW w:w="881" w:type="pct"/>
            <w:noWrap/>
            <w:hideMark/>
          </w:tcPr>
          <w:p w:rsidR="00A97E29" w:rsidRPr="00476D2E" w:rsidRDefault="00A97E29" w:rsidP="00F90F8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18"/>
                <w:szCs w:val="20"/>
                <w:lang w:val="sq-AL"/>
              </w:rPr>
            </w:pPr>
            <w:r w:rsidRPr="00476D2E">
              <w:rPr>
                <w:rFonts w:cs="Calibri"/>
                <w:b/>
                <w:sz w:val="18"/>
                <w:szCs w:val="20"/>
                <w:lang w:val="sq-AL"/>
              </w:rPr>
              <w:t>12.</w:t>
            </w:r>
            <w:r>
              <w:rPr>
                <w:rFonts w:cs="Calibri"/>
                <w:b/>
                <w:sz w:val="18"/>
                <w:szCs w:val="20"/>
                <w:lang w:val="sq-AL"/>
              </w:rPr>
              <w:t>2</w:t>
            </w:r>
          </w:p>
        </w:tc>
        <w:tc>
          <w:tcPr>
            <w:tcW w:w="863" w:type="pct"/>
            <w:noWrap/>
            <w:hideMark/>
          </w:tcPr>
          <w:p w:rsidR="00A97E29" w:rsidRPr="00476D2E" w:rsidRDefault="00A97E29" w:rsidP="00F90F8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18"/>
                <w:szCs w:val="20"/>
                <w:lang w:val="sq-AL"/>
              </w:rPr>
            </w:pPr>
            <w:r w:rsidRPr="00476D2E">
              <w:rPr>
                <w:rFonts w:cs="Calibri"/>
                <w:b/>
                <w:sz w:val="18"/>
                <w:szCs w:val="20"/>
                <w:lang w:val="sq-AL"/>
              </w:rPr>
              <w:t>12.</w:t>
            </w:r>
            <w:r>
              <w:rPr>
                <w:rFonts w:cs="Calibri"/>
                <w:b/>
                <w:sz w:val="18"/>
                <w:szCs w:val="20"/>
                <w:lang w:val="sq-AL"/>
              </w:rPr>
              <w:t>1</w:t>
            </w:r>
          </w:p>
        </w:tc>
      </w:tr>
      <w:tr w:rsidR="00A97E29" w:rsidRPr="00476D2E" w:rsidTr="00552F70">
        <w:trPr>
          <w:cnfStyle w:val="000000100000" w:firstRow="0" w:lastRow="0" w:firstColumn="0" w:lastColumn="0" w:oddVBand="0" w:evenVBand="0" w:oddHBand="1" w:evenHBand="0" w:firstRowFirstColumn="0" w:firstRowLastColumn="0" w:lastRowFirstColumn="0" w:lastRowLastColumn="0"/>
          <w:trHeight w:val="114"/>
          <w:jc w:val="center"/>
        </w:trPr>
        <w:tc>
          <w:tcPr>
            <w:cnfStyle w:val="001000000000" w:firstRow="0" w:lastRow="0" w:firstColumn="1" w:lastColumn="0" w:oddVBand="0" w:evenVBand="0" w:oddHBand="0" w:evenHBand="0" w:firstRowFirstColumn="0" w:firstRowLastColumn="0" w:lastRowFirstColumn="0" w:lastRowLastColumn="0"/>
            <w:tcW w:w="3257" w:type="pct"/>
            <w:noWrap/>
            <w:hideMark/>
          </w:tcPr>
          <w:p w:rsidR="00A97E29" w:rsidRPr="00476D2E" w:rsidRDefault="00A97E29" w:rsidP="00F90F81">
            <w:pPr>
              <w:spacing w:before="0" w:line="240" w:lineRule="auto"/>
              <w:rPr>
                <w:rFonts w:cs="Calibri"/>
                <w:b w:val="0"/>
                <w:sz w:val="18"/>
                <w:szCs w:val="20"/>
                <w:lang w:val="sq-AL"/>
              </w:rPr>
            </w:pPr>
            <w:r w:rsidRPr="00476D2E">
              <w:rPr>
                <w:rFonts w:cs="Calibri"/>
                <w:b w:val="0"/>
                <w:sz w:val="18"/>
                <w:szCs w:val="20"/>
                <w:lang w:val="sq-AL"/>
              </w:rPr>
              <w:t>Bosnja dhe Hercegovina</w:t>
            </w:r>
          </w:p>
        </w:tc>
        <w:tc>
          <w:tcPr>
            <w:tcW w:w="881" w:type="pct"/>
            <w:noWrap/>
            <w:hideMark/>
          </w:tcPr>
          <w:p w:rsidR="00A97E29" w:rsidRPr="00476D2E" w:rsidRDefault="00A97E29" w:rsidP="00F90F8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20"/>
                <w:lang w:val="sq-AL"/>
              </w:rPr>
            </w:pPr>
            <w:r w:rsidRPr="00476D2E">
              <w:rPr>
                <w:rFonts w:cs="Calibri"/>
                <w:sz w:val="18"/>
                <w:szCs w:val="20"/>
                <w:lang w:val="sq-AL"/>
              </w:rPr>
              <w:t>15.</w:t>
            </w:r>
            <w:r>
              <w:rPr>
                <w:rFonts w:cs="Calibri"/>
                <w:sz w:val="18"/>
                <w:szCs w:val="20"/>
                <w:lang w:val="sq-AL"/>
              </w:rPr>
              <w:t>9</w:t>
            </w:r>
          </w:p>
        </w:tc>
        <w:tc>
          <w:tcPr>
            <w:tcW w:w="863" w:type="pct"/>
            <w:noWrap/>
            <w:hideMark/>
          </w:tcPr>
          <w:p w:rsidR="00A97E29" w:rsidRPr="00476D2E" w:rsidRDefault="00A97E29" w:rsidP="00F90F8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20"/>
                <w:lang w:val="sq-AL"/>
              </w:rPr>
            </w:pPr>
            <w:r w:rsidRPr="00476D2E">
              <w:rPr>
                <w:rFonts w:cs="Calibri"/>
                <w:sz w:val="18"/>
                <w:szCs w:val="20"/>
                <w:lang w:val="sq-AL"/>
              </w:rPr>
              <w:t>1</w:t>
            </w:r>
            <w:r>
              <w:rPr>
                <w:rFonts w:cs="Calibri"/>
                <w:sz w:val="18"/>
                <w:szCs w:val="20"/>
                <w:lang w:val="sq-AL"/>
              </w:rPr>
              <w:t>7</w:t>
            </w:r>
            <w:r w:rsidRPr="00476D2E">
              <w:rPr>
                <w:rFonts w:cs="Calibri"/>
                <w:sz w:val="18"/>
                <w:szCs w:val="20"/>
                <w:lang w:val="sq-AL"/>
              </w:rPr>
              <w:t>.</w:t>
            </w:r>
            <w:r>
              <w:rPr>
                <w:rFonts w:cs="Calibri"/>
                <w:sz w:val="18"/>
                <w:szCs w:val="20"/>
                <w:lang w:val="sq-AL"/>
              </w:rPr>
              <w:t>4</w:t>
            </w:r>
          </w:p>
        </w:tc>
      </w:tr>
      <w:tr w:rsidR="00A97E29" w:rsidRPr="00476D2E" w:rsidTr="00552F70">
        <w:trPr>
          <w:trHeight w:val="73"/>
          <w:jc w:val="center"/>
        </w:trPr>
        <w:tc>
          <w:tcPr>
            <w:cnfStyle w:val="001000000000" w:firstRow="0" w:lastRow="0" w:firstColumn="1" w:lastColumn="0" w:oddVBand="0" w:evenVBand="0" w:oddHBand="0" w:evenHBand="0" w:firstRowFirstColumn="0" w:firstRowLastColumn="0" w:lastRowFirstColumn="0" w:lastRowLastColumn="0"/>
            <w:tcW w:w="3257" w:type="pct"/>
            <w:noWrap/>
            <w:hideMark/>
          </w:tcPr>
          <w:p w:rsidR="00A97E29" w:rsidRPr="00476D2E" w:rsidRDefault="00A97E29" w:rsidP="00F90F81">
            <w:pPr>
              <w:spacing w:before="0" w:line="240" w:lineRule="auto"/>
              <w:rPr>
                <w:rFonts w:cs="Calibri"/>
                <w:b w:val="0"/>
                <w:sz w:val="18"/>
                <w:szCs w:val="20"/>
                <w:lang w:val="sq-AL"/>
              </w:rPr>
            </w:pPr>
            <w:r w:rsidRPr="00476D2E">
              <w:rPr>
                <w:rFonts w:cs="Calibri"/>
                <w:b w:val="0"/>
                <w:sz w:val="18"/>
                <w:szCs w:val="20"/>
                <w:lang w:val="sq-AL"/>
              </w:rPr>
              <w:t>Kosova</w:t>
            </w:r>
          </w:p>
        </w:tc>
        <w:tc>
          <w:tcPr>
            <w:tcW w:w="881" w:type="pct"/>
            <w:noWrap/>
            <w:hideMark/>
          </w:tcPr>
          <w:p w:rsidR="00A97E29" w:rsidRPr="00476D2E" w:rsidRDefault="00A97E29" w:rsidP="00F90F8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476D2E">
              <w:rPr>
                <w:rFonts w:cs="Calibri"/>
                <w:sz w:val="18"/>
                <w:szCs w:val="20"/>
                <w:lang w:val="sq-AL"/>
              </w:rPr>
              <w:t>25.</w:t>
            </w:r>
            <w:r>
              <w:rPr>
                <w:rFonts w:cs="Calibri"/>
                <w:sz w:val="18"/>
                <w:szCs w:val="20"/>
                <w:lang w:val="sq-AL"/>
              </w:rPr>
              <w:t>9</w:t>
            </w:r>
          </w:p>
        </w:tc>
        <w:tc>
          <w:tcPr>
            <w:tcW w:w="863" w:type="pct"/>
            <w:noWrap/>
            <w:hideMark/>
          </w:tcPr>
          <w:p w:rsidR="00A97E29" w:rsidRPr="00476D2E" w:rsidRDefault="00A97E29" w:rsidP="00F90F8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Pr>
                <w:rFonts w:cs="Calibri"/>
                <w:sz w:val="18"/>
                <w:szCs w:val="20"/>
                <w:lang w:val="sq-AL"/>
              </w:rPr>
              <w:t>n.a</w:t>
            </w:r>
          </w:p>
        </w:tc>
      </w:tr>
    </w:tbl>
    <w:p w:rsidR="00DE5664" w:rsidRPr="00476D2E" w:rsidRDefault="00A664DE" w:rsidP="00A97E29">
      <w:pPr>
        <w:spacing w:before="0"/>
        <w:ind w:firstLine="720"/>
        <w:rPr>
          <w:rFonts w:cs="Calibri"/>
          <w:sz w:val="8"/>
          <w:szCs w:val="8"/>
          <w:lang w:val="sq-AL"/>
        </w:rPr>
      </w:pPr>
      <w:r w:rsidRPr="00476D2E">
        <w:rPr>
          <w:rFonts w:cs="Calibri"/>
          <w:i/>
          <w:sz w:val="18"/>
          <w:szCs w:val="18"/>
          <w:lang w:val="sq-AL"/>
        </w:rPr>
        <w:t>Burimi: Directorate-General for Economic and Financial Affairs (DG-ECFIN)</w:t>
      </w:r>
      <w:bookmarkStart w:id="22" w:name="_Toc515446549"/>
      <w:bookmarkEnd w:id="20"/>
    </w:p>
    <w:p w:rsidR="00F1402E" w:rsidRDefault="00F1402E" w:rsidP="00A664DE">
      <w:pPr>
        <w:rPr>
          <w:rStyle w:val="q4iawc"/>
          <w:lang w:val="sq-AL"/>
        </w:rPr>
      </w:pPr>
    </w:p>
    <w:p w:rsidR="00A664DE" w:rsidRDefault="00552F70" w:rsidP="00A664DE">
      <w:pPr>
        <w:rPr>
          <w:rFonts w:cs="Calibri"/>
          <w:lang w:val="sq-AL"/>
        </w:rPr>
      </w:pPr>
      <w:r w:rsidRPr="00197FAB">
        <w:rPr>
          <w:rStyle w:val="q4iawc"/>
          <w:lang w:val="sq-AL"/>
        </w:rPr>
        <w:t>Zhvillimet e jashtme në Ballkanin Perëndimor gjatë vitit 2021 u nxitën nga rikthimi i fortë i eksporteve të shërbimev</w:t>
      </w:r>
      <w:r>
        <w:rPr>
          <w:rStyle w:val="q4iawc"/>
          <w:lang w:val="sq-AL"/>
        </w:rPr>
        <w:t>e (përkatësisht turizmi), rritjes</w:t>
      </w:r>
      <w:r w:rsidRPr="00197FAB">
        <w:rPr>
          <w:rStyle w:val="q4iawc"/>
          <w:lang w:val="sq-AL"/>
        </w:rPr>
        <w:t xml:space="preserve"> </w:t>
      </w:r>
      <w:r>
        <w:rPr>
          <w:rStyle w:val="q4iawc"/>
          <w:lang w:val="sq-AL"/>
        </w:rPr>
        <w:t>së</w:t>
      </w:r>
      <w:r w:rsidRPr="00197FAB">
        <w:rPr>
          <w:rStyle w:val="q4iawc"/>
          <w:lang w:val="sq-AL"/>
        </w:rPr>
        <w:t xml:space="preserve"> fortë </w:t>
      </w:r>
      <w:r>
        <w:rPr>
          <w:rStyle w:val="q4iawc"/>
          <w:lang w:val="sq-AL"/>
        </w:rPr>
        <w:t>të</w:t>
      </w:r>
      <w:r w:rsidRPr="00197FAB">
        <w:rPr>
          <w:rStyle w:val="q4iawc"/>
          <w:lang w:val="sq-AL"/>
        </w:rPr>
        <w:t xml:space="preserve"> remitancave si dhe</w:t>
      </w:r>
      <w:r>
        <w:rPr>
          <w:rStyle w:val="q4iawc"/>
          <w:lang w:val="sq-AL"/>
        </w:rPr>
        <w:t xml:space="preserve"> nga</w:t>
      </w:r>
      <w:r w:rsidRPr="00197FAB">
        <w:rPr>
          <w:rStyle w:val="q4iawc"/>
          <w:lang w:val="sq-AL"/>
        </w:rPr>
        <w:t xml:space="preserve"> vazhdimi i rritjes së eksporteve të mallrave në shumicën e vendeve</w:t>
      </w:r>
      <w:r>
        <w:rPr>
          <w:rStyle w:val="q4iawc"/>
          <w:lang w:val="sq-AL"/>
        </w:rPr>
        <w:t xml:space="preserve"> të rajonit</w:t>
      </w:r>
      <w:r w:rsidRPr="00197FAB">
        <w:rPr>
          <w:rStyle w:val="q4iawc"/>
          <w:lang w:val="sq-AL"/>
        </w:rPr>
        <w:t>.</w:t>
      </w:r>
      <w:r>
        <w:rPr>
          <w:rStyle w:val="q4iawc"/>
          <w:lang w:val="sq-AL"/>
        </w:rPr>
        <w:t xml:space="preserve"> </w:t>
      </w:r>
      <w:r w:rsidRPr="00197FAB">
        <w:rPr>
          <w:rStyle w:val="q4iawc"/>
          <w:lang w:val="sq-AL"/>
        </w:rPr>
        <w:t xml:space="preserve">Në të njëjtën kohë, importet e mallrave janë rritur me një </w:t>
      </w:r>
      <w:r>
        <w:rPr>
          <w:rStyle w:val="q4iawc"/>
          <w:lang w:val="sq-AL"/>
        </w:rPr>
        <w:t>r</w:t>
      </w:r>
      <w:r w:rsidRPr="00197FAB">
        <w:rPr>
          <w:rStyle w:val="q4iawc"/>
          <w:lang w:val="sq-AL"/>
        </w:rPr>
        <w:t>itëm të shpejtë që ç</w:t>
      </w:r>
      <w:r>
        <w:rPr>
          <w:rStyle w:val="q4iawc"/>
          <w:lang w:val="sq-AL"/>
        </w:rPr>
        <w:t>uan</w:t>
      </w:r>
      <w:r w:rsidRPr="00197FAB">
        <w:rPr>
          <w:rStyle w:val="q4iawc"/>
          <w:lang w:val="sq-AL"/>
        </w:rPr>
        <w:t xml:space="preserve"> në deficite tregtare më të larta të mallrave</w:t>
      </w:r>
      <w:r>
        <w:rPr>
          <w:rStyle w:val="q4iawc"/>
          <w:lang w:val="sq-AL"/>
        </w:rPr>
        <w:t xml:space="preserve"> </w:t>
      </w:r>
      <w:r w:rsidRPr="00197FAB">
        <w:rPr>
          <w:rStyle w:val="q4iawc"/>
          <w:lang w:val="sq-AL"/>
        </w:rPr>
        <w:t>në shumicën e vendeve të rajonit. Krahasuar me një vit më parë, deficiti i llogarisë ko</w:t>
      </w:r>
      <w:r>
        <w:rPr>
          <w:rStyle w:val="q4iawc"/>
          <w:lang w:val="sq-AL"/>
        </w:rPr>
        <w:t>r</w:t>
      </w:r>
      <w:r w:rsidRPr="00197FAB">
        <w:rPr>
          <w:rStyle w:val="q4iawc"/>
          <w:lang w:val="sq-AL"/>
        </w:rPr>
        <w:t>rente është ngushtuar ose ka mbetur përgjithësisht i pandryshuar si përqindje e PBB në Shqipëri, Mali të Zi, Bosnja dhe Hercegovina dhe Maqedoni e Veriut, ndërsa u zgjerua në Serbi dhe Kosovë</w:t>
      </w:r>
      <w:r w:rsidR="00A664DE" w:rsidRPr="00476D2E">
        <w:rPr>
          <w:rFonts w:cs="Calibri"/>
          <w:lang w:val="sq-AL"/>
        </w:rPr>
        <w:t>.</w:t>
      </w:r>
      <w:bookmarkStart w:id="23" w:name="_Toc515446550"/>
      <w:bookmarkEnd w:id="22"/>
    </w:p>
    <w:p w:rsidR="00F1402E" w:rsidRDefault="00F1402E" w:rsidP="00A664DE">
      <w:pPr>
        <w:rPr>
          <w:rFonts w:cs="Calibri"/>
          <w:lang w:val="sq-AL"/>
        </w:rPr>
      </w:pPr>
    </w:p>
    <w:p w:rsidR="00F1402E" w:rsidRDefault="00F1402E" w:rsidP="00A664DE">
      <w:pPr>
        <w:rPr>
          <w:rFonts w:cs="Calibri"/>
          <w:lang w:val="sq-AL"/>
        </w:rPr>
      </w:pPr>
    </w:p>
    <w:p w:rsidR="00F1402E" w:rsidRPr="00476D2E" w:rsidRDefault="00F1402E" w:rsidP="00A664DE">
      <w:pPr>
        <w:rPr>
          <w:rFonts w:cs="Calibri"/>
          <w:sz w:val="8"/>
          <w:lang w:val="sq-AL"/>
        </w:rPr>
      </w:pPr>
    </w:p>
    <w:p w:rsidR="00A664DE" w:rsidRDefault="00A664DE" w:rsidP="002A00BD">
      <w:pPr>
        <w:pStyle w:val="Caption"/>
        <w:keepNext/>
        <w:spacing w:before="0" w:after="0"/>
        <w:rPr>
          <w:rFonts w:cs="Calibri"/>
          <w:lang w:val="sq-AL"/>
        </w:rPr>
      </w:pPr>
      <w:bookmarkStart w:id="24" w:name="_Toc104984075"/>
      <w:r w:rsidRPr="00476D2E">
        <w:rPr>
          <w:rFonts w:cs="Calibri"/>
          <w:lang w:val="sq-AL"/>
        </w:rPr>
        <w:lastRenderedPageBreak/>
        <w:t xml:space="preserve">Tabela </w:t>
      </w:r>
      <w:r w:rsidRPr="00476D2E">
        <w:rPr>
          <w:rFonts w:cs="Calibri"/>
          <w:lang w:val="sq-AL"/>
        </w:rPr>
        <w:fldChar w:fldCharType="begin"/>
      </w:r>
      <w:r w:rsidRPr="00476D2E">
        <w:rPr>
          <w:rFonts w:cs="Calibri"/>
          <w:lang w:val="sq-AL"/>
        </w:rPr>
        <w:instrText xml:space="preserve"> SEQ Tabela \* ARABIC </w:instrText>
      </w:r>
      <w:r w:rsidRPr="00476D2E">
        <w:rPr>
          <w:rFonts w:cs="Calibri"/>
          <w:lang w:val="sq-AL"/>
        </w:rPr>
        <w:fldChar w:fldCharType="separate"/>
      </w:r>
      <w:r w:rsidR="00276062">
        <w:rPr>
          <w:rFonts w:cs="Calibri"/>
          <w:noProof/>
          <w:lang w:val="sq-AL"/>
        </w:rPr>
        <w:t>3</w:t>
      </w:r>
      <w:r w:rsidRPr="00476D2E">
        <w:rPr>
          <w:rFonts w:cs="Calibri"/>
          <w:noProof/>
          <w:lang w:val="sq-AL"/>
        </w:rPr>
        <w:fldChar w:fldCharType="end"/>
      </w:r>
      <w:r w:rsidRPr="00476D2E">
        <w:rPr>
          <w:rFonts w:cs="Calibri"/>
          <w:noProof/>
          <w:lang w:val="sq-AL"/>
        </w:rPr>
        <w:t>:</w:t>
      </w:r>
      <w:r w:rsidRPr="00476D2E">
        <w:rPr>
          <w:rFonts w:cs="Calibri"/>
          <w:lang w:val="sq-AL"/>
        </w:rPr>
        <w:t xml:space="preserve"> Bilanci tregtar</w:t>
      </w:r>
      <w:bookmarkEnd w:id="24"/>
    </w:p>
    <w:tbl>
      <w:tblPr>
        <w:tblStyle w:val="GridTable4-Accent11"/>
        <w:tblW w:w="4204" w:type="pct"/>
        <w:jc w:val="center"/>
        <w:tblLook w:val="04A0" w:firstRow="1" w:lastRow="0" w:firstColumn="1" w:lastColumn="0" w:noHBand="0" w:noVBand="1"/>
      </w:tblPr>
      <w:tblGrid>
        <w:gridCol w:w="5884"/>
        <w:gridCol w:w="1592"/>
        <w:gridCol w:w="1559"/>
      </w:tblGrid>
      <w:tr w:rsidR="00AA2795" w:rsidRPr="00476D2E" w:rsidTr="00F1402E">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3256" w:type="pct"/>
            <w:hideMark/>
          </w:tcPr>
          <w:p w:rsidR="00AA2795" w:rsidRPr="00476D2E" w:rsidRDefault="00AA2795" w:rsidP="00F90F81">
            <w:pPr>
              <w:spacing w:before="0" w:line="240" w:lineRule="auto"/>
              <w:jc w:val="center"/>
              <w:rPr>
                <w:rFonts w:cs="Calibri"/>
                <w:bCs w:val="0"/>
                <w:sz w:val="18"/>
                <w:szCs w:val="20"/>
                <w:lang w:val="sq-AL"/>
              </w:rPr>
            </w:pPr>
            <w:r w:rsidRPr="00476D2E">
              <w:rPr>
                <w:rFonts w:cs="Calibri"/>
                <w:bCs w:val="0"/>
                <w:sz w:val="18"/>
                <w:szCs w:val="20"/>
                <w:lang w:val="sq-AL"/>
              </w:rPr>
              <w:t xml:space="preserve">Deficiti i llogarisë korrente </w:t>
            </w:r>
            <w:r w:rsidRPr="00476D2E">
              <w:rPr>
                <w:rFonts w:cs="Calibri"/>
                <w:b w:val="0"/>
                <w:bCs w:val="0"/>
                <w:i/>
                <w:sz w:val="18"/>
                <w:szCs w:val="20"/>
                <w:lang w:val="sq-AL"/>
              </w:rPr>
              <w:t>(në % të PBB)</w:t>
            </w:r>
            <w:r w:rsidRPr="00476D2E">
              <w:rPr>
                <w:rStyle w:val="FootnoteReference"/>
                <w:rFonts w:cs="Calibri"/>
                <w:b w:val="0"/>
                <w:bCs w:val="0"/>
                <w:i/>
                <w:sz w:val="18"/>
                <w:szCs w:val="20"/>
                <w:lang w:val="sq-AL"/>
              </w:rPr>
              <w:footnoteReference w:id="1"/>
            </w:r>
          </w:p>
        </w:tc>
        <w:tc>
          <w:tcPr>
            <w:tcW w:w="881" w:type="pct"/>
            <w:hideMark/>
          </w:tcPr>
          <w:p w:rsidR="00AA2795" w:rsidRPr="00476D2E" w:rsidRDefault="00AA2795" w:rsidP="00F90F81">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sz w:val="18"/>
                <w:szCs w:val="20"/>
                <w:lang w:val="sq-AL"/>
              </w:rPr>
            </w:pPr>
            <w:r w:rsidRPr="00476D2E">
              <w:rPr>
                <w:rFonts w:cs="Calibri"/>
                <w:sz w:val="18"/>
                <w:szCs w:val="20"/>
                <w:lang w:val="sq-AL"/>
              </w:rPr>
              <w:t>20</w:t>
            </w:r>
            <w:r>
              <w:rPr>
                <w:rFonts w:cs="Calibri"/>
                <w:sz w:val="18"/>
                <w:szCs w:val="20"/>
                <w:lang w:val="sq-AL"/>
              </w:rPr>
              <w:t>20</w:t>
            </w:r>
          </w:p>
        </w:tc>
        <w:tc>
          <w:tcPr>
            <w:tcW w:w="863" w:type="pct"/>
            <w:hideMark/>
          </w:tcPr>
          <w:p w:rsidR="00AA2795" w:rsidRPr="00476D2E" w:rsidRDefault="00AA2795" w:rsidP="00F90F81">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sz w:val="18"/>
                <w:szCs w:val="20"/>
                <w:lang w:val="sq-AL"/>
              </w:rPr>
            </w:pPr>
            <w:r w:rsidRPr="00476D2E">
              <w:rPr>
                <w:rFonts w:cs="Calibri"/>
                <w:sz w:val="18"/>
                <w:szCs w:val="20"/>
                <w:lang w:val="sq-AL"/>
              </w:rPr>
              <w:t>202</w:t>
            </w:r>
            <w:r>
              <w:rPr>
                <w:rFonts w:cs="Calibri"/>
                <w:sz w:val="18"/>
                <w:szCs w:val="20"/>
                <w:lang w:val="sq-AL"/>
              </w:rPr>
              <w:t>1</w:t>
            </w:r>
          </w:p>
        </w:tc>
      </w:tr>
      <w:tr w:rsidR="00AA2795" w:rsidRPr="00476D2E" w:rsidTr="00F1402E">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3256" w:type="pct"/>
            <w:noWrap/>
            <w:hideMark/>
          </w:tcPr>
          <w:p w:rsidR="00AA2795" w:rsidRPr="00476D2E" w:rsidRDefault="00AA2795" w:rsidP="00F90F81">
            <w:pPr>
              <w:spacing w:before="0" w:line="240" w:lineRule="auto"/>
              <w:rPr>
                <w:rFonts w:cs="Calibri"/>
                <w:sz w:val="18"/>
                <w:szCs w:val="20"/>
                <w:lang w:val="sq-AL"/>
              </w:rPr>
            </w:pPr>
            <w:r w:rsidRPr="00476D2E">
              <w:rPr>
                <w:rFonts w:cs="Calibri"/>
                <w:b w:val="0"/>
                <w:sz w:val="18"/>
                <w:szCs w:val="20"/>
                <w:lang w:val="sq-AL"/>
              </w:rPr>
              <w:t>Maqedonia e Veriut</w:t>
            </w:r>
          </w:p>
        </w:tc>
        <w:tc>
          <w:tcPr>
            <w:tcW w:w="881" w:type="pct"/>
            <w:noWrap/>
            <w:hideMark/>
          </w:tcPr>
          <w:p w:rsidR="00AA2795" w:rsidRPr="00476D2E" w:rsidRDefault="00AA2795" w:rsidP="00F90F8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20"/>
                <w:lang w:val="sq-AL"/>
              </w:rPr>
            </w:pPr>
            <w:r w:rsidRPr="00476D2E">
              <w:rPr>
                <w:rFonts w:cs="Calibri"/>
                <w:sz w:val="18"/>
                <w:szCs w:val="20"/>
                <w:lang w:val="sq-AL"/>
              </w:rPr>
              <w:t>-3.</w:t>
            </w:r>
            <w:r>
              <w:rPr>
                <w:rFonts w:cs="Calibri"/>
                <w:sz w:val="18"/>
                <w:szCs w:val="20"/>
                <w:lang w:val="sq-AL"/>
              </w:rPr>
              <w:t>4</w:t>
            </w:r>
          </w:p>
        </w:tc>
        <w:tc>
          <w:tcPr>
            <w:tcW w:w="863" w:type="pct"/>
            <w:noWrap/>
            <w:hideMark/>
          </w:tcPr>
          <w:p w:rsidR="00AA2795" w:rsidRPr="00476D2E" w:rsidRDefault="00AA2795" w:rsidP="00F90F8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20"/>
                <w:lang w:val="sq-AL"/>
              </w:rPr>
            </w:pPr>
            <w:r w:rsidRPr="00476D2E">
              <w:rPr>
                <w:rFonts w:cs="Calibri"/>
                <w:sz w:val="18"/>
                <w:szCs w:val="20"/>
                <w:lang w:val="sq-AL"/>
              </w:rPr>
              <w:t>-3.5</w:t>
            </w:r>
          </w:p>
        </w:tc>
      </w:tr>
      <w:tr w:rsidR="00AA2795" w:rsidRPr="00476D2E" w:rsidTr="00F1402E">
        <w:trPr>
          <w:trHeight w:val="139"/>
          <w:jc w:val="center"/>
        </w:trPr>
        <w:tc>
          <w:tcPr>
            <w:cnfStyle w:val="001000000000" w:firstRow="0" w:lastRow="0" w:firstColumn="1" w:lastColumn="0" w:oddVBand="0" w:evenVBand="0" w:oddHBand="0" w:evenHBand="0" w:firstRowFirstColumn="0" w:firstRowLastColumn="0" w:lastRowFirstColumn="0" w:lastRowLastColumn="0"/>
            <w:tcW w:w="3256" w:type="pct"/>
            <w:noWrap/>
            <w:hideMark/>
          </w:tcPr>
          <w:p w:rsidR="00AA2795" w:rsidRPr="00476D2E" w:rsidRDefault="00AA2795" w:rsidP="00F90F81">
            <w:pPr>
              <w:spacing w:before="0" w:line="240" w:lineRule="auto"/>
              <w:rPr>
                <w:rFonts w:cs="Calibri"/>
                <w:sz w:val="18"/>
                <w:szCs w:val="20"/>
                <w:lang w:val="sq-AL"/>
              </w:rPr>
            </w:pPr>
            <w:r w:rsidRPr="00476D2E">
              <w:rPr>
                <w:rFonts w:cs="Calibri"/>
                <w:b w:val="0"/>
                <w:sz w:val="18"/>
                <w:szCs w:val="20"/>
                <w:lang w:val="sq-AL"/>
              </w:rPr>
              <w:t>Mali i ZI</w:t>
            </w:r>
          </w:p>
        </w:tc>
        <w:tc>
          <w:tcPr>
            <w:tcW w:w="881" w:type="pct"/>
            <w:noWrap/>
            <w:hideMark/>
          </w:tcPr>
          <w:p w:rsidR="00AA2795" w:rsidRPr="00476D2E" w:rsidRDefault="00AA2795" w:rsidP="00F90F8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476D2E">
              <w:rPr>
                <w:rFonts w:cs="Calibri"/>
                <w:sz w:val="18"/>
                <w:szCs w:val="20"/>
                <w:lang w:val="sq-AL"/>
              </w:rPr>
              <w:t>-</w:t>
            </w:r>
            <w:r>
              <w:rPr>
                <w:rFonts w:cs="Calibri"/>
                <w:sz w:val="18"/>
                <w:szCs w:val="20"/>
                <w:lang w:val="sq-AL"/>
              </w:rPr>
              <w:t>26</w:t>
            </w:r>
            <w:r w:rsidRPr="00476D2E">
              <w:rPr>
                <w:rFonts w:cs="Calibri"/>
                <w:sz w:val="18"/>
                <w:szCs w:val="20"/>
                <w:lang w:val="sq-AL"/>
              </w:rPr>
              <w:t>.</w:t>
            </w:r>
            <w:r>
              <w:rPr>
                <w:rFonts w:cs="Calibri"/>
                <w:sz w:val="18"/>
                <w:szCs w:val="20"/>
                <w:lang w:val="sq-AL"/>
              </w:rPr>
              <w:t>1</w:t>
            </w:r>
          </w:p>
        </w:tc>
        <w:tc>
          <w:tcPr>
            <w:tcW w:w="863" w:type="pct"/>
            <w:noWrap/>
            <w:hideMark/>
          </w:tcPr>
          <w:p w:rsidR="00AA2795" w:rsidRPr="00476D2E" w:rsidRDefault="00AA2795" w:rsidP="00F90F8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476D2E">
              <w:rPr>
                <w:rFonts w:cs="Calibri"/>
                <w:sz w:val="18"/>
                <w:szCs w:val="20"/>
                <w:lang w:val="sq-AL"/>
              </w:rPr>
              <w:t>-</w:t>
            </w:r>
            <w:r>
              <w:rPr>
                <w:rFonts w:cs="Calibri"/>
                <w:sz w:val="18"/>
                <w:szCs w:val="20"/>
                <w:lang w:val="sq-AL"/>
              </w:rPr>
              <w:t>9</w:t>
            </w:r>
            <w:r w:rsidRPr="00476D2E">
              <w:rPr>
                <w:rFonts w:cs="Calibri"/>
                <w:sz w:val="18"/>
                <w:szCs w:val="20"/>
                <w:lang w:val="sq-AL"/>
              </w:rPr>
              <w:t>.</w:t>
            </w:r>
            <w:r>
              <w:rPr>
                <w:rFonts w:cs="Calibri"/>
                <w:sz w:val="18"/>
                <w:szCs w:val="20"/>
                <w:lang w:val="sq-AL"/>
              </w:rPr>
              <w:t>2</w:t>
            </w:r>
          </w:p>
        </w:tc>
      </w:tr>
      <w:tr w:rsidR="00AA2795" w:rsidRPr="00476D2E" w:rsidTr="00F1402E">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3256" w:type="pct"/>
            <w:noWrap/>
            <w:hideMark/>
          </w:tcPr>
          <w:p w:rsidR="00AA2795" w:rsidRPr="00476D2E" w:rsidRDefault="00AA2795" w:rsidP="00F90F81">
            <w:pPr>
              <w:spacing w:before="0" w:line="240" w:lineRule="auto"/>
              <w:rPr>
                <w:rFonts w:cs="Calibri"/>
                <w:sz w:val="18"/>
                <w:szCs w:val="20"/>
                <w:lang w:val="sq-AL"/>
              </w:rPr>
            </w:pPr>
            <w:r w:rsidRPr="00476D2E">
              <w:rPr>
                <w:rFonts w:cs="Calibri"/>
                <w:b w:val="0"/>
                <w:sz w:val="18"/>
                <w:szCs w:val="20"/>
                <w:lang w:val="sq-AL"/>
              </w:rPr>
              <w:t>Serbia</w:t>
            </w:r>
          </w:p>
        </w:tc>
        <w:tc>
          <w:tcPr>
            <w:tcW w:w="881" w:type="pct"/>
            <w:noWrap/>
            <w:hideMark/>
          </w:tcPr>
          <w:p w:rsidR="00AA2795" w:rsidRPr="00476D2E" w:rsidRDefault="00AA2795" w:rsidP="00F90F8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20"/>
                <w:lang w:val="sq-AL"/>
              </w:rPr>
            </w:pPr>
            <w:r w:rsidRPr="00476D2E">
              <w:rPr>
                <w:rFonts w:cs="Calibri"/>
                <w:sz w:val="18"/>
                <w:szCs w:val="20"/>
                <w:lang w:val="sq-AL"/>
              </w:rPr>
              <w:t>-</w:t>
            </w:r>
            <w:r>
              <w:rPr>
                <w:rFonts w:cs="Calibri"/>
                <w:sz w:val="18"/>
                <w:szCs w:val="20"/>
                <w:lang w:val="sq-AL"/>
              </w:rPr>
              <w:t>4</w:t>
            </w:r>
            <w:r w:rsidRPr="00476D2E">
              <w:rPr>
                <w:rFonts w:cs="Calibri"/>
                <w:sz w:val="18"/>
                <w:szCs w:val="20"/>
                <w:lang w:val="sq-AL"/>
              </w:rPr>
              <w:t>.</w:t>
            </w:r>
            <w:r>
              <w:rPr>
                <w:rFonts w:cs="Calibri"/>
                <w:sz w:val="18"/>
                <w:szCs w:val="20"/>
                <w:lang w:val="sq-AL"/>
              </w:rPr>
              <w:t>1</w:t>
            </w:r>
          </w:p>
        </w:tc>
        <w:tc>
          <w:tcPr>
            <w:tcW w:w="863" w:type="pct"/>
            <w:noWrap/>
            <w:hideMark/>
          </w:tcPr>
          <w:p w:rsidR="00AA2795" w:rsidRPr="00476D2E" w:rsidRDefault="00AA2795" w:rsidP="00F90F8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20"/>
                <w:lang w:val="sq-AL"/>
              </w:rPr>
            </w:pPr>
            <w:r w:rsidRPr="00476D2E">
              <w:rPr>
                <w:rFonts w:cs="Calibri"/>
                <w:sz w:val="18"/>
                <w:szCs w:val="20"/>
                <w:lang w:val="sq-AL"/>
              </w:rPr>
              <w:t>-4.</w:t>
            </w:r>
            <w:r>
              <w:rPr>
                <w:rFonts w:cs="Calibri"/>
                <w:sz w:val="18"/>
                <w:szCs w:val="20"/>
                <w:lang w:val="sq-AL"/>
              </w:rPr>
              <w:t>4</w:t>
            </w:r>
          </w:p>
        </w:tc>
      </w:tr>
      <w:tr w:rsidR="00AA2795" w:rsidRPr="00476D2E" w:rsidTr="00F1402E">
        <w:trPr>
          <w:trHeight w:val="259"/>
          <w:jc w:val="center"/>
        </w:trPr>
        <w:tc>
          <w:tcPr>
            <w:cnfStyle w:val="001000000000" w:firstRow="0" w:lastRow="0" w:firstColumn="1" w:lastColumn="0" w:oddVBand="0" w:evenVBand="0" w:oddHBand="0" w:evenHBand="0" w:firstRowFirstColumn="0" w:firstRowLastColumn="0" w:lastRowFirstColumn="0" w:lastRowLastColumn="0"/>
            <w:tcW w:w="3256" w:type="pct"/>
            <w:noWrap/>
            <w:hideMark/>
          </w:tcPr>
          <w:p w:rsidR="00AA2795" w:rsidRPr="00476D2E" w:rsidRDefault="00AA2795" w:rsidP="00F90F81">
            <w:pPr>
              <w:spacing w:before="0" w:line="240" w:lineRule="auto"/>
              <w:rPr>
                <w:rFonts w:cs="Calibri"/>
                <w:sz w:val="18"/>
                <w:szCs w:val="20"/>
                <w:lang w:val="sq-AL"/>
              </w:rPr>
            </w:pPr>
            <w:r w:rsidRPr="00476D2E">
              <w:rPr>
                <w:rFonts w:cs="Calibri"/>
                <w:sz w:val="18"/>
                <w:szCs w:val="20"/>
                <w:lang w:val="sq-AL"/>
              </w:rPr>
              <w:t>Shqipëria</w:t>
            </w:r>
          </w:p>
        </w:tc>
        <w:tc>
          <w:tcPr>
            <w:tcW w:w="881" w:type="pct"/>
            <w:noWrap/>
            <w:hideMark/>
          </w:tcPr>
          <w:p w:rsidR="00AA2795" w:rsidRPr="00476D2E" w:rsidRDefault="00AA2795" w:rsidP="00F90F8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18"/>
                <w:szCs w:val="20"/>
                <w:lang w:val="sq-AL"/>
              </w:rPr>
            </w:pPr>
            <w:r w:rsidRPr="00476D2E">
              <w:rPr>
                <w:rFonts w:cs="Calibri"/>
                <w:b/>
                <w:sz w:val="18"/>
                <w:szCs w:val="20"/>
                <w:lang w:val="sq-AL"/>
              </w:rPr>
              <w:t>-8.</w:t>
            </w:r>
            <w:r>
              <w:rPr>
                <w:rFonts w:cs="Calibri"/>
                <w:b/>
                <w:sz w:val="18"/>
                <w:szCs w:val="20"/>
                <w:lang w:val="sq-AL"/>
              </w:rPr>
              <w:t>7</w:t>
            </w:r>
          </w:p>
        </w:tc>
        <w:tc>
          <w:tcPr>
            <w:tcW w:w="863" w:type="pct"/>
            <w:noWrap/>
            <w:hideMark/>
          </w:tcPr>
          <w:p w:rsidR="00AA2795" w:rsidRPr="00476D2E" w:rsidRDefault="00AA2795" w:rsidP="00F90F8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18"/>
                <w:szCs w:val="20"/>
                <w:lang w:val="sq-AL"/>
              </w:rPr>
            </w:pPr>
            <w:r w:rsidRPr="00476D2E">
              <w:rPr>
                <w:rFonts w:cs="Calibri"/>
                <w:b/>
                <w:sz w:val="18"/>
                <w:szCs w:val="20"/>
                <w:lang w:val="sq-AL"/>
              </w:rPr>
              <w:t>-</w:t>
            </w:r>
            <w:r>
              <w:rPr>
                <w:rFonts w:cs="Calibri"/>
                <w:b/>
                <w:sz w:val="18"/>
                <w:szCs w:val="20"/>
                <w:lang w:val="sq-AL"/>
              </w:rPr>
              <w:t>7</w:t>
            </w:r>
            <w:r w:rsidRPr="00476D2E">
              <w:rPr>
                <w:rFonts w:cs="Calibri"/>
                <w:b/>
                <w:sz w:val="18"/>
                <w:szCs w:val="20"/>
                <w:lang w:val="sq-AL"/>
              </w:rPr>
              <w:t>.</w:t>
            </w:r>
            <w:r>
              <w:rPr>
                <w:rFonts w:cs="Calibri"/>
                <w:b/>
                <w:sz w:val="18"/>
                <w:szCs w:val="20"/>
                <w:lang w:val="sq-AL"/>
              </w:rPr>
              <w:t>9</w:t>
            </w:r>
          </w:p>
        </w:tc>
      </w:tr>
      <w:tr w:rsidR="00AA2795" w:rsidRPr="00476D2E" w:rsidTr="00F1402E">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3256" w:type="pct"/>
            <w:noWrap/>
            <w:hideMark/>
          </w:tcPr>
          <w:p w:rsidR="00AA2795" w:rsidRPr="00476D2E" w:rsidRDefault="00AA2795" w:rsidP="00F90F81">
            <w:pPr>
              <w:spacing w:before="0" w:line="240" w:lineRule="auto"/>
              <w:rPr>
                <w:rFonts w:cs="Calibri"/>
                <w:sz w:val="18"/>
                <w:szCs w:val="20"/>
                <w:lang w:val="sq-AL"/>
              </w:rPr>
            </w:pPr>
            <w:r w:rsidRPr="00476D2E">
              <w:rPr>
                <w:rFonts w:cs="Calibri"/>
                <w:b w:val="0"/>
                <w:sz w:val="18"/>
                <w:szCs w:val="20"/>
                <w:lang w:val="sq-AL"/>
              </w:rPr>
              <w:t>Bosnja dhe Hercegovina</w:t>
            </w:r>
          </w:p>
        </w:tc>
        <w:tc>
          <w:tcPr>
            <w:tcW w:w="881" w:type="pct"/>
            <w:noWrap/>
            <w:hideMark/>
          </w:tcPr>
          <w:p w:rsidR="00AA2795" w:rsidRPr="00476D2E" w:rsidRDefault="00AA2795" w:rsidP="00F90F8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20"/>
                <w:lang w:val="sq-AL"/>
              </w:rPr>
            </w:pPr>
            <w:r w:rsidRPr="00476D2E">
              <w:rPr>
                <w:rFonts w:cs="Calibri"/>
                <w:sz w:val="18"/>
                <w:szCs w:val="20"/>
                <w:lang w:val="sq-AL"/>
              </w:rPr>
              <w:t>-3.</w:t>
            </w:r>
            <w:r>
              <w:rPr>
                <w:rFonts w:cs="Calibri"/>
                <w:sz w:val="18"/>
                <w:szCs w:val="20"/>
                <w:lang w:val="sq-AL"/>
              </w:rPr>
              <w:t>8</w:t>
            </w:r>
          </w:p>
        </w:tc>
        <w:tc>
          <w:tcPr>
            <w:tcW w:w="863" w:type="pct"/>
            <w:noWrap/>
            <w:hideMark/>
          </w:tcPr>
          <w:p w:rsidR="00AA2795" w:rsidRPr="00476D2E" w:rsidRDefault="00AA2795" w:rsidP="00F90F8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20"/>
                <w:lang w:val="sq-AL"/>
              </w:rPr>
            </w:pPr>
            <w:r w:rsidRPr="00476D2E">
              <w:rPr>
                <w:rFonts w:cs="Calibri"/>
                <w:sz w:val="18"/>
                <w:szCs w:val="20"/>
                <w:lang w:val="sq-AL"/>
              </w:rPr>
              <w:t>-</w:t>
            </w:r>
            <w:r>
              <w:rPr>
                <w:rFonts w:cs="Calibri"/>
                <w:sz w:val="18"/>
                <w:szCs w:val="20"/>
                <w:lang w:val="sq-AL"/>
              </w:rPr>
              <w:t>2</w:t>
            </w:r>
            <w:r w:rsidRPr="00476D2E">
              <w:rPr>
                <w:rFonts w:cs="Calibri"/>
                <w:sz w:val="18"/>
                <w:szCs w:val="20"/>
                <w:lang w:val="sq-AL"/>
              </w:rPr>
              <w:t>.</w:t>
            </w:r>
            <w:r>
              <w:rPr>
                <w:rFonts w:cs="Calibri"/>
                <w:sz w:val="18"/>
                <w:szCs w:val="20"/>
                <w:lang w:val="sq-AL"/>
              </w:rPr>
              <w:t>1</w:t>
            </w:r>
          </w:p>
        </w:tc>
      </w:tr>
      <w:tr w:rsidR="00AA2795" w:rsidRPr="00476D2E" w:rsidTr="00F1402E">
        <w:trPr>
          <w:trHeight w:val="144"/>
          <w:jc w:val="center"/>
        </w:trPr>
        <w:tc>
          <w:tcPr>
            <w:cnfStyle w:val="001000000000" w:firstRow="0" w:lastRow="0" w:firstColumn="1" w:lastColumn="0" w:oddVBand="0" w:evenVBand="0" w:oddHBand="0" w:evenHBand="0" w:firstRowFirstColumn="0" w:firstRowLastColumn="0" w:lastRowFirstColumn="0" w:lastRowLastColumn="0"/>
            <w:tcW w:w="3256" w:type="pct"/>
            <w:noWrap/>
            <w:hideMark/>
          </w:tcPr>
          <w:p w:rsidR="00AA2795" w:rsidRPr="00476D2E" w:rsidRDefault="00AA2795" w:rsidP="00F90F81">
            <w:pPr>
              <w:spacing w:before="0" w:line="240" w:lineRule="auto"/>
              <w:rPr>
                <w:rFonts w:cs="Calibri"/>
                <w:sz w:val="18"/>
                <w:szCs w:val="20"/>
                <w:lang w:val="sq-AL"/>
              </w:rPr>
            </w:pPr>
            <w:r w:rsidRPr="00476D2E">
              <w:rPr>
                <w:rFonts w:cs="Calibri"/>
                <w:b w:val="0"/>
                <w:sz w:val="18"/>
                <w:szCs w:val="20"/>
                <w:lang w:val="sq-AL"/>
              </w:rPr>
              <w:t>Kosova</w:t>
            </w:r>
          </w:p>
        </w:tc>
        <w:tc>
          <w:tcPr>
            <w:tcW w:w="881" w:type="pct"/>
            <w:noWrap/>
            <w:hideMark/>
          </w:tcPr>
          <w:p w:rsidR="00AA2795" w:rsidRPr="00476D2E" w:rsidRDefault="00AA2795" w:rsidP="00F90F8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476D2E">
              <w:rPr>
                <w:rFonts w:cs="Calibri"/>
                <w:sz w:val="18"/>
                <w:szCs w:val="20"/>
                <w:lang w:val="sq-AL"/>
              </w:rPr>
              <w:t>-</w:t>
            </w:r>
            <w:r>
              <w:rPr>
                <w:rFonts w:cs="Calibri"/>
                <w:sz w:val="18"/>
                <w:szCs w:val="20"/>
                <w:lang w:val="sq-AL"/>
              </w:rPr>
              <w:t>7</w:t>
            </w:r>
            <w:r w:rsidRPr="00476D2E">
              <w:rPr>
                <w:rFonts w:cs="Calibri"/>
                <w:sz w:val="18"/>
                <w:szCs w:val="20"/>
                <w:lang w:val="sq-AL"/>
              </w:rPr>
              <w:t>.</w:t>
            </w:r>
            <w:r>
              <w:rPr>
                <w:rFonts w:cs="Calibri"/>
                <w:sz w:val="18"/>
                <w:szCs w:val="20"/>
                <w:lang w:val="sq-AL"/>
              </w:rPr>
              <w:t>0</w:t>
            </w:r>
          </w:p>
        </w:tc>
        <w:tc>
          <w:tcPr>
            <w:tcW w:w="863" w:type="pct"/>
            <w:noWrap/>
            <w:hideMark/>
          </w:tcPr>
          <w:p w:rsidR="00AA2795" w:rsidRPr="00476D2E" w:rsidRDefault="00AA2795" w:rsidP="00F90F8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476D2E">
              <w:rPr>
                <w:rFonts w:cs="Calibri"/>
                <w:sz w:val="18"/>
                <w:szCs w:val="20"/>
                <w:lang w:val="sq-AL"/>
              </w:rPr>
              <w:t>-</w:t>
            </w:r>
            <w:r>
              <w:rPr>
                <w:rFonts w:cs="Calibri"/>
                <w:sz w:val="18"/>
                <w:szCs w:val="20"/>
                <w:lang w:val="sq-AL"/>
              </w:rPr>
              <w:t>9</w:t>
            </w:r>
            <w:r w:rsidRPr="00476D2E">
              <w:rPr>
                <w:rFonts w:cs="Calibri"/>
                <w:sz w:val="18"/>
                <w:szCs w:val="20"/>
                <w:lang w:val="sq-AL"/>
              </w:rPr>
              <w:t>.</w:t>
            </w:r>
            <w:r>
              <w:rPr>
                <w:rFonts w:cs="Calibri"/>
                <w:sz w:val="18"/>
                <w:szCs w:val="20"/>
                <w:lang w:val="sq-AL"/>
              </w:rPr>
              <w:t>2</w:t>
            </w:r>
          </w:p>
        </w:tc>
      </w:tr>
    </w:tbl>
    <w:p w:rsidR="005A06E2" w:rsidRPr="00476D2E" w:rsidRDefault="00CC50CE" w:rsidP="00AA2795">
      <w:pPr>
        <w:spacing w:before="0"/>
        <w:ind w:firstLine="720"/>
        <w:rPr>
          <w:rFonts w:cs="Calibri"/>
          <w:lang w:val="sq-AL"/>
        </w:rPr>
      </w:pPr>
      <w:r w:rsidRPr="00476D2E">
        <w:rPr>
          <w:rFonts w:cs="Calibri"/>
          <w:i/>
          <w:sz w:val="18"/>
          <w:szCs w:val="18"/>
          <w:lang w:val="sq-AL"/>
        </w:rPr>
        <w:t>Burimi: Directorate-General for Economic and Financial Affairs (DG-ECFIN)</w:t>
      </w:r>
    </w:p>
    <w:p w:rsidR="00F1402E" w:rsidRPr="00F1402E" w:rsidRDefault="00F1402E" w:rsidP="00F1402E">
      <w:pPr>
        <w:spacing w:before="0" w:line="240" w:lineRule="auto"/>
        <w:rPr>
          <w:rStyle w:val="q4iawc"/>
          <w:sz w:val="8"/>
          <w:lang w:val="sq-AL"/>
        </w:rPr>
      </w:pPr>
    </w:p>
    <w:p w:rsidR="00C74005" w:rsidRPr="00476D2E" w:rsidRDefault="008447BF" w:rsidP="00F1402E">
      <w:pPr>
        <w:spacing w:before="0" w:line="240" w:lineRule="auto"/>
        <w:rPr>
          <w:rFonts w:cs="Calibri"/>
          <w:lang w:val="sq-AL"/>
        </w:rPr>
      </w:pPr>
      <w:r w:rsidRPr="00197FAB">
        <w:rPr>
          <w:rStyle w:val="q4iawc"/>
          <w:lang w:val="sq-AL"/>
        </w:rPr>
        <w:t xml:space="preserve">Rimëkëmbja e </w:t>
      </w:r>
      <w:r>
        <w:rPr>
          <w:rStyle w:val="q4iawc"/>
          <w:lang w:val="sq-AL"/>
        </w:rPr>
        <w:t>kërkesës agregate si dhe rritja</w:t>
      </w:r>
      <w:r w:rsidRPr="00197FAB">
        <w:rPr>
          <w:rStyle w:val="q4iawc"/>
          <w:lang w:val="sq-AL"/>
        </w:rPr>
        <w:t xml:space="preserve"> e qëndrueshme </w:t>
      </w:r>
      <w:r>
        <w:rPr>
          <w:rStyle w:val="q4iawc"/>
          <w:lang w:val="sq-AL"/>
        </w:rPr>
        <w:t xml:space="preserve">e çmimeve </w:t>
      </w:r>
      <w:r w:rsidRPr="00197FAB">
        <w:rPr>
          <w:rStyle w:val="q4iawc"/>
          <w:lang w:val="sq-AL"/>
        </w:rPr>
        <w:t xml:space="preserve">të energjisë, ushqimeve dhe çmimeve të transportit nxitën një përshpejtim të inflacionit në të gjithë rajonin e Ballkanit Perëndimor </w:t>
      </w:r>
      <w:r>
        <w:rPr>
          <w:rStyle w:val="q4iawc"/>
          <w:lang w:val="sq-AL"/>
        </w:rPr>
        <w:t>p</w:t>
      </w:r>
      <w:r w:rsidRPr="00197FAB">
        <w:rPr>
          <w:rStyle w:val="q4iawc"/>
          <w:lang w:val="sq-AL"/>
        </w:rPr>
        <w:t>ë</w:t>
      </w:r>
      <w:r>
        <w:rPr>
          <w:rStyle w:val="q4iawc"/>
          <w:lang w:val="sq-AL"/>
        </w:rPr>
        <w:t>r vitin</w:t>
      </w:r>
      <w:r w:rsidRPr="00197FAB">
        <w:rPr>
          <w:rStyle w:val="q4iawc"/>
          <w:lang w:val="sq-AL"/>
        </w:rPr>
        <w:t xml:space="preserve"> 2021</w:t>
      </w:r>
      <w:r w:rsidR="00C74005" w:rsidRPr="00476D2E">
        <w:rPr>
          <w:rFonts w:cs="Calibri"/>
          <w:lang w:val="sq-AL"/>
        </w:rPr>
        <w:t xml:space="preserve">. </w:t>
      </w:r>
    </w:p>
    <w:p w:rsidR="00A664DE" w:rsidRDefault="00A664DE" w:rsidP="00A664DE">
      <w:pPr>
        <w:pStyle w:val="Caption"/>
        <w:keepNext/>
        <w:spacing w:after="0"/>
        <w:rPr>
          <w:rFonts w:cs="Calibri"/>
          <w:lang w:val="sq-AL"/>
        </w:rPr>
      </w:pPr>
      <w:bookmarkStart w:id="25" w:name="_Toc104984076"/>
      <w:bookmarkEnd w:id="23"/>
      <w:r w:rsidRPr="00476D2E">
        <w:rPr>
          <w:rFonts w:cs="Calibri"/>
          <w:lang w:val="sq-AL"/>
        </w:rPr>
        <w:t xml:space="preserve">Tabela </w:t>
      </w:r>
      <w:r w:rsidRPr="00476D2E">
        <w:rPr>
          <w:rFonts w:cs="Calibri"/>
          <w:lang w:val="sq-AL"/>
        </w:rPr>
        <w:fldChar w:fldCharType="begin"/>
      </w:r>
      <w:r w:rsidRPr="00476D2E">
        <w:rPr>
          <w:rFonts w:cs="Calibri"/>
          <w:lang w:val="sq-AL"/>
        </w:rPr>
        <w:instrText xml:space="preserve"> SEQ Tabela \* ARABIC </w:instrText>
      </w:r>
      <w:r w:rsidRPr="00476D2E">
        <w:rPr>
          <w:rFonts w:cs="Calibri"/>
          <w:lang w:val="sq-AL"/>
        </w:rPr>
        <w:fldChar w:fldCharType="separate"/>
      </w:r>
      <w:r w:rsidR="00276062">
        <w:rPr>
          <w:rFonts w:cs="Calibri"/>
          <w:noProof/>
          <w:lang w:val="sq-AL"/>
        </w:rPr>
        <w:t>4</w:t>
      </w:r>
      <w:r w:rsidRPr="00476D2E">
        <w:rPr>
          <w:rFonts w:cs="Calibri"/>
          <w:noProof/>
          <w:lang w:val="sq-AL"/>
        </w:rPr>
        <w:fldChar w:fldCharType="end"/>
      </w:r>
      <w:r w:rsidRPr="00476D2E">
        <w:rPr>
          <w:rFonts w:cs="Calibri"/>
          <w:noProof/>
          <w:lang w:val="sq-AL"/>
        </w:rPr>
        <w:t>:</w:t>
      </w:r>
      <w:r w:rsidRPr="00476D2E">
        <w:rPr>
          <w:rFonts w:cs="Calibri"/>
          <w:lang w:val="sq-AL"/>
        </w:rPr>
        <w:t xml:space="preserve"> Norma e inflacionit</w:t>
      </w:r>
      <w:bookmarkEnd w:id="25"/>
    </w:p>
    <w:tbl>
      <w:tblPr>
        <w:tblStyle w:val="GridTable4-Accent11"/>
        <w:tblW w:w="4359" w:type="pct"/>
        <w:jc w:val="center"/>
        <w:tblLook w:val="04A0" w:firstRow="1" w:lastRow="0" w:firstColumn="1" w:lastColumn="0" w:noHBand="0" w:noVBand="1"/>
      </w:tblPr>
      <w:tblGrid>
        <w:gridCol w:w="6076"/>
        <w:gridCol w:w="1643"/>
        <w:gridCol w:w="1649"/>
      </w:tblGrid>
      <w:tr w:rsidR="001D05F8" w:rsidRPr="00476D2E" w:rsidTr="00F1402E">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3243" w:type="pct"/>
            <w:hideMark/>
          </w:tcPr>
          <w:p w:rsidR="001D05F8" w:rsidRPr="00476D2E" w:rsidRDefault="001D05F8" w:rsidP="001D05F8">
            <w:pPr>
              <w:spacing w:before="0" w:line="240" w:lineRule="auto"/>
              <w:rPr>
                <w:rFonts w:cs="Calibri"/>
                <w:bCs w:val="0"/>
                <w:sz w:val="18"/>
                <w:szCs w:val="20"/>
                <w:lang w:val="sq-AL"/>
              </w:rPr>
            </w:pPr>
            <w:r w:rsidRPr="00476D2E">
              <w:rPr>
                <w:rFonts w:cs="Calibri"/>
                <w:bCs w:val="0"/>
                <w:sz w:val="18"/>
                <w:szCs w:val="20"/>
                <w:lang w:val="sq-AL"/>
              </w:rPr>
              <w:t>Indeksi i Çmimeve të Konsumit/Inflacioni</w:t>
            </w:r>
            <w:r w:rsidRPr="00476D2E">
              <w:rPr>
                <w:rFonts w:cs="Calibri"/>
                <w:b w:val="0"/>
                <w:bCs w:val="0"/>
                <w:sz w:val="18"/>
                <w:szCs w:val="20"/>
                <w:lang w:val="sq-AL"/>
              </w:rPr>
              <w:t xml:space="preserve"> </w:t>
            </w:r>
            <w:r w:rsidRPr="00476D2E">
              <w:rPr>
                <w:rFonts w:cs="Calibri"/>
                <w:b w:val="0"/>
                <w:i/>
                <w:iCs/>
                <w:sz w:val="18"/>
                <w:szCs w:val="20"/>
                <w:lang w:val="sq-AL"/>
              </w:rPr>
              <w:t>(ndryshimi vjetor në %)</w:t>
            </w:r>
          </w:p>
        </w:tc>
        <w:tc>
          <w:tcPr>
            <w:tcW w:w="877" w:type="pct"/>
            <w:hideMark/>
          </w:tcPr>
          <w:p w:rsidR="001D05F8" w:rsidRPr="00476D2E" w:rsidRDefault="001D05F8" w:rsidP="00F90F81">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sz w:val="18"/>
                <w:szCs w:val="20"/>
                <w:lang w:val="sq-AL"/>
              </w:rPr>
            </w:pPr>
            <w:r w:rsidRPr="00476D2E">
              <w:rPr>
                <w:rFonts w:cs="Calibri"/>
                <w:sz w:val="18"/>
                <w:szCs w:val="20"/>
                <w:lang w:val="sq-AL"/>
              </w:rPr>
              <w:t>20</w:t>
            </w:r>
            <w:r>
              <w:rPr>
                <w:rFonts w:cs="Calibri"/>
                <w:sz w:val="18"/>
                <w:szCs w:val="20"/>
                <w:lang w:val="sq-AL"/>
              </w:rPr>
              <w:t>20</w:t>
            </w:r>
          </w:p>
        </w:tc>
        <w:tc>
          <w:tcPr>
            <w:tcW w:w="880" w:type="pct"/>
            <w:hideMark/>
          </w:tcPr>
          <w:p w:rsidR="001D05F8" w:rsidRPr="00476D2E" w:rsidRDefault="001D05F8" w:rsidP="00F90F81">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sz w:val="18"/>
                <w:szCs w:val="20"/>
                <w:lang w:val="sq-AL"/>
              </w:rPr>
            </w:pPr>
            <w:r w:rsidRPr="00476D2E">
              <w:rPr>
                <w:rFonts w:cs="Calibri"/>
                <w:sz w:val="18"/>
                <w:szCs w:val="20"/>
                <w:lang w:val="sq-AL"/>
              </w:rPr>
              <w:t> 202</w:t>
            </w:r>
            <w:r>
              <w:rPr>
                <w:rFonts w:cs="Calibri"/>
                <w:sz w:val="18"/>
                <w:szCs w:val="20"/>
                <w:lang w:val="sq-AL"/>
              </w:rPr>
              <w:t>1</w:t>
            </w:r>
          </w:p>
        </w:tc>
      </w:tr>
      <w:tr w:rsidR="001D05F8" w:rsidRPr="00476D2E" w:rsidTr="00F1402E">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243" w:type="pct"/>
            <w:noWrap/>
            <w:hideMark/>
          </w:tcPr>
          <w:p w:rsidR="001D05F8" w:rsidRPr="00476D2E" w:rsidRDefault="001D05F8" w:rsidP="00F90F81">
            <w:pPr>
              <w:spacing w:before="0" w:line="240" w:lineRule="auto"/>
              <w:rPr>
                <w:rFonts w:cs="Calibri"/>
                <w:sz w:val="18"/>
                <w:szCs w:val="20"/>
                <w:lang w:val="sq-AL"/>
              </w:rPr>
            </w:pPr>
            <w:r w:rsidRPr="00476D2E">
              <w:rPr>
                <w:rFonts w:cs="Calibri"/>
                <w:b w:val="0"/>
                <w:sz w:val="18"/>
                <w:szCs w:val="20"/>
                <w:lang w:val="sq-AL"/>
              </w:rPr>
              <w:t>Maqedonia e Veriut</w:t>
            </w:r>
          </w:p>
        </w:tc>
        <w:tc>
          <w:tcPr>
            <w:tcW w:w="877" w:type="pct"/>
            <w:noWrap/>
            <w:hideMark/>
          </w:tcPr>
          <w:p w:rsidR="001D05F8" w:rsidRPr="00476D2E" w:rsidRDefault="001D05F8" w:rsidP="00F90F8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20"/>
                <w:lang w:val="sq-AL"/>
              </w:rPr>
            </w:pPr>
            <w:r>
              <w:rPr>
                <w:rFonts w:cs="Calibri"/>
                <w:sz w:val="18"/>
                <w:szCs w:val="20"/>
                <w:lang w:val="sq-AL"/>
              </w:rPr>
              <w:t>1</w:t>
            </w:r>
            <w:r w:rsidRPr="00476D2E">
              <w:rPr>
                <w:rFonts w:cs="Calibri"/>
                <w:sz w:val="18"/>
                <w:szCs w:val="20"/>
                <w:lang w:val="sq-AL"/>
              </w:rPr>
              <w:t>.</w:t>
            </w:r>
            <w:r>
              <w:rPr>
                <w:rFonts w:cs="Calibri"/>
                <w:sz w:val="18"/>
                <w:szCs w:val="20"/>
                <w:lang w:val="sq-AL"/>
              </w:rPr>
              <w:t>2</w:t>
            </w:r>
          </w:p>
        </w:tc>
        <w:tc>
          <w:tcPr>
            <w:tcW w:w="880" w:type="pct"/>
            <w:noWrap/>
            <w:hideMark/>
          </w:tcPr>
          <w:p w:rsidR="001D05F8" w:rsidRPr="00476D2E" w:rsidRDefault="001D05F8" w:rsidP="00F90F8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20"/>
                <w:lang w:val="sq-AL"/>
              </w:rPr>
            </w:pPr>
            <w:r>
              <w:rPr>
                <w:rFonts w:cs="Calibri"/>
                <w:sz w:val="18"/>
                <w:szCs w:val="20"/>
                <w:lang w:val="sq-AL"/>
              </w:rPr>
              <w:t>3</w:t>
            </w:r>
            <w:r w:rsidRPr="00476D2E">
              <w:rPr>
                <w:rFonts w:cs="Calibri"/>
                <w:sz w:val="18"/>
                <w:szCs w:val="20"/>
                <w:lang w:val="sq-AL"/>
              </w:rPr>
              <w:t>.2</w:t>
            </w:r>
          </w:p>
        </w:tc>
      </w:tr>
      <w:tr w:rsidR="001D05F8" w:rsidRPr="00476D2E" w:rsidTr="00F1402E">
        <w:trPr>
          <w:trHeight w:val="264"/>
          <w:jc w:val="center"/>
        </w:trPr>
        <w:tc>
          <w:tcPr>
            <w:cnfStyle w:val="001000000000" w:firstRow="0" w:lastRow="0" w:firstColumn="1" w:lastColumn="0" w:oddVBand="0" w:evenVBand="0" w:oddHBand="0" w:evenHBand="0" w:firstRowFirstColumn="0" w:firstRowLastColumn="0" w:lastRowFirstColumn="0" w:lastRowLastColumn="0"/>
            <w:tcW w:w="3243" w:type="pct"/>
            <w:noWrap/>
            <w:hideMark/>
          </w:tcPr>
          <w:p w:rsidR="001D05F8" w:rsidRPr="00476D2E" w:rsidRDefault="001D05F8" w:rsidP="00F90F81">
            <w:pPr>
              <w:spacing w:before="0" w:line="240" w:lineRule="auto"/>
              <w:rPr>
                <w:rFonts w:cs="Calibri"/>
                <w:sz w:val="18"/>
                <w:szCs w:val="20"/>
                <w:lang w:val="sq-AL"/>
              </w:rPr>
            </w:pPr>
            <w:r w:rsidRPr="00476D2E">
              <w:rPr>
                <w:rFonts w:cs="Calibri"/>
                <w:b w:val="0"/>
                <w:sz w:val="18"/>
                <w:szCs w:val="20"/>
                <w:lang w:val="sq-AL"/>
              </w:rPr>
              <w:t>Mali i ZI</w:t>
            </w:r>
          </w:p>
        </w:tc>
        <w:tc>
          <w:tcPr>
            <w:tcW w:w="877" w:type="pct"/>
            <w:noWrap/>
            <w:hideMark/>
          </w:tcPr>
          <w:p w:rsidR="001D05F8" w:rsidRPr="00476D2E" w:rsidRDefault="001D05F8" w:rsidP="00F90F8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Pr>
                <w:rFonts w:cs="Calibri"/>
                <w:sz w:val="18"/>
                <w:szCs w:val="20"/>
                <w:lang w:val="sq-AL"/>
              </w:rPr>
              <w:t>-</w:t>
            </w:r>
            <w:r w:rsidRPr="00476D2E">
              <w:rPr>
                <w:rFonts w:cs="Calibri"/>
                <w:sz w:val="18"/>
                <w:szCs w:val="20"/>
                <w:lang w:val="sq-AL"/>
              </w:rPr>
              <w:t>0.</w:t>
            </w:r>
            <w:r>
              <w:rPr>
                <w:rFonts w:cs="Calibri"/>
                <w:sz w:val="18"/>
                <w:szCs w:val="20"/>
                <w:lang w:val="sq-AL"/>
              </w:rPr>
              <w:t>8</w:t>
            </w:r>
          </w:p>
        </w:tc>
        <w:tc>
          <w:tcPr>
            <w:tcW w:w="880" w:type="pct"/>
            <w:noWrap/>
            <w:hideMark/>
          </w:tcPr>
          <w:p w:rsidR="001D05F8" w:rsidRPr="00476D2E" w:rsidRDefault="001D05F8" w:rsidP="00F90F8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Pr>
                <w:rFonts w:cs="Calibri"/>
                <w:sz w:val="18"/>
                <w:szCs w:val="20"/>
                <w:lang w:val="sq-AL"/>
              </w:rPr>
              <w:t>2</w:t>
            </w:r>
            <w:r w:rsidRPr="00476D2E">
              <w:rPr>
                <w:rFonts w:cs="Calibri"/>
                <w:sz w:val="18"/>
                <w:szCs w:val="20"/>
                <w:lang w:val="sq-AL"/>
              </w:rPr>
              <w:t>.</w:t>
            </w:r>
            <w:r>
              <w:rPr>
                <w:rFonts w:cs="Calibri"/>
                <w:sz w:val="18"/>
                <w:szCs w:val="20"/>
                <w:lang w:val="sq-AL"/>
              </w:rPr>
              <w:t>5</w:t>
            </w:r>
          </w:p>
        </w:tc>
      </w:tr>
      <w:tr w:rsidR="001D05F8" w:rsidRPr="00476D2E" w:rsidTr="00F1402E">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243" w:type="pct"/>
            <w:noWrap/>
            <w:hideMark/>
          </w:tcPr>
          <w:p w:rsidR="001D05F8" w:rsidRPr="00476D2E" w:rsidRDefault="001D05F8" w:rsidP="00F90F81">
            <w:pPr>
              <w:spacing w:before="0" w:line="240" w:lineRule="auto"/>
              <w:rPr>
                <w:rFonts w:cs="Calibri"/>
                <w:sz w:val="18"/>
                <w:szCs w:val="20"/>
                <w:lang w:val="sq-AL"/>
              </w:rPr>
            </w:pPr>
            <w:r w:rsidRPr="00476D2E">
              <w:rPr>
                <w:rFonts w:cs="Calibri"/>
                <w:b w:val="0"/>
                <w:sz w:val="18"/>
                <w:szCs w:val="20"/>
                <w:lang w:val="sq-AL"/>
              </w:rPr>
              <w:t>Serbia</w:t>
            </w:r>
          </w:p>
        </w:tc>
        <w:tc>
          <w:tcPr>
            <w:tcW w:w="877" w:type="pct"/>
            <w:noWrap/>
            <w:hideMark/>
          </w:tcPr>
          <w:p w:rsidR="001D05F8" w:rsidRPr="00476D2E" w:rsidRDefault="001D05F8" w:rsidP="00F90F8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20"/>
                <w:lang w:val="sq-AL"/>
              </w:rPr>
            </w:pPr>
            <w:r w:rsidRPr="00476D2E">
              <w:rPr>
                <w:rFonts w:cs="Calibri"/>
                <w:sz w:val="18"/>
                <w:szCs w:val="20"/>
                <w:lang w:val="sq-AL"/>
              </w:rPr>
              <w:t>1.</w:t>
            </w:r>
            <w:r>
              <w:rPr>
                <w:rFonts w:cs="Calibri"/>
                <w:sz w:val="18"/>
                <w:szCs w:val="20"/>
                <w:lang w:val="sq-AL"/>
              </w:rPr>
              <w:t>6</w:t>
            </w:r>
          </w:p>
        </w:tc>
        <w:tc>
          <w:tcPr>
            <w:tcW w:w="880" w:type="pct"/>
            <w:noWrap/>
            <w:hideMark/>
          </w:tcPr>
          <w:p w:rsidR="001D05F8" w:rsidRPr="00476D2E" w:rsidRDefault="001D05F8" w:rsidP="00F90F8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20"/>
                <w:lang w:val="sq-AL"/>
              </w:rPr>
            </w:pPr>
            <w:r>
              <w:rPr>
                <w:rFonts w:cs="Calibri"/>
                <w:sz w:val="18"/>
                <w:szCs w:val="20"/>
                <w:lang w:val="sq-AL"/>
              </w:rPr>
              <w:t>4</w:t>
            </w:r>
            <w:r w:rsidRPr="00476D2E">
              <w:rPr>
                <w:rFonts w:cs="Calibri"/>
                <w:sz w:val="18"/>
                <w:szCs w:val="20"/>
                <w:lang w:val="sq-AL"/>
              </w:rPr>
              <w:t>.</w:t>
            </w:r>
            <w:r>
              <w:rPr>
                <w:rFonts w:cs="Calibri"/>
                <w:sz w:val="18"/>
                <w:szCs w:val="20"/>
                <w:lang w:val="sq-AL"/>
              </w:rPr>
              <w:t>1</w:t>
            </w:r>
          </w:p>
        </w:tc>
      </w:tr>
      <w:tr w:rsidR="001D05F8" w:rsidRPr="00476D2E" w:rsidTr="00F1402E">
        <w:trPr>
          <w:trHeight w:val="264"/>
          <w:jc w:val="center"/>
        </w:trPr>
        <w:tc>
          <w:tcPr>
            <w:cnfStyle w:val="001000000000" w:firstRow="0" w:lastRow="0" w:firstColumn="1" w:lastColumn="0" w:oddVBand="0" w:evenVBand="0" w:oddHBand="0" w:evenHBand="0" w:firstRowFirstColumn="0" w:firstRowLastColumn="0" w:lastRowFirstColumn="0" w:lastRowLastColumn="0"/>
            <w:tcW w:w="3243" w:type="pct"/>
            <w:noWrap/>
            <w:hideMark/>
          </w:tcPr>
          <w:p w:rsidR="001D05F8" w:rsidRPr="00476D2E" w:rsidRDefault="001D05F8" w:rsidP="00F90F81">
            <w:pPr>
              <w:spacing w:before="0" w:line="240" w:lineRule="auto"/>
              <w:rPr>
                <w:rFonts w:cs="Calibri"/>
                <w:sz w:val="18"/>
                <w:szCs w:val="20"/>
                <w:lang w:val="sq-AL"/>
              </w:rPr>
            </w:pPr>
            <w:r w:rsidRPr="00476D2E">
              <w:rPr>
                <w:rFonts w:cs="Calibri"/>
                <w:sz w:val="18"/>
                <w:szCs w:val="20"/>
                <w:lang w:val="sq-AL"/>
              </w:rPr>
              <w:t>Shqipëria</w:t>
            </w:r>
          </w:p>
        </w:tc>
        <w:tc>
          <w:tcPr>
            <w:tcW w:w="877" w:type="pct"/>
            <w:noWrap/>
            <w:hideMark/>
          </w:tcPr>
          <w:p w:rsidR="001D05F8" w:rsidRPr="00476D2E" w:rsidRDefault="001D05F8" w:rsidP="00F90F8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18"/>
                <w:szCs w:val="20"/>
                <w:lang w:val="sq-AL"/>
              </w:rPr>
            </w:pPr>
            <w:r w:rsidRPr="00476D2E">
              <w:rPr>
                <w:rFonts w:cs="Calibri"/>
                <w:b/>
                <w:sz w:val="18"/>
                <w:szCs w:val="20"/>
                <w:lang w:val="sq-AL"/>
              </w:rPr>
              <w:t>1.</w:t>
            </w:r>
            <w:r>
              <w:rPr>
                <w:rFonts w:cs="Calibri"/>
                <w:b/>
                <w:sz w:val="18"/>
                <w:szCs w:val="20"/>
                <w:lang w:val="sq-AL"/>
              </w:rPr>
              <w:t>6</w:t>
            </w:r>
          </w:p>
        </w:tc>
        <w:tc>
          <w:tcPr>
            <w:tcW w:w="880" w:type="pct"/>
            <w:noWrap/>
            <w:hideMark/>
          </w:tcPr>
          <w:p w:rsidR="001D05F8" w:rsidRPr="00476D2E" w:rsidRDefault="001D05F8" w:rsidP="00F90F8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18"/>
                <w:szCs w:val="20"/>
                <w:lang w:val="sq-AL"/>
              </w:rPr>
            </w:pPr>
            <w:r>
              <w:rPr>
                <w:rFonts w:cs="Calibri"/>
                <w:b/>
                <w:sz w:val="18"/>
                <w:szCs w:val="20"/>
                <w:lang w:val="sq-AL"/>
              </w:rPr>
              <w:t>2</w:t>
            </w:r>
            <w:r w:rsidRPr="00476D2E">
              <w:rPr>
                <w:rFonts w:cs="Calibri"/>
                <w:b/>
                <w:sz w:val="18"/>
                <w:szCs w:val="20"/>
                <w:lang w:val="sq-AL"/>
              </w:rPr>
              <w:t>.</w:t>
            </w:r>
            <w:r>
              <w:rPr>
                <w:rFonts w:cs="Calibri"/>
                <w:b/>
                <w:sz w:val="18"/>
                <w:szCs w:val="20"/>
                <w:lang w:val="sq-AL"/>
              </w:rPr>
              <w:t>0</w:t>
            </w:r>
          </w:p>
        </w:tc>
      </w:tr>
      <w:tr w:rsidR="001D05F8" w:rsidRPr="00476D2E" w:rsidTr="00F1402E">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243" w:type="pct"/>
            <w:noWrap/>
            <w:hideMark/>
          </w:tcPr>
          <w:p w:rsidR="001D05F8" w:rsidRPr="00476D2E" w:rsidRDefault="001D05F8" w:rsidP="00F90F81">
            <w:pPr>
              <w:spacing w:before="0" w:line="240" w:lineRule="auto"/>
              <w:rPr>
                <w:rFonts w:cs="Calibri"/>
                <w:sz w:val="18"/>
                <w:szCs w:val="20"/>
                <w:lang w:val="sq-AL"/>
              </w:rPr>
            </w:pPr>
            <w:r w:rsidRPr="00476D2E">
              <w:rPr>
                <w:rFonts w:cs="Calibri"/>
                <w:b w:val="0"/>
                <w:sz w:val="18"/>
                <w:szCs w:val="20"/>
                <w:lang w:val="sq-AL"/>
              </w:rPr>
              <w:t>Bosnja dhe Hercegovina</w:t>
            </w:r>
          </w:p>
        </w:tc>
        <w:tc>
          <w:tcPr>
            <w:tcW w:w="877" w:type="pct"/>
            <w:noWrap/>
            <w:hideMark/>
          </w:tcPr>
          <w:p w:rsidR="001D05F8" w:rsidRPr="00476D2E" w:rsidRDefault="001D05F8" w:rsidP="00F90F8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20"/>
                <w:lang w:val="sq-AL"/>
              </w:rPr>
            </w:pPr>
            <w:r>
              <w:rPr>
                <w:rFonts w:cs="Calibri"/>
                <w:sz w:val="18"/>
                <w:szCs w:val="20"/>
                <w:lang w:val="sq-AL"/>
              </w:rPr>
              <w:t>-1</w:t>
            </w:r>
            <w:r w:rsidRPr="00476D2E">
              <w:rPr>
                <w:rFonts w:cs="Calibri"/>
                <w:sz w:val="18"/>
                <w:szCs w:val="20"/>
                <w:lang w:val="sq-AL"/>
              </w:rPr>
              <w:t>.</w:t>
            </w:r>
            <w:r>
              <w:rPr>
                <w:rFonts w:cs="Calibri"/>
                <w:sz w:val="18"/>
                <w:szCs w:val="20"/>
                <w:lang w:val="sq-AL"/>
              </w:rPr>
              <w:t>1</w:t>
            </w:r>
          </w:p>
        </w:tc>
        <w:tc>
          <w:tcPr>
            <w:tcW w:w="880" w:type="pct"/>
            <w:noWrap/>
            <w:hideMark/>
          </w:tcPr>
          <w:p w:rsidR="001D05F8" w:rsidRPr="00476D2E" w:rsidRDefault="001D05F8" w:rsidP="00F90F8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20"/>
                <w:lang w:val="sq-AL"/>
              </w:rPr>
            </w:pPr>
            <w:r>
              <w:rPr>
                <w:rFonts w:cs="Calibri"/>
                <w:sz w:val="18"/>
                <w:szCs w:val="20"/>
                <w:lang w:val="sq-AL"/>
              </w:rPr>
              <w:t>2</w:t>
            </w:r>
            <w:r w:rsidRPr="00476D2E">
              <w:rPr>
                <w:rFonts w:cs="Calibri"/>
                <w:sz w:val="18"/>
                <w:szCs w:val="20"/>
                <w:lang w:val="sq-AL"/>
              </w:rPr>
              <w:t>.</w:t>
            </w:r>
            <w:r>
              <w:rPr>
                <w:rFonts w:cs="Calibri"/>
                <w:sz w:val="18"/>
                <w:szCs w:val="20"/>
                <w:lang w:val="sq-AL"/>
              </w:rPr>
              <w:t>0</w:t>
            </w:r>
          </w:p>
        </w:tc>
      </w:tr>
      <w:tr w:rsidR="001D05F8" w:rsidRPr="00476D2E" w:rsidTr="00F1402E">
        <w:trPr>
          <w:trHeight w:val="144"/>
          <w:jc w:val="center"/>
        </w:trPr>
        <w:tc>
          <w:tcPr>
            <w:cnfStyle w:val="001000000000" w:firstRow="0" w:lastRow="0" w:firstColumn="1" w:lastColumn="0" w:oddVBand="0" w:evenVBand="0" w:oddHBand="0" w:evenHBand="0" w:firstRowFirstColumn="0" w:firstRowLastColumn="0" w:lastRowFirstColumn="0" w:lastRowLastColumn="0"/>
            <w:tcW w:w="3243" w:type="pct"/>
            <w:noWrap/>
            <w:hideMark/>
          </w:tcPr>
          <w:p w:rsidR="001D05F8" w:rsidRPr="00476D2E" w:rsidRDefault="001D05F8" w:rsidP="00F90F81">
            <w:pPr>
              <w:spacing w:before="0" w:line="240" w:lineRule="auto"/>
              <w:rPr>
                <w:rFonts w:cs="Calibri"/>
                <w:sz w:val="18"/>
                <w:szCs w:val="20"/>
                <w:lang w:val="sq-AL"/>
              </w:rPr>
            </w:pPr>
            <w:r w:rsidRPr="00476D2E">
              <w:rPr>
                <w:rFonts w:cs="Calibri"/>
                <w:b w:val="0"/>
                <w:sz w:val="18"/>
                <w:szCs w:val="20"/>
                <w:lang w:val="sq-AL"/>
              </w:rPr>
              <w:t>Kosova</w:t>
            </w:r>
          </w:p>
        </w:tc>
        <w:tc>
          <w:tcPr>
            <w:tcW w:w="877" w:type="pct"/>
            <w:noWrap/>
            <w:hideMark/>
          </w:tcPr>
          <w:p w:rsidR="001D05F8" w:rsidRPr="00476D2E" w:rsidRDefault="001D05F8" w:rsidP="00F90F8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Pr>
                <w:rFonts w:cs="Calibri"/>
                <w:sz w:val="18"/>
                <w:szCs w:val="20"/>
                <w:lang w:val="sq-AL"/>
              </w:rPr>
              <w:t>0</w:t>
            </w:r>
            <w:r w:rsidRPr="00476D2E">
              <w:rPr>
                <w:rFonts w:cs="Calibri"/>
                <w:sz w:val="18"/>
                <w:szCs w:val="20"/>
                <w:lang w:val="sq-AL"/>
              </w:rPr>
              <w:t>.</w:t>
            </w:r>
            <w:r>
              <w:rPr>
                <w:rFonts w:cs="Calibri"/>
                <w:sz w:val="18"/>
                <w:szCs w:val="20"/>
                <w:lang w:val="sq-AL"/>
              </w:rPr>
              <w:t>2</w:t>
            </w:r>
          </w:p>
        </w:tc>
        <w:tc>
          <w:tcPr>
            <w:tcW w:w="880" w:type="pct"/>
            <w:noWrap/>
            <w:hideMark/>
          </w:tcPr>
          <w:p w:rsidR="001D05F8" w:rsidRPr="00476D2E" w:rsidRDefault="001D05F8" w:rsidP="00F90F8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Pr>
                <w:rFonts w:cs="Calibri"/>
                <w:sz w:val="18"/>
                <w:szCs w:val="20"/>
                <w:lang w:val="sq-AL"/>
              </w:rPr>
              <w:t>3</w:t>
            </w:r>
            <w:r w:rsidRPr="00476D2E">
              <w:rPr>
                <w:rFonts w:cs="Calibri"/>
                <w:sz w:val="18"/>
                <w:szCs w:val="20"/>
                <w:lang w:val="sq-AL"/>
              </w:rPr>
              <w:t>.</w:t>
            </w:r>
            <w:r>
              <w:rPr>
                <w:rFonts w:cs="Calibri"/>
                <w:sz w:val="18"/>
                <w:szCs w:val="20"/>
                <w:lang w:val="sq-AL"/>
              </w:rPr>
              <w:t>3</w:t>
            </w:r>
          </w:p>
        </w:tc>
      </w:tr>
    </w:tbl>
    <w:p w:rsidR="00CC50CE" w:rsidRPr="00476D2E" w:rsidRDefault="00CC50CE" w:rsidP="001D05F8">
      <w:pPr>
        <w:spacing w:before="0"/>
        <w:ind w:firstLine="720"/>
        <w:rPr>
          <w:rFonts w:cs="Calibri"/>
          <w:i/>
          <w:sz w:val="20"/>
          <w:szCs w:val="18"/>
          <w:lang w:val="sq-AL"/>
        </w:rPr>
      </w:pPr>
      <w:r w:rsidRPr="00476D2E">
        <w:rPr>
          <w:rFonts w:cs="Calibri"/>
          <w:i/>
          <w:sz w:val="18"/>
          <w:szCs w:val="18"/>
          <w:lang w:val="sq-AL"/>
        </w:rPr>
        <w:t>Burimi: Directorate-General for Economic and Financial Affairs (DG-ECFIN)</w:t>
      </w:r>
    </w:p>
    <w:p w:rsidR="00F1402E" w:rsidRPr="00F1402E" w:rsidRDefault="00F1402E" w:rsidP="00F1402E">
      <w:pPr>
        <w:spacing w:before="0" w:line="240" w:lineRule="auto"/>
        <w:rPr>
          <w:rStyle w:val="q4iawc"/>
          <w:sz w:val="8"/>
          <w:szCs w:val="8"/>
          <w:lang w:val="sq-AL"/>
        </w:rPr>
      </w:pPr>
    </w:p>
    <w:p w:rsidR="00A664DE" w:rsidRDefault="008447BF" w:rsidP="00F1402E">
      <w:pPr>
        <w:spacing w:before="0" w:line="240" w:lineRule="auto"/>
        <w:rPr>
          <w:rFonts w:cs="Calibri"/>
          <w:lang w:val="sq-AL"/>
        </w:rPr>
      </w:pPr>
      <w:r w:rsidRPr="007C51A0">
        <w:rPr>
          <w:rStyle w:val="q4iawc"/>
          <w:lang w:val="sq-AL"/>
        </w:rPr>
        <w:t xml:space="preserve">Në vitin 2021, </w:t>
      </w:r>
      <w:r>
        <w:rPr>
          <w:rStyle w:val="q4iawc"/>
          <w:lang w:val="sq-AL"/>
        </w:rPr>
        <w:t>rritja</w:t>
      </w:r>
      <w:r w:rsidRPr="007C51A0">
        <w:rPr>
          <w:rStyle w:val="q4iawc"/>
          <w:lang w:val="sq-AL"/>
        </w:rPr>
        <w:t xml:space="preserve"> </w:t>
      </w:r>
      <w:r>
        <w:rPr>
          <w:rStyle w:val="q4iawc"/>
          <w:lang w:val="sq-AL"/>
        </w:rPr>
        <w:t>e</w:t>
      </w:r>
      <w:r w:rsidRPr="007C51A0">
        <w:rPr>
          <w:rStyle w:val="q4iawc"/>
          <w:lang w:val="sq-AL"/>
        </w:rPr>
        <w:t xml:space="preserve"> të ardhura</w:t>
      </w:r>
      <w:r>
        <w:rPr>
          <w:rStyle w:val="q4iawc"/>
          <w:lang w:val="sq-AL"/>
        </w:rPr>
        <w:t>ve</w:t>
      </w:r>
      <w:r w:rsidRPr="007C51A0">
        <w:rPr>
          <w:rStyle w:val="q4iawc"/>
          <w:lang w:val="sq-AL"/>
        </w:rPr>
        <w:t xml:space="preserve"> tatimore për shkak të aktivite</w:t>
      </w:r>
      <w:r>
        <w:rPr>
          <w:rStyle w:val="q4iawc"/>
          <w:lang w:val="sq-AL"/>
        </w:rPr>
        <w:t>teve</w:t>
      </w:r>
      <w:r w:rsidRPr="007C51A0">
        <w:rPr>
          <w:rStyle w:val="q4iawc"/>
          <w:lang w:val="sq-AL"/>
        </w:rPr>
        <w:t xml:space="preserve"> më </w:t>
      </w:r>
      <w:r>
        <w:rPr>
          <w:rStyle w:val="q4iawc"/>
          <w:lang w:val="sq-AL"/>
        </w:rPr>
        <w:t>të</w:t>
      </w:r>
      <w:r w:rsidRPr="007C51A0">
        <w:rPr>
          <w:rStyle w:val="q4iawc"/>
          <w:lang w:val="sq-AL"/>
        </w:rPr>
        <w:t xml:space="preserve"> fort</w:t>
      </w:r>
      <w:r>
        <w:rPr>
          <w:rStyle w:val="q4iawc"/>
          <w:lang w:val="sq-AL"/>
        </w:rPr>
        <w:t>a</w:t>
      </w:r>
      <w:r w:rsidRPr="007C51A0">
        <w:rPr>
          <w:rStyle w:val="q4iawc"/>
          <w:lang w:val="sq-AL"/>
        </w:rPr>
        <w:t xml:space="preserve"> ekonomik</w:t>
      </w:r>
      <w:r>
        <w:rPr>
          <w:rStyle w:val="q4iawc"/>
          <w:lang w:val="sq-AL"/>
        </w:rPr>
        <w:t>e</w:t>
      </w:r>
      <w:r w:rsidRPr="007C51A0">
        <w:rPr>
          <w:rStyle w:val="q4iawc"/>
          <w:lang w:val="sq-AL"/>
        </w:rPr>
        <w:t xml:space="preserve">, i kombinuar me shpenzime kapitale me performancë të dobët, </w:t>
      </w:r>
      <w:r>
        <w:rPr>
          <w:rStyle w:val="q4iawc"/>
          <w:lang w:val="sq-AL"/>
        </w:rPr>
        <w:t>mbështetën</w:t>
      </w:r>
      <w:r w:rsidRPr="007C51A0">
        <w:rPr>
          <w:rStyle w:val="q4iawc"/>
          <w:lang w:val="sq-AL"/>
        </w:rPr>
        <w:t xml:space="preserve"> ngushtimi</w:t>
      </w:r>
      <w:r>
        <w:rPr>
          <w:rStyle w:val="q4iawc"/>
          <w:lang w:val="sq-AL"/>
        </w:rPr>
        <w:t>n e</w:t>
      </w:r>
      <w:r w:rsidRPr="007C51A0">
        <w:rPr>
          <w:rStyle w:val="q4iawc"/>
          <w:lang w:val="sq-AL"/>
        </w:rPr>
        <w:t xml:space="preserve"> deficiteve fiskale </w:t>
      </w:r>
      <w:r>
        <w:rPr>
          <w:rStyle w:val="q4iawc"/>
          <w:lang w:val="sq-AL"/>
        </w:rPr>
        <w:t>në të gjitha vendet e</w:t>
      </w:r>
      <w:r w:rsidRPr="007C51A0">
        <w:rPr>
          <w:rStyle w:val="q4iawc"/>
          <w:lang w:val="sq-AL"/>
        </w:rPr>
        <w:t xml:space="preserve"> Rajoni</w:t>
      </w:r>
      <w:r>
        <w:rPr>
          <w:rStyle w:val="q4iawc"/>
          <w:lang w:val="sq-AL"/>
        </w:rPr>
        <w:t>t të</w:t>
      </w:r>
      <w:r w:rsidRPr="007C51A0">
        <w:rPr>
          <w:rStyle w:val="q4iawc"/>
          <w:lang w:val="sq-AL"/>
        </w:rPr>
        <w:t xml:space="preserve"> Ballkanit Perëndimor</w:t>
      </w:r>
      <w:r w:rsidR="00A664DE" w:rsidRPr="00476D2E">
        <w:rPr>
          <w:rFonts w:cs="Calibri"/>
          <w:lang w:val="sq-AL"/>
        </w:rPr>
        <w:t>.</w:t>
      </w:r>
    </w:p>
    <w:p w:rsidR="00A664DE" w:rsidRDefault="00A664DE" w:rsidP="00A664DE">
      <w:pPr>
        <w:pStyle w:val="Caption"/>
        <w:keepNext/>
        <w:spacing w:after="0"/>
        <w:rPr>
          <w:rFonts w:cs="Calibri"/>
          <w:lang w:val="sq-AL"/>
        </w:rPr>
      </w:pPr>
      <w:bookmarkStart w:id="26" w:name="_Toc104984077"/>
      <w:r w:rsidRPr="00476D2E">
        <w:rPr>
          <w:rFonts w:cs="Calibri"/>
          <w:lang w:val="sq-AL"/>
        </w:rPr>
        <w:t xml:space="preserve">Tabela </w:t>
      </w:r>
      <w:r w:rsidRPr="00476D2E">
        <w:rPr>
          <w:rFonts w:cs="Calibri"/>
          <w:lang w:val="sq-AL"/>
        </w:rPr>
        <w:fldChar w:fldCharType="begin"/>
      </w:r>
      <w:r w:rsidRPr="00476D2E">
        <w:rPr>
          <w:rFonts w:cs="Calibri"/>
          <w:lang w:val="sq-AL"/>
        </w:rPr>
        <w:instrText xml:space="preserve"> SEQ Tabela \* ARABIC </w:instrText>
      </w:r>
      <w:r w:rsidRPr="00476D2E">
        <w:rPr>
          <w:rFonts w:cs="Calibri"/>
          <w:lang w:val="sq-AL"/>
        </w:rPr>
        <w:fldChar w:fldCharType="separate"/>
      </w:r>
      <w:r w:rsidR="00276062">
        <w:rPr>
          <w:rFonts w:cs="Calibri"/>
          <w:noProof/>
          <w:lang w:val="sq-AL"/>
        </w:rPr>
        <w:t>5</w:t>
      </w:r>
      <w:r w:rsidRPr="00476D2E">
        <w:rPr>
          <w:rFonts w:cs="Calibri"/>
          <w:noProof/>
          <w:lang w:val="sq-AL"/>
        </w:rPr>
        <w:fldChar w:fldCharType="end"/>
      </w:r>
      <w:r w:rsidRPr="00476D2E">
        <w:rPr>
          <w:rFonts w:cs="Calibri"/>
          <w:noProof/>
          <w:lang w:val="sq-AL"/>
        </w:rPr>
        <w:t>:</w:t>
      </w:r>
      <w:r w:rsidRPr="00476D2E">
        <w:rPr>
          <w:rFonts w:cs="Calibri"/>
          <w:lang w:val="sq-AL"/>
        </w:rPr>
        <w:t xml:space="preserve"> Bilanci fiskal</w:t>
      </w:r>
      <w:bookmarkEnd w:id="26"/>
    </w:p>
    <w:tbl>
      <w:tblPr>
        <w:tblStyle w:val="GridTable4-Accent11"/>
        <w:tblW w:w="4567" w:type="pct"/>
        <w:jc w:val="center"/>
        <w:tblLook w:val="04A0" w:firstRow="1" w:lastRow="0" w:firstColumn="1" w:lastColumn="0" w:noHBand="0" w:noVBand="1"/>
      </w:tblPr>
      <w:tblGrid>
        <w:gridCol w:w="5541"/>
        <w:gridCol w:w="2556"/>
        <w:gridCol w:w="1718"/>
      </w:tblGrid>
      <w:tr w:rsidR="0005408D" w:rsidRPr="0005408D" w:rsidTr="0049325D">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823" w:type="pct"/>
            <w:hideMark/>
          </w:tcPr>
          <w:p w:rsidR="0005408D" w:rsidRPr="0005408D" w:rsidRDefault="0005408D" w:rsidP="0005408D">
            <w:pPr>
              <w:spacing w:before="0" w:line="240" w:lineRule="auto"/>
              <w:jc w:val="left"/>
              <w:rPr>
                <w:rFonts w:cs="Calibri"/>
                <w:bCs w:val="0"/>
                <w:sz w:val="18"/>
                <w:szCs w:val="20"/>
                <w:lang w:val="sq-AL"/>
              </w:rPr>
            </w:pPr>
            <w:r w:rsidRPr="0005408D">
              <w:rPr>
                <w:rFonts w:cs="Calibri"/>
                <w:bCs w:val="0"/>
                <w:sz w:val="18"/>
                <w:szCs w:val="20"/>
                <w:lang w:val="sq-AL"/>
              </w:rPr>
              <w:t>B</w:t>
            </w:r>
            <w:r>
              <w:rPr>
                <w:rFonts w:cs="Calibri"/>
                <w:bCs w:val="0"/>
                <w:sz w:val="18"/>
                <w:szCs w:val="20"/>
                <w:lang w:val="sq-AL"/>
              </w:rPr>
              <w:t>a</w:t>
            </w:r>
            <w:r w:rsidRPr="0005408D">
              <w:rPr>
                <w:rFonts w:cs="Calibri"/>
                <w:bCs w:val="0"/>
                <w:sz w:val="18"/>
                <w:szCs w:val="20"/>
                <w:lang w:val="sq-AL"/>
              </w:rPr>
              <w:t xml:space="preserve">lanca e përgjithshme e qeverisë/Deficiti fiskal </w:t>
            </w:r>
            <w:r w:rsidRPr="0005408D">
              <w:rPr>
                <w:rFonts w:cs="Calibri"/>
                <w:b w:val="0"/>
                <w:i/>
                <w:iCs/>
                <w:sz w:val="18"/>
                <w:szCs w:val="20"/>
                <w:lang w:val="sq-AL"/>
              </w:rPr>
              <w:t>(në % të PBB)</w:t>
            </w:r>
          </w:p>
        </w:tc>
        <w:tc>
          <w:tcPr>
            <w:tcW w:w="1302" w:type="pct"/>
            <w:hideMark/>
          </w:tcPr>
          <w:p w:rsidR="0005408D" w:rsidRPr="0005408D" w:rsidRDefault="0005408D" w:rsidP="00F90F81">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sz w:val="18"/>
                <w:szCs w:val="20"/>
                <w:lang w:val="sq-AL"/>
              </w:rPr>
            </w:pPr>
            <w:r w:rsidRPr="0005408D">
              <w:rPr>
                <w:rFonts w:cs="Calibri"/>
                <w:sz w:val="18"/>
                <w:szCs w:val="20"/>
                <w:lang w:val="sq-AL"/>
              </w:rPr>
              <w:t> 2020</w:t>
            </w:r>
          </w:p>
        </w:tc>
        <w:tc>
          <w:tcPr>
            <w:tcW w:w="875" w:type="pct"/>
            <w:hideMark/>
          </w:tcPr>
          <w:p w:rsidR="0005408D" w:rsidRPr="0005408D" w:rsidRDefault="0005408D" w:rsidP="00F90F81">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sz w:val="18"/>
                <w:szCs w:val="20"/>
                <w:lang w:val="sq-AL"/>
              </w:rPr>
            </w:pPr>
            <w:r w:rsidRPr="0005408D">
              <w:rPr>
                <w:rFonts w:cs="Calibri"/>
                <w:sz w:val="18"/>
                <w:szCs w:val="20"/>
                <w:lang w:val="sq-AL"/>
              </w:rPr>
              <w:t>2021</w:t>
            </w:r>
          </w:p>
        </w:tc>
      </w:tr>
      <w:tr w:rsidR="0005408D" w:rsidRPr="0005408D" w:rsidTr="0049325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23" w:type="pct"/>
            <w:noWrap/>
            <w:hideMark/>
          </w:tcPr>
          <w:p w:rsidR="0005408D" w:rsidRPr="0005408D" w:rsidRDefault="0005408D" w:rsidP="00F90F81">
            <w:pPr>
              <w:spacing w:before="0" w:line="240" w:lineRule="auto"/>
              <w:rPr>
                <w:rFonts w:cs="Calibri"/>
                <w:sz w:val="18"/>
                <w:szCs w:val="20"/>
                <w:lang w:val="sq-AL"/>
              </w:rPr>
            </w:pPr>
            <w:r w:rsidRPr="0005408D">
              <w:rPr>
                <w:rFonts w:cs="Calibri"/>
                <w:b w:val="0"/>
                <w:sz w:val="18"/>
                <w:szCs w:val="20"/>
                <w:lang w:val="sq-AL"/>
              </w:rPr>
              <w:t>Maqedonia e Veriut***</w:t>
            </w:r>
          </w:p>
        </w:tc>
        <w:tc>
          <w:tcPr>
            <w:tcW w:w="1302" w:type="pct"/>
            <w:noWrap/>
            <w:hideMark/>
          </w:tcPr>
          <w:p w:rsidR="0005408D" w:rsidRPr="0005408D" w:rsidRDefault="0005408D" w:rsidP="00F90F8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20"/>
                <w:lang w:val="sq-AL"/>
              </w:rPr>
            </w:pPr>
            <w:r w:rsidRPr="0005408D">
              <w:rPr>
                <w:rFonts w:cs="Calibri"/>
                <w:sz w:val="18"/>
                <w:szCs w:val="20"/>
                <w:lang w:val="sq-AL"/>
              </w:rPr>
              <w:t>-8.2</w:t>
            </w:r>
          </w:p>
        </w:tc>
        <w:tc>
          <w:tcPr>
            <w:tcW w:w="875" w:type="pct"/>
            <w:noWrap/>
            <w:hideMark/>
          </w:tcPr>
          <w:p w:rsidR="0005408D" w:rsidRPr="0005408D" w:rsidRDefault="0005408D" w:rsidP="00F90F8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20"/>
                <w:lang w:val="sq-AL"/>
              </w:rPr>
            </w:pPr>
            <w:r w:rsidRPr="0005408D">
              <w:rPr>
                <w:rFonts w:cs="Calibri"/>
                <w:sz w:val="18"/>
                <w:szCs w:val="20"/>
                <w:lang w:val="sq-AL"/>
              </w:rPr>
              <w:t>-5.4</w:t>
            </w:r>
          </w:p>
        </w:tc>
      </w:tr>
      <w:tr w:rsidR="0005408D" w:rsidRPr="0005408D" w:rsidTr="0049325D">
        <w:trPr>
          <w:trHeight w:val="255"/>
          <w:jc w:val="center"/>
        </w:trPr>
        <w:tc>
          <w:tcPr>
            <w:cnfStyle w:val="001000000000" w:firstRow="0" w:lastRow="0" w:firstColumn="1" w:lastColumn="0" w:oddVBand="0" w:evenVBand="0" w:oddHBand="0" w:evenHBand="0" w:firstRowFirstColumn="0" w:firstRowLastColumn="0" w:lastRowFirstColumn="0" w:lastRowLastColumn="0"/>
            <w:tcW w:w="2823" w:type="pct"/>
            <w:noWrap/>
            <w:hideMark/>
          </w:tcPr>
          <w:p w:rsidR="0005408D" w:rsidRPr="0005408D" w:rsidRDefault="0005408D" w:rsidP="00F90F81">
            <w:pPr>
              <w:spacing w:before="0" w:line="240" w:lineRule="auto"/>
              <w:rPr>
                <w:rFonts w:cs="Calibri"/>
                <w:sz w:val="18"/>
                <w:szCs w:val="20"/>
                <w:lang w:val="sq-AL"/>
              </w:rPr>
            </w:pPr>
            <w:r w:rsidRPr="0005408D">
              <w:rPr>
                <w:rFonts w:cs="Calibri"/>
                <w:b w:val="0"/>
                <w:sz w:val="18"/>
                <w:szCs w:val="20"/>
                <w:lang w:val="sq-AL"/>
              </w:rPr>
              <w:t>Mali i ZI**</w:t>
            </w:r>
          </w:p>
        </w:tc>
        <w:tc>
          <w:tcPr>
            <w:tcW w:w="1302" w:type="pct"/>
            <w:noWrap/>
            <w:hideMark/>
          </w:tcPr>
          <w:p w:rsidR="0005408D" w:rsidRPr="0005408D" w:rsidRDefault="0005408D" w:rsidP="00F90F8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05408D">
              <w:rPr>
                <w:rFonts w:cs="Calibri"/>
                <w:sz w:val="18"/>
                <w:szCs w:val="20"/>
                <w:lang w:val="sq-AL"/>
              </w:rPr>
              <w:t>-11.1</w:t>
            </w:r>
          </w:p>
        </w:tc>
        <w:tc>
          <w:tcPr>
            <w:tcW w:w="875" w:type="pct"/>
            <w:noWrap/>
            <w:hideMark/>
          </w:tcPr>
          <w:p w:rsidR="0005408D" w:rsidRPr="0005408D" w:rsidRDefault="0005408D" w:rsidP="00F90F8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05408D">
              <w:rPr>
                <w:rFonts w:cs="Calibri"/>
                <w:sz w:val="18"/>
                <w:szCs w:val="20"/>
                <w:lang w:val="sq-AL"/>
              </w:rPr>
              <w:t>-1.9</w:t>
            </w:r>
          </w:p>
        </w:tc>
      </w:tr>
      <w:tr w:rsidR="0005408D" w:rsidRPr="0005408D" w:rsidTr="0049325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23" w:type="pct"/>
            <w:noWrap/>
            <w:hideMark/>
          </w:tcPr>
          <w:p w:rsidR="0005408D" w:rsidRPr="0005408D" w:rsidRDefault="0005408D" w:rsidP="00F90F81">
            <w:pPr>
              <w:spacing w:before="0" w:line="240" w:lineRule="auto"/>
              <w:rPr>
                <w:rFonts w:cs="Calibri"/>
                <w:sz w:val="18"/>
                <w:szCs w:val="20"/>
                <w:lang w:val="sq-AL"/>
              </w:rPr>
            </w:pPr>
            <w:r w:rsidRPr="0005408D">
              <w:rPr>
                <w:rFonts w:cs="Calibri"/>
                <w:b w:val="0"/>
                <w:sz w:val="18"/>
                <w:szCs w:val="20"/>
                <w:lang w:val="sq-AL"/>
              </w:rPr>
              <w:t>Serbia***</w:t>
            </w:r>
          </w:p>
        </w:tc>
        <w:tc>
          <w:tcPr>
            <w:tcW w:w="1302" w:type="pct"/>
            <w:noWrap/>
            <w:hideMark/>
          </w:tcPr>
          <w:p w:rsidR="0005408D" w:rsidRPr="0005408D" w:rsidRDefault="0005408D" w:rsidP="00F90F8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20"/>
                <w:lang w:val="sq-AL"/>
              </w:rPr>
            </w:pPr>
            <w:r w:rsidRPr="0005408D">
              <w:rPr>
                <w:rFonts w:cs="Calibri"/>
                <w:sz w:val="18"/>
                <w:szCs w:val="20"/>
                <w:lang w:val="sq-AL"/>
              </w:rPr>
              <w:t>-8.0</w:t>
            </w:r>
          </w:p>
        </w:tc>
        <w:tc>
          <w:tcPr>
            <w:tcW w:w="875" w:type="pct"/>
            <w:noWrap/>
            <w:hideMark/>
          </w:tcPr>
          <w:p w:rsidR="0005408D" w:rsidRPr="0005408D" w:rsidRDefault="0005408D" w:rsidP="00F90F8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20"/>
                <w:lang w:val="sq-AL"/>
              </w:rPr>
            </w:pPr>
            <w:r w:rsidRPr="0005408D">
              <w:rPr>
                <w:rFonts w:cs="Calibri"/>
                <w:sz w:val="18"/>
                <w:szCs w:val="20"/>
                <w:lang w:val="sq-AL"/>
              </w:rPr>
              <w:t>-4.1</w:t>
            </w:r>
          </w:p>
        </w:tc>
      </w:tr>
      <w:tr w:rsidR="0005408D" w:rsidRPr="0049325D" w:rsidTr="0049325D">
        <w:trPr>
          <w:trHeight w:val="255"/>
          <w:jc w:val="center"/>
        </w:trPr>
        <w:tc>
          <w:tcPr>
            <w:cnfStyle w:val="001000000000" w:firstRow="0" w:lastRow="0" w:firstColumn="1" w:lastColumn="0" w:oddVBand="0" w:evenVBand="0" w:oddHBand="0" w:evenHBand="0" w:firstRowFirstColumn="0" w:firstRowLastColumn="0" w:lastRowFirstColumn="0" w:lastRowLastColumn="0"/>
            <w:tcW w:w="2823" w:type="pct"/>
            <w:noWrap/>
            <w:hideMark/>
          </w:tcPr>
          <w:p w:rsidR="0005408D" w:rsidRPr="0049325D" w:rsidRDefault="0005408D" w:rsidP="00F90F81">
            <w:pPr>
              <w:spacing w:before="0" w:line="240" w:lineRule="auto"/>
              <w:rPr>
                <w:rFonts w:cs="Calibri"/>
                <w:sz w:val="19"/>
                <w:szCs w:val="19"/>
                <w:lang w:val="sq-AL"/>
              </w:rPr>
            </w:pPr>
            <w:r w:rsidRPr="0049325D">
              <w:rPr>
                <w:rFonts w:cs="Calibri"/>
                <w:sz w:val="19"/>
                <w:szCs w:val="19"/>
                <w:lang w:val="sq-AL"/>
              </w:rPr>
              <w:t>Shqipëria**</w:t>
            </w:r>
          </w:p>
        </w:tc>
        <w:tc>
          <w:tcPr>
            <w:tcW w:w="1302" w:type="pct"/>
            <w:noWrap/>
            <w:hideMark/>
          </w:tcPr>
          <w:p w:rsidR="0005408D" w:rsidRPr="0049325D" w:rsidRDefault="0005408D" w:rsidP="00F90F8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19"/>
                <w:szCs w:val="19"/>
                <w:lang w:val="sq-AL"/>
              </w:rPr>
            </w:pPr>
            <w:r w:rsidRPr="0049325D">
              <w:rPr>
                <w:rFonts w:cs="Calibri"/>
                <w:b/>
                <w:sz w:val="19"/>
                <w:szCs w:val="19"/>
                <w:lang w:val="sq-AL"/>
              </w:rPr>
              <w:t>-6.7</w:t>
            </w:r>
          </w:p>
        </w:tc>
        <w:tc>
          <w:tcPr>
            <w:tcW w:w="875" w:type="pct"/>
            <w:noWrap/>
            <w:hideMark/>
          </w:tcPr>
          <w:p w:rsidR="0005408D" w:rsidRPr="0049325D" w:rsidRDefault="0005408D" w:rsidP="00F90F8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19"/>
                <w:szCs w:val="19"/>
                <w:lang w:val="sq-AL"/>
              </w:rPr>
            </w:pPr>
            <w:r w:rsidRPr="0049325D">
              <w:rPr>
                <w:rFonts w:cs="Calibri"/>
                <w:b/>
                <w:sz w:val="19"/>
                <w:szCs w:val="19"/>
                <w:lang w:val="sq-AL"/>
              </w:rPr>
              <w:t>-4.5</w:t>
            </w:r>
          </w:p>
        </w:tc>
      </w:tr>
      <w:tr w:rsidR="0005408D" w:rsidRPr="0005408D" w:rsidTr="0049325D">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2823" w:type="pct"/>
            <w:noWrap/>
            <w:hideMark/>
          </w:tcPr>
          <w:p w:rsidR="0005408D" w:rsidRPr="0005408D" w:rsidRDefault="0005408D" w:rsidP="00F90F81">
            <w:pPr>
              <w:spacing w:before="0" w:line="240" w:lineRule="auto"/>
              <w:rPr>
                <w:rFonts w:cs="Calibri"/>
                <w:sz w:val="18"/>
                <w:szCs w:val="20"/>
                <w:lang w:val="sq-AL"/>
              </w:rPr>
            </w:pPr>
            <w:r w:rsidRPr="0005408D">
              <w:rPr>
                <w:rFonts w:cs="Calibri"/>
                <w:b w:val="0"/>
                <w:sz w:val="18"/>
                <w:szCs w:val="20"/>
                <w:lang w:val="sq-AL"/>
              </w:rPr>
              <w:t>Bosnja dhe Hercegovina***</w:t>
            </w:r>
          </w:p>
        </w:tc>
        <w:tc>
          <w:tcPr>
            <w:tcW w:w="1302" w:type="pct"/>
            <w:noWrap/>
            <w:hideMark/>
          </w:tcPr>
          <w:p w:rsidR="0005408D" w:rsidRPr="0005408D" w:rsidRDefault="0005408D" w:rsidP="00F90F8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20"/>
                <w:lang w:val="sq-AL"/>
              </w:rPr>
            </w:pPr>
            <w:r w:rsidRPr="0005408D">
              <w:rPr>
                <w:rFonts w:cs="Calibri"/>
                <w:sz w:val="18"/>
                <w:szCs w:val="20"/>
                <w:lang w:val="sq-AL"/>
              </w:rPr>
              <w:t>-5.3</w:t>
            </w:r>
          </w:p>
        </w:tc>
        <w:tc>
          <w:tcPr>
            <w:tcW w:w="875" w:type="pct"/>
            <w:noWrap/>
            <w:hideMark/>
          </w:tcPr>
          <w:p w:rsidR="0005408D" w:rsidRPr="0005408D" w:rsidRDefault="0005408D" w:rsidP="00F90F8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20"/>
                <w:lang w:val="sq-AL"/>
              </w:rPr>
            </w:pPr>
            <w:r w:rsidRPr="0005408D">
              <w:rPr>
                <w:rFonts w:cs="Calibri"/>
                <w:sz w:val="18"/>
                <w:szCs w:val="20"/>
                <w:lang w:val="sq-AL"/>
              </w:rPr>
              <w:t>N/A</w:t>
            </w:r>
          </w:p>
        </w:tc>
      </w:tr>
      <w:tr w:rsidR="0005408D" w:rsidRPr="0005408D" w:rsidTr="0049325D">
        <w:trPr>
          <w:trHeight w:val="267"/>
          <w:jc w:val="center"/>
        </w:trPr>
        <w:tc>
          <w:tcPr>
            <w:cnfStyle w:val="001000000000" w:firstRow="0" w:lastRow="0" w:firstColumn="1" w:lastColumn="0" w:oddVBand="0" w:evenVBand="0" w:oddHBand="0" w:evenHBand="0" w:firstRowFirstColumn="0" w:firstRowLastColumn="0" w:lastRowFirstColumn="0" w:lastRowLastColumn="0"/>
            <w:tcW w:w="2823" w:type="pct"/>
            <w:noWrap/>
            <w:hideMark/>
          </w:tcPr>
          <w:p w:rsidR="0005408D" w:rsidRPr="0005408D" w:rsidRDefault="0005408D" w:rsidP="00F90F81">
            <w:pPr>
              <w:spacing w:before="0" w:line="240" w:lineRule="auto"/>
              <w:rPr>
                <w:rFonts w:cs="Calibri"/>
                <w:sz w:val="18"/>
                <w:szCs w:val="20"/>
                <w:lang w:val="sq-AL"/>
              </w:rPr>
            </w:pPr>
            <w:r w:rsidRPr="0005408D">
              <w:rPr>
                <w:rFonts w:cs="Calibri"/>
                <w:b w:val="0"/>
                <w:sz w:val="18"/>
                <w:szCs w:val="20"/>
                <w:lang w:val="sq-AL"/>
              </w:rPr>
              <w:t xml:space="preserve">Kosova </w:t>
            </w:r>
          </w:p>
        </w:tc>
        <w:tc>
          <w:tcPr>
            <w:tcW w:w="1302" w:type="pct"/>
            <w:noWrap/>
            <w:hideMark/>
          </w:tcPr>
          <w:p w:rsidR="0005408D" w:rsidRPr="0005408D" w:rsidRDefault="0005408D" w:rsidP="00F90F8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05408D">
              <w:rPr>
                <w:rFonts w:cs="Calibri"/>
                <w:sz w:val="18"/>
                <w:szCs w:val="20"/>
                <w:lang w:val="sq-AL"/>
              </w:rPr>
              <w:t>-7.6</w:t>
            </w:r>
          </w:p>
        </w:tc>
        <w:tc>
          <w:tcPr>
            <w:tcW w:w="875" w:type="pct"/>
            <w:noWrap/>
            <w:hideMark/>
          </w:tcPr>
          <w:p w:rsidR="0005408D" w:rsidRPr="0005408D" w:rsidRDefault="0005408D" w:rsidP="00F90F8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05408D">
              <w:rPr>
                <w:rFonts w:cs="Calibri"/>
                <w:sz w:val="18"/>
                <w:szCs w:val="20"/>
                <w:lang w:val="sq-AL"/>
              </w:rPr>
              <w:t>-1.4</w:t>
            </w:r>
          </w:p>
        </w:tc>
      </w:tr>
    </w:tbl>
    <w:p w:rsidR="00A664DE" w:rsidRPr="00476D2E" w:rsidRDefault="00A664DE" w:rsidP="00754769">
      <w:pPr>
        <w:ind w:firstLine="450"/>
        <w:rPr>
          <w:rFonts w:cs="Calibri"/>
          <w:i/>
          <w:sz w:val="18"/>
          <w:szCs w:val="18"/>
          <w:lang w:val="sq-AL"/>
        </w:rPr>
      </w:pPr>
      <w:r w:rsidRPr="00476D2E">
        <w:rPr>
          <w:rFonts w:cs="Calibri"/>
          <w:i/>
          <w:sz w:val="18"/>
          <w:szCs w:val="18"/>
          <w:lang w:val="sq-AL"/>
        </w:rPr>
        <w:t>Burimi: Directorate-General for Economic and Financial Affairs (DG-ECFIN)</w:t>
      </w:r>
    </w:p>
    <w:p w:rsidR="002A00BD" w:rsidRPr="002A00BD" w:rsidRDefault="002A00BD" w:rsidP="002A00BD">
      <w:pPr>
        <w:spacing w:before="0"/>
        <w:rPr>
          <w:rStyle w:val="q4iawc"/>
          <w:sz w:val="8"/>
          <w:lang w:val="sq-AL"/>
        </w:rPr>
      </w:pPr>
    </w:p>
    <w:p w:rsidR="00A664DE" w:rsidRPr="00476D2E" w:rsidRDefault="008447BF" w:rsidP="002A00BD">
      <w:pPr>
        <w:spacing w:before="0"/>
        <w:rPr>
          <w:rFonts w:cs="Calibri"/>
          <w:lang w:val="sq-AL"/>
        </w:rPr>
      </w:pPr>
      <w:r w:rsidRPr="007C51A0">
        <w:rPr>
          <w:rStyle w:val="q4iawc"/>
          <w:lang w:val="sq-AL"/>
        </w:rPr>
        <w:t xml:space="preserve">Në fund të vitit 2021, raporti i borxhit ishte më </w:t>
      </w:r>
      <w:r>
        <w:rPr>
          <w:rStyle w:val="q4iawc"/>
          <w:lang w:val="sq-AL"/>
        </w:rPr>
        <w:t>i</w:t>
      </w:r>
      <w:r w:rsidRPr="007C51A0">
        <w:rPr>
          <w:rStyle w:val="q4iawc"/>
          <w:lang w:val="sq-AL"/>
        </w:rPr>
        <w:t xml:space="preserve"> lart</w:t>
      </w:r>
      <w:r>
        <w:rPr>
          <w:rStyle w:val="q4iawc"/>
          <w:lang w:val="sq-AL"/>
        </w:rPr>
        <w:t>ë</w:t>
      </w:r>
      <w:r w:rsidRPr="007C51A0">
        <w:rPr>
          <w:rStyle w:val="q4iawc"/>
          <w:lang w:val="sq-AL"/>
        </w:rPr>
        <w:t xml:space="preserve"> në Mal të Zi (83.3% e PBB-së), megjithëse dukshëm më e ulët në krahasim me fundin e </w:t>
      </w:r>
      <w:r>
        <w:rPr>
          <w:rStyle w:val="q4iawc"/>
          <w:lang w:val="sq-AL"/>
        </w:rPr>
        <w:t xml:space="preserve">vitit </w:t>
      </w:r>
      <w:r w:rsidRPr="007C51A0">
        <w:rPr>
          <w:rStyle w:val="q4iawc"/>
          <w:lang w:val="sq-AL"/>
        </w:rPr>
        <w:t>2020, ndjekur nga Shqipëria (73.2%) dhe Serbia (51.6%)</w:t>
      </w:r>
      <w:r w:rsidR="00A664DE" w:rsidRPr="00476D2E">
        <w:rPr>
          <w:rFonts w:cs="Calibri"/>
          <w:lang w:val="sq-AL"/>
        </w:rPr>
        <w:t>.</w:t>
      </w:r>
    </w:p>
    <w:p w:rsidR="00A664DE" w:rsidRDefault="00A664DE" w:rsidP="00A664DE">
      <w:pPr>
        <w:pStyle w:val="Caption"/>
        <w:spacing w:after="0"/>
        <w:rPr>
          <w:rFonts w:cs="Calibri"/>
          <w:lang w:val="sq-AL"/>
        </w:rPr>
      </w:pPr>
      <w:bookmarkStart w:id="27" w:name="_Toc104984078"/>
      <w:r w:rsidRPr="00476D2E">
        <w:rPr>
          <w:rFonts w:cs="Calibri"/>
          <w:lang w:val="sq-AL"/>
        </w:rPr>
        <w:t xml:space="preserve">Tabela </w:t>
      </w:r>
      <w:r w:rsidRPr="00476D2E">
        <w:rPr>
          <w:rFonts w:cs="Calibri"/>
          <w:lang w:val="sq-AL"/>
        </w:rPr>
        <w:fldChar w:fldCharType="begin"/>
      </w:r>
      <w:r w:rsidRPr="00476D2E">
        <w:rPr>
          <w:rFonts w:cs="Calibri"/>
          <w:lang w:val="sq-AL"/>
        </w:rPr>
        <w:instrText xml:space="preserve"> SEQ Tabela \* ARABIC </w:instrText>
      </w:r>
      <w:r w:rsidRPr="00476D2E">
        <w:rPr>
          <w:rFonts w:cs="Calibri"/>
          <w:lang w:val="sq-AL"/>
        </w:rPr>
        <w:fldChar w:fldCharType="separate"/>
      </w:r>
      <w:r w:rsidR="00276062">
        <w:rPr>
          <w:rFonts w:cs="Calibri"/>
          <w:noProof/>
          <w:lang w:val="sq-AL"/>
        </w:rPr>
        <w:t>6</w:t>
      </w:r>
      <w:r w:rsidRPr="00476D2E">
        <w:rPr>
          <w:rFonts w:cs="Calibri"/>
          <w:noProof/>
          <w:lang w:val="sq-AL"/>
        </w:rPr>
        <w:fldChar w:fldCharType="end"/>
      </w:r>
      <w:r w:rsidRPr="00476D2E">
        <w:rPr>
          <w:rFonts w:cs="Calibri"/>
          <w:noProof/>
          <w:lang w:val="sq-AL"/>
        </w:rPr>
        <w:t>:</w:t>
      </w:r>
      <w:r w:rsidRPr="00476D2E">
        <w:rPr>
          <w:rFonts w:cs="Calibri"/>
          <w:lang w:val="sq-AL"/>
        </w:rPr>
        <w:t xml:space="preserve"> Borxhi publik</w:t>
      </w:r>
      <w:bookmarkEnd w:id="27"/>
    </w:p>
    <w:tbl>
      <w:tblPr>
        <w:tblStyle w:val="GridTable4-Accent11"/>
        <w:tblW w:w="4606" w:type="pct"/>
        <w:jc w:val="center"/>
        <w:tblLook w:val="04A0" w:firstRow="1" w:lastRow="0" w:firstColumn="1" w:lastColumn="0" w:noHBand="0" w:noVBand="1"/>
      </w:tblPr>
      <w:tblGrid>
        <w:gridCol w:w="6427"/>
        <w:gridCol w:w="1740"/>
        <w:gridCol w:w="1732"/>
      </w:tblGrid>
      <w:tr w:rsidR="00754769" w:rsidRPr="00754769" w:rsidTr="00754769">
        <w:trPr>
          <w:cnfStyle w:val="100000000000" w:firstRow="1" w:lastRow="0" w:firstColumn="0" w:lastColumn="0" w:oddVBand="0" w:evenVBand="0" w:oddHBand="0"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3246" w:type="pct"/>
            <w:hideMark/>
          </w:tcPr>
          <w:p w:rsidR="00754769" w:rsidRPr="00754769" w:rsidRDefault="00754769" w:rsidP="00F90F81">
            <w:pPr>
              <w:spacing w:before="0" w:line="240" w:lineRule="auto"/>
              <w:jc w:val="center"/>
              <w:rPr>
                <w:rFonts w:cs="Calibri"/>
                <w:bCs w:val="0"/>
                <w:sz w:val="18"/>
                <w:szCs w:val="20"/>
                <w:lang w:val="sq-AL"/>
              </w:rPr>
            </w:pPr>
            <w:r w:rsidRPr="00754769">
              <w:rPr>
                <w:rFonts w:cs="Calibri"/>
                <w:bCs w:val="0"/>
                <w:sz w:val="18"/>
                <w:szCs w:val="20"/>
                <w:lang w:val="sq-AL"/>
              </w:rPr>
              <w:t xml:space="preserve">Borxhi publik total </w:t>
            </w:r>
            <w:r w:rsidRPr="00754769">
              <w:rPr>
                <w:rFonts w:cs="Calibri"/>
                <w:b w:val="0"/>
                <w:i/>
                <w:iCs/>
                <w:sz w:val="18"/>
                <w:szCs w:val="20"/>
                <w:lang w:val="sq-AL"/>
              </w:rPr>
              <w:t>(në % të PBB)</w:t>
            </w:r>
          </w:p>
        </w:tc>
        <w:tc>
          <w:tcPr>
            <w:tcW w:w="879" w:type="pct"/>
            <w:hideMark/>
          </w:tcPr>
          <w:p w:rsidR="00754769" w:rsidRPr="00754769" w:rsidRDefault="00754769" w:rsidP="00F90F81">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sz w:val="18"/>
                <w:szCs w:val="20"/>
                <w:lang w:val="sq-AL"/>
              </w:rPr>
            </w:pPr>
            <w:r w:rsidRPr="00754769">
              <w:rPr>
                <w:rFonts w:cs="Calibri"/>
                <w:sz w:val="18"/>
                <w:szCs w:val="20"/>
                <w:lang w:val="sq-AL"/>
              </w:rPr>
              <w:t>2020</w:t>
            </w:r>
          </w:p>
        </w:tc>
        <w:tc>
          <w:tcPr>
            <w:tcW w:w="875" w:type="pct"/>
            <w:hideMark/>
          </w:tcPr>
          <w:p w:rsidR="00754769" w:rsidRPr="00754769" w:rsidRDefault="00754769" w:rsidP="00F90F81">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sz w:val="18"/>
                <w:szCs w:val="20"/>
                <w:lang w:val="sq-AL"/>
              </w:rPr>
            </w:pPr>
            <w:r w:rsidRPr="00754769">
              <w:rPr>
                <w:rFonts w:cs="Calibri"/>
                <w:sz w:val="18"/>
                <w:szCs w:val="20"/>
                <w:lang w:val="sq-AL"/>
              </w:rPr>
              <w:t>2021</w:t>
            </w:r>
          </w:p>
        </w:tc>
      </w:tr>
      <w:tr w:rsidR="00754769" w:rsidRPr="00754769" w:rsidTr="00754769">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3246" w:type="pct"/>
            <w:noWrap/>
            <w:hideMark/>
          </w:tcPr>
          <w:p w:rsidR="00754769" w:rsidRPr="00754769" w:rsidRDefault="00754769" w:rsidP="00F90F81">
            <w:pPr>
              <w:spacing w:before="0" w:line="240" w:lineRule="auto"/>
              <w:rPr>
                <w:rFonts w:cs="Calibri"/>
                <w:sz w:val="18"/>
                <w:szCs w:val="20"/>
                <w:lang w:val="sq-AL"/>
              </w:rPr>
            </w:pPr>
            <w:r w:rsidRPr="00754769">
              <w:rPr>
                <w:rFonts w:cs="Calibri"/>
                <w:b w:val="0"/>
                <w:sz w:val="18"/>
                <w:szCs w:val="20"/>
                <w:lang w:val="sq-AL"/>
              </w:rPr>
              <w:t>Maqedonia e Veriut</w:t>
            </w:r>
          </w:p>
        </w:tc>
        <w:tc>
          <w:tcPr>
            <w:tcW w:w="879" w:type="pct"/>
            <w:noWrap/>
            <w:hideMark/>
          </w:tcPr>
          <w:p w:rsidR="00754769" w:rsidRPr="00754769" w:rsidRDefault="00754769" w:rsidP="00F90F8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20"/>
                <w:lang w:val="sq-AL"/>
              </w:rPr>
            </w:pPr>
            <w:r w:rsidRPr="00754769">
              <w:rPr>
                <w:rFonts w:cs="Calibri"/>
                <w:sz w:val="18"/>
                <w:szCs w:val="20"/>
                <w:lang w:val="sq-AL"/>
              </w:rPr>
              <w:t>51.9</w:t>
            </w:r>
          </w:p>
        </w:tc>
        <w:tc>
          <w:tcPr>
            <w:tcW w:w="875" w:type="pct"/>
            <w:noWrap/>
            <w:hideMark/>
          </w:tcPr>
          <w:p w:rsidR="00754769" w:rsidRPr="00754769" w:rsidRDefault="00754769" w:rsidP="00F90F8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20"/>
                <w:lang w:val="sq-AL"/>
              </w:rPr>
            </w:pPr>
            <w:r w:rsidRPr="00754769">
              <w:rPr>
                <w:rFonts w:cs="Calibri"/>
                <w:sz w:val="18"/>
                <w:szCs w:val="20"/>
                <w:lang w:val="sq-AL"/>
              </w:rPr>
              <w:t>51.9</w:t>
            </w:r>
          </w:p>
        </w:tc>
      </w:tr>
      <w:tr w:rsidR="00754769" w:rsidRPr="00754769" w:rsidTr="00754769">
        <w:trPr>
          <w:trHeight w:val="251"/>
          <w:jc w:val="center"/>
        </w:trPr>
        <w:tc>
          <w:tcPr>
            <w:cnfStyle w:val="001000000000" w:firstRow="0" w:lastRow="0" w:firstColumn="1" w:lastColumn="0" w:oddVBand="0" w:evenVBand="0" w:oddHBand="0" w:evenHBand="0" w:firstRowFirstColumn="0" w:firstRowLastColumn="0" w:lastRowFirstColumn="0" w:lastRowLastColumn="0"/>
            <w:tcW w:w="3246" w:type="pct"/>
            <w:noWrap/>
            <w:hideMark/>
          </w:tcPr>
          <w:p w:rsidR="00754769" w:rsidRPr="00754769" w:rsidRDefault="00754769" w:rsidP="00F90F81">
            <w:pPr>
              <w:spacing w:before="0" w:line="240" w:lineRule="auto"/>
              <w:rPr>
                <w:rFonts w:cs="Calibri"/>
                <w:sz w:val="18"/>
                <w:szCs w:val="20"/>
                <w:lang w:val="sq-AL"/>
              </w:rPr>
            </w:pPr>
            <w:r w:rsidRPr="00754769">
              <w:rPr>
                <w:rFonts w:cs="Calibri"/>
                <w:b w:val="0"/>
                <w:sz w:val="18"/>
                <w:szCs w:val="20"/>
                <w:lang w:val="sq-AL"/>
              </w:rPr>
              <w:t>Mali i ZI</w:t>
            </w:r>
          </w:p>
        </w:tc>
        <w:tc>
          <w:tcPr>
            <w:tcW w:w="879" w:type="pct"/>
            <w:noWrap/>
            <w:hideMark/>
          </w:tcPr>
          <w:p w:rsidR="00754769" w:rsidRPr="00754769" w:rsidRDefault="00754769" w:rsidP="00F90F8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754769">
              <w:rPr>
                <w:rFonts w:cs="Calibri"/>
                <w:sz w:val="18"/>
                <w:szCs w:val="20"/>
                <w:lang w:val="sq-AL"/>
              </w:rPr>
              <w:t>105.3</w:t>
            </w:r>
          </w:p>
        </w:tc>
        <w:tc>
          <w:tcPr>
            <w:tcW w:w="875" w:type="pct"/>
            <w:noWrap/>
            <w:hideMark/>
          </w:tcPr>
          <w:p w:rsidR="00754769" w:rsidRPr="00754769" w:rsidRDefault="00754769" w:rsidP="00F90F8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754769">
              <w:rPr>
                <w:rFonts w:cs="Calibri"/>
                <w:sz w:val="18"/>
                <w:szCs w:val="20"/>
                <w:lang w:val="sq-AL"/>
              </w:rPr>
              <w:t>83.3</w:t>
            </w:r>
          </w:p>
        </w:tc>
      </w:tr>
      <w:tr w:rsidR="00754769" w:rsidRPr="00754769" w:rsidTr="00754769">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3246" w:type="pct"/>
            <w:noWrap/>
            <w:hideMark/>
          </w:tcPr>
          <w:p w:rsidR="00754769" w:rsidRPr="00754769" w:rsidRDefault="00754769" w:rsidP="00F90F81">
            <w:pPr>
              <w:spacing w:before="0" w:line="240" w:lineRule="auto"/>
              <w:rPr>
                <w:rFonts w:cs="Calibri"/>
                <w:sz w:val="18"/>
                <w:szCs w:val="20"/>
                <w:lang w:val="sq-AL"/>
              </w:rPr>
            </w:pPr>
            <w:r w:rsidRPr="00754769">
              <w:rPr>
                <w:rFonts w:cs="Calibri"/>
                <w:b w:val="0"/>
                <w:sz w:val="18"/>
                <w:szCs w:val="20"/>
                <w:lang w:val="sq-AL"/>
              </w:rPr>
              <w:t>Serbia</w:t>
            </w:r>
          </w:p>
        </w:tc>
        <w:tc>
          <w:tcPr>
            <w:tcW w:w="879" w:type="pct"/>
            <w:noWrap/>
            <w:hideMark/>
          </w:tcPr>
          <w:p w:rsidR="00754769" w:rsidRPr="00754769" w:rsidRDefault="00754769" w:rsidP="00F90F8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20"/>
                <w:lang w:val="sq-AL"/>
              </w:rPr>
            </w:pPr>
            <w:r w:rsidRPr="00754769">
              <w:rPr>
                <w:rFonts w:cs="Calibri"/>
                <w:sz w:val="18"/>
                <w:szCs w:val="20"/>
                <w:lang w:val="sq-AL"/>
              </w:rPr>
              <w:t>57.0</w:t>
            </w:r>
          </w:p>
        </w:tc>
        <w:tc>
          <w:tcPr>
            <w:tcW w:w="875" w:type="pct"/>
            <w:noWrap/>
            <w:hideMark/>
          </w:tcPr>
          <w:p w:rsidR="00754769" w:rsidRPr="00754769" w:rsidRDefault="00754769" w:rsidP="00F90F8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20"/>
                <w:lang w:val="sq-AL"/>
              </w:rPr>
            </w:pPr>
            <w:r w:rsidRPr="00754769">
              <w:rPr>
                <w:rFonts w:cs="Calibri"/>
                <w:sz w:val="18"/>
                <w:szCs w:val="20"/>
                <w:lang w:val="sq-AL"/>
              </w:rPr>
              <w:t>56.5</w:t>
            </w:r>
          </w:p>
        </w:tc>
      </w:tr>
      <w:tr w:rsidR="00754769" w:rsidRPr="00754769" w:rsidTr="00754769">
        <w:trPr>
          <w:trHeight w:val="251"/>
          <w:jc w:val="center"/>
        </w:trPr>
        <w:tc>
          <w:tcPr>
            <w:cnfStyle w:val="001000000000" w:firstRow="0" w:lastRow="0" w:firstColumn="1" w:lastColumn="0" w:oddVBand="0" w:evenVBand="0" w:oddHBand="0" w:evenHBand="0" w:firstRowFirstColumn="0" w:firstRowLastColumn="0" w:lastRowFirstColumn="0" w:lastRowLastColumn="0"/>
            <w:tcW w:w="3246" w:type="pct"/>
            <w:noWrap/>
            <w:hideMark/>
          </w:tcPr>
          <w:p w:rsidR="00754769" w:rsidRPr="00754769" w:rsidRDefault="00754769" w:rsidP="00F90F81">
            <w:pPr>
              <w:spacing w:before="0" w:line="240" w:lineRule="auto"/>
              <w:rPr>
                <w:rFonts w:cs="Calibri"/>
                <w:sz w:val="19"/>
                <w:szCs w:val="19"/>
                <w:lang w:val="sq-AL"/>
              </w:rPr>
            </w:pPr>
            <w:r w:rsidRPr="00754769">
              <w:rPr>
                <w:rFonts w:cs="Calibri"/>
                <w:sz w:val="19"/>
                <w:szCs w:val="19"/>
                <w:lang w:val="sq-AL"/>
              </w:rPr>
              <w:t>Shqipëria</w:t>
            </w:r>
          </w:p>
        </w:tc>
        <w:tc>
          <w:tcPr>
            <w:tcW w:w="879" w:type="pct"/>
            <w:noWrap/>
            <w:hideMark/>
          </w:tcPr>
          <w:p w:rsidR="00754769" w:rsidRPr="00754769" w:rsidRDefault="00754769" w:rsidP="00F90F8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19"/>
                <w:szCs w:val="19"/>
                <w:lang w:val="sq-AL"/>
              </w:rPr>
            </w:pPr>
            <w:r w:rsidRPr="00754769">
              <w:rPr>
                <w:rFonts w:cs="Calibri"/>
                <w:b/>
                <w:sz w:val="19"/>
                <w:szCs w:val="19"/>
                <w:lang w:val="sq-AL"/>
              </w:rPr>
              <w:t>74.5</w:t>
            </w:r>
          </w:p>
        </w:tc>
        <w:tc>
          <w:tcPr>
            <w:tcW w:w="875" w:type="pct"/>
            <w:noWrap/>
            <w:hideMark/>
          </w:tcPr>
          <w:p w:rsidR="00754769" w:rsidRPr="00754769" w:rsidRDefault="00754769" w:rsidP="00F90F8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19"/>
                <w:szCs w:val="19"/>
                <w:lang w:val="sq-AL"/>
              </w:rPr>
            </w:pPr>
            <w:r w:rsidRPr="00754769">
              <w:rPr>
                <w:rFonts w:cs="Calibri"/>
                <w:b/>
                <w:sz w:val="19"/>
                <w:szCs w:val="19"/>
                <w:lang w:val="sq-AL"/>
              </w:rPr>
              <w:t>73.2</w:t>
            </w:r>
          </w:p>
        </w:tc>
      </w:tr>
      <w:tr w:rsidR="00754769" w:rsidRPr="00754769" w:rsidTr="00754769">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3246" w:type="pct"/>
            <w:noWrap/>
            <w:hideMark/>
          </w:tcPr>
          <w:p w:rsidR="00754769" w:rsidRPr="00754769" w:rsidRDefault="00754769" w:rsidP="00F90F81">
            <w:pPr>
              <w:spacing w:before="0" w:line="240" w:lineRule="auto"/>
              <w:rPr>
                <w:rFonts w:cs="Calibri"/>
                <w:sz w:val="18"/>
                <w:szCs w:val="20"/>
                <w:lang w:val="sq-AL"/>
              </w:rPr>
            </w:pPr>
            <w:r w:rsidRPr="00754769">
              <w:rPr>
                <w:rFonts w:cs="Calibri"/>
                <w:b w:val="0"/>
                <w:sz w:val="18"/>
                <w:szCs w:val="20"/>
                <w:lang w:val="sq-AL"/>
              </w:rPr>
              <w:t>Bosnja dhe Hercegovina</w:t>
            </w:r>
          </w:p>
        </w:tc>
        <w:tc>
          <w:tcPr>
            <w:tcW w:w="879" w:type="pct"/>
            <w:noWrap/>
            <w:hideMark/>
          </w:tcPr>
          <w:p w:rsidR="00754769" w:rsidRPr="00754769" w:rsidRDefault="00754769" w:rsidP="00F90F8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20"/>
                <w:lang w:val="sq-AL"/>
              </w:rPr>
            </w:pPr>
            <w:r w:rsidRPr="00754769">
              <w:rPr>
                <w:rFonts w:cs="Calibri"/>
                <w:sz w:val="18"/>
                <w:szCs w:val="20"/>
                <w:lang w:val="sq-AL"/>
              </w:rPr>
              <w:t>36.6</w:t>
            </w:r>
          </w:p>
        </w:tc>
        <w:tc>
          <w:tcPr>
            <w:tcW w:w="875" w:type="pct"/>
            <w:noWrap/>
            <w:hideMark/>
          </w:tcPr>
          <w:p w:rsidR="00754769" w:rsidRPr="00754769" w:rsidRDefault="00754769" w:rsidP="00F90F8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20"/>
                <w:lang w:val="sq-AL"/>
              </w:rPr>
            </w:pPr>
            <w:r w:rsidRPr="00754769">
              <w:rPr>
                <w:rFonts w:cs="Calibri"/>
                <w:sz w:val="18"/>
                <w:szCs w:val="20"/>
                <w:lang w:val="sq-AL"/>
              </w:rPr>
              <w:t>35.5</w:t>
            </w:r>
          </w:p>
        </w:tc>
      </w:tr>
      <w:tr w:rsidR="00754769" w:rsidRPr="00754769" w:rsidTr="00754769">
        <w:trPr>
          <w:trHeight w:val="263"/>
          <w:jc w:val="center"/>
        </w:trPr>
        <w:tc>
          <w:tcPr>
            <w:cnfStyle w:val="001000000000" w:firstRow="0" w:lastRow="0" w:firstColumn="1" w:lastColumn="0" w:oddVBand="0" w:evenVBand="0" w:oddHBand="0" w:evenHBand="0" w:firstRowFirstColumn="0" w:firstRowLastColumn="0" w:lastRowFirstColumn="0" w:lastRowLastColumn="0"/>
            <w:tcW w:w="3246" w:type="pct"/>
            <w:noWrap/>
            <w:hideMark/>
          </w:tcPr>
          <w:p w:rsidR="00754769" w:rsidRPr="00754769" w:rsidRDefault="00754769" w:rsidP="00F90F81">
            <w:pPr>
              <w:spacing w:before="0" w:line="240" w:lineRule="auto"/>
              <w:rPr>
                <w:rFonts w:cs="Calibri"/>
                <w:sz w:val="18"/>
                <w:szCs w:val="20"/>
                <w:lang w:val="sq-AL"/>
              </w:rPr>
            </w:pPr>
            <w:r w:rsidRPr="00754769">
              <w:rPr>
                <w:rFonts w:cs="Calibri"/>
                <w:b w:val="0"/>
                <w:sz w:val="18"/>
                <w:szCs w:val="20"/>
                <w:lang w:val="sq-AL"/>
              </w:rPr>
              <w:t>Kosova</w:t>
            </w:r>
          </w:p>
        </w:tc>
        <w:tc>
          <w:tcPr>
            <w:tcW w:w="879" w:type="pct"/>
            <w:noWrap/>
            <w:hideMark/>
          </w:tcPr>
          <w:p w:rsidR="00754769" w:rsidRPr="00754769" w:rsidRDefault="00754769" w:rsidP="00F90F8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754769">
              <w:rPr>
                <w:rFonts w:cs="Calibri"/>
                <w:sz w:val="18"/>
                <w:szCs w:val="20"/>
                <w:lang w:val="sq-AL"/>
              </w:rPr>
              <w:t>22.4</w:t>
            </w:r>
          </w:p>
        </w:tc>
        <w:tc>
          <w:tcPr>
            <w:tcW w:w="875" w:type="pct"/>
            <w:noWrap/>
            <w:hideMark/>
          </w:tcPr>
          <w:p w:rsidR="00754769" w:rsidRPr="00754769" w:rsidRDefault="00754769" w:rsidP="00F90F8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754769">
              <w:rPr>
                <w:rFonts w:cs="Calibri"/>
                <w:sz w:val="18"/>
                <w:szCs w:val="20"/>
                <w:lang w:val="sq-AL"/>
              </w:rPr>
              <w:t>23.3</w:t>
            </w:r>
          </w:p>
        </w:tc>
      </w:tr>
    </w:tbl>
    <w:p w:rsidR="00A664DE" w:rsidRPr="00476D2E" w:rsidRDefault="00A664DE" w:rsidP="00F1402E">
      <w:pPr>
        <w:spacing w:before="0" w:line="240" w:lineRule="auto"/>
        <w:ind w:firstLine="357"/>
        <w:rPr>
          <w:rFonts w:cs="Calibri"/>
          <w:i/>
          <w:sz w:val="18"/>
          <w:szCs w:val="18"/>
          <w:lang w:val="sq-AL"/>
        </w:rPr>
      </w:pPr>
      <w:r w:rsidRPr="00476D2E">
        <w:rPr>
          <w:rFonts w:cs="Calibri"/>
          <w:i/>
          <w:sz w:val="18"/>
          <w:szCs w:val="18"/>
          <w:lang w:val="sq-AL"/>
        </w:rPr>
        <w:t>Burimi: Directorate-General for Economic and Financial Affairs (DG-ECFIN)</w:t>
      </w:r>
    </w:p>
    <w:p w:rsidR="001779A0" w:rsidRPr="00F21132" w:rsidRDefault="008B6B58" w:rsidP="001779A0">
      <w:pPr>
        <w:pStyle w:val="Fiskale1"/>
        <w:spacing w:after="240"/>
        <w:ind w:left="714" w:hanging="357"/>
        <w:rPr>
          <w:rFonts w:ascii="Calibri" w:hAnsi="Calibri" w:cs="Calibri"/>
        </w:rPr>
      </w:pPr>
      <w:bookmarkStart w:id="28" w:name="_Toc10033260"/>
      <w:bookmarkStart w:id="29" w:name="_Toc10721397"/>
      <w:bookmarkStart w:id="30" w:name="_Toc104980316"/>
      <w:r w:rsidRPr="00F21132">
        <w:rPr>
          <w:rFonts w:ascii="Calibri" w:hAnsi="Calibri" w:cs="Calibri"/>
        </w:rPr>
        <w:lastRenderedPageBreak/>
        <w:t>POLITIKAT FISKALE DHE REZULTATI I MBLEDHJES SË TË ARDHURAVE</w:t>
      </w:r>
      <w:bookmarkEnd w:id="28"/>
      <w:bookmarkEnd w:id="29"/>
      <w:bookmarkEnd w:id="30"/>
      <w:r w:rsidR="003560F2" w:rsidRPr="00F21132">
        <w:rPr>
          <w:rFonts w:ascii="Calibri" w:hAnsi="Calibri" w:cs="Calibri"/>
        </w:rPr>
        <w:t xml:space="preserve"> </w:t>
      </w:r>
    </w:p>
    <w:p w:rsidR="00453DA8" w:rsidRPr="00476D2E" w:rsidRDefault="00636D95" w:rsidP="00B77671">
      <w:pPr>
        <w:pStyle w:val="Fiskale2"/>
        <w:rPr>
          <w:rFonts w:ascii="Calibri" w:hAnsi="Calibri" w:cs="Calibri"/>
        </w:rPr>
      </w:pPr>
      <w:bookmarkStart w:id="31" w:name="_Toc515271227"/>
      <w:bookmarkStart w:id="32" w:name="_Toc10033261"/>
      <w:bookmarkStart w:id="33" w:name="_Toc10721398"/>
      <w:bookmarkStart w:id="34" w:name="_Toc104980317"/>
      <w:r w:rsidRPr="00476D2E">
        <w:rPr>
          <w:rFonts w:ascii="Calibri" w:hAnsi="Calibri" w:cs="Calibri"/>
        </w:rPr>
        <w:t xml:space="preserve">Politika </w:t>
      </w:r>
      <w:r w:rsidR="00453DA8" w:rsidRPr="00476D2E">
        <w:rPr>
          <w:rFonts w:ascii="Calibri" w:hAnsi="Calibri" w:cs="Calibri"/>
        </w:rPr>
        <w:t xml:space="preserve">fiskale në vitin </w:t>
      </w:r>
      <w:r w:rsidR="0033564E" w:rsidRPr="00476D2E">
        <w:rPr>
          <w:rFonts w:ascii="Calibri" w:hAnsi="Calibri" w:cs="Calibri"/>
        </w:rPr>
        <w:t>202</w:t>
      </w:r>
      <w:r w:rsidR="00AF230B">
        <w:rPr>
          <w:rFonts w:ascii="Calibri" w:hAnsi="Calibri" w:cs="Calibri"/>
        </w:rPr>
        <w:t>1</w:t>
      </w:r>
      <w:r w:rsidR="0033564E" w:rsidRPr="00476D2E">
        <w:rPr>
          <w:rFonts w:ascii="Calibri" w:hAnsi="Calibri" w:cs="Calibri"/>
        </w:rPr>
        <w:t xml:space="preserve"> </w:t>
      </w:r>
      <w:r w:rsidR="00453DA8" w:rsidRPr="00476D2E">
        <w:rPr>
          <w:rFonts w:ascii="Calibri" w:hAnsi="Calibri" w:cs="Calibri"/>
        </w:rPr>
        <w:t>dhe efektet në buxhet e në ekonomi</w:t>
      </w:r>
      <w:bookmarkEnd w:id="31"/>
      <w:bookmarkEnd w:id="32"/>
      <w:bookmarkEnd w:id="33"/>
      <w:bookmarkEnd w:id="34"/>
    </w:p>
    <w:p w:rsidR="00AD14BF" w:rsidRDefault="00214036" w:rsidP="00AA33B8">
      <w:pPr>
        <w:spacing w:line="240" w:lineRule="auto"/>
      </w:pPr>
      <w:r w:rsidRPr="00AF230B">
        <w:t>Politika fiskale në vitin 2021 ka vijuar të synojë rim]kembjen e skonomisë, duke siguruar një sistem taksimi të drejtë, të balancuar dhe që nxit produktivitetin dhe qëndrueshmërinë afatgjatë të ekonomisë. Ndryshimet në paketën fiskale 2021 synuan përgjithësisht korrektime në elementë të veçantë tatimesh dhe taksash, si tatimi mbi vlerën e shtuar, tatimi mbi të ardhurat dhe taksat vendore. Qëllimi i paketës fiskale ka për objekt harmonizimin e dispozitave përkatëse të ligjit për tatimin mbi vlerën e shtuar që lidhen me faturimin me përcaktimet e ligjit për faturën dhe sistemin e monitorimit të qarkullimit, thjeshtimin e procedurave dhe mbështetjen e biznesit dhe sektorëve të ndryshëm të ekonomisë me synim përballimin e vështirësive të mëdha të shkaktuara nga pandemia globale COVID-19, si dhe të pasojave të shkaktuara nga tërmeti i Nëntorit 2019,  duke synuar rritjen e konkurrueshmërisë dhe atë ekonomike. Ndry</w:t>
      </w:r>
      <w:r>
        <w:t>shimet kryesore paraqiten si më</w:t>
      </w:r>
      <w:r w:rsidRPr="00AF230B">
        <w:t>poshtë</w:t>
      </w:r>
      <w:r w:rsidR="00AF230B" w:rsidRPr="00AF230B">
        <w:t>:</w:t>
      </w:r>
    </w:p>
    <w:p w:rsidR="00AA33B8" w:rsidRPr="00AA33B8" w:rsidRDefault="00AA33B8" w:rsidP="00AA33B8">
      <w:pPr>
        <w:spacing w:line="240" w:lineRule="auto"/>
        <w:rPr>
          <w:rFonts w:cs="Calibri"/>
          <w:sz w:val="4"/>
          <w:szCs w:val="12"/>
          <w:lang w:val="sq-AL" w:eastAsia="x-none"/>
        </w:rPr>
      </w:pPr>
    </w:p>
    <w:p w:rsidR="00453DA8" w:rsidRPr="00476D2E" w:rsidRDefault="00453DA8" w:rsidP="008A03FF">
      <w:pPr>
        <w:pStyle w:val="fiskale3"/>
        <w:rPr>
          <w:rFonts w:ascii="Calibri" w:hAnsi="Calibri" w:cs="Calibri"/>
        </w:rPr>
      </w:pPr>
      <w:bookmarkStart w:id="35" w:name="_Toc10033262"/>
      <w:bookmarkStart w:id="36" w:name="_Toc10721399"/>
      <w:bookmarkStart w:id="37" w:name="_Toc104980318"/>
      <w:r w:rsidRPr="00476D2E">
        <w:rPr>
          <w:rFonts w:ascii="Calibri" w:hAnsi="Calibri" w:cs="Calibri"/>
        </w:rPr>
        <w:t>Tatimi mbi Vlerën e Shtuar</w:t>
      </w:r>
      <w:bookmarkEnd w:id="35"/>
      <w:bookmarkEnd w:id="36"/>
      <w:bookmarkEnd w:id="37"/>
    </w:p>
    <w:p w:rsidR="00214036" w:rsidRPr="00094B59" w:rsidRDefault="00214036" w:rsidP="00214036">
      <w:pPr>
        <w:spacing w:before="0"/>
        <w:contextualSpacing/>
        <w:rPr>
          <w:rFonts w:cs="Calibri"/>
          <w:iCs/>
          <w:lang w:val="sq-AL" w:eastAsia="x-none"/>
        </w:rPr>
      </w:pPr>
      <w:r w:rsidRPr="00094B59">
        <w:rPr>
          <w:rFonts w:cs="Calibri"/>
          <w:iCs/>
          <w:lang w:val="sq-AL" w:eastAsia="x-none"/>
        </w:rPr>
        <w:t>Shkalla e reduktuar e TVSH-së prej 6% për furnizimin e shërbimit të punimeve të ndërtimit për investimet shtetërore të klubeve sportive/federatave sportive apo për investimet e subjekteve private në infrastrukturën sportive, u miratua me ligjin nr. 123/2020 dhe hyri në fuqi më 1 janar 2021. Trajtimi me shkallë të reduktuar i këtij furnizimi synon nxitjen dhe lehtësimin e investimeve në infrastrukturën sportive, me qëllim mbështetjen dhe rritjen e ndikimit</w:t>
      </w:r>
      <w:r>
        <w:rPr>
          <w:rFonts w:cs="Calibri"/>
          <w:iCs/>
          <w:lang w:val="sq-AL" w:eastAsia="x-none"/>
        </w:rPr>
        <w:t xml:space="preserve"> pozitiv të sportit në shoqëri. </w:t>
      </w:r>
      <w:r w:rsidRPr="00094B59">
        <w:rPr>
          <w:rFonts w:cs="Calibri"/>
          <w:iCs/>
          <w:lang w:val="sq-AL" w:eastAsia="x-none"/>
        </w:rPr>
        <w:t>Nga 1 janari 2021, kufiri minimal i regjistrimit për TVSH-në u caktua qarkullimi vjetor prej 10 milionë lekë në një vit kalendarik (nga 2 milionë lekë/vit më parë). Si rezultat, në vendin tonë zbatohet një kufi minimal i regjistrimit për TVSH-në i unifiku</w:t>
      </w:r>
      <w:r>
        <w:rPr>
          <w:rFonts w:cs="Calibri"/>
          <w:iCs/>
          <w:lang w:val="sq-AL" w:eastAsia="x-none"/>
        </w:rPr>
        <w:t xml:space="preserve">ar për të gjithë tatimpaguesit. </w:t>
      </w:r>
      <w:r w:rsidRPr="00094B59">
        <w:rPr>
          <w:rFonts w:cs="Calibri"/>
          <w:iCs/>
          <w:lang w:val="sq-AL" w:eastAsia="x-none"/>
        </w:rPr>
        <w:t>Ndërkohë, gjatë vitit 202</w:t>
      </w:r>
      <w:r>
        <w:rPr>
          <w:rFonts w:cs="Calibri"/>
          <w:iCs/>
          <w:lang w:val="sq-AL" w:eastAsia="x-none"/>
        </w:rPr>
        <w:t>1 është miratuar edhe Ligji nr.</w:t>
      </w:r>
      <w:r w:rsidRPr="00094B59">
        <w:rPr>
          <w:rFonts w:cs="Calibri"/>
          <w:iCs/>
          <w:lang w:val="sq-AL" w:eastAsia="x-none"/>
        </w:rPr>
        <w:t>111/2021 “Për disa shtesa dhe ndryshime në ligjin nr. 92/2014 “Për tatimin mbi vlerën e shtuar në Republikën e Shqipërisë”, të ndryshuar, i cili hyn në fuqi në janar 2022 dhe parashikon si vijon:</w:t>
      </w:r>
    </w:p>
    <w:p w:rsidR="00214036" w:rsidRPr="00372C43" w:rsidRDefault="00214036" w:rsidP="00842F80">
      <w:pPr>
        <w:pStyle w:val="ListParagraph"/>
        <w:numPr>
          <w:ilvl w:val="0"/>
          <w:numId w:val="16"/>
        </w:numPr>
        <w:spacing w:before="0" w:line="240" w:lineRule="auto"/>
        <w:ind w:left="540"/>
        <w:rPr>
          <w:rFonts w:cs="Calibri"/>
          <w:i/>
          <w:iCs/>
          <w:lang w:val="sq-AL" w:eastAsia="x-none"/>
        </w:rPr>
      </w:pPr>
      <w:r w:rsidRPr="00372C43">
        <w:rPr>
          <w:rFonts w:cs="Calibri"/>
          <w:i/>
          <w:iCs/>
          <w:lang w:val="sq-AL" w:eastAsia="x-none"/>
        </w:rPr>
        <w:t xml:space="preserve">Furnizimi i inputeve bujqësore, ku përfshihen plehrat kimike, pesticidet, farat dhe fidanët, me përjashtim të hormoneve të klasifikuara në kodet 2937 të Nomenklaturës së Kombinuar të Mallrave, do të trajtohen me shkallë të reduktuar të Tatimit mbi Vlerën e Shtuar prej 10 </w:t>
      </w:r>
      <w:r w:rsidR="008961B4">
        <w:rPr>
          <w:rFonts w:cs="Calibri"/>
          <w:i/>
          <w:iCs/>
          <w:lang w:val="sq-AL" w:eastAsia="x-none"/>
        </w:rPr>
        <w:t>përqind</w:t>
      </w:r>
      <w:r w:rsidRPr="00372C43">
        <w:rPr>
          <w:rFonts w:cs="Calibri"/>
          <w:i/>
          <w:iCs/>
          <w:lang w:val="sq-AL" w:eastAsia="x-none"/>
        </w:rPr>
        <w:t>.</w:t>
      </w:r>
    </w:p>
    <w:p w:rsidR="00214036" w:rsidRPr="00372C43" w:rsidRDefault="00214036" w:rsidP="00842F80">
      <w:pPr>
        <w:pStyle w:val="ListParagraph"/>
        <w:numPr>
          <w:ilvl w:val="0"/>
          <w:numId w:val="16"/>
        </w:numPr>
        <w:spacing w:before="0" w:line="240" w:lineRule="auto"/>
        <w:ind w:left="540"/>
        <w:rPr>
          <w:rFonts w:cs="Calibri"/>
          <w:i/>
          <w:iCs/>
          <w:lang w:val="sq-AL" w:eastAsia="x-none"/>
        </w:rPr>
      </w:pPr>
      <w:r w:rsidRPr="00372C43">
        <w:rPr>
          <w:rFonts w:cs="Calibri"/>
          <w:i/>
          <w:iCs/>
          <w:lang w:val="sq-AL" w:eastAsia="x-none"/>
        </w:rPr>
        <w:t>Me qëllim tërheqjen e investitorëve strategjikë me vlera të konsiderueshme investimi, vlera e kontratave të investimit për zbatimin e të cilave importohen makineri dhe pajisje të përjashtuara nga TVSH-ja, bëhet 500 milionë lekë (nga 50 milionë lekë).</w:t>
      </w:r>
    </w:p>
    <w:p w:rsidR="00214036" w:rsidRPr="00372C43" w:rsidRDefault="00214036" w:rsidP="00842F80">
      <w:pPr>
        <w:pStyle w:val="ListParagraph"/>
        <w:numPr>
          <w:ilvl w:val="0"/>
          <w:numId w:val="16"/>
        </w:numPr>
        <w:spacing w:before="0" w:line="240" w:lineRule="auto"/>
        <w:ind w:left="540"/>
        <w:rPr>
          <w:rFonts w:cs="Calibri"/>
          <w:i/>
          <w:iCs/>
          <w:lang w:val="sq-AL" w:eastAsia="x-none"/>
        </w:rPr>
      </w:pPr>
      <w:r w:rsidRPr="00372C43">
        <w:rPr>
          <w:rFonts w:cs="Calibri"/>
          <w:i/>
          <w:iCs/>
          <w:lang w:val="sq-AL" w:eastAsia="x-none"/>
        </w:rPr>
        <w:t>Shfuqizimin e përjashtimit nga TVSH-ja në import, për importin e makinerive prodhuese nga subjektet e tatimit të thjeshtuar mbi fitimin.</w:t>
      </w:r>
    </w:p>
    <w:p w:rsidR="00A44495" w:rsidRPr="00372C43" w:rsidRDefault="00214036" w:rsidP="00842F80">
      <w:pPr>
        <w:pStyle w:val="ListParagraph"/>
        <w:numPr>
          <w:ilvl w:val="0"/>
          <w:numId w:val="16"/>
        </w:numPr>
        <w:spacing w:before="0" w:line="240" w:lineRule="auto"/>
        <w:ind w:left="540"/>
        <w:rPr>
          <w:rFonts w:cs="Calibri"/>
          <w:i/>
          <w:iCs/>
          <w:lang w:val="sq-AL" w:eastAsia="x-none"/>
        </w:rPr>
      </w:pPr>
      <w:r w:rsidRPr="00372C43">
        <w:rPr>
          <w:rFonts w:cs="Calibri"/>
          <w:i/>
          <w:iCs/>
          <w:lang w:val="sq-AL" w:eastAsia="x-none"/>
        </w:rPr>
        <w:t xml:space="preserve">Ndryshimi i normës së kompensimit të prodhuesve bujqësor prej 6 </w:t>
      </w:r>
      <w:r w:rsidR="008961B4">
        <w:rPr>
          <w:rFonts w:cs="Calibri"/>
          <w:i/>
          <w:iCs/>
          <w:lang w:val="sq-AL" w:eastAsia="x-none"/>
        </w:rPr>
        <w:t>përqind</w:t>
      </w:r>
      <w:r w:rsidRPr="00372C43">
        <w:rPr>
          <w:rFonts w:cs="Calibri"/>
          <w:i/>
          <w:iCs/>
          <w:lang w:val="sq-AL" w:eastAsia="x-none"/>
        </w:rPr>
        <w:t xml:space="preserve">, në 0 </w:t>
      </w:r>
      <w:r w:rsidR="008961B4">
        <w:rPr>
          <w:rFonts w:cs="Calibri"/>
          <w:i/>
          <w:iCs/>
          <w:lang w:val="sq-AL" w:eastAsia="x-none"/>
        </w:rPr>
        <w:t>përqind</w:t>
      </w:r>
      <w:r w:rsidRPr="00372C43">
        <w:rPr>
          <w:rFonts w:cs="Calibri"/>
          <w:i/>
          <w:iCs/>
          <w:lang w:val="sq-AL" w:eastAsia="x-none"/>
        </w:rPr>
        <w:t>¸ me qëllim zëvendësimin e saj me subvencionim direkt të sektorit të bujqësisë nga ministria përgjegjëse për bujqësinë</w:t>
      </w:r>
      <w:r w:rsidR="00372C43" w:rsidRPr="00372C43">
        <w:rPr>
          <w:rFonts w:cs="Calibri"/>
          <w:i/>
          <w:iCs/>
          <w:lang w:val="sq-AL" w:eastAsia="x-none"/>
        </w:rPr>
        <w:t>.</w:t>
      </w:r>
    </w:p>
    <w:p w:rsidR="00AD14BF" w:rsidRPr="00AA33B8" w:rsidRDefault="00AD14BF" w:rsidP="00AD14BF">
      <w:pPr>
        <w:rPr>
          <w:rFonts w:cs="Calibri"/>
          <w:sz w:val="8"/>
          <w:lang w:val="sq-AL" w:eastAsia="x-none"/>
        </w:rPr>
      </w:pPr>
    </w:p>
    <w:p w:rsidR="00453DA8" w:rsidRPr="00476D2E" w:rsidRDefault="00453DA8" w:rsidP="008A03FF">
      <w:pPr>
        <w:pStyle w:val="fiskale3"/>
        <w:rPr>
          <w:rFonts w:ascii="Calibri" w:hAnsi="Calibri" w:cs="Calibri"/>
        </w:rPr>
      </w:pPr>
      <w:bookmarkStart w:id="38" w:name="_Toc10033263"/>
      <w:bookmarkStart w:id="39" w:name="_Toc10721400"/>
      <w:bookmarkStart w:id="40" w:name="_Toc104980319"/>
      <w:r w:rsidRPr="00476D2E">
        <w:rPr>
          <w:rFonts w:ascii="Calibri" w:hAnsi="Calibri" w:cs="Calibri"/>
        </w:rPr>
        <w:t>Tatimi mbi të Ardhurat</w:t>
      </w:r>
      <w:bookmarkEnd w:id="38"/>
      <w:bookmarkEnd w:id="39"/>
      <w:bookmarkEnd w:id="40"/>
    </w:p>
    <w:p w:rsidR="00A44495" w:rsidRPr="00AA33B8" w:rsidRDefault="00214036" w:rsidP="00AA33B8">
      <w:pPr>
        <w:spacing w:before="0"/>
        <w:rPr>
          <w:rFonts w:cs="Calibri"/>
          <w:lang w:val="sq-AL" w:eastAsia="x-none"/>
        </w:rPr>
      </w:pPr>
      <w:bookmarkStart w:id="41" w:name="_Toc10033264"/>
      <w:bookmarkStart w:id="42" w:name="_Toc10721401"/>
      <w:r w:rsidRPr="00372C43">
        <w:rPr>
          <w:rFonts w:cs="Calibri"/>
          <w:lang w:val="sq-AL" w:eastAsia="x-none"/>
        </w:rPr>
        <w:t>Me Paketën Fiskale të vitit 2021, u miratua skema e re e tatimit të të ardhurave personale nga punësimi. Nga 1 Prilli 2022, hyri në fuqi rritja e pagës dysheme të patatueshme, për të ardhurat nga paga në intervalin nga 30,001 lekë/muaj deri në 40,000 lekë/muaj. Për këtë interval pagash, tatimi që do të paguhet mbi të ardhurat nga paga është 0%, duke mundësuar që çdo qytetar që siguron më pak të ardhura, të mos paguajë t</w:t>
      </w:r>
      <w:r>
        <w:rPr>
          <w:rFonts w:cs="Calibri"/>
          <w:lang w:val="sq-AL" w:eastAsia="x-none"/>
        </w:rPr>
        <w:t xml:space="preserve">atim mbi të ardhurat nga paga. </w:t>
      </w:r>
      <w:r w:rsidRPr="00372C43">
        <w:rPr>
          <w:rFonts w:cs="Calibri"/>
          <w:lang w:val="sq-AL" w:eastAsia="x-none"/>
        </w:rPr>
        <w:t>Gjithashtu, u bë reduktimi i normës tatimore me 50% për tatimpaguesit me të ardhura nga paga nga 40,001 lekë/muaj deri në 50,000 lekë/muaj. Këta tatimpagues do paguajnë 0% tatim deri në shumën 30,000 lekë të ardhura mujore nga paga, dhe mbi këtë shumë do paguajnë gjysmën e normës tatimore e cila është 13% (pra 50%*13%). Kjo siguron që qytetarët me më pak të ardhura, të paguajnë tatim më të ulët mbi të ardhurat nga paga.</w:t>
      </w:r>
      <w:r>
        <w:rPr>
          <w:rFonts w:cs="Calibri"/>
          <w:lang w:val="sq-AL" w:eastAsia="x-none"/>
        </w:rPr>
        <w:t xml:space="preserve"> </w:t>
      </w:r>
      <w:r w:rsidRPr="00372C43">
        <w:rPr>
          <w:rFonts w:cs="Calibri"/>
          <w:lang w:val="sq-AL" w:eastAsia="x-none"/>
        </w:rPr>
        <w:t>Skema e re gjithashtu  rishikoi fashën e sipërme të taksimit progresiv. Tatimi 23% parashikohet të ﬁllojë të aplikohet në pagat mbi 200,000 lekë/muaj, nga 150,000 lekë/muaj që është aktualisht</w:t>
      </w:r>
      <w:r w:rsidR="002D3766" w:rsidRPr="00476D2E">
        <w:rPr>
          <w:rFonts w:cs="Calibri"/>
          <w:iCs/>
          <w:lang w:val="sq-AL" w:eastAsia="x-none"/>
        </w:rPr>
        <w:t>.</w:t>
      </w:r>
    </w:p>
    <w:p w:rsidR="00453DA8" w:rsidRPr="00476D2E" w:rsidRDefault="00453DA8" w:rsidP="008A03FF">
      <w:pPr>
        <w:pStyle w:val="fiskale3"/>
        <w:rPr>
          <w:rFonts w:ascii="Calibri" w:hAnsi="Calibri" w:cs="Calibri"/>
        </w:rPr>
      </w:pPr>
      <w:bookmarkStart w:id="43" w:name="_Toc104980320"/>
      <w:r w:rsidRPr="00476D2E">
        <w:rPr>
          <w:rFonts w:ascii="Calibri" w:hAnsi="Calibri" w:cs="Calibri"/>
        </w:rPr>
        <w:lastRenderedPageBreak/>
        <w:t>Akciza</w:t>
      </w:r>
      <w:bookmarkEnd w:id="41"/>
      <w:bookmarkEnd w:id="42"/>
      <w:bookmarkEnd w:id="43"/>
    </w:p>
    <w:p w:rsidR="00214036" w:rsidRPr="00094B59" w:rsidRDefault="00214036" w:rsidP="00214036">
      <w:pPr>
        <w:spacing w:before="0"/>
        <w:contextualSpacing/>
        <w:rPr>
          <w:rFonts w:cs="Calibri"/>
          <w:iCs/>
          <w:lang w:val="sq-AL" w:eastAsia="x-none"/>
        </w:rPr>
      </w:pPr>
      <w:r w:rsidRPr="00094B59">
        <w:rPr>
          <w:rFonts w:cs="Calibri"/>
          <w:iCs/>
          <w:lang w:val="sq-AL" w:eastAsia="x-none"/>
        </w:rPr>
        <w:t>Akciza e cigareve, kategoria T200 “Cigare që përmbajnë duhan”, për vitin 2021 është rritur në 6500 lekë/1000 fije nga 6250 lekë/1000 fije që ishte më parë.</w:t>
      </w:r>
    </w:p>
    <w:p w:rsidR="00214036" w:rsidRPr="00094B59" w:rsidRDefault="00214036" w:rsidP="00214036">
      <w:pPr>
        <w:contextualSpacing/>
        <w:rPr>
          <w:rFonts w:cs="Calibri"/>
          <w:iCs/>
          <w:lang w:val="sq-AL" w:eastAsia="x-none"/>
        </w:rPr>
      </w:pPr>
      <w:r w:rsidRPr="00094B59">
        <w:rPr>
          <w:rFonts w:cs="Calibri"/>
          <w:iCs/>
          <w:lang w:val="sq-AL" w:eastAsia="x-none"/>
        </w:rPr>
        <w:t>Legjislacionin në fushën e akcizave ka pësuar edhe disa ndryshime të tjera gjatë vitit 2021 të miratuara me Ligjin nr. 114/2021 “Për disa ndryshime dhe shtesa në ligjin nr. 61/2012, “Për akcizat në Republikën e Shqipërisë”, i ndryshuar. Ky ligj ka hyrë në fuqi në janar të vitit 2022, dhe parashikon:</w:t>
      </w:r>
    </w:p>
    <w:p w:rsidR="00214036" w:rsidRPr="009D524F" w:rsidRDefault="00214036" w:rsidP="00842F80">
      <w:pPr>
        <w:pStyle w:val="ListParagraph"/>
        <w:numPr>
          <w:ilvl w:val="0"/>
          <w:numId w:val="16"/>
        </w:numPr>
        <w:spacing w:before="0"/>
        <w:ind w:left="540"/>
        <w:rPr>
          <w:rFonts w:cs="Calibri"/>
          <w:i/>
          <w:iCs/>
          <w:sz w:val="21"/>
          <w:szCs w:val="21"/>
          <w:lang w:val="sq-AL" w:eastAsia="x-none"/>
        </w:rPr>
      </w:pPr>
      <w:r w:rsidRPr="009D524F">
        <w:rPr>
          <w:rFonts w:cs="Calibri"/>
          <w:i/>
          <w:iCs/>
          <w:sz w:val="21"/>
          <w:szCs w:val="21"/>
          <w:lang w:val="sq-AL" w:eastAsia="x-none"/>
        </w:rPr>
        <w:t>Detyrimin për indeksimin automatik të tarifave specifike të akcizës për të gjitha mallrat, çdo dy vjet në masën e normës zyrtare të inflacionit të shpallur nga INSTAT për dy vitet e mëparshme me përjashtim të grupit të duhaneve për të cilat është parashikuar rritje specifike në 5 vitet e ardhshme.</w:t>
      </w:r>
    </w:p>
    <w:p w:rsidR="00214036" w:rsidRPr="009D524F" w:rsidRDefault="00214036" w:rsidP="00842F80">
      <w:pPr>
        <w:pStyle w:val="ListParagraph"/>
        <w:numPr>
          <w:ilvl w:val="0"/>
          <w:numId w:val="16"/>
        </w:numPr>
        <w:ind w:left="540"/>
        <w:rPr>
          <w:rFonts w:cs="Calibri"/>
          <w:i/>
          <w:iCs/>
          <w:sz w:val="21"/>
          <w:szCs w:val="21"/>
          <w:lang w:val="sq-AL" w:eastAsia="x-none"/>
        </w:rPr>
      </w:pPr>
      <w:r w:rsidRPr="009D524F">
        <w:rPr>
          <w:rFonts w:cs="Calibri"/>
          <w:i/>
          <w:iCs/>
          <w:sz w:val="21"/>
          <w:szCs w:val="21"/>
          <w:lang w:val="sq-AL" w:eastAsia="x-none"/>
        </w:rPr>
        <w:t>Unifikimin e akcizës për “Gazet e naftës dhe hidrokarburet e tjera të gazoike”, duke filluar nga 1 korriku 2022, të gjithë konsumatorët do të kenë të njëjtin nivel taksimi si për përdorim vetjak ashtu dhe për qëllime biznesi. Pra do të aplikohet shkalla së taksimit me akcizë 6 lekë/litri, me qëllim shmangien e  mundësisë për abuzivizëm dhe mospagim të detyrimeve të akcizës.</w:t>
      </w:r>
    </w:p>
    <w:p w:rsidR="00214036" w:rsidRPr="009D524F" w:rsidRDefault="00214036" w:rsidP="00842F80">
      <w:pPr>
        <w:pStyle w:val="ListParagraph"/>
        <w:numPr>
          <w:ilvl w:val="0"/>
          <w:numId w:val="16"/>
        </w:numPr>
        <w:ind w:left="540"/>
        <w:rPr>
          <w:rFonts w:cs="Calibri"/>
          <w:i/>
          <w:iCs/>
          <w:sz w:val="21"/>
          <w:szCs w:val="21"/>
          <w:lang w:val="sq-AL" w:eastAsia="x-none"/>
        </w:rPr>
      </w:pPr>
      <w:r w:rsidRPr="009D524F">
        <w:rPr>
          <w:rFonts w:cs="Calibri"/>
          <w:i/>
          <w:iCs/>
          <w:sz w:val="21"/>
          <w:szCs w:val="21"/>
          <w:lang w:val="sq-AL" w:eastAsia="x-none"/>
        </w:rPr>
        <w:t>Heqjen e rimbursimit për lëndët djegëse të konsumuara në serat me ngrohje, për prodhimin e produkteve industriale dhe agroindustriale, të cilat përdoren për nevoja teknologjike të prodhimit të produkteve në këta sektorë [farmaceutika, tullat, çimento, birra dhe nafta bruto (rafineritë)], me efekt nga 1 janar 2024. Ky ndryshim vjen si rezultat i rekomandimeve të Fondi Monetar Ndërkombëtar (FMN), që të gjitha përjashtimet jo standarde, normat e reduktuara dhe trajtimet preferenciale duhet të eliminohen nga TVSH-ja, akcizat dhe taksat kombëtare. Konkretisht, sipas rekomandimit të FMN-së, akciza e karburantit duhet të paguhet për të gjithë kaburantin e përdorur në ekonominë e vendit.</w:t>
      </w:r>
    </w:p>
    <w:p w:rsidR="00214036" w:rsidRPr="009D524F" w:rsidRDefault="00214036" w:rsidP="00842F80">
      <w:pPr>
        <w:pStyle w:val="ListParagraph"/>
        <w:numPr>
          <w:ilvl w:val="0"/>
          <w:numId w:val="16"/>
        </w:numPr>
        <w:ind w:left="540"/>
        <w:rPr>
          <w:rFonts w:cs="Calibri"/>
          <w:i/>
          <w:iCs/>
          <w:sz w:val="21"/>
          <w:szCs w:val="21"/>
          <w:lang w:val="sq-AL" w:eastAsia="x-none"/>
        </w:rPr>
      </w:pPr>
      <w:r w:rsidRPr="009D524F">
        <w:rPr>
          <w:rFonts w:cs="Calibri"/>
          <w:i/>
          <w:iCs/>
          <w:sz w:val="21"/>
          <w:szCs w:val="21"/>
          <w:lang w:val="sq-AL" w:eastAsia="x-none"/>
        </w:rPr>
        <w:t xml:space="preserve">Për duhanin dhe nënprodukteve të tij, duke filluar nga viti 2022 është vendosur rritje graduale progresive e nivelit të akcizës për secilën kategori me qëllim përafrimin me nivelin minimal, sipas Direktivës së BE-së 2011/64 “On the structure and rates of excise duty applied to manufactured tobacco”, duke vendosur një kalendar rritje 5 vjeçar (2022-2026). </w:t>
      </w:r>
    </w:p>
    <w:p w:rsidR="00DA4AE7" w:rsidRPr="009D524F" w:rsidRDefault="00214036" w:rsidP="00842F80">
      <w:pPr>
        <w:pStyle w:val="ListParagraph"/>
        <w:numPr>
          <w:ilvl w:val="0"/>
          <w:numId w:val="16"/>
        </w:numPr>
        <w:ind w:left="540"/>
        <w:rPr>
          <w:rFonts w:cs="Calibri"/>
          <w:i/>
          <w:iCs/>
          <w:sz w:val="21"/>
          <w:szCs w:val="21"/>
          <w:lang w:val="sq-AL" w:eastAsia="x-none"/>
        </w:rPr>
      </w:pPr>
      <w:r w:rsidRPr="009D524F">
        <w:rPr>
          <w:rFonts w:cs="Calibri"/>
          <w:i/>
          <w:iCs/>
          <w:sz w:val="21"/>
          <w:szCs w:val="21"/>
          <w:lang w:val="sq-AL" w:eastAsia="x-none"/>
        </w:rPr>
        <w:t>Shtohen si produkte që paguajnë akcizë “Produkte duhani për përdorim oral” me kod 240491 dhe “Shisha, nargjile (përzierje për tymosje)” me kod 240311 me nivel akcizë 6750 lekë/kg, duke u rritur më pas për 4 vitet në vijim me 500 lekë/kg. Ndërkohë për “Shisha, nargjile (përzierje për tymosje)”, kur janë me duhan të kultivuar në Shqipëri, niveli i akcizës është 2500 lekë/kg nga 1 janar 2022 duke u rritur më pas për 4 vitet në vijim me 250 lekë/kg. Në kreun IV “Produktet Energjetike” të shtojcës nr. 1 që i bashkëlidhet ligjit nr. 61/2012, janë shtuar si produkte të akcizueshme kategoritë, E201 “Qymyri” me kod 2701; E202 “Linjiti”, me kod 2702; E203 “Koks dhe gjysem koks” me kod 2704; E204 “Gaz qymyri, gaz uji, gaz prodhimi”, me kod 2705 dhe kategoria E205 “Katran i distiluar nga qymyri”, me kod 2706, secila me nivel akcize 0 lekë/kg.  Gjithashtu, heqet nga lista e produkteve të akcizueshme kategoria P300 “Goma të Përdorura”, me  nivel akcize 100 lekë/kg</w:t>
      </w:r>
      <w:r w:rsidR="00372C43" w:rsidRPr="009D524F">
        <w:rPr>
          <w:rFonts w:cs="Calibri"/>
          <w:i/>
          <w:iCs/>
          <w:sz w:val="21"/>
          <w:szCs w:val="21"/>
          <w:lang w:val="sq-AL" w:eastAsia="x-none"/>
        </w:rPr>
        <w:t>.</w:t>
      </w:r>
    </w:p>
    <w:p w:rsidR="00CC50CE" w:rsidRPr="00413C45" w:rsidRDefault="00CC50CE" w:rsidP="00EC5756">
      <w:pPr>
        <w:rPr>
          <w:rFonts w:cs="Calibri"/>
          <w:iCs/>
          <w:sz w:val="12"/>
          <w:lang w:val="sq-AL" w:eastAsia="x-none"/>
        </w:rPr>
      </w:pPr>
    </w:p>
    <w:p w:rsidR="00B77671" w:rsidRPr="00476D2E" w:rsidRDefault="00453DA8" w:rsidP="00DA4AE7">
      <w:pPr>
        <w:pStyle w:val="fiskale3"/>
        <w:rPr>
          <w:rFonts w:ascii="Calibri" w:hAnsi="Calibri" w:cs="Calibri"/>
          <w:iCs/>
        </w:rPr>
      </w:pPr>
      <w:bookmarkStart w:id="44" w:name="_Toc10033266"/>
      <w:bookmarkStart w:id="45" w:name="_Toc10721403"/>
      <w:bookmarkStart w:id="46" w:name="_Toc104980321"/>
      <w:r w:rsidRPr="00476D2E">
        <w:rPr>
          <w:rFonts w:ascii="Calibri" w:hAnsi="Calibri" w:cs="Calibri"/>
        </w:rPr>
        <w:t>Taksat Vendore</w:t>
      </w:r>
      <w:bookmarkEnd w:id="44"/>
      <w:bookmarkEnd w:id="45"/>
      <w:bookmarkEnd w:id="46"/>
    </w:p>
    <w:p w:rsidR="00214036" w:rsidRPr="00214036" w:rsidRDefault="00214036" w:rsidP="00214036">
      <w:pPr>
        <w:rPr>
          <w:rFonts w:cs="Calibri"/>
          <w:iCs/>
          <w:lang w:val="sq-AL" w:eastAsia="x-none"/>
        </w:rPr>
      </w:pPr>
      <w:r w:rsidRPr="00214036">
        <w:rPr>
          <w:rFonts w:cs="Calibri"/>
          <w:iCs/>
          <w:lang w:val="sq-AL" w:eastAsia="x-none"/>
        </w:rPr>
        <w:t xml:space="preserve">Një nga ndryshimet e reja ligjore në ligjin “Për taksat kombëtare” parashikon vendosjen e një takse prej 100 lek/kg për importimin ose prodhimin e qumështit pluhur. Ky ndryshim, konkretisht, synon që të incentivojë prodhimin dhe tregtimin në vend të qumështit, me synim mbështetjen e fermerëve vendas. Kjo, duke marrë në konsideratë dhe faktin se, sektori i qumështit konsiderohet si sektor me përparësi nisur nga potenciali për zëvendësimin e importit. </w:t>
      </w:r>
    </w:p>
    <w:p w:rsidR="00DA4AE7" w:rsidRPr="00476D2E" w:rsidRDefault="00214036" w:rsidP="00214036">
      <w:pPr>
        <w:rPr>
          <w:rFonts w:cs="Calibri"/>
          <w:sz w:val="20"/>
          <w:szCs w:val="12"/>
          <w:lang w:val="sq-AL" w:eastAsia="x-none"/>
        </w:rPr>
      </w:pPr>
      <w:r w:rsidRPr="00214036">
        <w:rPr>
          <w:rFonts w:cs="Calibri"/>
          <w:iCs/>
          <w:lang w:val="sq-AL" w:eastAsia="x-none"/>
        </w:rPr>
        <w:t>Gjithashtu, me qëllim shmangien e abuzimeve dhe përfitimeve të padrejta nga mjete lundruese për qëllime turistike dhe argëtimi që furnizohen me karburant në zonat e lira doganore/magazinat doganore, parashikon vendosjen e një takse prej 65 lekë/litër mbi karburantin që përdoret për furnizimin e këtyre mjeteve lundruese në këto zona</w:t>
      </w:r>
      <w:r w:rsidR="009D524F" w:rsidRPr="009D524F">
        <w:rPr>
          <w:rFonts w:cs="Calibri"/>
          <w:iCs/>
          <w:lang w:val="sq-AL" w:eastAsia="x-none"/>
        </w:rPr>
        <w:t>.</w:t>
      </w:r>
    </w:p>
    <w:p w:rsidR="006D2CC4" w:rsidRPr="00476D2E" w:rsidRDefault="00E346B9" w:rsidP="00B77671">
      <w:pPr>
        <w:pStyle w:val="Fiskale2"/>
        <w:rPr>
          <w:rFonts w:ascii="Calibri" w:hAnsi="Calibri" w:cs="Calibri"/>
        </w:rPr>
      </w:pPr>
      <w:bookmarkStart w:id="47" w:name="_Toc515271236"/>
      <w:bookmarkStart w:id="48" w:name="_Toc10033267"/>
      <w:bookmarkStart w:id="49" w:name="_Toc10721404"/>
      <w:bookmarkStart w:id="50" w:name="_Toc104980322"/>
      <w:r w:rsidRPr="00476D2E">
        <w:rPr>
          <w:rFonts w:ascii="Calibri" w:hAnsi="Calibri" w:cs="Calibri"/>
        </w:rPr>
        <w:lastRenderedPageBreak/>
        <w:t xml:space="preserve">Të </w:t>
      </w:r>
      <w:r w:rsidR="0066327E" w:rsidRPr="00476D2E">
        <w:rPr>
          <w:rFonts w:ascii="Calibri" w:hAnsi="Calibri" w:cs="Calibri"/>
        </w:rPr>
        <w:t>a</w:t>
      </w:r>
      <w:r w:rsidRPr="00476D2E">
        <w:rPr>
          <w:rFonts w:ascii="Calibri" w:hAnsi="Calibri" w:cs="Calibri"/>
        </w:rPr>
        <w:t>rdhurat e p</w:t>
      </w:r>
      <w:r w:rsidR="006D2CC4" w:rsidRPr="00476D2E">
        <w:rPr>
          <w:rFonts w:ascii="Calibri" w:hAnsi="Calibri" w:cs="Calibri"/>
        </w:rPr>
        <w:t>ërgjithshme</w:t>
      </w:r>
      <w:bookmarkEnd w:id="47"/>
      <w:bookmarkEnd w:id="48"/>
      <w:bookmarkEnd w:id="49"/>
      <w:bookmarkEnd w:id="50"/>
    </w:p>
    <w:p w:rsidR="00DA4AE7" w:rsidRPr="00476D2E" w:rsidRDefault="00965ECE" w:rsidP="00CF1DAE">
      <w:pPr>
        <w:spacing w:before="240"/>
        <w:rPr>
          <w:rFonts w:cs="Calibri"/>
          <w:sz w:val="16"/>
          <w:lang w:val="sq-AL"/>
        </w:rPr>
      </w:pPr>
      <w:r w:rsidRPr="00476D2E">
        <w:rPr>
          <w:rFonts w:cs="Calibri"/>
          <w:b/>
          <w:lang w:val="sq-AL"/>
        </w:rPr>
        <w:t>Të ardhurat totale</w:t>
      </w:r>
      <w:r w:rsidRPr="00476D2E">
        <w:rPr>
          <w:rFonts w:cs="Calibri"/>
          <w:lang w:val="sq-AL"/>
        </w:rPr>
        <w:t xml:space="preserve"> </w:t>
      </w:r>
      <w:bookmarkStart w:id="51" w:name="_Hlk57119550"/>
      <w:r w:rsidR="008961B4" w:rsidRPr="00476D2E">
        <w:rPr>
          <w:rFonts w:cs="Calibri"/>
          <w:lang w:val="sq-AL"/>
        </w:rPr>
        <w:t>të buxhetit të konsoliduar për periudhën 12-mujore 202</w:t>
      </w:r>
      <w:r w:rsidR="008961B4">
        <w:rPr>
          <w:rFonts w:cs="Calibri"/>
          <w:lang w:val="sq-AL"/>
        </w:rPr>
        <w:t>1, arritën në 510.6</w:t>
      </w:r>
      <w:r w:rsidR="008961B4" w:rsidRPr="00476D2E">
        <w:rPr>
          <w:rFonts w:cs="Calibri"/>
          <w:lang w:val="sq-AL"/>
        </w:rPr>
        <w:t xml:space="preserve"> miliardë l</w:t>
      </w:r>
      <w:r w:rsidR="008961B4">
        <w:rPr>
          <w:rFonts w:cs="Calibri"/>
          <w:lang w:val="sq-AL"/>
        </w:rPr>
        <w:t>ekë, me një realizim në masën 101</w:t>
      </w:r>
      <w:r w:rsidR="008961B4" w:rsidRPr="00476D2E">
        <w:rPr>
          <w:rFonts w:cs="Calibri"/>
          <w:lang w:val="sq-AL"/>
        </w:rPr>
        <w:t xml:space="preserve"> </w:t>
      </w:r>
      <w:r w:rsidR="008961B4">
        <w:rPr>
          <w:rFonts w:cs="Calibri"/>
          <w:lang w:val="sq-AL"/>
        </w:rPr>
        <w:t>përqind</w:t>
      </w:r>
      <w:r w:rsidR="008961B4" w:rsidRPr="00476D2E">
        <w:rPr>
          <w:rFonts w:cs="Calibri"/>
          <w:lang w:val="sq-AL"/>
        </w:rPr>
        <w:t xml:space="preserve"> të planit vjetor sipa</w:t>
      </w:r>
      <w:r w:rsidR="008961B4">
        <w:rPr>
          <w:rFonts w:cs="Calibri"/>
          <w:lang w:val="sq-AL"/>
        </w:rPr>
        <w:t>s Aktit Normativ nr.34 datë 03.12.2021</w:t>
      </w:r>
      <w:r w:rsidR="008961B4" w:rsidRPr="00476D2E">
        <w:rPr>
          <w:rFonts w:cs="Calibri"/>
          <w:lang w:val="sq-AL"/>
        </w:rPr>
        <w:t xml:space="preserve"> (të rishikuar). Të </w:t>
      </w:r>
      <w:r w:rsidR="008961B4">
        <w:rPr>
          <w:rFonts w:cs="Calibri"/>
          <w:lang w:val="sq-AL"/>
        </w:rPr>
        <w:t>ardhurat totale rezultuan 5.5</w:t>
      </w:r>
      <w:r w:rsidR="008961B4" w:rsidRPr="00476D2E">
        <w:rPr>
          <w:rFonts w:cs="Calibri"/>
          <w:lang w:val="sq-AL"/>
        </w:rPr>
        <w:t xml:space="preserve">% më të </w:t>
      </w:r>
      <w:r w:rsidR="008961B4">
        <w:rPr>
          <w:rFonts w:cs="Calibri"/>
          <w:lang w:val="sq-AL"/>
        </w:rPr>
        <w:t>larta se plani fillestar i vitit 2021</w:t>
      </w:r>
      <w:r w:rsidR="008961B4" w:rsidRPr="00476D2E">
        <w:rPr>
          <w:rFonts w:cs="Calibri"/>
          <w:lang w:val="sq-AL"/>
        </w:rPr>
        <w:t xml:space="preserve"> (</w:t>
      </w:r>
      <w:r w:rsidR="008961B4">
        <w:rPr>
          <w:rFonts w:cs="Calibri"/>
          <w:lang w:val="sq-AL"/>
        </w:rPr>
        <w:t>487.7</w:t>
      </w:r>
      <w:r w:rsidR="008961B4" w:rsidRPr="00476D2E">
        <w:rPr>
          <w:rFonts w:cs="Calibri"/>
          <w:lang w:val="sq-AL"/>
        </w:rPr>
        <w:t xml:space="preserve"> miliardë </w:t>
      </w:r>
      <w:r w:rsidR="008961B4" w:rsidRPr="00450CE1">
        <w:rPr>
          <w:rFonts w:cs="Calibri"/>
          <w:lang w:val="sq-AL"/>
        </w:rPr>
        <w:t xml:space="preserve">lekë) dhe 19.9 </w:t>
      </w:r>
      <w:r w:rsidR="008961B4">
        <w:rPr>
          <w:rFonts w:cs="Calibri"/>
          <w:lang w:val="sq-AL"/>
        </w:rPr>
        <w:t>përqind</w:t>
      </w:r>
      <w:r w:rsidR="008961B4" w:rsidRPr="00450CE1">
        <w:rPr>
          <w:rFonts w:cs="Calibri"/>
          <w:lang w:val="sq-AL"/>
        </w:rPr>
        <w:t xml:space="preserve"> ose 85 miliardë lekë më shum</w:t>
      </w:r>
      <w:r w:rsidR="008961B4" w:rsidRPr="00450CE1">
        <w:rPr>
          <w:rFonts w:ascii="Times New Roman" w:hAnsi="Times New Roman"/>
          <w:lang w:val="sq-AL"/>
        </w:rPr>
        <w:t>ë</w:t>
      </w:r>
      <w:r w:rsidR="008961B4" w:rsidRPr="00450CE1">
        <w:rPr>
          <w:rFonts w:cs="Calibri"/>
          <w:lang w:val="sq-AL"/>
        </w:rPr>
        <w:t xml:space="preserve"> se realizimi vjetor në vitin 2020. Rritja e kontributit të të ardhurave të buxhetit të shtetit </w:t>
      </w:r>
      <w:r w:rsidR="008961B4">
        <w:rPr>
          <w:rFonts w:cs="Calibri"/>
          <w:lang w:val="sq-AL"/>
        </w:rPr>
        <w:t>për vitin 2021</w:t>
      </w:r>
      <w:r w:rsidR="008961B4" w:rsidRPr="00476D2E">
        <w:rPr>
          <w:rFonts w:cs="Calibri"/>
          <w:lang w:val="sq-AL"/>
        </w:rPr>
        <w:t>, krahasuar m</w:t>
      </w:r>
      <w:r w:rsidR="008961B4">
        <w:rPr>
          <w:rFonts w:cs="Calibri"/>
          <w:lang w:val="sq-AL"/>
        </w:rPr>
        <w:t xml:space="preserve">e vitin paraardhës është </w:t>
      </w:r>
      <w:r w:rsidR="008961B4">
        <w:t xml:space="preserve">rezultat i ecurisë së mirë ekonomike, rezultat i miradministrimit fiscal duke </w:t>
      </w:r>
      <w:r w:rsidR="008961B4">
        <w:rPr>
          <w:rFonts w:cs="Calibri"/>
          <w:lang w:val="sq-AL"/>
        </w:rPr>
        <w:t>pasqyruar</w:t>
      </w:r>
      <w:r w:rsidR="008961B4" w:rsidRPr="008634B9">
        <w:rPr>
          <w:rFonts w:cs="Calibri"/>
          <w:lang w:val="sq-AL"/>
        </w:rPr>
        <w:t xml:space="preserve"> rimëkëmbjen e ekonomisë së vendit tonë pas krizës dhe pasojave që shkaktuan tërmeti i vitit 2019 dhe pandemia Covid-19.</w:t>
      </w:r>
      <w:r w:rsidR="008961B4">
        <w:t xml:space="preserve"> </w:t>
      </w:r>
      <w:r w:rsidR="008961B4">
        <w:rPr>
          <w:rFonts w:cs="Calibri"/>
          <w:lang w:val="sq-AL"/>
        </w:rPr>
        <w:t>F</w:t>
      </w:r>
      <w:r w:rsidR="008961B4" w:rsidRPr="008634B9">
        <w:rPr>
          <w:rFonts w:cs="Calibri"/>
          <w:lang w:val="sq-AL"/>
        </w:rPr>
        <w:t>aktorë të tillë si vaksinimi me ritme të shpejta i popullsisë, hapja shkallë shkallë e ekonomisë dhe sezoni i verës, i cili rigjallëroi turizmin  dhe të gjithë sektorët e tjerë të ekonom</w:t>
      </w:r>
      <w:r w:rsidR="008961B4">
        <w:rPr>
          <w:rFonts w:cs="Calibri"/>
          <w:lang w:val="sq-AL"/>
        </w:rPr>
        <w:t>isë të lidhur direkt apo indirek</w:t>
      </w:r>
      <w:r w:rsidR="008961B4" w:rsidRPr="008634B9">
        <w:rPr>
          <w:rFonts w:cs="Calibri"/>
          <w:lang w:val="sq-AL"/>
        </w:rPr>
        <w:t>t me turizmin, kanë ndikuar pozitivisht në rritjen ekonomike dhe të ardhurave që ekonomia ka gj</w:t>
      </w:r>
      <w:r w:rsidR="008961B4">
        <w:rPr>
          <w:rFonts w:cs="Calibri"/>
          <w:lang w:val="sq-AL"/>
        </w:rPr>
        <w:t xml:space="preserve">eneruar për buxhetin e shtetit. </w:t>
      </w:r>
      <w:r w:rsidR="008961B4" w:rsidRPr="008634B9">
        <w:rPr>
          <w:rFonts w:cs="Calibri"/>
          <w:lang w:val="sq-AL"/>
        </w:rPr>
        <w:t>Njëkohësisht sektorë të tillë si ndërtimi, përfshirë edhe rindërtimin për shkak të pasojave të  tërmetit, kanë ndikuar në rritjen e qarkullimit, importeve, prodhimit të brendshëm si</w:t>
      </w:r>
      <w:r w:rsidR="008961B4">
        <w:rPr>
          <w:rFonts w:cs="Calibri"/>
          <w:lang w:val="sq-AL"/>
        </w:rPr>
        <w:t xml:space="preserve"> dhe të ardhurave të buxhetit</w:t>
      </w:r>
      <w:r w:rsidRPr="00476D2E">
        <w:rPr>
          <w:rFonts w:eastAsia="SimSun" w:cs="Calibri"/>
          <w:lang w:val="sq-AL"/>
        </w:rPr>
        <w:t>.</w:t>
      </w:r>
      <w:bookmarkStart w:id="52" w:name="_Ref9964285"/>
      <w:bookmarkEnd w:id="51"/>
    </w:p>
    <w:p w:rsidR="00C64C48" w:rsidRPr="00476D2E" w:rsidRDefault="00937DB4" w:rsidP="00C64C48">
      <w:pPr>
        <w:pStyle w:val="Caption"/>
        <w:keepNext/>
        <w:spacing w:after="0"/>
        <w:rPr>
          <w:rFonts w:cs="Calibri"/>
          <w:lang w:val="sq-AL"/>
        </w:rPr>
      </w:pPr>
      <w:bookmarkStart w:id="53" w:name="_Toc104984021"/>
      <w:r w:rsidRPr="00476D2E">
        <w:rPr>
          <w:rFonts w:cs="Calibri"/>
          <w:lang w:val="sq-AL"/>
        </w:rPr>
        <w:t xml:space="preserve">Grafiku </w:t>
      </w:r>
      <w:r w:rsidRPr="00476D2E">
        <w:rPr>
          <w:rFonts w:cs="Calibri"/>
          <w:noProof/>
          <w:lang w:val="sq-AL"/>
        </w:rPr>
        <w:fldChar w:fldCharType="begin"/>
      </w:r>
      <w:r w:rsidRPr="00476D2E">
        <w:rPr>
          <w:rFonts w:cs="Calibri"/>
          <w:noProof/>
          <w:lang w:val="sq-AL"/>
        </w:rPr>
        <w:instrText xml:space="preserve"> SEQ Grafiku \* ARABIC </w:instrText>
      </w:r>
      <w:r w:rsidRPr="00476D2E">
        <w:rPr>
          <w:rFonts w:cs="Calibri"/>
          <w:noProof/>
          <w:lang w:val="sq-AL"/>
        </w:rPr>
        <w:fldChar w:fldCharType="separate"/>
      </w:r>
      <w:r w:rsidR="00FE66EC">
        <w:rPr>
          <w:rFonts w:cs="Calibri"/>
          <w:noProof/>
          <w:lang w:val="sq-AL"/>
        </w:rPr>
        <w:t>2</w:t>
      </w:r>
      <w:r w:rsidRPr="00476D2E">
        <w:rPr>
          <w:rFonts w:cs="Calibri"/>
          <w:noProof/>
          <w:lang w:val="sq-AL"/>
        </w:rPr>
        <w:fldChar w:fldCharType="end"/>
      </w:r>
      <w:bookmarkEnd w:id="52"/>
      <w:r w:rsidRPr="00476D2E">
        <w:rPr>
          <w:rFonts w:cs="Calibri"/>
          <w:lang w:val="sq-AL"/>
        </w:rPr>
        <w:t xml:space="preserve"> Të Ardhurat e përgjithshme (në miliardë lekë) ndaj PBB-së</w:t>
      </w:r>
      <w:bookmarkEnd w:id="53"/>
    </w:p>
    <w:p w:rsidR="00502E37" w:rsidRPr="00476D2E" w:rsidRDefault="000661E2" w:rsidP="000661E2">
      <w:pPr>
        <w:jc w:val="center"/>
        <w:rPr>
          <w:rFonts w:cs="Calibri"/>
          <w:lang w:val="sq-AL"/>
        </w:rPr>
      </w:pPr>
      <w:r>
        <w:rPr>
          <w:noProof/>
        </w:rPr>
        <w:drawing>
          <wp:inline distT="0" distB="0" distL="0" distR="0" wp14:anchorId="27F42BCA" wp14:editId="5D40BCB9">
            <wp:extent cx="6477000" cy="1744980"/>
            <wp:effectExtent l="0" t="0" r="0" b="7620"/>
            <wp:docPr id="4" name="Chart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9EC643B8-D442-4DBF-B96F-BC190177D7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33A19" w:rsidRDefault="000661E2" w:rsidP="006A69AA">
      <w:pPr>
        <w:spacing w:before="0"/>
        <w:rPr>
          <w:rFonts w:cs="Calibri"/>
          <w:i/>
          <w:sz w:val="18"/>
          <w:szCs w:val="18"/>
          <w:lang w:val="sq-AL"/>
        </w:rPr>
      </w:pPr>
      <w:r>
        <w:rPr>
          <w:rFonts w:cs="Calibri"/>
          <w:i/>
          <w:sz w:val="18"/>
          <w:szCs w:val="18"/>
          <w:lang w:val="sq-AL"/>
        </w:rPr>
        <w:t>Burimi: Ministria e Financave dhe Ekonomisë (2022)</w:t>
      </w:r>
    </w:p>
    <w:p w:rsidR="000661E2" w:rsidRPr="006A69AA" w:rsidRDefault="000661E2" w:rsidP="00EC0844">
      <w:pPr>
        <w:rPr>
          <w:rFonts w:cs="Calibri"/>
          <w:i/>
          <w:sz w:val="4"/>
          <w:szCs w:val="18"/>
          <w:lang w:val="sq-AL"/>
        </w:rPr>
      </w:pPr>
    </w:p>
    <w:p w:rsidR="008F404A" w:rsidRPr="00476D2E" w:rsidRDefault="008F404A" w:rsidP="008F404A">
      <w:pPr>
        <w:pStyle w:val="Caption"/>
        <w:keepNext/>
        <w:spacing w:after="0"/>
        <w:rPr>
          <w:rFonts w:cs="Calibri"/>
          <w:lang w:val="sq-AL"/>
        </w:rPr>
      </w:pPr>
      <w:bookmarkStart w:id="54" w:name="_Toc104984022"/>
      <w:r w:rsidRPr="00476D2E">
        <w:rPr>
          <w:rFonts w:cs="Calibri"/>
          <w:lang w:val="sq-AL"/>
        </w:rPr>
        <w:t xml:space="preserve">Grafiku </w:t>
      </w:r>
      <w:r w:rsidRPr="00476D2E">
        <w:rPr>
          <w:rFonts w:cs="Calibri"/>
          <w:lang w:val="sq-AL"/>
        </w:rPr>
        <w:fldChar w:fldCharType="begin"/>
      </w:r>
      <w:r w:rsidRPr="00476D2E">
        <w:rPr>
          <w:rFonts w:cs="Calibri"/>
          <w:lang w:val="sq-AL"/>
        </w:rPr>
        <w:instrText xml:space="preserve"> SEQ Grafiku \* ARABIC </w:instrText>
      </w:r>
      <w:r w:rsidRPr="00476D2E">
        <w:rPr>
          <w:rFonts w:cs="Calibri"/>
          <w:lang w:val="sq-AL"/>
        </w:rPr>
        <w:fldChar w:fldCharType="separate"/>
      </w:r>
      <w:r w:rsidR="00FE66EC">
        <w:rPr>
          <w:rFonts w:cs="Calibri"/>
          <w:noProof/>
          <w:lang w:val="sq-AL"/>
        </w:rPr>
        <w:t>3</w:t>
      </w:r>
      <w:r w:rsidRPr="00476D2E">
        <w:rPr>
          <w:rFonts w:cs="Calibri"/>
          <w:lang w:val="sq-AL"/>
        </w:rPr>
        <w:fldChar w:fldCharType="end"/>
      </w:r>
      <w:r w:rsidRPr="00476D2E">
        <w:rPr>
          <w:rFonts w:cs="Calibri"/>
          <w:lang w:val="sq-AL"/>
        </w:rPr>
        <w:t xml:space="preserve"> Ecuria e zërave kryesorë të të ardhurave</w:t>
      </w:r>
      <w:bookmarkEnd w:id="54"/>
      <w:r w:rsidRPr="00476D2E">
        <w:rPr>
          <w:rFonts w:cs="Calibri"/>
          <w:lang w:val="sq-AL"/>
        </w:rPr>
        <w:t xml:space="preserve"> </w:t>
      </w:r>
    </w:p>
    <w:p w:rsidR="008F404A" w:rsidRPr="00476D2E" w:rsidRDefault="000661E2" w:rsidP="00133A19">
      <w:pPr>
        <w:jc w:val="center"/>
        <w:rPr>
          <w:rFonts w:cs="Calibri"/>
          <w:lang w:val="sq-AL"/>
        </w:rPr>
      </w:pPr>
      <w:r>
        <w:rPr>
          <w:noProof/>
        </w:rPr>
        <w:drawing>
          <wp:inline distT="0" distB="0" distL="0" distR="0" wp14:anchorId="1794E4F8" wp14:editId="4620B6D0">
            <wp:extent cx="6515100" cy="1775460"/>
            <wp:effectExtent l="0" t="0" r="0" b="15240"/>
            <wp:docPr id="2" name="Chart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137E976B-C073-4E20-83B9-372093A99F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C0844" w:rsidRPr="00476D2E" w:rsidRDefault="000661E2" w:rsidP="006A69AA">
      <w:pPr>
        <w:spacing w:before="0"/>
        <w:rPr>
          <w:rFonts w:cs="Calibri"/>
          <w:i/>
          <w:sz w:val="18"/>
          <w:szCs w:val="18"/>
          <w:lang w:val="sq-AL"/>
        </w:rPr>
      </w:pPr>
      <w:r>
        <w:rPr>
          <w:rFonts w:cs="Calibri"/>
          <w:i/>
          <w:sz w:val="18"/>
          <w:szCs w:val="18"/>
          <w:lang w:val="sq-AL"/>
        </w:rPr>
        <w:t>Burimi: Ministria e Financave dhe Ekonomisë (2022)</w:t>
      </w:r>
    </w:p>
    <w:p w:rsidR="00520560" w:rsidRPr="00476D2E" w:rsidRDefault="008961B4" w:rsidP="00EC0844">
      <w:pPr>
        <w:rPr>
          <w:rFonts w:cs="Calibri"/>
          <w:lang w:val="sq-AL"/>
        </w:rPr>
      </w:pPr>
      <w:r w:rsidRPr="000C0B55">
        <w:rPr>
          <w:rFonts w:cs="Calibri"/>
          <w:lang w:val="sq-AL"/>
        </w:rPr>
        <w:t xml:space="preserve">Zërat kryesorë në të ardhurat totale të buxhetit të shtetit janë ndihmat, të ardhurat nga tatimet dhe doganat, të ardhurat e pushtetit vendor, të ardhurat nga fondet speciale dhe të ardhurat jotatimore; të cilat zënë përkatësisht 2.6 </w:t>
      </w:r>
      <w:r>
        <w:rPr>
          <w:rFonts w:cs="Calibri"/>
          <w:lang w:val="sq-AL"/>
        </w:rPr>
        <w:t>përqind</w:t>
      </w:r>
      <w:r w:rsidRPr="000C0B55">
        <w:rPr>
          <w:rFonts w:cs="Calibri"/>
          <w:lang w:val="sq-AL"/>
        </w:rPr>
        <w:t xml:space="preserve">, 69 </w:t>
      </w:r>
      <w:r>
        <w:rPr>
          <w:rFonts w:cs="Calibri"/>
          <w:lang w:val="sq-AL"/>
        </w:rPr>
        <w:t>përqind</w:t>
      </w:r>
      <w:r w:rsidRPr="000C0B55">
        <w:rPr>
          <w:rFonts w:cs="Calibri"/>
          <w:lang w:val="sq-AL"/>
        </w:rPr>
        <w:t xml:space="preserve">, 5.4 </w:t>
      </w:r>
      <w:r>
        <w:rPr>
          <w:rFonts w:cs="Calibri"/>
          <w:lang w:val="sq-AL"/>
        </w:rPr>
        <w:t>përqind</w:t>
      </w:r>
      <w:r w:rsidRPr="000C0B55">
        <w:rPr>
          <w:rFonts w:cs="Calibri"/>
          <w:lang w:val="sq-AL"/>
        </w:rPr>
        <w:t xml:space="preserve">, 22.6 </w:t>
      </w:r>
      <w:r>
        <w:rPr>
          <w:rFonts w:cs="Calibri"/>
          <w:lang w:val="sq-AL"/>
        </w:rPr>
        <w:t>përqind</w:t>
      </w:r>
      <w:r w:rsidRPr="000C0B55">
        <w:rPr>
          <w:rFonts w:cs="Calibri"/>
          <w:lang w:val="sq-AL"/>
        </w:rPr>
        <w:t xml:space="preserve"> dhe 0.3 </w:t>
      </w:r>
      <w:r>
        <w:rPr>
          <w:rFonts w:cs="Calibri"/>
          <w:lang w:val="sq-AL"/>
        </w:rPr>
        <w:t>përqind</w:t>
      </w:r>
      <w:r w:rsidRPr="000C0B55">
        <w:rPr>
          <w:rFonts w:cs="Calibri"/>
          <w:lang w:val="sq-AL"/>
        </w:rPr>
        <w:t xml:space="preserve"> të të ardhurave të përgjithshme publike në vitin 2021</w:t>
      </w:r>
      <w:r w:rsidRPr="00476D2E">
        <w:rPr>
          <w:rFonts w:cs="Calibri"/>
          <w:lang w:val="sq-AL"/>
        </w:rPr>
        <w:t xml:space="preserve">. </w:t>
      </w:r>
      <w:r w:rsidRPr="00EE2EE9">
        <w:rPr>
          <w:rFonts w:cs="Calibri"/>
          <w:lang w:val="sq-AL"/>
        </w:rPr>
        <w:t>Kontributin me të madh në realizimin e të ardhurave totale e kanë dhënë të ardhurat tatimore, ndër të cilat peshën kryesore e zënë Tatimi mbi Fitimin (2.6 miliardë lekë më shum</w:t>
      </w:r>
      <w:r w:rsidRPr="00EE2EE9">
        <w:rPr>
          <w:rFonts w:ascii="Times New Roman" w:hAnsi="Times New Roman"/>
          <w:lang w:val="sq-AL"/>
        </w:rPr>
        <w:t>ë</w:t>
      </w:r>
      <w:r w:rsidRPr="00EE2EE9">
        <w:rPr>
          <w:rFonts w:cs="Calibri"/>
          <w:lang w:val="sq-AL"/>
        </w:rPr>
        <w:t xml:space="preserve"> se plani fillestar) dhe Taksa Nacionale (4.5 miliardë lekë me shumm</w:t>
      </w:r>
      <w:r w:rsidRPr="00EE2EE9">
        <w:rPr>
          <w:rFonts w:ascii="Times New Roman" w:hAnsi="Times New Roman"/>
          <w:lang w:val="sq-AL"/>
        </w:rPr>
        <w:t>ë</w:t>
      </w:r>
      <w:r w:rsidRPr="00EE2EE9">
        <w:rPr>
          <w:rFonts w:cs="Calibri"/>
          <w:lang w:val="sq-AL"/>
        </w:rPr>
        <w:t xml:space="preserve"> se plani fillestar</w:t>
      </w:r>
      <w:r w:rsidR="00C962C0" w:rsidRPr="00476D2E">
        <w:rPr>
          <w:rFonts w:cs="Calibri"/>
          <w:lang w:val="sq-AL"/>
        </w:rPr>
        <w:t>.</w:t>
      </w:r>
    </w:p>
    <w:p w:rsidR="006D577E" w:rsidRPr="00476D2E" w:rsidRDefault="006D577E" w:rsidP="006D577E">
      <w:pPr>
        <w:pStyle w:val="Caption"/>
        <w:keepNext/>
        <w:spacing w:after="0"/>
        <w:rPr>
          <w:rFonts w:cs="Calibri"/>
          <w:lang w:val="sq-AL"/>
        </w:rPr>
      </w:pPr>
      <w:bookmarkStart w:id="55" w:name="_Toc104984079"/>
      <w:r w:rsidRPr="00476D2E">
        <w:rPr>
          <w:rFonts w:cs="Calibri"/>
          <w:lang w:val="sq-AL"/>
        </w:rPr>
        <w:lastRenderedPageBreak/>
        <w:t xml:space="preserve">Tabela </w:t>
      </w:r>
      <w:r w:rsidR="00335A3A" w:rsidRPr="00476D2E">
        <w:rPr>
          <w:rFonts w:cs="Calibri"/>
          <w:lang w:val="sq-AL"/>
        </w:rPr>
        <w:fldChar w:fldCharType="begin"/>
      </w:r>
      <w:r w:rsidR="00335A3A" w:rsidRPr="00476D2E">
        <w:rPr>
          <w:rFonts w:cs="Calibri"/>
          <w:lang w:val="sq-AL"/>
        </w:rPr>
        <w:instrText xml:space="preserve"> SEQ Tabela \* ARABIC </w:instrText>
      </w:r>
      <w:r w:rsidR="00335A3A" w:rsidRPr="00476D2E">
        <w:rPr>
          <w:rFonts w:cs="Calibri"/>
          <w:lang w:val="sq-AL"/>
        </w:rPr>
        <w:fldChar w:fldCharType="separate"/>
      </w:r>
      <w:r w:rsidR="00276062">
        <w:rPr>
          <w:rFonts w:cs="Calibri"/>
          <w:noProof/>
          <w:lang w:val="sq-AL"/>
        </w:rPr>
        <w:t>7</w:t>
      </w:r>
      <w:r w:rsidR="00335A3A" w:rsidRPr="00476D2E">
        <w:rPr>
          <w:rFonts w:cs="Calibri"/>
          <w:noProof/>
          <w:lang w:val="sq-AL"/>
        </w:rPr>
        <w:fldChar w:fldCharType="end"/>
      </w:r>
      <w:r w:rsidRPr="00476D2E">
        <w:rPr>
          <w:rFonts w:cs="Calibri"/>
          <w:lang w:val="sq-AL"/>
        </w:rPr>
        <w:t xml:space="preserve"> Treguesit e të ardhurave kryesore (në miliardë lekë)</w:t>
      </w:r>
      <w:bookmarkEnd w:id="55"/>
    </w:p>
    <w:tbl>
      <w:tblPr>
        <w:tblW w:w="10670" w:type="dxa"/>
        <w:jc w:val="center"/>
        <w:tblLook w:val="04A0" w:firstRow="1" w:lastRow="0" w:firstColumn="1" w:lastColumn="0" w:noHBand="0" w:noVBand="1"/>
      </w:tblPr>
      <w:tblGrid>
        <w:gridCol w:w="2022"/>
        <w:gridCol w:w="598"/>
        <w:gridCol w:w="670"/>
        <w:gridCol w:w="597"/>
        <w:gridCol w:w="772"/>
        <w:gridCol w:w="1044"/>
        <w:gridCol w:w="791"/>
        <w:gridCol w:w="872"/>
        <w:gridCol w:w="597"/>
        <w:gridCol w:w="791"/>
        <w:gridCol w:w="872"/>
        <w:gridCol w:w="1044"/>
      </w:tblGrid>
      <w:tr w:rsidR="000661E2" w:rsidRPr="00CF4BD1" w:rsidTr="00FB34AC">
        <w:trPr>
          <w:trHeight w:val="485"/>
          <w:jc w:val="center"/>
        </w:trPr>
        <w:tc>
          <w:tcPr>
            <w:tcW w:w="2022" w:type="dxa"/>
            <w:tcBorders>
              <w:top w:val="single" w:sz="8" w:space="0" w:color="0070C0"/>
              <w:left w:val="single" w:sz="8" w:space="0" w:color="0070C0"/>
              <w:bottom w:val="single" w:sz="8" w:space="0" w:color="4F81BD"/>
              <w:right w:val="nil"/>
            </w:tcBorders>
            <w:shd w:val="clear" w:color="000000" w:fill="366092"/>
            <w:vAlign w:val="center"/>
            <w:hideMark/>
          </w:tcPr>
          <w:p w:rsidR="000661E2" w:rsidRPr="00CF4BD1" w:rsidRDefault="000661E2" w:rsidP="00CF4BD1">
            <w:pPr>
              <w:spacing w:before="0" w:line="240" w:lineRule="auto"/>
              <w:jc w:val="center"/>
              <w:rPr>
                <w:rFonts w:asciiTheme="majorHAnsi" w:hAnsiTheme="majorHAnsi" w:cs="Calibri Light"/>
                <w:color w:val="000000"/>
                <w:sz w:val="16"/>
                <w:szCs w:val="18"/>
                <w:lang w:val="en-GB" w:eastAsia="en-GB"/>
              </w:rPr>
            </w:pPr>
            <w:bookmarkStart w:id="56" w:name="_Ref9965562"/>
          </w:p>
        </w:tc>
        <w:tc>
          <w:tcPr>
            <w:tcW w:w="598" w:type="dxa"/>
            <w:tcBorders>
              <w:top w:val="single" w:sz="8" w:space="0" w:color="0070C0"/>
              <w:left w:val="nil"/>
              <w:bottom w:val="single" w:sz="8" w:space="0" w:color="4F81BD"/>
              <w:right w:val="nil"/>
            </w:tcBorders>
            <w:shd w:val="clear" w:color="000000" w:fill="366092"/>
            <w:vAlign w:val="center"/>
            <w:hideMark/>
          </w:tcPr>
          <w:p w:rsidR="000661E2" w:rsidRPr="00CF4BD1" w:rsidRDefault="000661E2" w:rsidP="00CF4BD1">
            <w:pPr>
              <w:spacing w:before="0" w:line="240" w:lineRule="auto"/>
              <w:jc w:val="center"/>
              <w:rPr>
                <w:rFonts w:asciiTheme="majorHAnsi" w:hAnsiTheme="majorHAnsi" w:cstheme="majorHAnsi"/>
                <w:b/>
                <w:bCs/>
                <w:color w:val="FFFFFF"/>
                <w:sz w:val="16"/>
                <w:szCs w:val="18"/>
                <w:lang w:val="en-GB" w:eastAsia="en-GB"/>
              </w:rPr>
            </w:pPr>
            <w:r w:rsidRPr="00CF4BD1">
              <w:rPr>
                <w:rFonts w:asciiTheme="majorHAnsi" w:hAnsiTheme="majorHAnsi" w:cstheme="majorHAnsi"/>
                <w:b/>
                <w:bCs/>
                <w:color w:val="FFFFFF"/>
                <w:sz w:val="16"/>
                <w:szCs w:val="18"/>
                <w:lang w:val="en-GB" w:eastAsia="en-GB"/>
              </w:rPr>
              <w:t>2017</w:t>
            </w:r>
          </w:p>
        </w:tc>
        <w:tc>
          <w:tcPr>
            <w:tcW w:w="670" w:type="dxa"/>
            <w:tcBorders>
              <w:top w:val="single" w:sz="8" w:space="0" w:color="0070C0"/>
              <w:left w:val="nil"/>
              <w:bottom w:val="single" w:sz="8" w:space="0" w:color="4F81BD"/>
              <w:right w:val="nil"/>
            </w:tcBorders>
            <w:shd w:val="clear" w:color="000000" w:fill="366092"/>
            <w:vAlign w:val="center"/>
            <w:hideMark/>
          </w:tcPr>
          <w:p w:rsidR="000661E2" w:rsidRPr="00CF4BD1" w:rsidRDefault="000661E2" w:rsidP="00CF4BD1">
            <w:pPr>
              <w:spacing w:before="0" w:line="240" w:lineRule="auto"/>
              <w:jc w:val="center"/>
              <w:rPr>
                <w:rFonts w:asciiTheme="majorHAnsi" w:hAnsiTheme="majorHAnsi" w:cstheme="majorHAnsi"/>
                <w:b/>
                <w:bCs/>
                <w:color w:val="FFFFFF"/>
                <w:sz w:val="16"/>
                <w:szCs w:val="18"/>
                <w:lang w:val="en-GB" w:eastAsia="en-GB"/>
              </w:rPr>
            </w:pPr>
            <w:r w:rsidRPr="00CF4BD1">
              <w:rPr>
                <w:rFonts w:asciiTheme="majorHAnsi" w:hAnsiTheme="majorHAnsi" w:cstheme="majorHAnsi"/>
                <w:b/>
                <w:bCs/>
                <w:color w:val="FFFFFF"/>
                <w:sz w:val="16"/>
                <w:szCs w:val="18"/>
                <w:lang w:val="en-GB" w:eastAsia="en-GB"/>
              </w:rPr>
              <w:t>2018</w:t>
            </w:r>
          </w:p>
        </w:tc>
        <w:tc>
          <w:tcPr>
            <w:tcW w:w="597" w:type="dxa"/>
            <w:tcBorders>
              <w:top w:val="single" w:sz="8" w:space="0" w:color="0070C0"/>
              <w:left w:val="nil"/>
              <w:bottom w:val="nil"/>
              <w:right w:val="nil"/>
            </w:tcBorders>
            <w:shd w:val="clear" w:color="000000" w:fill="366092"/>
            <w:vAlign w:val="center"/>
            <w:hideMark/>
          </w:tcPr>
          <w:p w:rsidR="000661E2" w:rsidRPr="00CF4BD1" w:rsidRDefault="000661E2" w:rsidP="00CF4BD1">
            <w:pPr>
              <w:spacing w:before="0" w:line="240" w:lineRule="auto"/>
              <w:jc w:val="center"/>
              <w:rPr>
                <w:rFonts w:asciiTheme="majorHAnsi" w:hAnsiTheme="majorHAnsi" w:cstheme="majorHAnsi"/>
                <w:b/>
                <w:bCs/>
                <w:color w:val="FFFFFF"/>
                <w:sz w:val="16"/>
                <w:szCs w:val="18"/>
                <w:lang w:val="en-GB" w:eastAsia="en-GB"/>
              </w:rPr>
            </w:pPr>
            <w:r w:rsidRPr="00CF4BD1">
              <w:rPr>
                <w:rFonts w:asciiTheme="majorHAnsi" w:hAnsiTheme="majorHAnsi" w:cstheme="majorHAnsi"/>
                <w:b/>
                <w:bCs/>
                <w:color w:val="FFFFFF"/>
                <w:sz w:val="16"/>
                <w:szCs w:val="18"/>
                <w:lang w:val="en-GB" w:eastAsia="en-GB"/>
              </w:rPr>
              <w:t>2019</w:t>
            </w:r>
          </w:p>
        </w:tc>
        <w:tc>
          <w:tcPr>
            <w:tcW w:w="772" w:type="dxa"/>
            <w:tcBorders>
              <w:top w:val="single" w:sz="8" w:space="0" w:color="0070C0"/>
              <w:left w:val="nil"/>
              <w:bottom w:val="nil"/>
              <w:right w:val="nil"/>
            </w:tcBorders>
            <w:shd w:val="clear" w:color="000000" w:fill="366092"/>
            <w:vAlign w:val="center"/>
            <w:hideMark/>
          </w:tcPr>
          <w:p w:rsidR="000661E2" w:rsidRPr="00CF4BD1" w:rsidRDefault="000661E2" w:rsidP="00CF4BD1">
            <w:pPr>
              <w:spacing w:before="0" w:line="240" w:lineRule="auto"/>
              <w:jc w:val="center"/>
              <w:rPr>
                <w:rFonts w:asciiTheme="majorHAnsi" w:hAnsiTheme="majorHAnsi" w:cstheme="majorHAnsi"/>
                <w:b/>
                <w:bCs/>
                <w:color w:val="FFFFFF"/>
                <w:sz w:val="16"/>
                <w:szCs w:val="18"/>
                <w:lang w:val="en-GB" w:eastAsia="en-GB"/>
              </w:rPr>
            </w:pPr>
            <w:r w:rsidRPr="00CF4BD1">
              <w:rPr>
                <w:rFonts w:asciiTheme="majorHAnsi" w:hAnsiTheme="majorHAnsi" w:cstheme="majorHAnsi"/>
                <w:b/>
                <w:bCs/>
                <w:color w:val="FFFFFF"/>
                <w:sz w:val="16"/>
                <w:szCs w:val="18"/>
                <w:lang w:val="en-GB" w:eastAsia="en-GB"/>
              </w:rPr>
              <w:t>2020</w:t>
            </w:r>
          </w:p>
        </w:tc>
        <w:tc>
          <w:tcPr>
            <w:tcW w:w="1044" w:type="dxa"/>
            <w:tcBorders>
              <w:top w:val="single" w:sz="8" w:space="0" w:color="0070C0"/>
              <w:left w:val="nil"/>
              <w:bottom w:val="nil"/>
              <w:right w:val="nil"/>
            </w:tcBorders>
            <w:shd w:val="clear" w:color="000000" w:fill="366092"/>
            <w:vAlign w:val="center"/>
            <w:hideMark/>
          </w:tcPr>
          <w:p w:rsidR="000661E2" w:rsidRPr="00CF4BD1" w:rsidRDefault="000661E2" w:rsidP="00CF4BD1">
            <w:pPr>
              <w:spacing w:before="0" w:line="240" w:lineRule="auto"/>
              <w:jc w:val="center"/>
              <w:rPr>
                <w:rFonts w:asciiTheme="majorHAnsi" w:hAnsiTheme="majorHAnsi" w:cstheme="majorHAnsi"/>
                <w:b/>
                <w:bCs/>
                <w:color w:val="FFFFFF"/>
                <w:sz w:val="16"/>
                <w:szCs w:val="18"/>
                <w:lang w:val="en-GB" w:eastAsia="en-GB"/>
              </w:rPr>
            </w:pPr>
            <w:r w:rsidRPr="00CF4BD1">
              <w:rPr>
                <w:rFonts w:asciiTheme="majorHAnsi" w:hAnsiTheme="majorHAnsi" w:cstheme="majorHAnsi"/>
                <w:b/>
                <w:bCs/>
                <w:color w:val="FFFFFF"/>
                <w:sz w:val="16"/>
                <w:szCs w:val="18"/>
                <w:lang w:val="en-GB" w:eastAsia="en-GB"/>
              </w:rPr>
              <w:t>2020 (në % ndaj vitit paraardhës)</w:t>
            </w:r>
          </w:p>
        </w:tc>
        <w:tc>
          <w:tcPr>
            <w:tcW w:w="791" w:type="dxa"/>
            <w:tcBorders>
              <w:top w:val="single" w:sz="8" w:space="0" w:color="0070C0"/>
              <w:left w:val="nil"/>
              <w:bottom w:val="nil"/>
              <w:right w:val="nil"/>
            </w:tcBorders>
            <w:shd w:val="clear" w:color="000000" w:fill="366092"/>
            <w:vAlign w:val="center"/>
            <w:hideMark/>
          </w:tcPr>
          <w:p w:rsidR="000661E2" w:rsidRPr="00CF4BD1" w:rsidRDefault="000661E2" w:rsidP="00CF4BD1">
            <w:pPr>
              <w:spacing w:before="0" w:line="240" w:lineRule="auto"/>
              <w:jc w:val="center"/>
              <w:rPr>
                <w:rFonts w:asciiTheme="majorHAnsi" w:hAnsiTheme="majorHAnsi" w:cstheme="majorHAnsi"/>
                <w:b/>
                <w:bCs/>
                <w:color w:val="FFFFFF"/>
                <w:sz w:val="16"/>
                <w:szCs w:val="18"/>
                <w:lang w:val="en-GB" w:eastAsia="en-GB"/>
              </w:rPr>
            </w:pPr>
            <w:r w:rsidRPr="00CF4BD1">
              <w:rPr>
                <w:rFonts w:asciiTheme="majorHAnsi" w:hAnsiTheme="majorHAnsi" w:cstheme="majorHAnsi"/>
                <w:b/>
                <w:bCs/>
                <w:color w:val="FFFFFF"/>
                <w:sz w:val="16"/>
                <w:szCs w:val="18"/>
                <w:lang w:val="en-GB" w:eastAsia="en-GB"/>
              </w:rPr>
              <w:t>2021 (plan fillestar)</w:t>
            </w:r>
          </w:p>
        </w:tc>
        <w:tc>
          <w:tcPr>
            <w:tcW w:w="872" w:type="dxa"/>
            <w:tcBorders>
              <w:top w:val="single" w:sz="8" w:space="0" w:color="0070C0"/>
              <w:left w:val="nil"/>
              <w:bottom w:val="nil"/>
              <w:right w:val="nil"/>
            </w:tcBorders>
            <w:shd w:val="clear" w:color="000000" w:fill="366092"/>
            <w:vAlign w:val="center"/>
            <w:hideMark/>
          </w:tcPr>
          <w:p w:rsidR="000661E2" w:rsidRPr="00CF4BD1" w:rsidRDefault="000661E2" w:rsidP="00CF4BD1">
            <w:pPr>
              <w:spacing w:before="0" w:line="240" w:lineRule="auto"/>
              <w:jc w:val="center"/>
              <w:rPr>
                <w:rFonts w:asciiTheme="majorHAnsi" w:hAnsiTheme="majorHAnsi" w:cstheme="majorHAnsi"/>
                <w:b/>
                <w:bCs/>
                <w:color w:val="FFFFFF"/>
                <w:sz w:val="16"/>
                <w:szCs w:val="18"/>
                <w:lang w:val="en-GB" w:eastAsia="en-GB"/>
              </w:rPr>
            </w:pPr>
            <w:r w:rsidRPr="00CF4BD1">
              <w:rPr>
                <w:rFonts w:asciiTheme="majorHAnsi" w:hAnsiTheme="majorHAnsi" w:cstheme="majorHAnsi"/>
                <w:b/>
                <w:bCs/>
                <w:color w:val="FFFFFF"/>
                <w:sz w:val="16"/>
                <w:szCs w:val="18"/>
                <w:lang w:val="en-GB" w:eastAsia="en-GB"/>
              </w:rPr>
              <w:t>2021 (plan I rishikuar)</w:t>
            </w:r>
          </w:p>
        </w:tc>
        <w:tc>
          <w:tcPr>
            <w:tcW w:w="597" w:type="dxa"/>
            <w:tcBorders>
              <w:top w:val="single" w:sz="8" w:space="0" w:color="0070C0"/>
              <w:left w:val="nil"/>
              <w:bottom w:val="nil"/>
              <w:right w:val="nil"/>
            </w:tcBorders>
            <w:shd w:val="clear" w:color="000000" w:fill="366092"/>
            <w:vAlign w:val="center"/>
            <w:hideMark/>
          </w:tcPr>
          <w:p w:rsidR="000661E2" w:rsidRPr="00CF4BD1" w:rsidRDefault="000661E2" w:rsidP="00CF4BD1">
            <w:pPr>
              <w:spacing w:before="0" w:line="240" w:lineRule="auto"/>
              <w:jc w:val="center"/>
              <w:rPr>
                <w:rFonts w:asciiTheme="majorHAnsi" w:hAnsiTheme="majorHAnsi" w:cstheme="majorHAnsi"/>
                <w:b/>
                <w:bCs/>
                <w:color w:val="FFFFFF"/>
                <w:sz w:val="16"/>
                <w:szCs w:val="18"/>
                <w:lang w:val="en-GB" w:eastAsia="en-GB"/>
              </w:rPr>
            </w:pPr>
            <w:r w:rsidRPr="00CF4BD1">
              <w:rPr>
                <w:rFonts w:asciiTheme="majorHAnsi" w:hAnsiTheme="majorHAnsi" w:cstheme="majorHAnsi"/>
                <w:b/>
                <w:bCs/>
                <w:color w:val="FFFFFF"/>
                <w:sz w:val="16"/>
                <w:szCs w:val="18"/>
                <w:lang w:val="en-GB" w:eastAsia="en-GB"/>
              </w:rPr>
              <w:t>2021 (fakt)</w:t>
            </w:r>
          </w:p>
        </w:tc>
        <w:tc>
          <w:tcPr>
            <w:tcW w:w="791" w:type="dxa"/>
            <w:tcBorders>
              <w:top w:val="single" w:sz="8" w:space="0" w:color="0070C0"/>
              <w:left w:val="nil"/>
              <w:bottom w:val="nil"/>
              <w:right w:val="nil"/>
            </w:tcBorders>
            <w:shd w:val="clear" w:color="000000" w:fill="366092"/>
            <w:vAlign w:val="center"/>
            <w:hideMark/>
          </w:tcPr>
          <w:p w:rsidR="000661E2" w:rsidRPr="00CF4BD1" w:rsidRDefault="000661E2" w:rsidP="00CF4BD1">
            <w:pPr>
              <w:spacing w:before="0" w:line="240" w:lineRule="auto"/>
              <w:jc w:val="center"/>
              <w:rPr>
                <w:rFonts w:asciiTheme="majorHAnsi" w:hAnsiTheme="majorHAnsi" w:cstheme="majorHAnsi"/>
                <w:b/>
                <w:bCs/>
                <w:color w:val="FFFFFF"/>
                <w:sz w:val="16"/>
                <w:szCs w:val="18"/>
                <w:lang w:val="en-GB" w:eastAsia="en-GB"/>
              </w:rPr>
            </w:pPr>
            <w:r w:rsidRPr="00CF4BD1">
              <w:rPr>
                <w:rFonts w:asciiTheme="majorHAnsi" w:hAnsiTheme="majorHAnsi" w:cstheme="majorHAnsi"/>
                <w:b/>
                <w:bCs/>
                <w:color w:val="FFFFFF"/>
                <w:sz w:val="16"/>
                <w:szCs w:val="18"/>
                <w:lang w:val="en-GB" w:eastAsia="en-GB"/>
              </w:rPr>
              <w:t>2021 (në % ndaj planit fillestar)</w:t>
            </w:r>
          </w:p>
        </w:tc>
        <w:tc>
          <w:tcPr>
            <w:tcW w:w="872" w:type="dxa"/>
            <w:tcBorders>
              <w:top w:val="single" w:sz="8" w:space="0" w:color="0070C0"/>
              <w:left w:val="nil"/>
              <w:bottom w:val="nil"/>
              <w:right w:val="nil"/>
            </w:tcBorders>
            <w:shd w:val="clear" w:color="000000" w:fill="366092"/>
            <w:vAlign w:val="center"/>
            <w:hideMark/>
          </w:tcPr>
          <w:p w:rsidR="000661E2" w:rsidRPr="00CF4BD1" w:rsidRDefault="000661E2" w:rsidP="00CF4BD1">
            <w:pPr>
              <w:spacing w:before="0" w:line="240" w:lineRule="auto"/>
              <w:jc w:val="center"/>
              <w:rPr>
                <w:rFonts w:asciiTheme="majorHAnsi" w:hAnsiTheme="majorHAnsi" w:cstheme="majorHAnsi"/>
                <w:b/>
                <w:bCs/>
                <w:color w:val="FFFFFF"/>
                <w:sz w:val="16"/>
                <w:szCs w:val="18"/>
                <w:lang w:val="en-GB" w:eastAsia="en-GB"/>
              </w:rPr>
            </w:pPr>
            <w:r w:rsidRPr="00CF4BD1">
              <w:rPr>
                <w:rFonts w:asciiTheme="majorHAnsi" w:hAnsiTheme="majorHAnsi" w:cstheme="majorHAnsi"/>
                <w:b/>
                <w:bCs/>
                <w:color w:val="FFFFFF"/>
                <w:sz w:val="16"/>
                <w:szCs w:val="18"/>
                <w:lang w:val="en-GB" w:eastAsia="en-GB"/>
              </w:rPr>
              <w:t>2021 (në % ndaj planit të rishikuar)</w:t>
            </w:r>
          </w:p>
        </w:tc>
        <w:tc>
          <w:tcPr>
            <w:tcW w:w="1044" w:type="dxa"/>
            <w:tcBorders>
              <w:top w:val="single" w:sz="8" w:space="0" w:color="0070C0"/>
              <w:left w:val="nil"/>
              <w:bottom w:val="nil"/>
              <w:right w:val="single" w:sz="8" w:space="0" w:color="0070C0"/>
            </w:tcBorders>
            <w:shd w:val="clear" w:color="000000" w:fill="366092"/>
            <w:vAlign w:val="center"/>
            <w:hideMark/>
          </w:tcPr>
          <w:p w:rsidR="000661E2" w:rsidRPr="00CF4BD1" w:rsidRDefault="000661E2" w:rsidP="00CF4BD1">
            <w:pPr>
              <w:spacing w:before="0" w:line="240" w:lineRule="auto"/>
              <w:jc w:val="center"/>
              <w:rPr>
                <w:rFonts w:asciiTheme="majorHAnsi" w:hAnsiTheme="majorHAnsi" w:cstheme="majorHAnsi"/>
                <w:b/>
                <w:bCs/>
                <w:color w:val="FFFFFF"/>
                <w:sz w:val="16"/>
                <w:szCs w:val="18"/>
                <w:lang w:val="en-GB" w:eastAsia="en-GB"/>
              </w:rPr>
            </w:pPr>
            <w:r w:rsidRPr="00CF4BD1">
              <w:rPr>
                <w:rFonts w:asciiTheme="majorHAnsi" w:hAnsiTheme="majorHAnsi" w:cstheme="majorHAnsi"/>
                <w:b/>
                <w:bCs/>
                <w:color w:val="FFFFFF"/>
                <w:sz w:val="16"/>
                <w:szCs w:val="18"/>
                <w:lang w:val="en-GB" w:eastAsia="en-GB"/>
              </w:rPr>
              <w:t>2021 (në % ndaj vitit paraardhës)</w:t>
            </w:r>
          </w:p>
        </w:tc>
      </w:tr>
      <w:tr w:rsidR="000661E2" w:rsidRPr="00CF4BD1" w:rsidTr="00FB34AC">
        <w:trPr>
          <w:trHeight w:val="210"/>
          <w:jc w:val="center"/>
        </w:trPr>
        <w:tc>
          <w:tcPr>
            <w:tcW w:w="2022" w:type="dxa"/>
            <w:tcBorders>
              <w:top w:val="nil"/>
              <w:left w:val="single" w:sz="8" w:space="0" w:color="0070C0"/>
              <w:bottom w:val="nil"/>
              <w:right w:val="nil"/>
            </w:tcBorders>
            <w:shd w:val="clear" w:color="000000" w:fill="DCE6F1"/>
            <w:noWrap/>
            <w:vAlign w:val="center"/>
            <w:hideMark/>
          </w:tcPr>
          <w:p w:rsidR="000661E2" w:rsidRPr="00CF4BD1" w:rsidRDefault="000661E2" w:rsidP="00CF4BD1">
            <w:pPr>
              <w:spacing w:before="0"/>
              <w:jc w:val="center"/>
              <w:rPr>
                <w:rFonts w:asciiTheme="majorHAnsi" w:hAnsiTheme="majorHAnsi" w:cs="Calibri Light"/>
                <w:b/>
                <w:bCs/>
                <w:color w:val="203764"/>
                <w:sz w:val="16"/>
                <w:szCs w:val="18"/>
                <w:lang w:val="en-GB" w:eastAsia="en-GB"/>
              </w:rPr>
            </w:pPr>
            <w:r w:rsidRPr="00CF4BD1">
              <w:rPr>
                <w:rFonts w:asciiTheme="majorHAnsi" w:hAnsiTheme="majorHAnsi" w:cs="Calibri Light"/>
                <w:b/>
                <w:bCs/>
                <w:color w:val="203764"/>
                <w:sz w:val="16"/>
                <w:szCs w:val="18"/>
                <w:lang w:val="en-GB" w:eastAsia="en-GB"/>
              </w:rPr>
              <w:t>Të ardhura nga ndihmat</w:t>
            </w:r>
          </w:p>
        </w:tc>
        <w:tc>
          <w:tcPr>
            <w:tcW w:w="598"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11.1</w:t>
            </w:r>
          </w:p>
        </w:tc>
        <w:tc>
          <w:tcPr>
            <w:tcW w:w="670"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8.2</w:t>
            </w:r>
          </w:p>
        </w:tc>
        <w:tc>
          <w:tcPr>
            <w:tcW w:w="597"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10.6</w:t>
            </w:r>
          </w:p>
        </w:tc>
        <w:tc>
          <w:tcPr>
            <w:tcW w:w="772"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8.3</w:t>
            </w:r>
          </w:p>
        </w:tc>
        <w:tc>
          <w:tcPr>
            <w:tcW w:w="1044"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78.2%</w:t>
            </w:r>
          </w:p>
        </w:tc>
        <w:tc>
          <w:tcPr>
            <w:tcW w:w="791" w:type="dxa"/>
            <w:tcBorders>
              <w:top w:val="nil"/>
              <w:left w:val="nil"/>
              <w:bottom w:val="nil"/>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20.4</w:t>
            </w:r>
          </w:p>
        </w:tc>
        <w:tc>
          <w:tcPr>
            <w:tcW w:w="872"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19.4</w:t>
            </w:r>
          </w:p>
        </w:tc>
        <w:tc>
          <w:tcPr>
            <w:tcW w:w="597"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12.7</w:t>
            </w:r>
          </w:p>
        </w:tc>
        <w:tc>
          <w:tcPr>
            <w:tcW w:w="791" w:type="dxa"/>
            <w:tcBorders>
              <w:top w:val="single" w:sz="8" w:space="0" w:color="4F81BD"/>
              <w:left w:val="nil"/>
              <w:bottom w:val="nil"/>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62.3%</w:t>
            </w:r>
          </w:p>
        </w:tc>
        <w:tc>
          <w:tcPr>
            <w:tcW w:w="872" w:type="dxa"/>
            <w:tcBorders>
              <w:top w:val="single" w:sz="8" w:space="0" w:color="4F81BD"/>
              <w:left w:val="nil"/>
              <w:bottom w:val="nil"/>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65.5%</w:t>
            </w:r>
          </w:p>
        </w:tc>
        <w:tc>
          <w:tcPr>
            <w:tcW w:w="1044" w:type="dxa"/>
            <w:tcBorders>
              <w:top w:val="single" w:sz="8" w:space="0" w:color="4F81BD"/>
              <w:left w:val="nil"/>
              <w:bottom w:val="nil"/>
              <w:right w:val="single" w:sz="8" w:space="0" w:color="0070C0"/>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152.7%</w:t>
            </w:r>
          </w:p>
        </w:tc>
      </w:tr>
      <w:tr w:rsidR="000661E2" w:rsidRPr="00CF4BD1" w:rsidTr="00FB34AC">
        <w:trPr>
          <w:trHeight w:val="210"/>
          <w:jc w:val="center"/>
        </w:trPr>
        <w:tc>
          <w:tcPr>
            <w:tcW w:w="2022" w:type="dxa"/>
            <w:tcBorders>
              <w:top w:val="single" w:sz="4" w:space="0" w:color="0070C0"/>
              <w:left w:val="single" w:sz="8" w:space="0" w:color="0070C0"/>
              <w:bottom w:val="single" w:sz="4" w:space="0" w:color="0070C0"/>
              <w:right w:val="nil"/>
            </w:tcBorders>
            <w:shd w:val="clear" w:color="000000" w:fill="DCE6F1"/>
            <w:noWrap/>
            <w:vAlign w:val="center"/>
            <w:hideMark/>
          </w:tcPr>
          <w:p w:rsidR="000661E2" w:rsidRPr="00CF4BD1" w:rsidRDefault="000661E2" w:rsidP="00CF4BD1">
            <w:pPr>
              <w:spacing w:before="0"/>
              <w:jc w:val="center"/>
              <w:rPr>
                <w:rFonts w:asciiTheme="majorHAnsi" w:hAnsiTheme="majorHAnsi" w:cs="Calibri Light"/>
                <w:b/>
                <w:bCs/>
                <w:color w:val="203764"/>
                <w:sz w:val="16"/>
                <w:szCs w:val="18"/>
                <w:lang w:val="en-GB" w:eastAsia="en-GB"/>
              </w:rPr>
            </w:pPr>
            <w:r w:rsidRPr="00CF4BD1">
              <w:rPr>
                <w:rFonts w:asciiTheme="majorHAnsi" w:hAnsiTheme="majorHAnsi" w:cs="Calibri Light"/>
                <w:b/>
                <w:bCs/>
                <w:color w:val="203764"/>
                <w:sz w:val="16"/>
                <w:szCs w:val="18"/>
                <w:lang w:val="en-GB" w:eastAsia="en-GB"/>
              </w:rPr>
              <w:t>Të ardhura tatimore</w:t>
            </w:r>
          </w:p>
        </w:tc>
        <w:tc>
          <w:tcPr>
            <w:tcW w:w="598" w:type="dxa"/>
            <w:tcBorders>
              <w:top w:val="single" w:sz="4" w:space="0" w:color="0070C0"/>
              <w:left w:val="nil"/>
              <w:bottom w:val="single" w:sz="4" w:space="0" w:color="0070C0"/>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398.6</w:t>
            </w:r>
          </w:p>
        </w:tc>
        <w:tc>
          <w:tcPr>
            <w:tcW w:w="670" w:type="dxa"/>
            <w:tcBorders>
              <w:top w:val="single" w:sz="4" w:space="0" w:color="0070C0"/>
              <w:left w:val="nil"/>
              <w:bottom w:val="single" w:sz="4" w:space="0" w:color="0070C0"/>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419.3</w:t>
            </w:r>
          </w:p>
        </w:tc>
        <w:tc>
          <w:tcPr>
            <w:tcW w:w="597" w:type="dxa"/>
            <w:tcBorders>
              <w:top w:val="single" w:sz="4" w:space="0" w:color="0070C0"/>
              <w:left w:val="nil"/>
              <w:bottom w:val="single" w:sz="4" w:space="0" w:color="0070C0"/>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426.3</w:t>
            </w:r>
          </w:p>
        </w:tc>
        <w:tc>
          <w:tcPr>
            <w:tcW w:w="772" w:type="dxa"/>
            <w:tcBorders>
              <w:top w:val="single" w:sz="4" w:space="0" w:color="0070C0"/>
              <w:left w:val="nil"/>
              <w:bottom w:val="single" w:sz="4" w:space="0" w:color="0070C0"/>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398.7</w:t>
            </w:r>
          </w:p>
        </w:tc>
        <w:tc>
          <w:tcPr>
            <w:tcW w:w="1044" w:type="dxa"/>
            <w:tcBorders>
              <w:top w:val="single" w:sz="4" w:space="0" w:color="0070C0"/>
              <w:left w:val="nil"/>
              <w:bottom w:val="single" w:sz="4" w:space="0" w:color="0070C0"/>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93.5%</w:t>
            </w:r>
          </w:p>
        </w:tc>
        <w:tc>
          <w:tcPr>
            <w:tcW w:w="791" w:type="dxa"/>
            <w:tcBorders>
              <w:top w:val="single" w:sz="4" w:space="0" w:color="0070C0"/>
              <w:left w:val="nil"/>
              <w:bottom w:val="single" w:sz="4" w:space="0" w:color="0070C0"/>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442.2</w:t>
            </w:r>
          </w:p>
        </w:tc>
        <w:tc>
          <w:tcPr>
            <w:tcW w:w="872" w:type="dxa"/>
            <w:tcBorders>
              <w:top w:val="single" w:sz="4" w:space="0" w:color="0070C0"/>
              <w:left w:val="nil"/>
              <w:bottom w:val="single" w:sz="4" w:space="0" w:color="0070C0"/>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466.8</w:t>
            </w:r>
          </w:p>
        </w:tc>
        <w:tc>
          <w:tcPr>
            <w:tcW w:w="597" w:type="dxa"/>
            <w:tcBorders>
              <w:top w:val="single" w:sz="4" w:space="0" w:color="0070C0"/>
              <w:left w:val="nil"/>
              <w:bottom w:val="single" w:sz="4" w:space="0" w:color="0070C0"/>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475.6</w:t>
            </w:r>
          </w:p>
        </w:tc>
        <w:tc>
          <w:tcPr>
            <w:tcW w:w="791" w:type="dxa"/>
            <w:tcBorders>
              <w:top w:val="single" w:sz="4" w:space="0" w:color="0070C0"/>
              <w:left w:val="nil"/>
              <w:bottom w:val="single" w:sz="4" w:space="0" w:color="0070C0"/>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107.6%</w:t>
            </w:r>
          </w:p>
        </w:tc>
        <w:tc>
          <w:tcPr>
            <w:tcW w:w="872" w:type="dxa"/>
            <w:tcBorders>
              <w:top w:val="single" w:sz="4" w:space="0" w:color="0070C0"/>
              <w:left w:val="nil"/>
              <w:bottom w:val="single" w:sz="4" w:space="0" w:color="0070C0"/>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101.9%</w:t>
            </w:r>
          </w:p>
        </w:tc>
        <w:tc>
          <w:tcPr>
            <w:tcW w:w="1044" w:type="dxa"/>
            <w:tcBorders>
              <w:top w:val="single" w:sz="4" w:space="0" w:color="0070C0"/>
              <w:left w:val="nil"/>
              <w:bottom w:val="single" w:sz="4" w:space="0" w:color="0070C0"/>
              <w:right w:val="single" w:sz="8" w:space="0" w:color="0070C0"/>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119.3%</w:t>
            </w:r>
          </w:p>
        </w:tc>
      </w:tr>
      <w:tr w:rsidR="000661E2" w:rsidRPr="00CF4BD1" w:rsidTr="00FB34AC">
        <w:trPr>
          <w:trHeight w:val="210"/>
          <w:jc w:val="center"/>
        </w:trPr>
        <w:tc>
          <w:tcPr>
            <w:tcW w:w="2022" w:type="dxa"/>
            <w:tcBorders>
              <w:top w:val="nil"/>
              <w:left w:val="single" w:sz="8" w:space="0" w:color="0070C0"/>
              <w:bottom w:val="nil"/>
              <w:right w:val="nil"/>
            </w:tcBorders>
            <w:shd w:val="clear" w:color="000000" w:fill="DCE6F1"/>
            <w:noWrap/>
            <w:vAlign w:val="center"/>
            <w:hideMark/>
          </w:tcPr>
          <w:p w:rsidR="000661E2" w:rsidRPr="00CF4BD1" w:rsidRDefault="000661E2" w:rsidP="00CF4BD1">
            <w:pPr>
              <w:spacing w:before="0"/>
              <w:jc w:val="center"/>
              <w:rPr>
                <w:rFonts w:asciiTheme="majorHAnsi" w:hAnsiTheme="majorHAnsi" w:cs="Calibri Light"/>
                <w:color w:val="203764"/>
                <w:sz w:val="16"/>
                <w:szCs w:val="18"/>
                <w:lang w:val="en-GB" w:eastAsia="en-GB"/>
              </w:rPr>
            </w:pPr>
            <w:r w:rsidRPr="00CF4BD1">
              <w:rPr>
                <w:rFonts w:asciiTheme="majorHAnsi" w:hAnsiTheme="majorHAnsi" w:cs="Calibri Light"/>
                <w:color w:val="203764"/>
                <w:sz w:val="16"/>
                <w:szCs w:val="18"/>
                <w:lang w:val="en-GB" w:eastAsia="en-GB"/>
              </w:rPr>
              <w:t>Tatimi mbi Vleren e Shtuar</w:t>
            </w:r>
          </w:p>
        </w:tc>
        <w:tc>
          <w:tcPr>
            <w:tcW w:w="598"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139.5</w:t>
            </w:r>
          </w:p>
        </w:tc>
        <w:tc>
          <w:tcPr>
            <w:tcW w:w="670"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143.5</w:t>
            </w:r>
          </w:p>
        </w:tc>
        <w:tc>
          <w:tcPr>
            <w:tcW w:w="597"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132.4</w:t>
            </w:r>
          </w:p>
        </w:tc>
        <w:tc>
          <w:tcPr>
            <w:tcW w:w="772"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130.4</w:t>
            </w:r>
          </w:p>
        </w:tc>
        <w:tc>
          <w:tcPr>
            <w:tcW w:w="1044"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98.4%</w:t>
            </w:r>
          </w:p>
        </w:tc>
        <w:tc>
          <w:tcPr>
            <w:tcW w:w="791" w:type="dxa"/>
            <w:tcBorders>
              <w:top w:val="nil"/>
              <w:left w:val="nil"/>
              <w:bottom w:val="nil"/>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148.6</w:t>
            </w:r>
          </w:p>
        </w:tc>
        <w:tc>
          <w:tcPr>
            <w:tcW w:w="872"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160.1</w:t>
            </w:r>
          </w:p>
        </w:tc>
        <w:tc>
          <w:tcPr>
            <w:tcW w:w="597"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161.5</w:t>
            </w:r>
          </w:p>
        </w:tc>
        <w:tc>
          <w:tcPr>
            <w:tcW w:w="791" w:type="dxa"/>
            <w:tcBorders>
              <w:top w:val="nil"/>
              <w:left w:val="nil"/>
              <w:bottom w:val="nil"/>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108.7%</w:t>
            </w:r>
          </w:p>
        </w:tc>
        <w:tc>
          <w:tcPr>
            <w:tcW w:w="872" w:type="dxa"/>
            <w:tcBorders>
              <w:top w:val="nil"/>
              <w:left w:val="nil"/>
              <w:bottom w:val="nil"/>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100.9%</w:t>
            </w:r>
          </w:p>
        </w:tc>
        <w:tc>
          <w:tcPr>
            <w:tcW w:w="1044" w:type="dxa"/>
            <w:tcBorders>
              <w:top w:val="nil"/>
              <w:left w:val="nil"/>
              <w:bottom w:val="nil"/>
              <w:right w:val="single" w:sz="8" w:space="0" w:color="0070C0"/>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123.9%</w:t>
            </w:r>
          </w:p>
        </w:tc>
      </w:tr>
      <w:tr w:rsidR="000661E2" w:rsidRPr="00CF4BD1" w:rsidTr="00FB34AC">
        <w:trPr>
          <w:trHeight w:val="210"/>
          <w:jc w:val="center"/>
        </w:trPr>
        <w:tc>
          <w:tcPr>
            <w:tcW w:w="2022" w:type="dxa"/>
            <w:tcBorders>
              <w:top w:val="nil"/>
              <w:left w:val="single" w:sz="8" w:space="0" w:color="0070C0"/>
              <w:bottom w:val="nil"/>
              <w:right w:val="nil"/>
            </w:tcBorders>
            <w:shd w:val="clear" w:color="000000" w:fill="DCE6F1"/>
            <w:noWrap/>
            <w:vAlign w:val="center"/>
            <w:hideMark/>
          </w:tcPr>
          <w:p w:rsidR="000661E2" w:rsidRPr="00CF4BD1" w:rsidRDefault="000661E2" w:rsidP="00CF4BD1">
            <w:pPr>
              <w:spacing w:before="0"/>
              <w:jc w:val="center"/>
              <w:rPr>
                <w:rFonts w:asciiTheme="majorHAnsi" w:hAnsiTheme="majorHAnsi" w:cs="Calibri Light"/>
                <w:color w:val="203764"/>
                <w:sz w:val="16"/>
                <w:szCs w:val="18"/>
                <w:lang w:val="en-GB" w:eastAsia="en-GB"/>
              </w:rPr>
            </w:pPr>
            <w:r w:rsidRPr="00CF4BD1">
              <w:rPr>
                <w:rFonts w:asciiTheme="majorHAnsi" w:hAnsiTheme="majorHAnsi" w:cs="Calibri Light"/>
                <w:color w:val="203764"/>
                <w:sz w:val="16"/>
                <w:szCs w:val="18"/>
                <w:lang w:val="en-GB" w:eastAsia="en-GB"/>
              </w:rPr>
              <w:t>Tatimi mbi Fitimin</w:t>
            </w:r>
          </w:p>
        </w:tc>
        <w:tc>
          <w:tcPr>
            <w:tcW w:w="598"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31.6</w:t>
            </w:r>
          </w:p>
        </w:tc>
        <w:tc>
          <w:tcPr>
            <w:tcW w:w="670"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34.5</w:t>
            </w:r>
          </w:p>
        </w:tc>
        <w:tc>
          <w:tcPr>
            <w:tcW w:w="597"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36.6</w:t>
            </w:r>
          </w:p>
        </w:tc>
        <w:tc>
          <w:tcPr>
            <w:tcW w:w="772"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28.4</w:t>
            </w:r>
          </w:p>
        </w:tc>
        <w:tc>
          <w:tcPr>
            <w:tcW w:w="1044"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77.6%</w:t>
            </w:r>
          </w:p>
        </w:tc>
        <w:tc>
          <w:tcPr>
            <w:tcW w:w="791" w:type="dxa"/>
            <w:tcBorders>
              <w:top w:val="nil"/>
              <w:left w:val="nil"/>
              <w:bottom w:val="nil"/>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33.0</w:t>
            </w:r>
          </w:p>
        </w:tc>
        <w:tc>
          <w:tcPr>
            <w:tcW w:w="872"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33.6</w:t>
            </w:r>
          </w:p>
        </w:tc>
        <w:tc>
          <w:tcPr>
            <w:tcW w:w="597"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35.6</w:t>
            </w:r>
          </w:p>
        </w:tc>
        <w:tc>
          <w:tcPr>
            <w:tcW w:w="791" w:type="dxa"/>
            <w:tcBorders>
              <w:top w:val="nil"/>
              <w:left w:val="nil"/>
              <w:bottom w:val="nil"/>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107.8%</w:t>
            </w:r>
          </w:p>
        </w:tc>
        <w:tc>
          <w:tcPr>
            <w:tcW w:w="872" w:type="dxa"/>
            <w:tcBorders>
              <w:top w:val="nil"/>
              <w:left w:val="nil"/>
              <w:bottom w:val="nil"/>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105.9%</w:t>
            </w:r>
          </w:p>
        </w:tc>
        <w:tc>
          <w:tcPr>
            <w:tcW w:w="1044" w:type="dxa"/>
            <w:tcBorders>
              <w:top w:val="nil"/>
              <w:left w:val="nil"/>
              <w:bottom w:val="nil"/>
              <w:right w:val="single" w:sz="8" w:space="0" w:color="0070C0"/>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125.5%</w:t>
            </w:r>
          </w:p>
        </w:tc>
      </w:tr>
      <w:tr w:rsidR="000661E2" w:rsidRPr="00CF4BD1" w:rsidTr="00FB34AC">
        <w:trPr>
          <w:trHeight w:val="210"/>
          <w:jc w:val="center"/>
        </w:trPr>
        <w:tc>
          <w:tcPr>
            <w:tcW w:w="2022" w:type="dxa"/>
            <w:tcBorders>
              <w:top w:val="nil"/>
              <w:left w:val="single" w:sz="8" w:space="0" w:color="0070C0"/>
              <w:bottom w:val="nil"/>
              <w:right w:val="nil"/>
            </w:tcBorders>
            <w:shd w:val="clear" w:color="000000" w:fill="DCE6F1"/>
            <w:noWrap/>
            <w:vAlign w:val="center"/>
            <w:hideMark/>
          </w:tcPr>
          <w:p w:rsidR="000661E2" w:rsidRPr="00CF4BD1" w:rsidRDefault="000661E2" w:rsidP="00CF4BD1">
            <w:pPr>
              <w:spacing w:before="0"/>
              <w:jc w:val="center"/>
              <w:rPr>
                <w:rFonts w:asciiTheme="majorHAnsi" w:hAnsiTheme="majorHAnsi" w:cs="Calibri Light"/>
                <w:color w:val="203764"/>
                <w:sz w:val="16"/>
                <w:szCs w:val="18"/>
                <w:lang w:val="en-GB" w:eastAsia="en-GB"/>
              </w:rPr>
            </w:pPr>
            <w:r w:rsidRPr="00CF4BD1">
              <w:rPr>
                <w:rFonts w:asciiTheme="majorHAnsi" w:hAnsiTheme="majorHAnsi" w:cs="Calibri Light"/>
                <w:color w:val="203764"/>
                <w:sz w:val="16"/>
                <w:szCs w:val="18"/>
                <w:lang w:val="en-GB" w:eastAsia="en-GB"/>
              </w:rPr>
              <w:t>Akcizat</w:t>
            </w:r>
          </w:p>
        </w:tc>
        <w:tc>
          <w:tcPr>
            <w:tcW w:w="598"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45.1</w:t>
            </w:r>
          </w:p>
        </w:tc>
        <w:tc>
          <w:tcPr>
            <w:tcW w:w="670"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45.0</w:t>
            </w:r>
          </w:p>
        </w:tc>
        <w:tc>
          <w:tcPr>
            <w:tcW w:w="597"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46.7</w:t>
            </w:r>
          </w:p>
        </w:tc>
        <w:tc>
          <w:tcPr>
            <w:tcW w:w="772"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44.5</w:t>
            </w:r>
          </w:p>
        </w:tc>
        <w:tc>
          <w:tcPr>
            <w:tcW w:w="1044"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95.2%</w:t>
            </w:r>
          </w:p>
        </w:tc>
        <w:tc>
          <w:tcPr>
            <w:tcW w:w="791" w:type="dxa"/>
            <w:tcBorders>
              <w:top w:val="nil"/>
              <w:left w:val="nil"/>
              <w:bottom w:val="nil"/>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49.0</w:t>
            </w:r>
          </w:p>
        </w:tc>
        <w:tc>
          <w:tcPr>
            <w:tcW w:w="872"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51.4</w:t>
            </w:r>
          </w:p>
        </w:tc>
        <w:tc>
          <w:tcPr>
            <w:tcW w:w="597"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51.6</w:t>
            </w:r>
          </w:p>
        </w:tc>
        <w:tc>
          <w:tcPr>
            <w:tcW w:w="791" w:type="dxa"/>
            <w:tcBorders>
              <w:top w:val="nil"/>
              <w:left w:val="nil"/>
              <w:bottom w:val="nil"/>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105.4%</w:t>
            </w:r>
          </w:p>
        </w:tc>
        <w:tc>
          <w:tcPr>
            <w:tcW w:w="872" w:type="dxa"/>
            <w:tcBorders>
              <w:top w:val="nil"/>
              <w:left w:val="nil"/>
              <w:bottom w:val="nil"/>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100.5%</w:t>
            </w:r>
          </w:p>
        </w:tc>
        <w:tc>
          <w:tcPr>
            <w:tcW w:w="1044" w:type="dxa"/>
            <w:tcBorders>
              <w:top w:val="nil"/>
              <w:left w:val="nil"/>
              <w:bottom w:val="nil"/>
              <w:right w:val="single" w:sz="8" w:space="0" w:color="0070C0"/>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116.0%</w:t>
            </w:r>
          </w:p>
        </w:tc>
      </w:tr>
      <w:tr w:rsidR="000661E2" w:rsidRPr="00CF4BD1" w:rsidTr="00FB34AC">
        <w:trPr>
          <w:trHeight w:val="210"/>
          <w:jc w:val="center"/>
        </w:trPr>
        <w:tc>
          <w:tcPr>
            <w:tcW w:w="2022" w:type="dxa"/>
            <w:tcBorders>
              <w:top w:val="nil"/>
              <w:left w:val="single" w:sz="8" w:space="0" w:color="0070C0"/>
              <w:bottom w:val="nil"/>
              <w:right w:val="nil"/>
            </w:tcBorders>
            <w:shd w:val="clear" w:color="000000" w:fill="DCE6F1"/>
            <w:noWrap/>
            <w:vAlign w:val="center"/>
            <w:hideMark/>
          </w:tcPr>
          <w:p w:rsidR="000661E2" w:rsidRPr="00CF4BD1" w:rsidRDefault="000661E2" w:rsidP="00CF4BD1">
            <w:pPr>
              <w:spacing w:before="0"/>
              <w:jc w:val="center"/>
              <w:rPr>
                <w:rFonts w:asciiTheme="majorHAnsi" w:hAnsiTheme="majorHAnsi" w:cs="Calibri Light"/>
                <w:color w:val="203764"/>
                <w:sz w:val="16"/>
                <w:szCs w:val="18"/>
                <w:lang w:val="en-GB" w:eastAsia="en-GB"/>
              </w:rPr>
            </w:pPr>
            <w:r w:rsidRPr="00CF4BD1">
              <w:rPr>
                <w:rFonts w:asciiTheme="majorHAnsi" w:hAnsiTheme="majorHAnsi" w:cs="Calibri Light"/>
                <w:color w:val="203764"/>
                <w:sz w:val="16"/>
                <w:szCs w:val="18"/>
                <w:lang w:val="en-GB" w:eastAsia="en-GB"/>
              </w:rPr>
              <w:t>Tatimi mbi te Ardhurat Personale</w:t>
            </w:r>
          </w:p>
        </w:tc>
        <w:tc>
          <w:tcPr>
            <w:tcW w:w="598"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32.1</w:t>
            </w:r>
          </w:p>
        </w:tc>
        <w:tc>
          <w:tcPr>
            <w:tcW w:w="670"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36.5</w:t>
            </w:r>
          </w:p>
        </w:tc>
        <w:tc>
          <w:tcPr>
            <w:tcW w:w="597"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46.1</w:t>
            </w:r>
          </w:p>
        </w:tc>
        <w:tc>
          <w:tcPr>
            <w:tcW w:w="772"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33.7</w:t>
            </w:r>
          </w:p>
        </w:tc>
        <w:tc>
          <w:tcPr>
            <w:tcW w:w="1044"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73.0%</w:t>
            </w:r>
          </w:p>
        </w:tc>
        <w:tc>
          <w:tcPr>
            <w:tcW w:w="791" w:type="dxa"/>
            <w:tcBorders>
              <w:top w:val="nil"/>
              <w:left w:val="nil"/>
              <w:bottom w:val="nil"/>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41.0</w:t>
            </w:r>
          </w:p>
        </w:tc>
        <w:tc>
          <w:tcPr>
            <w:tcW w:w="872"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41.2</w:t>
            </w:r>
          </w:p>
        </w:tc>
        <w:tc>
          <w:tcPr>
            <w:tcW w:w="597"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39.3</w:t>
            </w:r>
          </w:p>
        </w:tc>
        <w:tc>
          <w:tcPr>
            <w:tcW w:w="791" w:type="dxa"/>
            <w:tcBorders>
              <w:top w:val="nil"/>
              <w:left w:val="nil"/>
              <w:bottom w:val="nil"/>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95.9%</w:t>
            </w:r>
          </w:p>
        </w:tc>
        <w:tc>
          <w:tcPr>
            <w:tcW w:w="872" w:type="dxa"/>
            <w:tcBorders>
              <w:top w:val="nil"/>
              <w:left w:val="nil"/>
              <w:bottom w:val="nil"/>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95.4%</w:t>
            </w:r>
          </w:p>
        </w:tc>
        <w:tc>
          <w:tcPr>
            <w:tcW w:w="1044" w:type="dxa"/>
            <w:tcBorders>
              <w:top w:val="nil"/>
              <w:left w:val="nil"/>
              <w:bottom w:val="nil"/>
              <w:right w:val="single" w:sz="8" w:space="0" w:color="0070C0"/>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116.8%</w:t>
            </w:r>
          </w:p>
        </w:tc>
      </w:tr>
      <w:tr w:rsidR="000661E2" w:rsidRPr="00CF4BD1" w:rsidTr="00FB34AC">
        <w:trPr>
          <w:trHeight w:val="210"/>
          <w:jc w:val="center"/>
        </w:trPr>
        <w:tc>
          <w:tcPr>
            <w:tcW w:w="2022" w:type="dxa"/>
            <w:tcBorders>
              <w:top w:val="nil"/>
              <w:left w:val="single" w:sz="8" w:space="0" w:color="0070C0"/>
              <w:bottom w:val="nil"/>
              <w:right w:val="nil"/>
            </w:tcBorders>
            <w:shd w:val="clear" w:color="000000" w:fill="DCE6F1"/>
            <w:noWrap/>
            <w:vAlign w:val="center"/>
            <w:hideMark/>
          </w:tcPr>
          <w:p w:rsidR="000661E2" w:rsidRPr="00CF4BD1" w:rsidRDefault="000661E2" w:rsidP="00CF4BD1">
            <w:pPr>
              <w:spacing w:before="0"/>
              <w:jc w:val="center"/>
              <w:rPr>
                <w:rFonts w:asciiTheme="majorHAnsi" w:hAnsiTheme="majorHAnsi" w:cs="Calibri Light"/>
                <w:color w:val="203764"/>
                <w:sz w:val="16"/>
                <w:szCs w:val="18"/>
                <w:lang w:val="en-GB" w:eastAsia="en-GB"/>
              </w:rPr>
            </w:pPr>
            <w:r w:rsidRPr="00CF4BD1">
              <w:rPr>
                <w:rFonts w:asciiTheme="majorHAnsi" w:hAnsiTheme="majorHAnsi" w:cs="Calibri Light"/>
                <w:color w:val="203764"/>
                <w:sz w:val="16"/>
                <w:szCs w:val="18"/>
                <w:lang w:val="en-GB" w:eastAsia="en-GB"/>
              </w:rPr>
              <w:t>Taksa Nacionale dhe te tjera</w:t>
            </w:r>
          </w:p>
        </w:tc>
        <w:tc>
          <w:tcPr>
            <w:tcW w:w="598"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38.5</w:t>
            </w:r>
          </w:p>
        </w:tc>
        <w:tc>
          <w:tcPr>
            <w:tcW w:w="670"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38.7</w:t>
            </w:r>
          </w:p>
        </w:tc>
        <w:tc>
          <w:tcPr>
            <w:tcW w:w="597"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36.4</w:t>
            </w:r>
          </w:p>
        </w:tc>
        <w:tc>
          <w:tcPr>
            <w:tcW w:w="772"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35.8</w:t>
            </w:r>
          </w:p>
        </w:tc>
        <w:tc>
          <w:tcPr>
            <w:tcW w:w="1044"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98.4%</w:t>
            </w:r>
          </w:p>
        </w:tc>
        <w:tc>
          <w:tcPr>
            <w:tcW w:w="791" w:type="dxa"/>
            <w:tcBorders>
              <w:top w:val="nil"/>
              <w:left w:val="nil"/>
              <w:bottom w:val="nil"/>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38.0</w:t>
            </w:r>
          </w:p>
        </w:tc>
        <w:tc>
          <w:tcPr>
            <w:tcW w:w="872"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39.5</w:t>
            </w:r>
          </w:p>
        </w:tc>
        <w:tc>
          <w:tcPr>
            <w:tcW w:w="597"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42.5</w:t>
            </w:r>
          </w:p>
        </w:tc>
        <w:tc>
          <w:tcPr>
            <w:tcW w:w="791" w:type="dxa"/>
            <w:tcBorders>
              <w:top w:val="nil"/>
              <w:left w:val="nil"/>
              <w:bottom w:val="nil"/>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111.9%</w:t>
            </w:r>
          </w:p>
        </w:tc>
        <w:tc>
          <w:tcPr>
            <w:tcW w:w="872" w:type="dxa"/>
            <w:tcBorders>
              <w:top w:val="nil"/>
              <w:left w:val="nil"/>
              <w:bottom w:val="nil"/>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107.6%</w:t>
            </w:r>
          </w:p>
        </w:tc>
        <w:tc>
          <w:tcPr>
            <w:tcW w:w="1044" w:type="dxa"/>
            <w:tcBorders>
              <w:top w:val="nil"/>
              <w:left w:val="nil"/>
              <w:bottom w:val="nil"/>
              <w:right w:val="single" w:sz="8" w:space="0" w:color="0070C0"/>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118.7%</w:t>
            </w:r>
          </w:p>
        </w:tc>
      </w:tr>
      <w:tr w:rsidR="000661E2" w:rsidRPr="00CF4BD1" w:rsidTr="00FB34AC">
        <w:trPr>
          <w:trHeight w:val="210"/>
          <w:jc w:val="center"/>
        </w:trPr>
        <w:tc>
          <w:tcPr>
            <w:tcW w:w="2022" w:type="dxa"/>
            <w:tcBorders>
              <w:top w:val="nil"/>
              <w:left w:val="single" w:sz="8" w:space="0" w:color="0070C0"/>
              <w:bottom w:val="nil"/>
              <w:right w:val="nil"/>
            </w:tcBorders>
            <w:shd w:val="clear" w:color="000000" w:fill="DCE6F1"/>
            <w:noWrap/>
            <w:vAlign w:val="center"/>
            <w:hideMark/>
          </w:tcPr>
          <w:p w:rsidR="000661E2" w:rsidRPr="00CF4BD1" w:rsidRDefault="000661E2" w:rsidP="00CF4BD1">
            <w:pPr>
              <w:spacing w:before="0"/>
              <w:jc w:val="center"/>
              <w:rPr>
                <w:rFonts w:asciiTheme="majorHAnsi" w:hAnsiTheme="majorHAnsi" w:cs="Calibri Light"/>
                <w:color w:val="203764"/>
                <w:sz w:val="16"/>
                <w:szCs w:val="18"/>
                <w:lang w:val="en-GB" w:eastAsia="en-GB"/>
              </w:rPr>
            </w:pPr>
            <w:r w:rsidRPr="00CF4BD1">
              <w:rPr>
                <w:rFonts w:asciiTheme="majorHAnsi" w:hAnsiTheme="majorHAnsi" w:cs="Calibri Light"/>
                <w:color w:val="203764"/>
                <w:sz w:val="16"/>
                <w:szCs w:val="18"/>
                <w:lang w:val="en-GB" w:eastAsia="en-GB"/>
              </w:rPr>
              <w:t>Taksa Doganore</w:t>
            </w:r>
          </w:p>
        </w:tc>
        <w:tc>
          <w:tcPr>
            <w:tcW w:w="598"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6.5</w:t>
            </w:r>
          </w:p>
        </w:tc>
        <w:tc>
          <w:tcPr>
            <w:tcW w:w="670"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6.2</w:t>
            </w:r>
          </w:p>
        </w:tc>
        <w:tc>
          <w:tcPr>
            <w:tcW w:w="597"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6.5</w:t>
            </w:r>
          </w:p>
        </w:tc>
        <w:tc>
          <w:tcPr>
            <w:tcW w:w="772"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6.2</w:t>
            </w:r>
          </w:p>
        </w:tc>
        <w:tc>
          <w:tcPr>
            <w:tcW w:w="1044"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96.3%</w:t>
            </w:r>
          </w:p>
        </w:tc>
        <w:tc>
          <w:tcPr>
            <w:tcW w:w="791" w:type="dxa"/>
            <w:tcBorders>
              <w:top w:val="nil"/>
              <w:left w:val="nil"/>
              <w:bottom w:val="nil"/>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6.5</w:t>
            </w:r>
          </w:p>
        </w:tc>
        <w:tc>
          <w:tcPr>
            <w:tcW w:w="872"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7.0</w:t>
            </w:r>
          </w:p>
        </w:tc>
        <w:tc>
          <w:tcPr>
            <w:tcW w:w="597"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7.5</w:t>
            </w:r>
          </w:p>
        </w:tc>
        <w:tc>
          <w:tcPr>
            <w:tcW w:w="791" w:type="dxa"/>
            <w:tcBorders>
              <w:top w:val="nil"/>
              <w:left w:val="nil"/>
              <w:bottom w:val="nil"/>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114.7%</w:t>
            </w:r>
          </w:p>
        </w:tc>
        <w:tc>
          <w:tcPr>
            <w:tcW w:w="872" w:type="dxa"/>
            <w:tcBorders>
              <w:top w:val="nil"/>
              <w:left w:val="nil"/>
              <w:bottom w:val="nil"/>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106.5%</w:t>
            </w:r>
          </w:p>
        </w:tc>
        <w:tc>
          <w:tcPr>
            <w:tcW w:w="1044" w:type="dxa"/>
            <w:tcBorders>
              <w:top w:val="nil"/>
              <w:left w:val="nil"/>
              <w:bottom w:val="nil"/>
              <w:right w:val="single" w:sz="8" w:space="0" w:color="0070C0"/>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119.5%</w:t>
            </w:r>
          </w:p>
        </w:tc>
      </w:tr>
      <w:tr w:rsidR="000661E2" w:rsidRPr="00CF4BD1" w:rsidTr="00FB34AC">
        <w:trPr>
          <w:trHeight w:val="210"/>
          <w:jc w:val="center"/>
        </w:trPr>
        <w:tc>
          <w:tcPr>
            <w:tcW w:w="2022" w:type="dxa"/>
            <w:tcBorders>
              <w:top w:val="nil"/>
              <w:left w:val="single" w:sz="8" w:space="0" w:color="0070C0"/>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Calibri Light"/>
                <w:color w:val="203764"/>
                <w:sz w:val="16"/>
                <w:szCs w:val="18"/>
                <w:lang w:val="en-GB" w:eastAsia="en-GB"/>
              </w:rPr>
            </w:pPr>
            <w:r w:rsidRPr="00CF4BD1">
              <w:rPr>
                <w:rFonts w:asciiTheme="majorHAnsi" w:hAnsiTheme="majorHAnsi" w:cs="Calibri Light"/>
                <w:color w:val="203764"/>
                <w:sz w:val="16"/>
                <w:szCs w:val="18"/>
                <w:lang w:val="en-GB" w:eastAsia="en-GB"/>
              </w:rPr>
              <w:t>Të ardhura nga Pushteti Vendor</w:t>
            </w:r>
          </w:p>
        </w:tc>
        <w:tc>
          <w:tcPr>
            <w:tcW w:w="598"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18.4</w:t>
            </w:r>
          </w:p>
        </w:tc>
        <w:tc>
          <w:tcPr>
            <w:tcW w:w="670"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21.9</w:t>
            </w:r>
          </w:p>
        </w:tc>
        <w:tc>
          <w:tcPr>
            <w:tcW w:w="597"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23.1</w:t>
            </w:r>
          </w:p>
        </w:tc>
        <w:tc>
          <w:tcPr>
            <w:tcW w:w="772"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22.0</w:t>
            </w:r>
          </w:p>
        </w:tc>
        <w:tc>
          <w:tcPr>
            <w:tcW w:w="1044"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95.1%</w:t>
            </w:r>
          </w:p>
        </w:tc>
        <w:tc>
          <w:tcPr>
            <w:tcW w:w="791" w:type="dxa"/>
            <w:tcBorders>
              <w:top w:val="nil"/>
              <w:left w:val="nil"/>
              <w:bottom w:val="nil"/>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25.4</w:t>
            </w:r>
          </w:p>
        </w:tc>
        <w:tc>
          <w:tcPr>
            <w:tcW w:w="872"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25.9</w:t>
            </w:r>
          </w:p>
        </w:tc>
        <w:tc>
          <w:tcPr>
            <w:tcW w:w="597"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26.7</w:t>
            </w:r>
          </w:p>
        </w:tc>
        <w:tc>
          <w:tcPr>
            <w:tcW w:w="791"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104.9%</w:t>
            </w:r>
          </w:p>
        </w:tc>
        <w:tc>
          <w:tcPr>
            <w:tcW w:w="872"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102.9%</w:t>
            </w:r>
          </w:p>
        </w:tc>
        <w:tc>
          <w:tcPr>
            <w:tcW w:w="1044" w:type="dxa"/>
            <w:tcBorders>
              <w:top w:val="nil"/>
              <w:left w:val="nil"/>
              <w:bottom w:val="nil"/>
              <w:right w:val="single" w:sz="8" w:space="0" w:color="0070C0"/>
            </w:tcBorders>
            <w:shd w:val="clear" w:color="auto" w:fill="auto"/>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121.3%</w:t>
            </w:r>
          </w:p>
        </w:tc>
      </w:tr>
      <w:tr w:rsidR="000661E2" w:rsidRPr="00CF4BD1" w:rsidTr="00FB34AC">
        <w:trPr>
          <w:trHeight w:val="210"/>
          <w:jc w:val="center"/>
        </w:trPr>
        <w:tc>
          <w:tcPr>
            <w:tcW w:w="2022" w:type="dxa"/>
            <w:tcBorders>
              <w:top w:val="nil"/>
              <w:left w:val="single" w:sz="8" w:space="0" w:color="0070C0"/>
              <w:bottom w:val="nil"/>
              <w:right w:val="nil"/>
            </w:tcBorders>
            <w:shd w:val="clear" w:color="000000" w:fill="DCE6F1"/>
            <w:noWrap/>
            <w:vAlign w:val="center"/>
            <w:hideMark/>
          </w:tcPr>
          <w:p w:rsidR="000661E2" w:rsidRPr="00CF4BD1" w:rsidRDefault="000661E2" w:rsidP="00CF4BD1">
            <w:pPr>
              <w:spacing w:before="0"/>
              <w:jc w:val="center"/>
              <w:rPr>
                <w:rFonts w:asciiTheme="majorHAnsi" w:hAnsiTheme="majorHAnsi" w:cs="Calibri Light"/>
                <w:color w:val="203764"/>
                <w:sz w:val="16"/>
                <w:szCs w:val="18"/>
                <w:lang w:val="en-GB" w:eastAsia="en-GB"/>
              </w:rPr>
            </w:pPr>
            <w:r w:rsidRPr="00CF4BD1">
              <w:rPr>
                <w:rFonts w:asciiTheme="majorHAnsi" w:hAnsiTheme="majorHAnsi" w:cs="Calibri Light"/>
                <w:color w:val="203764"/>
                <w:sz w:val="16"/>
                <w:szCs w:val="18"/>
                <w:lang w:val="en-GB" w:eastAsia="en-GB"/>
              </w:rPr>
              <w:t>Të ardhura nga fondet speciale</w:t>
            </w:r>
          </w:p>
        </w:tc>
        <w:tc>
          <w:tcPr>
            <w:tcW w:w="598"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86.8</w:t>
            </w:r>
          </w:p>
        </w:tc>
        <w:tc>
          <w:tcPr>
            <w:tcW w:w="670"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93.2</w:t>
            </w:r>
          </w:p>
        </w:tc>
        <w:tc>
          <w:tcPr>
            <w:tcW w:w="597"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98.4</w:t>
            </w:r>
          </w:p>
        </w:tc>
        <w:tc>
          <w:tcPr>
            <w:tcW w:w="772"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97.7</w:t>
            </w:r>
          </w:p>
        </w:tc>
        <w:tc>
          <w:tcPr>
            <w:tcW w:w="1044"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99.3%</w:t>
            </w:r>
          </w:p>
        </w:tc>
        <w:tc>
          <w:tcPr>
            <w:tcW w:w="791" w:type="dxa"/>
            <w:tcBorders>
              <w:top w:val="nil"/>
              <w:left w:val="nil"/>
              <w:bottom w:val="nil"/>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100.6</w:t>
            </w:r>
          </w:p>
        </w:tc>
        <w:tc>
          <w:tcPr>
            <w:tcW w:w="872"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108.1</w:t>
            </w:r>
          </w:p>
        </w:tc>
        <w:tc>
          <w:tcPr>
            <w:tcW w:w="597" w:type="dxa"/>
            <w:tcBorders>
              <w:top w:val="nil"/>
              <w:left w:val="nil"/>
              <w:bottom w:val="nil"/>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110.9</w:t>
            </w:r>
          </w:p>
        </w:tc>
        <w:tc>
          <w:tcPr>
            <w:tcW w:w="791" w:type="dxa"/>
            <w:tcBorders>
              <w:top w:val="nil"/>
              <w:left w:val="nil"/>
              <w:bottom w:val="nil"/>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110.3%</w:t>
            </w:r>
          </w:p>
        </w:tc>
        <w:tc>
          <w:tcPr>
            <w:tcW w:w="872" w:type="dxa"/>
            <w:tcBorders>
              <w:top w:val="nil"/>
              <w:left w:val="nil"/>
              <w:bottom w:val="nil"/>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102.6%</w:t>
            </w:r>
          </w:p>
        </w:tc>
        <w:tc>
          <w:tcPr>
            <w:tcW w:w="1044" w:type="dxa"/>
            <w:tcBorders>
              <w:top w:val="nil"/>
              <w:left w:val="nil"/>
              <w:bottom w:val="nil"/>
              <w:right w:val="single" w:sz="8" w:space="0" w:color="0070C0"/>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113.5%</w:t>
            </w:r>
          </w:p>
        </w:tc>
      </w:tr>
      <w:tr w:rsidR="000661E2" w:rsidRPr="00CF4BD1" w:rsidTr="00FB34AC">
        <w:trPr>
          <w:trHeight w:val="210"/>
          <w:jc w:val="center"/>
        </w:trPr>
        <w:tc>
          <w:tcPr>
            <w:tcW w:w="2022" w:type="dxa"/>
            <w:tcBorders>
              <w:top w:val="single" w:sz="4" w:space="0" w:color="0070C0"/>
              <w:left w:val="single" w:sz="8" w:space="0" w:color="0070C0"/>
              <w:bottom w:val="single" w:sz="4" w:space="0" w:color="0070C0"/>
              <w:right w:val="nil"/>
            </w:tcBorders>
            <w:shd w:val="clear" w:color="000000" w:fill="DCE6F1"/>
            <w:noWrap/>
            <w:vAlign w:val="center"/>
            <w:hideMark/>
          </w:tcPr>
          <w:p w:rsidR="000661E2" w:rsidRPr="00CF4BD1" w:rsidRDefault="000661E2" w:rsidP="00CF4BD1">
            <w:pPr>
              <w:spacing w:before="0"/>
              <w:jc w:val="center"/>
              <w:rPr>
                <w:rFonts w:asciiTheme="majorHAnsi" w:hAnsiTheme="majorHAnsi" w:cs="Calibri Light"/>
                <w:b/>
                <w:bCs/>
                <w:color w:val="203764"/>
                <w:sz w:val="16"/>
                <w:szCs w:val="18"/>
                <w:lang w:val="en-GB" w:eastAsia="en-GB"/>
              </w:rPr>
            </w:pPr>
            <w:r w:rsidRPr="00CF4BD1">
              <w:rPr>
                <w:rFonts w:asciiTheme="majorHAnsi" w:hAnsiTheme="majorHAnsi" w:cs="Calibri Light"/>
                <w:b/>
                <w:bCs/>
                <w:color w:val="203764"/>
                <w:sz w:val="16"/>
                <w:szCs w:val="18"/>
                <w:lang w:val="en-GB" w:eastAsia="en-GB"/>
              </w:rPr>
              <w:t>Të ardhura jotatimore</w:t>
            </w:r>
          </w:p>
        </w:tc>
        <w:tc>
          <w:tcPr>
            <w:tcW w:w="598" w:type="dxa"/>
            <w:tcBorders>
              <w:top w:val="single" w:sz="4" w:space="0" w:color="0070C0"/>
              <w:left w:val="nil"/>
              <w:bottom w:val="single" w:sz="4" w:space="0" w:color="0070C0"/>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000000"/>
                <w:sz w:val="16"/>
                <w:szCs w:val="18"/>
                <w:lang w:val="en-GB" w:eastAsia="en-GB"/>
              </w:rPr>
            </w:pPr>
            <w:r w:rsidRPr="00CF4BD1">
              <w:rPr>
                <w:rFonts w:asciiTheme="majorHAnsi" w:hAnsiTheme="majorHAnsi" w:cstheme="majorHAnsi"/>
                <w:color w:val="000000"/>
                <w:sz w:val="16"/>
                <w:szCs w:val="18"/>
                <w:lang w:val="en-GB" w:eastAsia="en-GB"/>
              </w:rPr>
              <w:t>20.7</w:t>
            </w:r>
          </w:p>
        </w:tc>
        <w:tc>
          <w:tcPr>
            <w:tcW w:w="670" w:type="dxa"/>
            <w:tcBorders>
              <w:top w:val="single" w:sz="4" w:space="0" w:color="0070C0"/>
              <w:left w:val="nil"/>
              <w:bottom w:val="single" w:sz="4" w:space="0" w:color="0070C0"/>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000000"/>
                <w:sz w:val="16"/>
                <w:szCs w:val="18"/>
                <w:lang w:val="en-GB" w:eastAsia="en-GB"/>
              </w:rPr>
            </w:pPr>
            <w:r w:rsidRPr="00CF4BD1">
              <w:rPr>
                <w:rFonts w:asciiTheme="majorHAnsi" w:hAnsiTheme="majorHAnsi" w:cstheme="majorHAnsi"/>
                <w:color w:val="000000"/>
                <w:sz w:val="16"/>
                <w:szCs w:val="18"/>
                <w:lang w:val="en-GB" w:eastAsia="en-GB"/>
              </w:rPr>
              <w:t>22.4</w:t>
            </w:r>
          </w:p>
        </w:tc>
        <w:tc>
          <w:tcPr>
            <w:tcW w:w="597" w:type="dxa"/>
            <w:tcBorders>
              <w:top w:val="single" w:sz="4" w:space="0" w:color="0070C0"/>
              <w:left w:val="nil"/>
              <w:bottom w:val="single" w:sz="4" w:space="0" w:color="0070C0"/>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000000"/>
                <w:sz w:val="16"/>
                <w:szCs w:val="18"/>
                <w:lang w:val="en-GB" w:eastAsia="en-GB"/>
              </w:rPr>
            </w:pPr>
            <w:r w:rsidRPr="00CF4BD1">
              <w:rPr>
                <w:rFonts w:asciiTheme="majorHAnsi" w:hAnsiTheme="majorHAnsi" w:cstheme="majorHAnsi"/>
                <w:color w:val="000000"/>
                <w:sz w:val="16"/>
                <w:szCs w:val="18"/>
                <w:lang w:val="en-GB" w:eastAsia="en-GB"/>
              </w:rPr>
              <w:t>23.5</w:t>
            </w:r>
          </w:p>
        </w:tc>
        <w:tc>
          <w:tcPr>
            <w:tcW w:w="772" w:type="dxa"/>
            <w:tcBorders>
              <w:top w:val="single" w:sz="4" w:space="0" w:color="0070C0"/>
              <w:left w:val="nil"/>
              <w:bottom w:val="single" w:sz="4" w:space="0" w:color="0070C0"/>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000000"/>
                <w:sz w:val="16"/>
                <w:szCs w:val="18"/>
                <w:lang w:val="en-GB" w:eastAsia="en-GB"/>
              </w:rPr>
            </w:pPr>
            <w:r w:rsidRPr="00CF4BD1">
              <w:rPr>
                <w:rFonts w:asciiTheme="majorHAnsi" w:hAnsiTheme="majorHAnsi" w:cstheme="majorHAnsi"/>
                <w:color w:val="000000"/>
                <w:sz w:val="16"/>
                <w:szCs w:val="18"/>
                <w:lang w:val="en-GB" w:eastAsia="en-GB"/>
              </w:rPr>
              <w:t>19.0</w:t>
            </w:r>
          </w:p>
        </w:tc>
        <w:tc>
          <w:tcPr>
            <w:tcW w:w="1044" w:type="dxa"/>
            <w:tcBorders>
              <w:top w:val="single" w:sz="4" w:space="0" w:color="0070C0"/>
              <w:left w:val="nil"/>
              <w:bottom w:val="single" w:sz="4" w:space="0" w:color="0070C0"/>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80.8%</w:t>
            </w:r>
          </w:p>
        </w:tc>
        <w:tc>
          <w:tcPr>
            <w:tcW w:w="791" w:type="dxa"/>
            <w:tcBorders>
              <w:top w:val="single" w:sz="4" w:space="0" w:color="0070C0"/>
              <w:left w:val="nil"/>
              <w:bottom w:val="single" w:sz="4" w:space="0" w:color="0070C0"/>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21.6</w:t>
            </w:r>
          </w:p>
        </w:tc>
        <w:tc>
          <w:tcPr>
            <w:tcW w:w="872" w:type="dxa"/>
            <w:tcBorders>
              <w:top w:val="single" w:sz="4" w:space="0" w:color="0070C0"/>
              <w:left w:val="nil"/>
              <w:bottom w:val="single" w:sz="4" w:space="0" w:color="0070C0"/>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21.6</w:t>
            </w:r>
          </w:p>
        </w:tc>
        <w:tc>
          <w:tcPr>
            <w:tcW w:w="597" w:type="dxa"/>
            <w:tcBorders>
              <w:top w:val="single" w:sz="4" w:space="0" w:color="0070C0"/>
              <w:left w:val="nil"/>
              <w:bottom w:val="single" w:sz="4" w:space="0" w:color="0070C0"/>
              <w:right w:val="nil"/>
            </w:tcBorders>
            <w:shd w:val="clear" w:color="auto" w:fill="auto"/>
            <w:noWrap/>
            <w:vAlign w:val="center"/>
            <w:hideMark/>
          </w:tcPr>
          <w:p w:rsidR="000661E2" w:rsidRPr="00CF4BD1" w:rsidRDefault="000661E2" w:rsidP="00CF4BD1">
            <w:pPr>
              <w:spacing w:before="0"/>
              <w:jc w:val="center"/>
              <w:rPr>
                <w:rFonts w:asciiTheme="majorHAnsi" w:hAnsiTheme="majorHAnsi" w:cstheme="majorHAnsi"/>
                <w:color w:val="203764"/>
                <w:sz w:val="16"/>
                <w:szCs w:val="18"/>
                <w:lang w:val="en-GB" w:eastAsia="en-GB"/>
              </w:rPr>
            </w:pPr>
            <w:r w:rsidRPr="00CF4BD1">
              <w:rPr>
                <w:rFonts w:asciiTheme="majorHAnsi" w:hAnsiTheme="majorHAnsi" w:cstheme="majorHAnsi"/>
                <w:color w:val="203764"/>
                <w:sz w:val="16"/>
                <w:szCs w:val="18"/>
                <w:lang w:val="en-GB" w:eastAsia="en-GB"/>
              </w:rPr>
              <w:t>22.3</w:t>
            </w:r>
          </w:p>
        </w:tc>
        <w:tc>
          <w:tcPr>
            <w:tcW w:w="791" w:type="dxa"/>
            <w:tcBorders>
              <w:top w:val="single" w:sz="4" w:space="0" w:color="0070C0"/>
              <w:left w:val="nil"/>
              <w:bottom w:val="single" w:sz="4" w:space="0" w:color="0070C0"/>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103.2%</w:t>
            </w:r>
          </w:p>
        </w:tc>
        <w:tc>
          <w:tcPr>
            <w:tcW w:w="872" w:type="dxa"/>
            <w:tcBorders>
              <w:top w:val="single" w:sz="4" w:space="0" w:color="0070C0"/>
              <w:left w:val="nil"/>
              <w:bottom w:val="single" w:sz="4" w:space="0" w:color="0070C0"/>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103.2%</w:t>
            </w:r>
          </w:p>
        </w:tc>
        <w:tc>
          <w:tcPr>
            <w:tcW w:w="1044" w:type="dxa"/>
            <w:tcBorders>
              <w:top w:val="single" w:sz="4" w:space="0" w:color="0070C0"/>
              <w:left w:val="nil"/>
              <w:bottom w:val="single" w:sz="4" w:space="0" w:color="0070C0"/>
              <w:right w:val="single" w:sz="8" w:space="0" w:color="0070C0"/>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117.6%</w:t>
            </w:r>
          </w:p>
        </w:tc>
      </w:tr>
      <w:tr w:rsidR="000661E2" w:rsidRPr="00CF4BD1" w:rsidTr="00FB34AC">
        <w:trPr>
          <w:trHeight w:val="220"/>
          <w:jc w:val="center"/>
        </w:trPr>
        <w:tc>
          <w:tcPr>
            <w:tcW w:w="2022" w:type="dxa"/>
            <w:tcBorders>
              <w:top w:val="nil"/>
              <w:left w:val="single" w:sz="8" w:space="0" w:color="0070C0"/>
              <w:bottom w:val="single" w:sz="8" w:space="0" w:color="0070C0"/>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Calibri Light"/>
                <w:b/>
                <w:bCs/>
                <w:color w:val="203764"/>
                <w:sz w:val="16"/>
                <w:szCs w:val="18"/>
                <w:lang w:val="en-GB" w:eastAsia="en-GB"/>
              </w:rPr>
            </w:pPr>
            <w:r w:rsidRPr="00CF4BD1">
              <w:rPr>
                <w:rFonts w:asciiTheme="majorHAnsi" w:hAnsiTheme="majorHAnsi" w:cs="Calibri Light"/>
                <w:b/>
                <w:bCs/>
                <w:color w:val="203764"/>
                <w:sz w:val="16"/>
                <w:szCs w:val="18"/>
                <w:lang w:val="en-GB" w:eastAsia="en-GB"/>
              </w:rPr>
              <w:t>TOTALI I TË ARDHURAVE</w:t>
            </w:r>
          </w:p>
        </w:tc>
        <w:tc>
          <w:tcPr>
            <w:tcW w:w="598" w:type="dxa"/>
            <w:tcBorders>
              <w:top w:val="nil"/>
              <w:left w:val="nil"/>
              <w:bottom w:val="single" w:sz="8" w:space="0" w:color="0070C0"/>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430</w:t>
            </w:r>
          </w:p>
        </w:tc>
        <w:tc>
          <w:tcPr>
            <w:tcW w:w="670" w:type="dxa"/>
            <w:tcBorders>
              <w:top w:val="nil"/>
              <w:left w:val="nil"/>
              <w:bottom w:val="single" w:sz="8" w:space="0" w:color="0070C0"/>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450</w:t>
            </w:r>
          </w:p>
        </w:tc>
        <w:tc>
          <w:tcPr>
            <w:tcW w:w="597" w:type="dxa"/>
            <w:tcBorders>
              <w:top w:val="nil"/>
              <w:left w:val="nil"/>
              <w:bottom w:val="single" w:sz="8" w:space="0" w:color="0070C0"/>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460</w:t>
            </w:r>
          </w:p>
        </w:tc>
        <w:tc>
          <w:tcPr>
            <w:tcW w:w="772" w:type="dxa"/>
            <w:tcBorders>
              <w:top w:val="nil"/>
              <w:left w:val="nil"/>
              <w:bottom w:val="single" w:sz="8" w:space="0" w:color="0070C0"/>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426</w:t>
            </w:r>
          </w:p>
        </w:tc>
        <w:tc>
          <w:tcPr>
            <w:tcW w:w="1044" w:type="dxa"/>
            <w:tcBorders>
              <w:top w:val="nil"/>
              <w:left w:val="nil"/>
              <w:bottom w:val="single" w:sz="8" w:space="0" w:color="0070C0"/>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92.5%</w:t>
            </w:r>
          </w:p>
        </w:tc>
        <w:tc>
          <w:tcPr>
            <w:tcW w:w="791" w:type="dxa"/>
            <w:tcBorders>
              <w:top w:val="nil"/>
              <w:left w:val="nil"/>
              <w:bottom w:val="single" w:sz="8" w:space="0" w:color="0070C0"/>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484</w:t>
            </w:r>
          </w:p>
        </w:tc>
        <w:tc>
          <w:tcPr>
            <w:tcW w:w="872" w:type="dxa"/>
            <w:tcBorders>
              <w:top w:val="nil"/>
              <w:left w:val="nil"/>
              <w:bottom w:val="single" w:sz="8" w:space="0" w:color="0070C0"/>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508</w:t>
            </w:r>
          </w:p>
        </w:tc>
        <w:tc>
          <w:tcPr>
            <w:tcW w:w="597" w:type="dxa"/>
            <w:tcBorders>
              <w:top w:val="nil"/>
              <w:left w:val="nil"/>
              <w:bottom w:val="single" w:sz="8" w:space="0" w:color="0070C0"/>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511</w:t>
            </w:r>
          </w:p>
        </w:tc>
        <w:tc>
          <w:tcPr>
            <w:tcW w:w="791" w:type="dxa"/>
            <w:tcBorders>
              <w:top w:val="nil"/>
              <w:left w:val="nil"/>
              <w:bottom w:val="single" w:sz="8" w:space="0" w:color="0070C0"/>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105.5%</w:t>
            </w:r>
          </w:p>
        </w:tc>
        <w:tc>
          <w:tcPr>
            <w:tcW w:w="872" w:type="dxa"/>
            <w:tcBorders>
              <w:top w:val="nil"/>
              <w:left w:val="nil"/>
              <w:bottom w:val="single" w:sz="8" w:space="0" w:color="0070C0"/>
              <w:right w:val="nil"/>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100.6%</w:t>
            </w:r>
          </w:p>
        </w:tc>
        <w:tc>
          <w:tcPr>
            <w:tcW w:w="1044" w:type="dxa"/>
            <w:tcBorders>
              <w:top w:val="nil"/>
              <w:left w:val="nil"/>
              <w:bottom w:val="single" w:sz="8" w:space="0" w:color="0070C0"/>
              <w:right w:val="single" w:sz="8" w:space="0" w:color="0070C0"/>
            </w:tcBorders>
            <w:shd w:val="clear" w:color="000000" w:fill="FFFFFF"/>
            <w:noWrap/>
            <w:vAlign w:val="center"/>
            <w:hideMark/>
          </w:tcPr>
          <w:p w:rsidR="000661E2" w:rsidRPr="00CF4BD1" w:rsidRDefault="000661E2" w:rsidP="00CF4BD1">
            <w:pPr>
              <w:spacing w:before="0"/>
              <w:jc w:val="center"/>
              <w:rPr>
                <w:rFonts w:asciiTheme="majorHAnsi" w:hAnsiTheme="majorHAnsi" w:cstheme="majorHAnsi"/>
                <w:b/>
                <w:bCs/>
                <w:color w:val="203764"/>
                <w:sz w:val="16"/>
                <w:szCs w:val="18"/>
                <w:lang w:val="en-GB" w:eastAsia="en-GB"/>
              </w:rPr>
            </w:pPr>
            <w:r w:rsidRPr="00CF4BD1">
              <w:rPr>
                <w:rFonts w:asciiTheme="majorHAnsi" w:hAnsiTheme="majorHAnsi" w:cstheme="majorHAnsi"/>
                <w:b/>
                <w:bCs/>
                <w:color w:val="203764"/>
                <w:sz w:val="16"/>
                <w:szCs w:val="18"/>
                <w:lang w:val="en-GB" w:eastAsia="en-GB"/>
              </w:rPr>
              <w:t>119.9%</w:t>
            </w:r>
          </w:p>
        </w:tc>
      </w:tr>
    </w:tbl>
    <w:p w:rsidR="00EC0844" w:rsidRDefault="000661E2" w:rsidP="00CF4BD1">
      <w:pPr>
        <w:spacing w:before="0"/>
        <w:rPr>
          <w:rFonts w:cs="Calibri"/>
          <w:i/>
          <w:sz w:val="18"/>
          <w:szCs w:val="18"/>
          <w:lang w:val="sq-AL"/>
        </w:rPr>
      </w:pPr>
      <w:r>
        <w:rPr>
          <w:rFonts w:cs="Calibri"/>
          <w:i/>
          <w:sz w:val="18"/>
          <w:szCs w:val="18"/>
          <w:lang w:val="sq-AL"/>
        </w:rPr>
        <w:t>Burimi: Ministria e Financave dhe Ekonomisë (2022)</w:t>
      </w:r>
    </w:p>
    <w:p w:rsidR="000C55BB" w:rsidRPr="00476D2E" w:rsidRDefault="000C55BB" w:rsidP="005A3996">
      <w:pPr>
        <w:pStyle w:val="Caption"/>
        <w:keepNext/>
        <w:spacing w:after="0"/>
        <w:rPr>
          <w:rFonts w:cs="Calibri"/>
          <w:lang w:val="sq-AL"/>
        </w:rPr>
      </w:pPr>
      <w:bookmarkStart w:id="57" w:name="_Toc104984023"/>
      <w:r w:rsidRPr="00476D2E">
        <w:rPr>
          <w:rFonts w:cs="Calibri"/>
          <w:lang w:val="sq-AL"/>
        </w:rPr>
        <w:t xml:space="preserve">Grafiku </w:t>
      </w:r>
      <w:r w:rsidR="00787591" w:rsidRPr="00476D2E">
        <w:rPr>
          <w:rFonts w:cs="Calibri"/>
          <w:noProof/>
          <w:lang w:val="sq-AL"/>
        </w:rPr>
        <w:fldChar w:fldCharType="begin"/>
      </w:r>
      <w:r w:rsidR="00787591" w:rsidRPr="00476D2E">
        <w:rPr>
          <w:rFonts w:cs="Calibri"/>
          <w:noProof/>
          <w:lang w:val="sq-AL"/>
        </w:rPr>
        <w:instrText xml:space="preserve"> SEQ Grafiku \* ARABIC </w:instrText>
      </w:r>
      <w:r w:rsidR="00787591" w:rsidRPr="00476D2E">
        <w:rPr>
          <w:rFonts w:cs="Calibri"/>
          <w:noProof/>
          <w:lang w:val="sq-AL"/>
        </w:rPr>
        <w:fldChar w:fldCharType="separate"/>
      </w:r>
      <w:r w:rsidR="00FE66EC">
        <w:rPr>
          <w:rFonts w:cs="Calibri"/>
          <w:noProof/>
          <w:lang w:val="sq-AL"/>
        </w:rPr>
        <w:t>4</w:t>
      </w:r>
      <w:r w:rsidR="00787591" w:rsidRPr="00476D2E">
        <w:rPr>
          <w:rFonts w:cs="Calibri"/>
          <w:noProof/>
          <w:lang w:val="sq-AL"/>
        </w:rPr>
        <w:fldChar w:fldCharType="end"/>
      </w:r>
      <w:bookmarkEnd w:id="56"/>
      <w:r w:rsidRPr="00476D2E">
        <w:rPr>
          <w:rFonts w:cs="Calibri"/>
          <w:lang w:val="sq-AL"/>
        </w:rPr>
        <w:t xml:space="preserve"> T</w:t>
      </w:r>
      <w:r w:rsidR="00C33B16" w:rsidRPr="00476D2E">
        <w:rPr>
          <w:rFonts w:cs="Calibri"/>
          <w:lang w:val="sq-AL"/>
        </w:rPr>
        <w:t>ë</w:t>
      </w:r>
      <w:r w:rsidRPr="00476D2E">
        <w:rPr>
          <w:rFonts w:cs="Calibri"/>
          <w:lang w:val="sq-AL"/>
        </w:rPr>
        <w:t xml:space="preserve"> ardhurat e p</w:t>
      </w:r>
      <w:r w:rsidR="00C33B16" w:rsidRPr="00476D2E">
        <w:rPr>
          <w:rFonts w:cs="Calibri"/>
          <w:lang w:val="sq-AL"/>
        </w:rPr>
        <w:t>ë</w:t>
      </w:r>
      <w:r w:rsidRPr="00476D2E">
        <w:rPr>
          <w:rFonts w:cs="Calibri"/>
          <w:lang w:val="sq-AL"/>
        </w:rPr>
        <w:t>rgjithshme (n</w:t>
      </w:r>
      <w:r w:rsidR="00C33B16" w:rsidRPr="00476D2E">
        <w:rPr>
          <w:rFonts w:cs="Calibri"/>
          <w:lang w:val="sq-AL"/>
        </w:rPr>
        <w:t>ë</w:t>
      </w:r>
      <w:r w:rsidRPr="00476D2E">
        <w:rPr>
          <w:rFonts w:cs="Calibri"/>
          <w:lang w:val="sq-AL"/>
        </w:rPr>
        <w:t xml:space="preserve"> miliard</w:t>
      </w:r>
      <w:r w:rsidR="00C33B16" w:rsidRPr="00476D2E">
        <w:rPr>
          <w:rFonts w:cs="Calibri"/>
          <w:lang w:val="sq-AL"/>
        </w:rPr>
        <w:t>ë</w:t>
      </w:r>
      <w:r w:rsidRPr="00476D2E">
        <w:rPr>
          <w:rFonts w:cs="Calibri"/>
          <w:lang w:val="sq-AL"/>
        </w:rPr>
        <w:t xml:space="preserve"> lek</w:t>
      </w:r>
      <w:r w:rsidR="00C33B16" w:rsidRPr="00476D2E">
        <w:rPr>
          <w:rFonts w:cs="Calibri"/>
          <w:lang w:val="sq-AL"/>
        </w:rPr>
        <w:t>ë</w:t>
      </w:r>
      <w:r w:rsidRPr="00476D2E">
        <w:rPr>
          <w:rFonts w:cs="Calibri"/>
          <w:lang w:val="sq-AL"/>
        </w:rPr>
        <w:t>), sipas kategorive kryesore</w:t>
      </w:r>
      <w:bookmarkEnd w:id="57"/>
    </w:p>
    <w:p w:rsidR="00EC0844" w:rsidRPr="00476D2E" w:rsidRDefault="00FB34AC" w:rsidP="00F1402E">
      <w:pPr>
        <w:spacing w:before="0"/>
        <w:jc w:val="center"/>
        <w:rPr>
          <w:rFonts w:cs="Calibri"/>
          <w:i/>
          <w:sz w:val="18"/>
          <w:szCs w:val="18"/>
          <w:lang w:val="sq-AL"/>
        </w:rPr>
      </w:pPr>
      <w:r w:rsidRPr="00476D2E">
        <w:rPr>
          <w:rFonts w:cs="Calibri"/>
          <w:noProof/>
        </w:rPr>
        <w:drawing>
          <wp:inline distT="0" distB="0" distL="0" distR="0" wp14:anchorId="701236A8" wp14:editId="05C7B6DB">
            <wp:extent cx="5919470" cy="1729740"/>
            <wp:effectExtent l="0" t="0" r="5080" b="3810"/>
            <wp:docPr id="7" name="Chart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C0844" w:rsidRPr="00476D2E" w:rsidRDefault="000661E2" w:rsidP="00CF4BD1">
      <w:pPr>
        <w:spacing w:before="0"/>
        <w:ind w:firstLine="720"/>
        <w:jc w:val="left"/>
        <w:rPr>
          <w:rFonts w:cs="Calibri"/>
          <w:i/>
          <w:sz w:val="18"/>
          <w:szCs w:val="18"/>
          <w:lang w:val="sq-AL"/>
        </w:rPr>
      </w:pPr>
      <w:r>
        <w:rPr>
          <w:rFonts w:cs="Calibri"/>
          <w:i/>
          <w:sz w:val="18"/>
          <w:szCs w:val="18"/>
          <w:lang w:val="sq-AL"/>
        </w:rPr>
        <w:t>Burimi: Ministria e Financave dhe Ekonomisë (2022)</w:t>
      </w:r>
    </w:p>
    <w:p w:rsidR="000C55BB" w:rsidRPr="00476D2E" w:rsidRDefault="005C6E2E" w:rsidP="00B77671">
      <w:pPr>
        <w:pStyle w:val="fiskale3"/>
        <w:rPr>
          <w:rFonts w:ascii="Calibri" w:hAnsi="Calibri" w:cs="Calibri"/>
        </w:rPr>
      </w:pPr>
      <w:bookmarkStart w:id="58" w:name="_Toc10033268"/>
      <w:bookmarkStart w:id="59" w:name="_Toc10721405"/>
      <w:bookmarkStart w:id="60" w:name="_Toc104980323"/>
      <w:r w:rsidRPr="00476D2E">
        <w:rPr>
          <w:rFonts w:ascii="Calibri" w:hAnsi="Calibri" w:cs="Calibri"/>
        </w:rPr>
        <w:t>T</w:t>
      </w:r>
      <w:r w:rsidR="00C33B16" w:rsidRPr="00476D2E">
        <w:rPr>
          <w:rFonts w:ascii="Calibri" w:hAnsi="Calibri" w:cs="Calibri"/>
        </w:rPr>
        <w:t>ë</w:t>
      </w:r>
      <w:r w:rsidRPr="00476D2E">
        <w:rPr>
          <w:rFonts w:ascii="Calibri" w:hAnsi="Calibri" w:cs="Calibri"/>
        </w:rPr>
        <w:t xml:space="preserve"> ardhurat nga ndihmat</w:t>
      </w:r>
      <w:bookmarkEnd w:id="58"/>
      <w:bookmarkEnd w:id="59"/>
      <w:bookmarkEnd w:id="60"/>
    </w:p>
    <w:p w:rsidR="00DA636E" w:rsidRPr="00476D2E" w:rsidRDefault="000807FD" w:rsidP="00CF4BD1">
      <w:pPr>
        <w:spacing w:before="0"/>
        <w:rPr>
          <w:rFonts w:cs="Calibri"/>
          <w:noProof/>
          <w:lang w:val="sq-AL"/>
        </w:rPr>
      </w:pPr>
      <w:r w:rsidRPr="00476D2E">
        <w:rPr>
          <w:rFonts w:cs="Calibri"/>
          <w:noProof/>
          <w:lang w:val="sq-AL"/>
        </w:rPr>
        <w:t xml:space="preserve">Të ardhurat nga ndihmat </w:t>
      </w:r>
      <w:r>
        <w:rPr>
          <w:rFonts w:cs="Calibri"/>
          <w:noProof/>
          <w:lang w:val="sq-AL"/>
        </w:rPr>
        <w:t>për periudhën Janar-Dhjetor 2021 janë 12.7</w:t>
      </w:r>
      <w:r w:rsidRPr="00476D2E">
        <w:rPr>
          <w:rFonts w:cs="Calibri"/>
          <w:noProof/>
          <w:lang w:val="sq-AL"/>
        </w:rPr>
        <w:t xml:space="preserve"> m</w:t>
      </w:r>
      <w:r>
        <w:rPr>
          <w:rFonts w:cs="Calibri"/>
          <w:noProof/>
          <w:lang w:val="sq-AL"/>
        </w:rPr>
        <w:t>iliardë lekë nga 8.3</w:t>
      </w:r>
      <w:r w:rsidRPr="00476D2E">
        <w:rPr>
          <w:rFonts w:cs="Calibri"/>
          <w:noProof/>
          <w:lang w:val="sq-AL"/>
        </w:rPr>
        <w:t xml:space="preserve"> miliardë lekë të një viti më parë, duke pësuar r</w:t>
      </w:r>
      <w:r>
        <w:rPr>
          <w:rFonts w:cs="Calibri"/>
          <w:noProof/>
          <w:lang w:val="sq-AL"/>
        </w:rPr>
        <w:t xml:space="preserve">ritje në masën 52.7 </w:t>
      </w:r>
      <w:r w:rsidR="008961B4">
        <w:rPr>
          <w:rFonts w:cs="Calibri"/>
          <w:noProof/>
          <w:lang w:val="sq-AL"/>
        </w:rPr>
        <w:t>përqind</w:t>
      </w:r>
      <w:r>
        <w:rPr>
          <w:rFonts w:cs="Calibri"/>
          <w:noProof/>
          <w:lang w:val="sq-AL"/>
        </w:rPr>
        <w:t xml:space="preserve"> ose 4.4</w:t>
      </w:r>
      <w:r w:rsidRPr="00476D2E">
        <w:rPr>
          <w:rFonts w:cs="Calibri"/>
          <w:noProof/>
          <w:lang w:val="sq-AL"/>
        </w:rPr>
        <w:t xml:space="preserve"> miliardë lekë dhe me re</w:t>
      </w:r>
      <w:r>
        <w:rPr>
          <w:rFonts w:cs="Calibri"/>
          <w:noProof/>
          <w:lang w:val="sq-AL"/>
        </w:rPr>
        <w:t>alizim ndaj planit në masën 65.5</w:t>
      </w:r>
      <w:r w:rsidRPr="00476D2E">
        <w:rPr>
          <w:rFonts w:cs="Calibri"/>
          <w:noProof/>
          <w:lang w:val="sq-AL"/>
        </w:rPr>
        <w:t xml:space="preserve"> </w:t>
      </w:r>
      <w:r w:rsidR="008961B4">
        <w:rPr>
          <w:rFonts w:cs="Calibri"/>
          <w:noProof/>
          <w:lang w:val="sq-AL"/>
        </w:rPr>
        <w:t>përqind</w:t>
      </w:r>
      <w:r w:rsidR="00DA636E" w:rsidRPr="00476D2E">
        <w:rPr>
          <w:rFonts w:cs="Calibri"/>
          <w:noProof/>
          <w:lang w:val="sq-AL"/>
        </w:rPr>
        <w:t xml:space="preserve">. </w:t>
      </w:r>
    </w:p>
    <w:p w:rsidR="005C6E2E" w:rsidRPr="00476D2E" w:rsidRDefault="005C6E2E" w:rsidP="00B77671">
      <w:pPr>
        <w:pStyle w:val="fiskale3"/>
        <w:rPr>
          <w:rFonts w:ascii="Calibri" w:hAnsi="Calibri" w:cs="Calibri"/>
        </w:rPr>
      </w:pPr>
      <w:bookmarkStart w:id="61" w:name="_Toc10033269"/>
      <w:bookmarkStart w:id="62" w:name="_Toc10721406"/>
      <w:bookmarkStart w:id="63" w:name="_Toc104980324"/>
      <w:r w:rsidRPr="00476D2E">
        <w:rPr>
          <w:rFonts w:ascii="Calibri" w:hAnsi="Calibri" w:cs="Calibri"/>
        </w:rPr>
        <w:t>T</w:t>
      </w:r>
      <w:r w:rsidR="00C33B16" w:rsidRPr="00476D2E">
        <w:rPr>
          <w:rFonts w:ascii="Calibri" w:hAnsi="Calibri" w:cs="Calibri"/>
        </w:rPr>
        <w:t>ë</w:t>
      </w:r>
      <w:r w:rsidRPr="00476D2E">
        <w:rPr>
          <w:rFonts w:ascii="Calibri" w:hAnsi="Calibri" w:cs="Calibri"/>
        </w:rPr>
        <w:t xml:space="preserve"> ardhurat tatimore</w:t>
      </w:r>
      <w:bookmarkEnd w:id="61"/>
      <w:bookmarkEnd w:id="62"/>
      <w:bookmarkEnd w:id="63"/>
    </w:p>
    <w:p w:rsidR="00D460C4" w:rsidRPr="00476D2E" w:rsidRDefault="000807FD" w:rsidP="00F1402E">
      <w:pPr>
        <w:spacing w:before="0"/>
        <w:rPr>
          <w:rFonts w:cs="Calibri"/>
          <w:noProof/>
          <w:lang w:val="sq-AL"/>
        </w:rPr>
      </w:pPr>
      <w:r w:rsidRPr="00476D2E">
        <w:rPr>
          <w:rFonts w:cs="Calibri"/>
          <w:noProof/>
          <w:lang w:val="sq-AL"/>
        </w:rPr>
        <w:t>Të ardhurat tatimore, ku përfshihen të ardhurat nga tatimet dhe doganat, të ardhurat nga pushteti lokal dhe të ardhurat nga fondet speciale, për periudhën 1</w:t>
      </w:r>
      <w:r>
        <w:rPr>
          <w:rFonts w:cs="Calibri"/>
          <w:noProof/>
          <w:lang w:val="sq-AL"/>
        </w:rPr>
        <w:t>2-mujore arritën në vlerën 475.6</w:t>
      </w:r>
      <w:r w:rsidRPr="00476D2E">
        <w:rPr>
          <w:rFonts w:cs="Calibri"/>
          <w:noProof/>
          <w:lang w:val="sq-AL"/>
        </w:rPr>
        <w:t xml:space="preserve"> miliardë lekë, me një realizim ndaj planit vjetor të rishikuar në masën </w:t>
      </w:r>
      <w:r>
        <w:rPr>
          <w:rFonts w:cs="Calibri"/>
          <w:noProof/>
          <w:lang w:val="sq-AL"/>
        </w:rPr>
        <w:t>101.9</w:t>
      </w:r>
      <w:r w:rsidRPr="00476D2E">
        <w:rPr>
          <w:rFonts w:cs="Calibri"/>
          <w:noProof/>
          <w:lang w:val="sq-AL"/>
        </w:rPr>
        <w:t xml:space="preserve"> </w:t>
      </w:r>
      <w:r w:rsidR="008961B4">
        <w:rPr>
          <w:rFonts w:cs="Calibri"/>
          <w:noProof/>
          <w:lang w:val="sq-AL"/>
        </w:rPr>
        <w:t>përqind</w:t>
      </w:r>
      <w:r w:rsidRPr="00476D2E">
        <w:rPr>
          <w:rFonts w:cs="Calibri"/>
          <w:noProof/>
          <w:lang w:val="sq-AL"/>
        </w:rPr>
        <w:t xml:space="preserve"> dhe me realizim kundrejt vitit të kaluar n</w:t>
      </w:r>
      <w:r>
        <w:rPr>
          <w:rFonts w:cs="Calibri"/>
          <w:noProof/>
          <w:lang w:val="sq-AL"/>
        </w:rPr>
        <w:t xml:space="preserve">ë masën 119.3 </w:t>
      </w:r>
      <w:r w:rsidR="008961B4">
        <w:rPr>
          <w:rFonts w:cs="Calibri"/>
          <w:noProof/>
          <w:lang w:val="sq-AL"/>
        </w:rPr>
        <w:t>përqind</w:t>
      </w:r>
      <w:r>
        <w:rPr>
          <w:rFonts w:cs="Calibri"/>
          <w:noProof/>
          <w:lang w:val="sq-AL"/>
        </w:rPr>
        <w:t xml:space="preserve"> ose 76.9</w:t>
      </w:r>
      <w:r w:rsidRPr="00476D2E">
        <w:rPr>
          <w:rFonts w:cs="Calibri"/>
          <w:noProof/>
          <w:lang w:val="sq-AL"/>
        </w:rPr>
        <w:t xml:space="preserve"> miliardë lekë më pak</w:t>
      </w:r>
      <w:r w:rsidR="00D460C4" w:rsidRPr="00476D2E">
        <w:rPr>
          <w:rFonts w:cs="Calibri"/>
          <w:noProof/>
          <w:lang w:val="sq-AL"/>
        </w:rPr>
        <w:t xml:space="preserve">. </w:t>
      </w:r>
    </w:p>
    <w:p w:rsidR="005C6E2E" w:rsidRPr="00213EFC" w:rsidRDefault="005C6E2E" w:rsidP="00B77671">
      <w:pPr>
        <w:pStyle w:val="fiskale3"/>
        <w:rPr>
          <w:rFonts w:ascii="Calibri" w:hAnsi="Calibri" w:cs="Calibri"/>
        </w:rPr>
      </w:pPr>
      <w:bookmarkStart w:id="64" w:name="_Toc10033270"/>
      <w:bookmarkStart w:id="65" w:name="_Toc10721407"/>
      <w:bookmarkStart w:id="66" w:name="_Toc104980325"/>
      <w:r w:rsidRPr="00213EFC">
        <w:rPr>
          <w:rFonts w:ascii="Calibri" w:hAnsi="Calibri" w:cs="Calibri"/>
        </w:rPr>
        <w:t>T</w:t>
      </w:r>
      <w:r w:rsidR="00C33B16" w:rsidRPr="00213EFC">
        <w:rPr>
          <w:rFonts w:ascii="Calibri" w:hAnsi="Calibri" w:cs="Calibri"/>
        </w:rPr>
        <w:t>ë</w:t>
      </w:r>
      <w:r w:rsidRPr="00213EFC">
        <w:rPr>
          <w:rFonts w:ascii="Calibri" w:hAnsi="Calibri" w:cs="Calibri"/>
        </w:rPr>
        <w:t xml:space="preserve"> ardhurat nga pushteti vendor</w:t>
      </w:r>
      <w:bookmarkEnd w:id="64"/>
      <w:bookmarkEnd w:id="65"/>
      <w:bookmarkEnd w:id="66"/>
    </w:p>
    <w:p w:rsidR="002100DE" w:rsidRPr="00213EFC" w:rsidRDefault="00213EFC" w:rsidP="00213EFC">
      <w:pPr>
        <w:spacing w:before="0"/>
      </w:pPr>
      <w:r w:rsidRPr="00213EFC">
        <w:rPr>
          <w:rFonts w:cs="Calibri"/>
          <w:noProof/>
          <w:lang w:val="sq-AL"/>
        </w:rPr>
        <w:t xml:space="preserve">Të ardhurat nga “Pushteti vendor” u realizuan në masën 26.7 miliardë lekë, rreth 3 </w:t>
      </w:r>
      <w:r w:rsidR="0083794F">
        <w:rPr>
          <w:rFonts w:cs="Calibri"/>
          <w:noProof/>
          <w:lang w:val="sq-AL"/>
        </w:rPr>
        <w:t>përqind</w:t>
      </w:r>
      <w:r w:rsidRPr="00213EFC">
        <w:rPr>
          <w:rFonts w:cs="Calibri"/>
          <w:noProof/>
          <w:lang w:val="sq-AL"/>
        </w:rPr>
        <w:t xml:space="preserve"> ose 0.7 miliardë lekë më shumë se plani i rishikuar për vitin 2021.  G</w:t>
      </w:r>
      <w:r w:rsidRPr="00213EFC">
        <w:rPr>
          <w:rFonts w:cs="Calibri"/>
          <w:szCs w:val="22"/>
          <w:lang w:val="sq-AL"/>
        </w:rPr>
        <w:t xml:space="preserve">jatë vitit 2021 është rikthyer trendi rritës i këtyre burimeve për njësitë e vetëqeverisjes vendore, pas situatës së vështirë ekonomike të shkakuar nga pandemia gjatë vitit 2020 dhe tërmeti i fundvitit 2019. Në vlera dhe në përqindje të ardhurat e pushtetit vendor </w:t>
      </w:r>
      <w:r w:rsidRPr="00213EFC">
        <w:rPr>
          <w:rFonts w:cs="Calibri"/>
          <w:noProof/>
          <w:lang w:val="sq-AL"/>
        </w:rPr>
        <w:t>shënjnë një rritje me rreth 4.7 miliardë lekë ose 21.3 përqind më shumë krahasuar me të ardhurat gjatë vitit 2020</w:t>
      </w:r>
      <w:r w:rsidR="00762818" w:rsidRPr="00213EFC">
        <w:rPr>
          <w:rFonts w:cs="Calibri"/>
          <w:noProof/>
          <w:lang w:val="sq-AL"/>
        </w:rPr>
        <w:t>.</w:t>
      </w:r>
      <w:r w:rsidR="002100DE" w:rsidRPr="00213EFC">
        <w:rPr>
          <w:rFonts w:cs="Calibri"/>
          <w:noProof/>
          <w:lang w:val="sq-AL"/>
        </w:rPr>
        <w:t xml:space="preserve"> </w:t>
      </w:r>
    </w:p>
    <w:p w:rsidR="005A1F52" w:rsidRPr="00213EFC" w:rsidRDefault="005A1F52" w:rsidP="005A3996">
      <w:pPr>
        <w:pStyle w:val="Caption"/>
        <w:keepNext/>
        <w:spacing w:after="0"/>
        <w:rPr>
          <w:rFonts w:cs="Calibri"/>
          <w:color w:val="073763" w:themeColor="accent1" w:themeShade="80"/>
          <w:lang w:val="sq-AL"/>
        </w:rPr>
      </w:pPr>
      <w:bookmarkStart w:id="67" w:name="_Toc104984024"/>
      <w:r w:rsidRPr="00213EFC">
        <w:rPr>
          <w:rFonts w:cs="Calibri"/>
          <w:color w:val="073763" w:themeColor="accent1" w:themeShade="80"/>
          <w:lang w:val="sq-AL"/>
        </w:rPr>
        <w:lastRenderedPageBreak/>
        <w:t xml:space="preserve">Grafiku </w:t>
      </w:r>
      <w:r w:rsidR="00C87F41" w:rsidRPr="00213EFC">
        <w:rPr>
          <w:rFonts w:cs="Calibri"/>
          <w:noProof/>
          <w:color w:val="073763" w:themeColor="accent1" w:themeShade="80"/>
          <w:lang w:val="sq-AL"/>
        </w:rPr>
        <w:fldChar w:fldCharType="begin"/>
      </w:r>
      <w:r w:rsidR="00C87F41" w:rsidRPr="00213EFC">
        <w:rPr>
          <w:rFonts w:cs="Calibri"/>
          <w:noProof/>
          <w:color w:val="073763" w:themeColor="accent1" w:themeShade="80"/>
          <w:lang w:val="sq-AL"/>
        </w:rPr>
        <w:instrText xml:space="preserve"> SEQ Grafiku \* ARABIC </w:instrText>
      </w:r>
      <w:r w:rsidR="00C87F41" w:rsidRPr="00213EFC">
        <w:rPr>
          <w:rFonts w:cs="Calibri"/>
          <w:noProof/>
          <w:color w:val="073763" w:themeColor="accent1" w:themeShade="80"/>
          <w:lang w:val="sq-AL"/>
        </w:rPr>
        <w:fldChar w:fldCharType="separate"/>
      </w:r>
      <w:r w:rsidR="00FE66EC">
        <w:rPr>
          <w:rFonts w:cs="Calibri"/>
          <w:noProof/>
          <w:color w:val="073763" w:themeColor="accent1" w:themeShade="80"/>
          <w:lang w:val="sq-AL"/>
        </w:rPr>
        <w:t>5</w:t>
      </w:r>
      <w:r w:rsidR="00C87F41" w:rsidRPr="00213EFC">
        <w:rPr>
          <w:rFonts w:cs="Calibri"/>
          <w:noProof/>
          <w:color w:val="073763" w:themeColor="accent1" w:themeShade="80"/>
          <w:lang w:val="sq-AL"/>
        </w:rPr>
        <w:fldChar w:fldCharType="end"/>
      </w:r>
      <w:r w:rsidRPr="00213EFC">
        <w:rPr>
          <w:rFonts w:cs="Calibri"/>
          <w:color w:val="073763" w:themeColor="accent1" w:themeShade="80"/>
          <w:lang w:val="sq-AL"/>
        </w:rPr>
        <w:t xml:space="preserve"> T</w:t>
      </w:r>
      <w:r w:rsidR="00C33B16" w:rsidRPr="00213EFC">
        <w:rPr>
          <w:rFonts w:cs="Calibri"/>
          <w:color w:val="073763" w:themeColor="accent1" w:themeShade="80"/>
          <w:lang w:val="sq-AL"/>
        </w:rPr>
        <w:t>ë</w:t>
      </w:r>
      <w:r w:rsidRPr="00213EFC">
        <w:rPr>
          <w:rFonts w:cs="Calibri"/>
          <w:color w:val="073763" w:themeColor="accent1" w:themeShade="80"/>
          <w:lang w:val="sq-AL"/>
        </w:rPr>
        <w:t xml:space="preserve"> ardhura nga pushteti vendor n</w:t>
      </w:r>
      <w:r w:rsidR="00C33B16" w:rsidRPr="00213EFC">
        <w:rPr>
          <w:rFonts w:cs="Calibri"/>
          <w:color w:val="073763" w:themeColor="accent1" w:themeShade="80"/>
          <w:lang w:val="sq-AL"/>
        </w:rPr>
        <w:t>ë</w:t>
      </w:r>
      <w:r w:rsidRPr="00213EFC">
        <w:rPr>
          <w:rFonts w:cs="Calibri"/>
          <w:color w:val="073763" w:themeColor="accent1" w:themeShade="80"/>
          <w:lang w:val="sq-AL"/>
        </w:rPr>
        <w:t xml:space="preserve"> vite (n</w:t>
      </w:r>
      <w:r w:rsidR="00C33B16" w:rsidRPr="00213EFC">
        <w:rPr>
          <w:rFonts w:cs="Calibri"/>
          <w:color w:val="073763" w:themeColor="accent1" w:themeShade="80"/>
          <w:lang w:val="sq-AL"/>
        </w:rPr>
        <w:t>ë</w:t>
      </w:r>
      <w:r w:rsidRPr="00213EFC">
        <w:rPr>
          <w:rFonts w:cs="Calibri"/>
          <w:color w:val="073763" w:themeColor="accent1" w:themeShade="80"/>
          <w:lang w:val="sq-AL"/>
        </w:rPr>
        <w:t xml:space="preserve"> miliard</w:t>
      </w:r>
      <w:r w:rsidR="00C33B16" w:rsidRPr="00213EFC">
        <w:rPr>
          <w:rFonts w:cs="Calibri"/>
          <w:color w:val="073763" w:themeColor="accent1" w:themeShade="80"/>
          <w:lang w:val="sq-AL"/>
        </w:rPr>
        <w:t>ë</w:t>
      </w:r>
      <w:r w:rsidRPr="00213EFC">
        <w:rPr>
          <w:rFonts w:cs="Calibri"/>
          <w:color w:val="073763" w:themeColor="accent1" w:themeShade="80"/>
          <w:lang w:val="sq-AL"/>
        </w:rPr>
        <w:t xml:space="preserve"> lek</w:t>
      </w:r>
      <w:r w:rsidR="00C33B16" w:rsidRPr="00213EFC">
        <w:rPr>
          <w:rFonts w:cs="Calibri"/>
          <w:color w:val="073763" w:themeColor="accent1" w:themeShade="80"/>
          <w:lang w:val="sq-AL"/>
        </w:rPr>
        <w:t>ë</w:t>
      </w:r>
      <w:r w:rsidRPr="00213EFC">
        <w:rPr>
          <w:rFonts w:cs="Calibri"/>
          <w:color w:val="073763" w:themeColor="accent1" w:themeShade="80"/>
          <w:lang w:val="sq-AL"/>
        </w:rPr>
        <w:t>)</w:t>
      </w:r>
      <w:bookmarkEnd w:id="67"/>
    </w:p>
    <w:p w:rsidR="005A1F52" w:rsidRPr="00146BA4" w:rsidRDefault="00213EFC" w:rsidP="00E27DDF">
      <w:pPr>
        <w:spacing w:before="0"/>
        <w:jc w:val="center"/>
        <w:rPr>
          <w:rFonts w:cs="Calibri"/>
          <w:color w:val="FF0000"/>
          <w:lang w:val="sq-AL"/>
        </w:rPr>
      </w:pPr>
      <w:r>
        <w:rPr>
          <w:noProof/>
        </w:rPr>
        <w:drawing>
          <wp:inline distT="0" distB="0" distL="0" distR="0" wp14:anchorId="59BEB1B8" wp14:editId="03B4C899">
            <wp:extent cx="6475730" cy="1463040"/>
            <wp:effectExtent l="0" t="0" r="1270" b="3810"/>
            <wp:docPr id="646" name="Chart 64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A3996" w:rsidRPr="00213EFC" w:rsidRDefault="000661E2" w:rsidP="00E27DDF">
      <w:pPr>
        <w:spacing w:before="0"/>
        <w:rPr>
          <w:rFonts w:cs="Calibri"/>
          <w:i/>
          <w:noProof/>
          <w:sz w:val="18"/>
          <w:szCs w:val="18"/>
          <w:lang w:val="sq-AL"/>
        </w:rPr>
      </w:pPr>
      <w:r w:rsidRPr="00213EFC">
        <w:rPr>
          <w:rFonts w:cs="Calibri"/>
          <w:i/>
          <w:noProof/>
          <w:sz w:val="18"/>
          <w:szCs w:val="18"/>
          <w:lang w:val="sq-AL"/>
        </w:rPr>
        <w:t>Burimi: Ministria e Financave dhe Ekonomisë (2022)</w:t>
      </w:r>
    </w:p>
    <w:p w:rsidR="00213EFC" w:rsidRPr="00146BA4" w:rsidRDefault="00213EFC" w:rsidP="00CF1DAE">
      <w:pPr>
        <w:rPr>
          <w:rFonts w:cs="Calibri"/>
          <w:i/>
          <w:noProof/>
          <w:color w:val="FF0000"/>
          <w:sz w:val="18"/>
          <w:szCs w:val="18"/>
          <w:lang w:val="sq-AL"/>
        </w:rPr>
      </w:pPr>
      <w:r>
        <w:rPr>
          <w:rFonts w:cs="Calibri"/>
          <w:noProof/>
          <w:color w:val="002060"/>
          <w:lang w:val="sq-AL"/>
        </w:rPr>
        <w:t>Referuar përbërjes së tyre sipas zërave kryesorë, grafikisht të ardhurat e pushtetit vendor për vitin 2021 në përqindje paraqiten si mëposhtë:</w:t>
      </w:r>
    </w:p>
    <w:p w:rsidR="005A1F52" w:rsidRPr="00E27DDF" w:rsidRDefault="005A1F52" w:rsidP="00B84ED2">
      <w:pPr>
        <w:pStyle w:val="Caption"/>
        <w:keepNext/>
        <w:spacing w:before="240" w:after="0"/>
        <w:rPr>
          <w:rFonts w:cs="Calibri"/>
          <w:color w:val="073763" w:themeColor="accent1" w:themeShade="80"/>
          <w:lang w:val="sq-AL"/>
        </w:rPr>
      </w:pPr>
      <w:bookmarkStart w:id="68" w:name="_Toc104984025"/>
      <w:r w:rsidRPr="00E27DDF">
        <w:rPr>
          <w:rFonts w:cs="Calibri"/>
          <w:color w:val="073763" w:themeColor="accent1" w:themeShade="80"/>
          <w:lang w:val="sq-AL"/>
        </w:rPr>
        <w:t xml:space="preserve">Grafiku </w:t>
      </w:r>
      <w:r w:rsidR="00C87F41" w:rsidRPr="00E27DDF">
        <w:rPr>
          <w:rFonts w:cs="Calibri"/>
          <w:noProof/>
          <w:color w:val="073763" w:themeColor="accent1" w:themeShade="80"/>
          <w:lang w:val="sq-AL"/>
        </w:rPr>
        <w:fldChar w:fldCharType="begin"/>
      </w:r>
      <w:r w:rsidR="00C87F41" w:rsidRPr="00E27DDF">
        <w:rPr>
          <w:rFonts w:cs="Calibri"/>
          <w:noProof/>
          <w:color w:val="073763" w:themeColor="accent1" w:themeShade="80"/>
          <w:lang w:val="sq-AL"/>
        </w:rPr>
        <w:instrText xml:space="preserve"> SEQ Grafiku \* ARABIC </w:instrText>
      </w:r>
      <w:r w:rsidR="00C87F41" w:rsidRPr="00E27DDF">
        <w:rPr>
          <w:rFonts w:cs="Calibri"/>
          <w:noProof/>
          <w:color w:val="073763" w:themeColor="accent1" w:themeShade="80"/>
          <w:lang w:val="sq-AL"/>
        </w:rPr>
        <w:fldChar w:fldCharType="separate"/>
      </w:r>
      <w:r w:rsidR="00FE66EC">
        <w:rPr>
          <w:rFonts w:cs="Calibri"/>
          <w:noProof/>
          <w:color w:val="073763" w:themeColor="accent1" w:themeShade="80"/>
          <w:lang w:val="sq-AL"/>
        </w:rPr>
        <w:t>6</w:t>
      </w:r>
      <w:r w:rsidR="00C87F41" w:rsidRPr="00E27DDF">
        <w:rPr>
          <w:rFonts w:cs="Calibri"/>
          <w:noProof/>
          <w:color w:val="073763" w:themeColor="accent1" w:themeShade="80"/>
          <w:lang w:val="sq-AL"/>
        </w:rPr>
        <w:fldChar w:fldCharType="end"/>
      </w:r>
      <w:r w:rsidRPr="00E27DDF">
        <w:rPr>
          <w:rFonts w:cs="Calibri"/>
          <w:color w:val="073763" w:themeColor="accent1" w:themeShade="80"/>
          <w:lang w:val="sq-AL"/>
        </w:rPr>
        <w:t xml:space="preserve"> P</w:t>
      </w:r>
      <w:r w:rsidR="00C33B16" w:rsidRPr="00E27DDF">
        <w:rPr>
          <w:rFonts w:cs="Calibri"/>
          <w:color w:val="073763" w:themeColor="accent1" w:themeShade="80"/>
          <w:lang w:val="sq-AL"/>
        </w:rPr>
        <w:t>ë</w:t>
      </w:r>
      <w:r w:rsidRPr="00E27DDF">
        <w:rPr>
          <w:rFonts w:cs="Calibri"/>
          <w:color w:val="073763" w:themeColor="accent1" w:themeShade="80"/>
          <w:lang w:val="sq-AL"/>
        </w:rPr>
        <w:t>rb</w:t>
      </w:r>
      <w:r w:rsidR="00C33B16" w:rsidRPr="00E27DDF">
        <w:rPr>
          <w:rFonts w:cs="Calibri"/>
          <w:color w:val="073763" w:themeColor="accent1" w:themeShade="80"/>
          <w:lang w:val="sq-AL"/>
        </w:rPr>
        <w:t>ë</w:t>
      </w:r>
      <w:r w:rsidRPr="00E27DDF">
        <w:rPr>
          <w:rFonts w:cs="Calibri"/>
          <w:color w:val="073763" w:themeColor="accent1" w:themeShade="80"/>
          <w:lang w:val="sq-AL"/>
        </w:rPr>
        <w:t>rja e t</w:t>
      </w:r>
      <w:r w:rsidR="00C33B16" w:rsidRPr="00E27DDF">
        <w:rPr>
          <w:rFonts w:cs="Calibri"/>
          <w:color w:val="073763" w:themeColor="accent1" w:themeShade="80"/>
          <w:lang w:val="sq-AL"/>
        </w:rPr>
        <w:t>ë</w:t>
      </w:r>
      <w:r w:rsidRPr="00E27DDF">
        <w:rPr>
          <w:rFonts w:cs="Calibri"/>
          <w:color w:val="073763" w:themeColor="accent1" w:themeShade="80"/>
          <w:lang w:val="sq-AL"/>
        </w:rPr>
        <w:t xml:space="preserve"> ardhurave nga pushteti vendor sipas z</w:t>
      </w:r>
      <w:r w:rsidR="00C33B16" w:rsidRPr="00E27DDF">
        <w:rPr>
          <w:rFonts w:cs="Calibri"/>
          <w:color w:val="073763" w:themeColor="accent1" w:themeShade="80"/>
          <w:lang w:val="sq-AL"/>
        </w:rPr>
        <w:t>ë</w:t>
      </w:r>
      <w:r w:rsidRPr="00E27DDF">
        <w:rPr>
          <w:rFonts w:cs="Calibri"/>
          <w:color w:val="073763" w:themeColor="accent1" w:themeShade="80"/>
          <w:lang w:val="sq-AL"/>
        </w:rPr>
        <w:t>rave kryesor</w:t>
      </w:r>
      <w:r w:rsidR="00C33B16" w:rsidRPr="00E27DDF">
        <w:rPr>
          <w:rFonts w:cs="Calibri"/>
          <w:color w:val="073763" w:themeColor="accent1" w:themeShade="80"/>
          <w:lang w:val="sq-AL"/>
        </w:rPr>
        <w:t>ë</w:t>
      </w:r>
      <w:r w:rsidRPr="00E27DDF">
        <w:rPr>
          <w:rFonts w:cs="Calibri"/>
          <w:color w:val="073763" w:themeColor="accent1" w:themeShade="80"/>
          <w:lang w:val="sq-AL"/>
        </w:rPr>
        <w:t xml:space="preserve"> (n</w:t>
      </w:r>
      <w:r w:rsidR="00C33B16" w:rsidRPr="00E27DDF">
        <w:rPr>
          <w:rFonts w:cs="Calibri"/>
          <w:color w:val="073763" w:themeColor="accent1" w:themeShade="80"/>
          <w:lang w:val="sq-AL"/>
        </w:rPr>
        <w:t>ë</w:t>
      </w:r>
      <w:r w:rsidRPr="00E27DDF">
        <w:rPr>
          <w:rFonts w:cs="Calibri"/>
          <w:color w:val="073763" w:themeColor="accent1" w:themeShade="80"/>
          <w:lang w:val="sq-AL"/>
        </w:rPr>
        <w:t xml:space="preserve"> %)</w:t>
      </w:r>
      <w:bookmarkEnd w:id="68"/>
    </w:p>
    <w:p w:rsidR="00E27DDF" w:rsidRDefault="00E27DDF" w:rsidP="00E27DDF">
      <w:pPr>
        <w:spacing w:before="0"/>
        <w:jc w:val="center"/>
        <w:rPr>
          <w:rFonts w:cs="Calibri"/>
          <w:i/>
          <w:noProof/>
          <w:sz w:val="18"/>
          <w:szCs w:val="18"/>
          <w:lang w:val="sq-AL"/>
        </w:rPr>
      </w:pPr>
      <w:r w:rsidRPr="007D5C69">
        <w:rPr>
          <w:b/>
          <w:noProof/>
        </w:rPr>
        <w:drawing>
          <wp:inline distT="0" distB="0" distL="0" distR="0" wp14:anchorId="49804683" wp14:editId="591DDA84">
            <wp:extent cx="4953000" cy="2240280"/>
            <wp:effectExtent l="0" t="0" r="0" b="7620"/>
            <wp:docPr id="647" name="Chart 6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D2CC4" w:rsidRDefault="000661E2" w:rsidP="00E27DDF">
      <w:pPr>
        <w:spacing w:before="0"/>
        <w:ind w:left="360" w:firstLine="720"/>
        <w:rPr>
          <w:rFonts w:cs="Calibri"/>
          <w:i/>
          <w:noProof/>
          <w:sz w:val="18"/>
          <w:szCs w:val="18"/>
          <w:lang w:val="sq-AL"/>
        </w:rPr>
      </w:pPr>
      <w:r w:rsidRPr="00213EFC">
        <w:rPr>
          <w:rFonts w:cs="Calibri"/>
          <w:i/>
          <w:noProof/>
          <w:sz w:val="18"/>
          <w:szCs w:val="18"/>
          <w:lang w:val="sq-AL"/>
        </w:rPr>
        <w:t>Burimi: Ministria e Financave dhe Ekonomisë (2022)</w:t>
      </w:r>
    </w:p>
    <w:p w:rsidR="00E27DDF" w:rsidRPr="00213EFC" w:rsidRDefault="00E27DDF" w:rsidP="00E27DDF">
      <w:pPr>
        <w:spacing w:before="0"/>
        <w:ind w:left="360" w:firstLine="720"/>
        <w:rPr>
          <w:rFonts w:cs="Calibri"/>
          <w:i/>
          <w:noProof/>
          <w:sz w:val="18"/>
          <w:szCs w:val="18"/>
          <w:lang w:val="sq-AL"/>
        </w:rPr>
      </w:pPr>
    </w:p>
    <w:p w:rsidR="005C6E2E" w:rsidRPr="00476D2E" w:rsidRDefault="005C6E2E" w:rsidP="00B77671">
      <w:pPr>
        <w:pStyle w:val="fiskale3"/>
        <w:rPr>
          <w:rFonts w:ascii="Calibri" w:hAnsi="Calibri" w:cs="Calibri"/>
        </w:rPr>
      </w:pPr>
      <w:bookmarkStart w:id="69" w:name="_Toc10033271"/>
      <w:bookmarkStart w:id="70" w:name="_Toc10721408"/>
      <w:bookmarkStart w:id="71" w:name="_Toc104980326"/>
      <w:r w:rsidRPr="00476D2E">
        <w:rPr>
          <w:rFonts w:ascii="Calibri" w:hAnsi="Calibri" w:cs="Calibri"/>
        </w:rPr>
        <w:t>T</w:t>
      </w:r>
      <w:r w:rsidR="00C33B16" w:rsidRPr="00476D2E">
        <w:rPr>
          <w:rFonts w:ascii="Calibri" w:hAnsi="Calibri" w:cs="Calibri"/>
        </w:rPr>
        <w:t>ë</w:t>
      </w:r>
      <w:r w:rsidRPr="00476D2E">
        <w:rPr>
          <w:rFonts w:ascii="Calibri" w:hAnsi="Calibri" w:cs="Calibri"/>
        </w:rPr>
        <w:t xml:space="preserve"> ardhurat nga fondet speciale</w:t>
      </w:r>
      <w:bookmarkEnd w:id="69"/>
      <w:bookmarkEnd w:id="70"/>
      <w:bookmarkEnd w:id="71"/>
    </w:p>
    <w:p w:rsidR="006E1920" w:rsidRPr="00476D2E" w:rsidRDefault="000807FD" w:rsidP="00CF4BD1">
      <w:pPr>
        <w:spacing w:before="0" w:after="240"/>
        <w:rPr>
          <w:rFonts w:cs="Calibri"/>
          <w:noProof/>
          <w:sz w:val="12"/>
          <w:lang w:val="sq-AL"/>
        </w:rPr>
      </w:pPr>
      <w:r w:rsidRPr="00476D2E">
        <w:rPr>
          <w:rFonts w:cs="Calibri"/>
          <w:noProof/>
          <w:lang w:val="sq-AL"/>
        </w:rPr>
        <w:t xml:space="preserve">Të ardhurat nga “Fondet Speciale” </w:t>
      </w:r>
      <w:r>
        <w:rPr>
          <w:rFonts w:cs="Calibri"/>
          <w:noProof/>
          <w:lang w:val="sq-AL"/>
        </w:rPr>
        <w:t>rezultuan 110.9</w:t>
      </w:r>
      <w:r w:rsidRPr="00476D2E">
        <w:rPr>
          <w:rFonts w:cs="Calibri"/>
          <w:noProof/>
          <w:lang w:val="sq-AL"/>
        </w:rPr>
        <w:t xml:space="preserve"> miliardë lekë, me një realizim ndaj plan</w:t>
      </w:r>
      <w:r>
        <w:rPr>
          <w:rFonts w:cs="Calibri"/>
          <w:noProof/>
          <w:lang w:val="sq-AL"/>
        </w:rPr>
        <w:t xml:space="preserve">it të rishikuar në nivelin 102.6 </w:t>
      </w:r>
      <w:r w:rsidR="008961B4">
        <w:rPr>
          <w:rFonts w:cs="Calibri"/>
          <w:noProof/>
          <w:lang w:val="sq-AL"/>
        </w:rPr>
        <w:t>përqind</w:t>
      </w:r>
      <w:r>
        <w:rPr>
          <w:rFonts w:cs="Calibri"/>
          <w:noProof/>
          <w:lang w:val="sq-AL"/>
        </w:rPr>
        <w:t xml:space="preserve"> ose 2.8</w:t>
      </w:r>
      <w:r w:rsidRPr="00476D2E">
        <w:rPr>
          <w:rFonts w:cs="Calibri"/>
          <w:noProof/>
          <w:lang w:val="sq-AL"/>
        </w:rPr>
        <w:t xml:space="preserve"> miliardë lekë më shumë</w:t>
      </w:r>
      <w:r>
        <w:rPr>
          <w:rFonts w:cs="Calibri"/>
          <w:noProof/>
          <w:lang w:val="sq-AL"/>
        </w:rPr>
        <w:t>. T</w:t>
      </w:r>
      <w:r w:rsidRPr="00476D2E">
        <w:rPr>
          <w:rFonts w:cs="Calibri"/>
          <w:noProof/>
          <w:lang w:val="sq-AL"/>
        </w:rPr>
        <w:t>ë ardhurat nga fondet speciale shë</w:t>
      </w:r>
      <w:r>
        <w:rPr>
          <w:rFonts w:cs="Calibri"/>
          <w:noProof/>
          <w:lang w:val="sq-AL"/>
        </w:rPr>
        <w:t xml:space="preserve">nuan </w:t>
      </w:r>
      <w:r w:rsidRPr="00476D2E">
        <w:rPr>
          <w:rFonts w:cs="Calibri"/>
          <w:noProof/>
          <w:lang w:val="sq-AL"/>
        </w:rPr>
        <w:t xml:space="preserve"> </w:t>
      </w:r>
      <w:r>
        <w:rPr>
          <w:rFonts w:cs="Calibri"/>
          <w:noProof/>
          <w:lang w:val="sq-AL"/>
        </w:rPr>
        <w:t>rritje</w:t>
      </w:r>
      <w:r w:rsidRPr="00476D2E">
        <w:rPr>
          <w:rFonts w:cs="Calibri"/>
          <w:noProof/>
          <w:lang w:val="sq-AL"/>
        </w:rPr>
        <w:t xml:space="preserve"> në kra</w:t>
      </w:r>
      <w:r>
        <w:rPr>
          <w:rFonts w:cs="Calibri"/>
          <w:noProof/>
          <w:lang w:val="sq-AL"/>
        </w:rPr>
        <w:t>h</w:t>
      </w:r>
      <w:r w:rsidRPr="00476D2E">
        <w:rPr>
          <w:rFonts w:cs="Calibri"/>
          <w:noProof/>
          <w:lang w:val="sq-AL"/>
        </w:rPr>
        <w:t>asim me parashikimin në buxhetin fillestar të</w:t>
      </w:r>
      <w:r>
        <w:rPr>
          <w:rFonts w:cs="Calibri"/>
          <w:noProof/>
          <w:lang w:val="sq-AL"/>
        </w:rPr>
        <w:t xml:space="preserve"> vitit 2021</w:t>
      </w:r>
      <w:r w:rsidRPr="00476D2E">
        <w:rPr>
          <w:rFonts w:cs="Calibri"/>
          <w:noProof/>
          <w:lang w:val="sq-AL"/>
        </w:rPr>
        <w:t xml:space="preserve"> prej 6.1 </w:t>
      </w:r>
      <w:r w:rsidR="008961B4">
        <w:rPr>
          <w:rFonts w:cs="Calibri"/>
          <w:noProof/>
          <w:lang w:val="sq-AL"/>
        </w:rPr>
        <w:t>përqind</w:t>
      </w:r>
      <w:r>
        <w:rPr>
          <w:rFonts w:cs="Calibri"/>
          <w:noProof/>
          <w:lang w:val="sq-AL"/>
        </w:rPr>
        <w:t>, ose 10</w:t>
      </w:r>
      <w:r w:rsidRPr="00476D2E">
        <w:rPr>
          <w:rFonts w:cs="Calibri"/>
          <w:noProof/>
          <w:lang w:val="sq-AL"/>
        </w:rPr>
        <w:t>.3 miliardë lekë më</w:t>
      </w:r>
      <w:r>
        <w:rPr>
          <w:rFonts w:cs="Calibri"/>
          <w:noProof/>
          <w:lang w:val="sq-AL"/>
        </w:rPr>
        <w:t xml:space="preserve"> shum</w:t>
      </w:r>
      <w:r w:rsidRPr="00F65BBB">
        <w:rPr>
          <w:rFonts w:ascii="Times New Roman" w:hAnsi="Times New Roman"/>
          <w:noProof/>
          <w:lang w:val="sq-AL"/>
        </w:rPr>
        <w:t>ë</w:t>
      </w:r>
      <w:r>
        <w:rPr>
          <w:rFonts w:cs="Calibri"/>
          <w:noProof/>
          <w:lang w:val="sq-AL"/>
        </w:rPr>
        <w:t xml:space="preserve"> dhe 13.2 miliardë lekë apo 13.5 </w:t>
      </w:r>
      <w:r w:rsidR="008961B4">
        <w:rPr>
          <w:rFonts w:cs="Calibri"/>
          <w:noProof/>
          <w:lang w:val="sq-AL"/>
        </w:rPr>
        <w:t>përqind</w:t>
      </w:r>
      <w:r>
        <w:rPr>
          <w:rFonts w:cs="Calibri"/>
          <w:noProof/>
          <w:lang w:val="sq-AL"/>
        </w:rPr>
        <w:t xml:space="preserve"> më pak shum</w:t>
      </w:r>
      <w:r w:rsidRPr="007F753B">
        <w:rPr>
          <w:rFonts w:ascii="Times New Roman" w:hAnsi="Times New Roman"/>
          <w:noProof/>
          <w:lang w:val="sq-AL"/>
        </w:rPr>
        <w:t>ë</w:t>
      </w:r>
      <w:r w:rsidRPr="00476D2E">
        <w:rPr>
          <w:rFonts w:cs="Calibri"/>
          <w:noProof/>
          <w:lang w:val="sq-AL"/>
        </w:rPr>
        <w:t xml:space="preserve"> një vit më parë. Zërat që përbëjnë të ardhurat nga “Fondet Speciale” janë: Sigurimi Shoqëror, Sigurimi Shëndetësor dhe të ardhurat për kompensimin në vlerë të pronarëve</w:t>
      </w:r>
      <w:r w:rsidRPr="007F753B">
        <w:rPr>
          <w:rFonts w:cs="Calibri"/>
          <w:noProof/>
          <w:lang w:val="sq-AL"/>
        </w:rPr>
        <w:t>, përkatësisht në vlerën 94.9 miliardë lekë, 14.5 miliardë lekë dhe 1.4 miliardë lekë</w:t>
      </w:r>
      <w:r w:rsidR="009F3F84" w:rsidRPr="00476D2E">
        <w:rPr>
          <w:rFonts w:cs="Calibri"/>
          <w:noProof/>
          <w:lang w:val="sq-AL"/>
        </w:rPr>
        <w:t xml:space="preserve">. </w:t>
      </w:r>
    </w:p>
    <w:p w:rsidR="005A1F52" w:rsidRPr="00476D2E" w:rsidRDefault="005A1F52" w:rsidP="006158FC">
      <w:pPr>
        <w:pStyle w:val="Caption"/>
        <w:keepNext/>
        <w:spacing w:after="0"/>
        <w:rPr>
          <w:rFonts w:cs="Calibri"/>
          <w:lang w:val="sq-AL"/>
        </w:rPr>
      </w:pPr>
      <w:bookmarkStart w:id="72" w:name="_Toc104984026"/>
      <w:r w:rsidRPr="00476D2E">
        <w:rPr>
          <w:rFonts w:cs="Calibri"/>
          <w:lang w:val="sq-AL"/>
        </w:rPr>
        <w:t xml:space="preserve">Grafiku </w:t>
      </w:r>
      <w:r w:rsidR="00C87F41" w:rsidRPr="00476D2E">
        <w:rPr>
          <w:rFonts w:cs="Calibri"/>
          <w:noProof/>
          <w:lang w:val="sq-AL"/>
        </w:rPr>
        <w:fldChar w:fldCharType="begin"/>
      </w:r>
      <w:r w:rsidR="00C87F41" w:rsidRPr="00476D2E">
        <w:rPr>
          <w:rFonts w:cs="Calibri"/>
          <w:noProof/>
          <w:lang w:val="sq-AL"/>
        </w:rPr>
        <w:instrText xml:space="preserve"> SEQ Grafiku \* ARABIC </w:instrText>
      </w:r>
      <w:r w:rsidR="00C87F41" w:rsidRPr="00476D2E">
        <w:rPr>
          <w:rFonts w:cs="Calibri"/>
          <w:noProof/>
          <w:lang w:val="sq-AL"/>
        </w:rPr>
        <w:fldChar w:fldCharType="separate"/>
      </w:r>
      <w:r w:rsidR="00FE66EC">
        <w:rPr>
          <w:rFonts w:cs="Calibri"/>
          <w:noProof/>
          <w:lang w:val="sq-AL"/>
        </w:rPr>
        <w:t>7</w:t>
      </w:r>
      <w:r w:rsidR="00C87F41" w:rsidRPr="00476D2E">
        <w:rPr>
          <w:rFonts w:cs="Calibri"/>
          <w:noProof/>
          <w:lang w:val="sq-AL"/>
        </w:rPr>
        <w:fldChar w:fldCharType="end"/>
      </w:r>
      <w:r w:rsidRPr="00476D2E">
        <w:rPr>
          <w:rFonts w:cs="Calibri"/>
          <w:lang w:val="sq-AL"/>
        </w:rPr>
        <w:t xml:space="preserve"> T</w:t>
      </w:r>
      <w:r w:rsidR="00C33B16" w:rsidRPr="00476D2E">
        <w:rPr>
          <w:rFonts w:cs="Calibri"/>
          <w:lang w:val="sq-AL"/>
        </w:rPr>
        <w:t>ë</w:t>
      </w:r>
      <w:r w:rsidRPr="00476D2E">
        <w:rPr>
          <w:rFonts w:cs="Calibri"/>
          <w:lang w:val="sq-AL"/>
        </w:rPr>
        <w:t xml:space="preserve"> ardhurat nga fondet speciale n</w:t>
      </w:r>
      <w:r w:rsidR="00C33B16" w:rsidRPr="00476D2E">
        <w:rPr>
          <w:rFonts w:cs="Calibri"/>
          <w:lang w:val="sq-AL"/>
        </w:rPr>
        <w:t>ë</w:t>
      </w:r>
      <w:r w:rsidRPr="00476D2E">
        <w:rPr>
          <w:rFonts w:cs="Calibri"/>
          <w:lang w:val="sq-AL"/>
        </w:rPr>
        <w:t xml:space="preserve"> vite (n</w:t>
      </w:r>
      <w:r w:rsidR="00C33B16" w:rsidRPr="00476D2E">
        <w:rPr>
          <w:rFonts w:cs="Calibri"/>
          <w:lang w:val="sq-AL"/>
        </w:rPr>
        <w:t>ë</w:t>
      </w:r>
      <w:r w:rsidRPr="00476D2E">
        <w:rPr>
          <w:rFonts w:cs="Calibri"/>
          <w:lang w:val="sq-AL"/>
        </w:rPr>
        <w:t xml:space="preserve"> miliard</w:t>
      </w:r>
      <w:r w:rsidR="00C33B16" w:rsidRPr="00476D2E">
        <w:rPr>
          <w:rFonts w:cs="Calibri"/>
          <w:lang w:val="sq-AL"/>
        </w:rPr>
        <w:t>ë</w:t>
      </w:r>
      <w:r w:rsidRPr="00476D2E">
        <w:rPr>
          <w:rFonts w:cs="Calibri"/>
          <w:lang w:val="sq-AL"/>
        </w:rPr>
        <w:t xml:space="preserve"> lek</w:t>
      </w:r>
      <w:r w:rsidR="00C33B16" w:rsidRPr="00476D2E">
        <w:rPr>
          <w:rFonts w:cs="Calibri"/>
          <w:lang w:val="sq-AL"/>
        </w:rPr>
        <w:t>ë</w:t>
      </w:r>
      <w:r w:rsidRPr="00476D2E">
        <w:rPr>
          <w:rFonts w:cs="Calibri"/>
          <w:lang w:val="sq-AL"/>
        </w:rPr>
        <w:t>)</w:t>
      </w:r>
      <w:bookmarkEnd w:id="72"/>
    </w:p>
    <w:p w:rsidR="005A1F52" w:rsidRPr="00476D2E" w:rsidRDefault="000807FD" w:rsidP="00F1402E">
      <w:pPr>
        <w:spacing w:before="0"/>
        <w:jc w:val="center"/>
        <w:rPr>
          <w:rFonts w:cs="Calibri"/>
          <w:lang w:val="sq-AL"/>
        </w:rPr>
      </w:pPr>
      <w:r>
        <w:rPr>
          <w:noProof/>
        </w:rPr>
        <w:drawing>
          <wp:inline distT="0" distB="0" distL="0" distR="0" wp14:anchorId="6954EC5E" wp14:editId="79FCB9FF">
            <wp:extent cx="6343650" cy="1363980"/>
            <wp:effectExtent l="0" t="0" r="0"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30931" w:rsidRPr="00476D2E" w:rsidRDefault="000661E2" w:rsidP="00CF4BD1">
      <w:pPr>
        <w:spacing w:before="0"/>
        <w:ind w:firstLine="720"/>
        <w:rPr>
          <w:rFonts w:cs="Calibri"/>
          <w:i/>
          <w:noProof/>
          <w:sz w:val="18"/>
          <w:szCs w:val="18"/>
          <w:lang w:val="sq-AL"/>
        </w:rPr>
      </w:pPr>
      <w:r>
        <w:rPr>
          <w:rFonts w:cs="Calibri"/>
          <w:i/>
          <w:noProof/>
          <w:sz w:val="18"/>
          <w:szCs w:val="18"/>
          <w:lang w:val="sq-AL"/>
        </w:rPr>
        <w:t>Burimi: Ministria e Financave dhe Ekonomisë (2022)</w:t>
      </w:r>
    </w:p>
    <w:p w:rsidR="005A1F52" w:rsidRPr="00476D2E" w:rsidRDefault="005A1F52" w:rsidP="00DD369F">
      <w:pPr>
        <w:pStyle w:val="Caption"/>
        <w:keepNext/>
        <w:spacing w:after="0"/>
        <w:rPr>
          <w:rFonts w:cs="Calibri"/>
          <w:lang w:val="sq-AL"/>
        </w:rPr>
      </w:pPr>
      <w:bookmarkStart w:id="73" w:name="_Toc104984027"/>
      <w:r w:rsidRPr="00476D2E">
        <w:rPr>
          <w:rFonts w:cs="Calibri"/>
          <w:lang w:val="sq-AL"/>
        </w:rPr>
        <w:lastRenderedPageBreak/>
        <w:t xml:space="preserve">Grafiku </w:t>
      </w:r>
      <w:r w:rsidR="00C87F41" w:rsidRPr="00476D2E">
        <w:rPr>
          <w:rFonts w:cs="Calibri"/>
          <w:noProof/>
          <w:lang w:val="sq-AL"/>
        </w:rPr>
        <w:fldChar w:fldCharType="begin"/>
      </w:r>
      <w:r w:rsidR="00C87F41" w:rsidRPr="00476D2E">
        <w:rPr>
          <w:rFonts w:cs="Calibri"/>
          <w:noProof/>
          <w:lang w:val="sq-AL"/>
        </w:rPr>
        <w:instrText xml:space="preserve"> SEQ Grafiku \* ARABIC </w:instrText>
      </w:r>
      <w:r w:rsidR="00C87F41" w:rsidRPr="00476D2E">
        <w:rPr>
          <w:rFonts w:cs="Calibri"/>
          <w:noProof/>
          <w:lang w:val="sq-AL"/>
        </w:rPr>
        <w:fldChar w:fldCharType="separate"/>
      </w:r>
      <w:r w:rsidR="00FE66EC">
        <w:rPr>
          <w:rFonts w:cs="Calibri"/>
          <w:noProof/>
          <w:lang w:val="sq-AL"/>
        </w:rPr>
        <w:t>8</w:t>
      </w:r>
      <w:r w:rsidR="00C87F41" w:rsidRPr="00476D2E">
        <w:rPr>
          <w:rFonts w:cs="Calibri"/>
          <w:noProof/>
          <w:lang w:val="sq-AL"/>
        </w:rPr>
        <w:fldChar w:fldCharType="end"/>
      </w:r>
      <w:r w:rsidRPr="00476D2E">
        <w:rPr>
          <w:rFonts w:cs="Calibri"/>
          <w:lang w:val="sq-AL"/>
        </w:rPr>
        <w:t xml:space="preserve"> P</w:t>
      </w:r>
      <w:r w:rsidR="00C33B16" w:rsidRPr="00476D2E">
        <w:rPr>
          <w:rFonts w:cs="Calibri"/>
          <w:lang w:val="sq-AL"/>
        </w:rPr>
        <w:t>ë</w:t>
      </w:r>
      <w:r w:rsidRPr="00476D2E">
        <w:rPr>
          <w:rFonts w:cs="Calibri"/>
          <w:lang w:val="sq-AL"/>
        </w:rPr>
        <w:t>rb</w:t>
      </w:r>
      <w:r w:rsidR="00C33B16" w:rsidRPr="00476D2E">
        <w:rPr>
          <w:rFonts w:cs="Calibri"/>
          <w:lang w:val="sq-AL"/>
        </w:rPr>
        <w:t>ë</w:t>
      </w:r>
      <w:r w:rsidRPr="00476D2E">
        <w:rPr>
          <w:rFonts w:cs="Calibri"/>
          <w:lang w:val="sq-AL"/>
        </w:rPr>
        <w:t>rja e t</w:t>
      </w:r>
      <w:r w:rsidR="00C33B16" w:rsidRPr="00476D2E">
        <w:rPr>
          <w:rFonts w:cs="Calibri"/>
          <w:lang w:val="sq-AL"/>
        </w:rPr>
        <w:t>ë</w:t>
      </w:r>
      <w:r w:rsidRPr="00476D2E">
        <w:rPr>
          <w:rFonts w:cs="Calibri"/>
          <w:lang w:val="sq-AL"/>
        </w:rPr>
        <w:t xml:space="preserve"> ardhurave nga fondet speciale (n</w:t>
      </w:r>
      <w:r w:rsidR="00C33B16" w:rsidRPr="00476D2E">
        <w:rPr>
          <w:rFonts w:cs="Calibri"/>
          <w:lang w:val="sq-AL"/>
        </w:rPr>
        <w:t>ë</w:t>
      </w:r>
      <w:r w:rsidRPr="00476D2E">
        <w:rPr>
          <w:rFonts w:cs="Calibri"/>
          <w:lang w:val="sq-AL"/>
        </w:rPr>
        <w:t xml:space="preserve"> %)</w:t>
      </w:r>
      <w:bookmarkEnd w:id="73"/>
    </w:p>
    <w:p w:rsidR="006D2CC4" w:rsidRPr="00476D2E" w:rsidRDefault="00C45CA1" w:rsidP="00554F56">
      <w:pPr>
        <w:spacing w:before="0"/>
        <w:jc w:val="center"/>
        <w:rPr>
          <w:rFonts w:cs="Calibri"/>
          <w:noProof/>
          <w:lang w:val="sq-AL" w:eastAsia="en-GB"/>
        </w:rPr>
      </w:pPr>
      <w:r>
        <w:rPr>
          <w:noProof/>
        </w:rPr>
        <w:drawing>
          <wp:inline distT="0" distB="0" distL="0" distR="0" wp14:anchorId="6F786265" wp14:editId="7863B925">
            <wp:extent cx="6105525" cy="2042160"/>
            <wp:effectExtent l="0" t="0" r="9525" b="152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D2CC4" w:rsidRPr="00476D2E" w:rsidRDefault="000661E2" w:rsidP="00130001">
      <w:pPr>
        <w:spacing w:before="0"/>
        <w:ind w:firstLine="360"/>
        <w:rPr>
          <w:rFonts w:cs="Calibri"/>
          <w:i/>
          <w:noProof/>
          <w:sz w:val="18"/>
          <w:szCs w:val="18"/>
          <w:lang w:val="sq-AL"/>
        </w:rPr>
      </w:pPr>
      <w:r>
        <w:rPr>
          <w:rFonts w:cs="Calibri"/>
          <w:i/>
          <w:noProof/>
          <w:sz w:val="18"/>
          <w:szCs w:val="18"/>
          <w:lang w:val="sq-AL"/>
        </w:rPr>
        <w:t>Burimi: Ministria e Financave dhe Ekonomisë (2022)</w:t>
      </w:r>
    </w:p>
    <w:p w:rsidR="00DD369F" w:rsidRPr="00476D2E" w:rsidRDefault="00DD369F" w:rsidP="00D30931">
      <w:pPr>
        <w:ind w:left="1440" w:firstLine="720"/>
        <w:rPr>
          <w:rFonts w:cs="Calibri"/>
          <w:i/>
          <w:noProof/>
          <w:sz w:val="20"/>
          <w:lang w:val="sq-AL"/>
        </w:rPr>
      </w:pPr>
    </w:p>
    <w:p w:rsidR="005C6E2E" w:rsidRPr="00476D2E" w:rsidRDefault="005C6E2E" w:rsidP="00B77671">
      <w:pPr>
        <w:pStyle w:val="fiskale3"/>
        <w:rPr>
          <w:rFonts w:ascii="Calibri" w:hAnsi="Calibri" w:cs="Calibri"/>
        </w:rPr>
      </w:pPr>
      <w:bookmarkStart w:id="74" w:name="_Toc10033272"/>
      <w:bookmarkStart w:id="75" w:name="_Toc10721409"/>
      <w:bookmarkStart w:id="76" w:name="_Toc104980327"/>
      <w:r w:rsidRPr="00476D2E">
        <w:rPr>
          <w:rFonts w:ascii="Calibri" w:hAnsi="Calibri" w:cs="Calibri"/>
        </w:rPr>
        <w:t>T</w:t>
      </w:r>
      <w:r w:rsidR="00C33B16" w:rsidRPr="00476D2E">
        <w:rPr>
          <w:rFonts w:ascii="Calibri" w:hAnsi="Calibri" w:cs="Calibri"/>
        </w:rPr>
        <w:t>ë</w:t>
      </w:r>
      <w:r w:rsidRPr="00476D2E">
        <w:rPr>
          <w:rFonts w:ascii="Calibri" w:hAnsi="Calibri" w:cs="Calibri"/>
        </w:rPr>
        <w:t xml:space="preserve"> ardhurat jotatimore</w:t>
      </w:r>
      <w:bookmarkEnd w:id="74"/>
      <w:bookmarkEnd w:id="75"/>
      <w:bookmarkEnd w:id="76"/>
    </w:p>
    <w:p w:rsidR="009F3F84" w:rsidRPr="00476D2E" w:rsidRDefault="008961B4" w:rsidP="00BC23B7">
      <w:pPr>
        <w:spacing w:before="0"/>
        <w:rPr>
          <w:rFonts w:cs="Calibri"/>
        </w:rPr>
      </w:pPr>
      <w:r w:rsidRPr="00476D2E">
        <w:rPr>
          <w:rFonts w:cs="Calibri"/>
          <w:noProof/>
        </w:rPr>
        <w:t xml:space="preserve">Të ardhurat jotatimore rezultojnë në vlerën 19 miliardë lekë krahasuar me 23.5 miliardë të një viti më parë, me një rënie vjetore prej 19.2 </w:t>
      </w:r>
      <w:r>
        <w:rPr>
          <w:rFonts w:cs="Calibri"/>
          <w:noProof/>
        </w:rPr>
        <w:t>përqind</w:t>
      </w:r>
      <w:r w:rsidRPr="00476D2E">
        <w:rPr>
          <w:rFonts w:cs="Calibri"/>
          <w:noProof/>
        </w:rPr>
        <w:t xml:space="preserve"> ose 4.5 miliardë lekë më pak dhe me një realizim ndaj planit të rishikuar në masën 92.3 </w:t>
      </w:r>
      <w:r>
        <w:rPr>
          <w:rFonts w:cs="Calibri"/>
          <w:noProof/>
        </w:rPr>
        <w:t>përqind</w:t>
      </w:r>
      <w:r w:rsidRPr="00476D2E">
        <w:rPr>
          <w:rFonts w:cs="Calibri"/>
          <w:noProof/>
        </w:rPr>
        <w:t xml:space="preserve"> ose 1.5 miliardë lekë më pak. Zërat që përbëjnë të ardhurat jotatimore janë: Transferimi i fitimit nga Banka e Shqipërisë; të ardhurat nga institucionet buxhetore, dividendii institucioneve me kapital shtetëror dhe tarifa shërbimesh dhe të tjera; të cilat kanë mbledhur përkatësisht 1.4 miliardë lekë, 11.9 miliardë lekë, 0.26 miliardë lekë dhe 1.6 miliardë lekë</w:t>
      </w:r>
      <w:r w:rsidR="009F3F84" w:rsidRPr="00476D2E">
        <w:rPr>
          <w:rFonts w:cs="Calibri"/>
        </w:rPr>
        <w:t xml:space="preserve">. </w:t>
      </w:r>
    </w:p>
    <w:p w:rsidR="00CF3933" w:rsidRPr="00476D2E" w:rsidRDefault="00CF3933" w:rsidP="00FD59D8">
      <w:pPr>
        <w:pStyle w:val="Caption"/>
        <w:keepNext/>
        <w:spacing w:after="0"/>
        <w:rPr>
          <w:rFonts w:cs="Calibri"/>
          <w:lang w:val="sq-AL"/>
        </w:rPr>
      </w:pPr>
      <w:bookmarkStart w:id="77" w:name="_Toc104984028"/>
      <w:r w:rsidRPr="00476D2E">
        <w:rPr>
          <w:rFonts w:cs="Calibri"/>
          <w:lang w:val="sq-AL"/>
        </w:rPr>
        <w:t xml:space="preserve">Grafiku </w:t>
      </w:r>
      <w:r w:rsidR="00787591" w:rsidRPr="00476D2E">
        <w:rPr>
          <w:rFonts w:cs="Calibri"/>
          <w:noProof/>
          <w:lang w:val="sq-AL"/>
        </w:rPr>
        <w:fldChar w:fldCharType="begin"/>
      </w:r>
      <w:r w:rsidR="00787591" w:rsidRPr="00476D2E">
        <w:rPr>
          <w:rFonts w:cs="Calibri"/>
          <w:noProof/>
          <w:lang w:val="sq-AL"/>
        </w:rPr>
        <w:instrText xml:space="preserve"> SEQ Grafiku \* ARABIC </w:instrText>
      </w:r>
      <w:r w:rsidR="00787591" w:rsidRPr="00476D2E">
        <w:rPr>
          <w:rFonts w:cs="Calibri"/>
          <w:noProof/>
          <w:lang w:val="sq-AL"/>
        </w:rPr>
        <w:fldChar w:fldCharType="separate"/>
      </w:r>
      <w:r w:rsidR="00FE66EC">
        <w:rPr>
          <w:rFonts w:cs="Calibri"/>
          <w:noProof/>
          <w:lang w:val="sq-AL"/>
        </w:rPr>
        <w:t>9</w:t>
      </w:r>
      <w:r w:rsidR="00787591" w:rsidRPr="00476D2E">
        <w:rPr>
          <w:rFonts w:cs="Calibri"/>
          <w:noProof/>
          <w:lang w:val="sq-AL"/>
        </w:rPr>
        <w:fldChar w:fldCharType="end"/>
      </w:r>
      <w:r w:rsidRPr="00476D2E">
        <w:rPr>
          <w:rFonts w:cs="Calibri"/>
          <w:lang w:val="sq-AL"/>
        </w:rPr>
        <w:t xml:space="preserve"> P</w:t>
      </w:r>
      <w:r w:rsidR="00C33B16" w:rsidRPr="00476D2E">
        <w:rPr>
          <w:rFonts w:cs="Calibri"/>
          <w:lang w:val="sq-AL"/>
        </w:rPr>
        <w:t>ë</w:t>
      </w:r>
      <w:r w:rsidRPr="00476D2E">
        <w:rPr>
          <w:rFonts w:cs="Calibri"/>
          <w:lang w:val="sq-AL"/>
        </w:rPr>
        <w:t>rb</w:t>
      </w:r>
      <w:r w:rsidR="00C33B16" w:rsidRPr="00476D2E">
        <w:rPr>
          <w:rFonts w:cs="Calibri"/>
          <w:lang w:val="sq-AL"/>
        </w:rPr>
        <w:t>ë</w:t>
      </w:r>
      <w:r w:rsidRPr="00476D2E">
        <w:rPr>
          <w:rFonts w:cs="Calibri"/>
          <w:lang w:val="sq-AL"/>
        </w:rPr>
        <w:t>rja e t</w:t>
      </w:r>
      <w:r w:rsidR="00C33B16" w:rsidRPr="00476D2E">
        <w:rPr>
          <w:rFonts w:cs="Calibri"/>
          <w:lang w:val="sq-AL"/>
        </w:rPr>
        <w:t>ë</w:t>
      </w:r>
      <w:r w:rsidRPr="00476D2E">
        <w:rPr>
          <w:rFonts w:cs="Calibri"/>
          <w:lang w:val="sq-AL"/>
        </w:rPr>
        <w:t xml:space="preserve"> ardhurave jotatimore (miliard</w:t>
      </w:r>
      <w:r w:rsidR="00C33B16" w:rsidRPr="00476D2E">
        <w:rPr>
          <w:rFonts w:cs="Calibri"/>
          <w:lang w:val="sq-AL"/>
        </w:rPr>
        <w:t>ë</w:t>
      </w:r>
      <w:r w:rsidRPr="00476D2E">
        <w:rPr>
          <w:rFonts w:cs="Calibri"/>
          <w:lang w:val="sq-AL"/>
        </w:rPr>
        <w:t xml:space="preserve"> lek</w:t>
      </w:r>
      <w:r w:rsidR="00C33B16" w:rsidRPr="00476D2E">
        <w:rPr>
          <w:rFonts w:cs="Calibri"/>
          <w:lang w:val="sq-AL"/>
        </w:rPr>
        <w:t>ë</w:t>
      </w:r>
      <w:r w:rsidRPr="00476D2E">
        <w:rPr>
          <w:rFonts w:cs="Calibri"/>
          <w:lang w:val="sq-AL"/>
        </w:rPr>
        <w:t>)</w:t>
      </w:r>
      <w:bookmarkEnd w:id="77"/>
    </w:p>
    <w:p w:rsidR="006D2CC4" w:rsidRPr="00476D2E" w:rsidRDefault="00C033ED" w:rsidP="00070F3E">
      <w:pPr>
        <w:spacing w:before="0"/>
        <w:jc w:val="center"/>
        <w:rPr>
          <w:rFonts w:eastAsia="SimSun" w:cs="Calibri"/>
          <w:i/>
          <w:lang w:val="sq-AL"/>
        </w:rPr>
      </w:pPr>
      <w:r>
        <w:rPr>
          <w:noProof/>
        </w:rPr>
        <w:drawing>
          <wp:inline distT="0" distB="0" distL="0" distR="0" wp14:anchorId="24C2B568" wp14:editId="5CB61F16">
            <wp:extent cx="5615940" cy="2164080"/>
            <wp:effectExtent l="0" t="0" r="3810" b="762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D2CC4" w:rsidRPr="00476D2E" w:rsidRDefault="000661E2" w:rsidP="004B2FC0">
      <w:pPr>
        <w:spacing w:before="0"/>
        <w:ind w:firstLine="720"/>
        <w:rPr>
          <w:rFonts w:cs="Calibri"/>
          <w:i/>
          <w:noProof/>
          <w:sz w:val="18"/>
          <w:szCs w:val="18"/>
          <w:lang w:val="sq-AL"/>
        </w:rPr>
      </w:pPr>
      <w:r>
        <w:rPr>
          <w:rFonts w:cs="Calibri"/>
          <w:i/>
          <w:noProof/>
          <w:sz w:val="18"/>
          <w:szCs w:val="18"/>
          <w:lang w:val="sq-AL"/>
        </w:rPr>
        <w:t>Burimi: Ministria e Financave dhe Ekonomisë (2022)</w:t>
      </w:r>
    </w:p>
    <w:p w:rsidR="006E1920" w:rsidRPr="00070F3E" w:rsidRDefault="006E1920" w:rsidP="00CF3933">
      <w:pPr>
        <w:rPr>
          <w:rFonts w:cs="Calibri"/>
          <w:i/>
          <w:noProof/>
          <w:sz w:val="8"/>
          <w:lang w:val="sq-AL"/>
        </w:rPr>
      </w:pPr>
    </w:p>
    <w:p w:rsidR="005C6E2E" w:rsidRPr="00476D2E" w:rsidRDefault="005C6E2E" w:rsidP="00B77671">
      <w:pPr>
        <w:pStyle w:val="fiskale3"/>
        <w:rPr>
          <w:rFonts w:ascii="Calibri" w:hAnsi="Calibri" w:cs="Calibri"/>
        </w:rPr>
      </w:pPr>
      <w:bookmarkStart w:id="78" w:name="_Toc10033273"/>
      <w:bookmarkStart w:id="79" w:name="_Toc10721410"/>
      <w:bookmarkStart w:id="80" w:name="_Toc104980328"/>
      <w:r w:rsidRPr="00476D2E">
        <w:rPr>
          <w:rFonts w:ascii="Calibri" w:hAnsi="Calibri" w:cs="Calibri"/>
        </w:rPr>
        <w:t>T</w:t>
      </w:r>
      <w:r w:rsidR="00C33B16" w:rsidRPr="00476D2E">
        <w:rPr>
          <w:rFonts w:ascii="Calibri" w:hAnsi="Calibri" w:cs="Calibri"/>
        </w:rPr>
        <w:t>ë</w:t>
      </w:r>
      <w:r w:rsidRPr="00476D2E">
        <w:rPr>
          <w:rFonts w:ascii="Calibri" w:hAnsi="Calibri" w:cs="Calibri"/>
        </w:rPr>
        <w:t xml:space="preserve"> ardhurat nga tatimet dhe doganat</w:t>
      </w:r>
      <w:bookmarkEnd w:id="78"/>
      <w:bookmarkEnd w:id="79"/>
      <w:bookmarkEnd w:id="80"/>
    </w:p>
    <w:p w:rsidR="00DD369F" w:rsidRPr="00476D2E" w:rsidRDefault="008961B4" w:rsidP="00BC23B7">
      <w:pPr>
        <w:spacing w:before="0"/>
        <w:rPr>
          <w:rFonts w:cs="Calibri"/>
          <w:noProof/>
          <w:sz w:val="16"/>
          <w:lang w:val="sq-AL"/>
        </w:rPr>
      </w:pPr>
      <w:r w:rsidRPr="00AF1E86">
        <w:rPr>
          <w:rFonts w:cs="Calibri"/>
          <w:noProof/>
          <w:lang w:val="sq-AL"/>
        </w:rPr>
        <w:t>Të ardhurat nga “Tatimet dhe Dogana”</w:t>
      </w:r>
      <w:r w:rsidRPr="00AF1E86">
        <w:rPr>
          <w:rFonts w:cs="Calibri"/>
          <w:noProof/>
          <w:vertAlign w:val="superscript"/>
          <w:lang w:val="sq-AL"/>
        </w:rPr>
        <w:footnoteReference w:id="2"/>
      </w:r>
      <w:r w:rsidRPr="00AF1E86">
        <w:rPr>
          <w:rFonts w:cs="Calibri"/>
          <w:noProof/>
          <w:lang w:val="sq-AL"/>
        </w:rPr>
        <w:t xml:space="preserve"> janë burimi kryesor i të ardhurave të përgjithshme dhe kontribuojnë në buxhetin e shtetit me rreth 17.9 </w:t>
      </w:r>
      <w:r>
        <w:rPr>
          <w:rFonts w:cs="Calibri"/>
          <w:noProof/>
          <w:lang w:val="sq-AL"/>
        </w:rPr>
        <w:t>përqind</w:t>
      </w:r>
      <w:r w:rsidRPr="00AF1E86">
        <w:rPr>
          <w:rFonts w:cs="Calibri"/>
          <w:noProof/>
          <w:lang w:val="sq-AL"/>
        </w:rPr>
        <w:t xml:space="preserve"> të PBB-së. Krahasuar me një vit më parë, ky zë shënon një performancë pozitive në vlerën 59.1 miliardë lekë ose 21.2 </w:t>
      </w:r>
      <w:r>
        <w:rPr>
          <w:rFonts w:cs="Calibri"/>
          <w:noProof/>
          <w:lang w:val="sq-AL"/>
        </w:rPr>
        <w:t>përqind</w:t>
      </w:r>
      <w:r w:rsidRPr="00AF1E86">
        <w:rPr>
          <w:rFonts w:cs="Calibri"/>
          <w:noProof/>
          <w:lang w:val="sq-AL"/>
        </w:rPr>
        <w:t xml:space="preserve"> më shumë. Në krahasim me planin, realizimi ishte 101.6% e planit të rishikuar vjetor, duke rezultuar në 5.3 miliardë lekë më shumë</w:t>
      </w:r>
      <w:r w:rsidR="00860251" w:rsidRPr="00476D2E">
        <w:rPr>
          <w:rFonts w:cs="Calibri"/>
          <w:noProof/>
          <w:lang w:val="sq-AL"/>
        </w:rPr>
        <w:t>.</w:t>
      </w:r>
    </w:p>
    <w:p w:rsidR="005A1F52" w:rsidRPr="00476D2E" w:rsidRDefault="005A1F52" w:rsidP="00DD369F">
      <w:pPr>
        <w:pStyle w:val="Caption"/>
        <w:keepNext/>
        <w:spacing w:after="0"/>
        <w:rPr>
          <w:rFonts w:cs="Calibri"/>
          <w:lang w:val="sq-AL"/>
        </w:rPr>
      </w:pPr>
      <w:bookmarkStart w:id="81" w:name="_Toc104984029"/>
      <w:r w:rsidRPr="00476D2E">
        <w:rPr>
          <w:rFonts w:cs="Calibri"/>
          <w:lang w:val="sq-AL"/>
        </w:rPr>
        <w:lastRenderedPageBreak/>
        <w:t xml:space="preserve">Grafiku </w:t>
      </w:r>
      <w:r w:rsidR="00C87F41" w:rsidRPr="00476D2E">
        <w:rPr>
          <w:rFonts w:cs="Calibri"/>
          <w:noProof/>
          <w:lang w:val="sq-AL"/>
        </w:rPr>
        <w:fldChar w:fldCharType="begin"/>
      </w:r>
      <w:r w:rsidR="00C87F41" w:rsidRPr="00476D2E">
        <w:rPr>
          <w:rFonts w:cs="Calibri"/>
          <w:noProof/>
          <w:lang w:val="sq-AL"/>
        </w:rPr>
        <w:instrText xml:space="preserve"> SEQ Grafiku \* ARABIC </w:instrText>
      </w:r>
      <w:r w:rsidR="00C87F41" w:rsidRPr="00476D2E">
        <w:rPr>
          <w:rFonts w:cs="Calibri"/>
          <w:noProof/>
          <w:lang w:val="sq-AL"/>
        </w:rPr>
        <w:fldChar w:fldCharType="separate"/>
      </w:r>
      <w:r w:rsidR="00FE66EC">
        <w:rPr>
          <w:rFonts w:cs="Calibri"/>
          <w:noProof/>
          <w:lang w:val="sq-AL"/>
        </w:rPr>
        <w:t>10</w:t>
      </w:r>
      <w:r w:rsidR="00C87F41" w:rsidRPr="00476D2E">
        <w:rPr>
          <w:rFonts w:cs="Calibri"/>
          <w:noProof/>
          <w:lang w:val="sq-AL"/>
        </w:rPr>
        <w:fldChar w:fldCharType="end"/>
      </w:r>
      <w:r w:rsidRPr="00476D2E">
        <w:rPr>
          <w:rFonts w:cs="Calibri"/>
          <w:lang w:val="sq-AL"/>
        </w:rPr>
        <w:t xml:space="preserve"> T</w:t>
      </w:r>
      <w:r w:rsidR="00C33B16" w:rsidRPr="00476D2E">
        <w:rPr>
          <w:rFonts w:cs="Calibri"/>
          <w:lang w:val="sq-AL"/>
        </w:rPr>
        <w:t>ë</w:t>
      </w:r>
      <w:r w:rsidRPr="00476D2E">
        <w:rPr>
          <w:rFonts w:cs="Calibri"/>
          <w:lang w:val="sq-AL"/>
        </w:rPr>
        <w:t xml:space="preserve"> ardhura nga tatimet dhe doganat n</w:t>
      </w:r>
      <w:r w:rsidR="00C33B16" w:rsidRPr="00476D2E">
        <w:rPr>
          <w:rFonts w:cs="Calibri"/>
          <w:lang w:val="sq-AL"/>
        </w:rPr>
        <w:t>ë</w:t>
      </w:r>
      <w:r w:rsidRPr="00476D2E">
        <w:rPr>
          <w:rFonts w:cs="Calibri"/>
          <w:lang w:val="sq-AL"/>
        </w:rPr>
        <w:t xml:space="preserve"> vite (n</w:t>
      </w:r>
      <w:r w:rsidR="00C33B16" w:rsidRPr="00476D2E">
        <w:rPr>
          <w:rFonts w:cs="Calibri"/>
          <w:lang w:val="sq-AL"/>
        </w:rPr>
        <w:t>ë</w:t>
      </w:r>
      <w:r w:rsidRPr="00476D2E">
        <w:rPr>
          <w:rFonts w:cs="Calibri"/>
          <w:lang w:val="sq-AL"/>
        </w:rPr>
        <w:t xml:space="preserve"> miliard</w:t>
      </w:r>
      <w:r w:rsidR="00C33B16" w:rsidRPr="00476D2E">
        <w:rPr>
          <w:rFonts w:cs="Calibri"/>
          <w:lang w:val="sq-AL"/>
        </w:rPr>
        <w:t>ë</w:t>
      </w:r>
      <w:r w:rsidRPr="00476D2E">
        <w:rPr>
          <w:rFonts w:cs="Calibri"/>
          <w:lang w:val="sq-AL"/>
        </w:rPr>
        <w:t xml:space="preserve"> lek</w:t>
      </w:r>
      <w:r w:rsidR="00C33B16" w:rsidRPr="00476D2E">
        <w:rPr>
          <w:rFonts w:cs="Calibri"/>
          <w:lang w:val="sq-AL"/>
        </w:rPr>
        <w:t>ë</w:t>
      </w:r>
      <w:r w:rsidRPr="00476D2E">
        <w:rPr>
          <w:rFonts w:cs="Calibri"/>
          <w:lang w:val="sq-AL"/>
        </w:rPr>
        <w:t>) dhe n</w:t>
      </w:r>
      <w:r w:rsidR="00C33B16" w:rsidRPr="00476D2E">
        <w:rPr>
          <w:rFonts w:cs="Calibri"/>
          <w:lang w:val="sq-AL"/>
        </w:rPr>
        <w:t>ë</w:t>
      </w:r>
      <w:r w:rsidRPr="00476D2E">
        <w:rPr>
          <w:rFonts w:cs="Calibri"/>
          <w:lang w:val="sq-AL"/>
        </w:rPr>
        <w:t xml:space="preserve"> % t</w:t>
      </w:r>
      <w:r w:rsidR="00C33B16" w:rsidRPr="00476D2E">
        <w:rPr>
          <w:rFonts w:cs="Calibri"/>
          <w:lang w:val="sq-AL"/>
        </w:rPr>
        <w:t>ë</w:t>
      </w:r>
      <w:r w:rsidRPr="00476D2E">
        <w:rPr>
          <w:rFonts w:cs="Calibri"/>
          <w:lang w:val="sq-AL"/>
        </w:rPr>
        <w:t xml:space="preserve"> PBB-s</w:t>
      </w:r>
      <w:r w:rsidR="00C33B16" w:rsidRPr="00476D2E">
        <w:rPr>
          <w:rFonts w:cs="Calibri"/>
          <w:lang w:val="sq-AL"/>
        </w:rPr>
        <w:t>ë</w:t>
      </w:r>
      <w:bookmarkEnd w:id="81"/>
    </w:p>
    <w:p w:rsidR="005A1F52" w:rsidRPr="00476D2E" w:rsidRDefault="00C033ED" w:rsidP="00070F3E">
      <w:pPr>
        <w:spacing w:before="0"/>
        <w:jc w:val="center"/>
        <w:rPr>
          <w:rFonts w:cs="Calibri"/>
          <w:lang w:val="sq-AL"/>
        </w:rPr>
      </w:pPr>
      <w:r w:rsidRPr="00476D2E">
        <w:rPr>
          <w:rFonts w:cs="Calibri"/>
          <w:noProof/>
        </w:rPr>
        <w:drawing>
          <wp:inline distT="0" distB="0" distL="0" distR="0" wp14:anchorId="51D373B2" wp14:editId="380A524D">
            <wp:extent cx="6410325" cy="2202180"/>
            <wp:effectExtent l="0" t="0" r="9525" b="7620"/>
            <wp:docPr id="31" name="Chart 3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D59D8" w:rsidRDefault="000661E2" w:rsidP="004B2FC0">
      <w:pPr>
        <w:spacing w:before="0"/>
        <w:rPr>
          <w:rFonts w:cs="Calibri"/>
          <w:i/>
          <w:noProof/>
          <w:sz w:val="18"/>
          <w:szCs w:val="18"/>
          <w:lang w:val="sq-AL"/>
        </w:rPr>
      </w:pPr>
      <w:r>
        <w:rPr>
          <w:rFonts w:cs="Calibri"/>
          <w:i/>
          <w:noProof/>
          <w:sz w:val="18"/>
          <w:szCs w:val="18"/>
          <w:lang w:val="sq-AL"/>
        </w:rPr>
        <w:t>Burimi: Ministria e Financave dhe Ekonomisë (2022)</w:t>
      </w:r>
    </w:p>
    <w:p w:rsidR="00070F3E" w:rsidRPr="00476D2E" w:rsidRDefault="00070F3E" w:rsidP="004B2FC0">
      <w:pPr>
        <w:spacing w:before="0"/>
        <w:rPr>
          <w:rFonts w:cs="Calibri"/>
          <w:i/>
          <w:noProof/>
          <w:sz w:val="18"/>
          <w:szCs w:val="18"/>
          <w:lang w:val="sq-AL"/>
        </w:rPr>
      </w:pPr>
    </w:p>
    <w:p w:rsidR="005A1F52" w:rsidRPr="00476D2E" w:rsidRDefault="005A1F52" w:rsidP="00BC23B7">
      <w:pPr>
        <w:pStyle w:val="Caption"/>
        <w:keepNext/>
        <w:spacing w:after="0"/>
        <w:rPr>
          <w:rFonts w:cs="Calibri"/>
          <w:lang w:val="sq-AL"/>
        </w:rPr>
      </w:pPr>
      <w:bookmarkStart w:id="82" w:name="_Toc104984030"/>
      <w:r w:rsidRPr="00476D2E">
        <w:rPr>
          <w:rFonts w:cs="Calibri"/>
          <w:lang w:val="sq-AL"/>
        </w:rPr>
        <w:t xml:space="preserve">Grafiku </w:t>
      </w:r>
      <w:r w:rsidR="00C87F41" w:rsidRPr="00476D2E">
        <w:rPr>
          <w:rFonts w:cs="Calibri"/>
          <w:noProof/>
          <w:lang w:val="sq-AL"/>
        </w:rPr>
        <w:fldChar w:fldCharType="begin"/>
      </w:r>
      <w:r w:rsidR="00C87F41" w:rsidRPr="00476D2E">
        <w:rPr>
          <w:rFonts w:cs="Calibri"/>
          <w:noProof/>
          <w:lang w:val="sq-AL"/>
        </w:rPr>
        <w:instrText xml:space="preserve"> SEQ Grafiku \* ARABIC </w:instrText>
      </w:r>
      <w:r w:rsidR="00C87F41" w:rsidRPr="00476D2E">
        <w:rPr>
          <w:rFonts w:cs="Calibri"/>
          <w:noProof/>
          <w:lang w:val="sq-AL"/>
        </w:rPr>
        <w:fldChar w:fldCharType="separate"/>
      </w:r>
      <w:r w:rsidR="00FE66EC">
        <w:rPr>
          <w:rFonts w:cs="Calibri"/>
          <w:noProof/>
          <w:lang w:val="sq-AL"/>
        </w:rPr>
        <w:t>11</w:t>
      </w:r>
      <w:r w:rsidR="00C87F41" w:rsidRPr="00476D2E">
        <w:rPr>
          <w:rFonts w:cs="Calibri"/>
          <w:noProof/>
          <w:lang w:val="sq-AL"/>
        </w:rPr>
        <w:fldChar w:fldCharType="end"/>
      </w:r>
      <w:r w:rsidR="00437CC4" w:rsidRPr="00476D2E">
        <w:rPr>
          <w:rFonts w:cs="Calibri"/>
          <w:noProof/>
          <w:lang w:val="sq-AL"/>
        </w:rPr>
        <w:t xml:space="preserve"> T</w:t>
      </w:r>
      <w:r w:rsidR="00824B19" w:rsidRPr="00476D2E">
        <w:rPr>
          <w:rFonts w:cs="Calibri"/>
          <w:noProof/>
          <w:lang w:val="sq-AL"/>
        </w:rPr>
        <w:t>ë</w:t>
      </w:r>
      <w:r w:rsidR="00437CC4" w:rsidRPr="00476D2E">
        <w:rPr>
          <w:rFonts w:cs="Calibri"/>
          <w:noProof/>
          <w:lang w:val="sq-AL"/>
        </w:rPr>
        <w:t xml:space="preserve"> ardhurat nga tatimet dhe doganat sipas llojit</w:t>
      </w:r>
      <w:bookmarkEnd w:id="82"/>
    </w:p>
    <w:p w:rsidR="0076564D" w:rsidRPr="00476D2E" w:rsidRDefault="00B42681" w:rsidP="004B2FC0">
      <w:pPr>
        <w:spacing w:before="0"/>
        <w:jc w:val="center"/>
        <w:rPr>
          <w:rFonts w:cs="Calibri"/>
          <w:noProof/>
          <w:sz w:val="21"/>
          <w:szCs w:val="21"/>
          <w:lang w:val="sq-AL"/>
        </w:rPr>
      </w:pPr>
      <w:r w:rsidRPr="00476D2E">
        <w:rPr>
          <w:rFonts w:cs="Calibri"/>
          <w:noProof/>
        </w:rPr>
        <w:drawing>
          <wp:inline distT="0" distB="0" distL="0" distR="0" wp14:anchorId="7F041741" wp14:editId="5AFD1D29">
            <wp:extent cx="5775960" cy="2598420"/>
            <wp:effectExtent l="0" t="0" r="15240" b="1143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6564D" w:rsidRDefault="000661E2" w:rsidP="00110CDC">
      <w:pPr>
        <w:spacing w:before="0"/>
        <w:ind w:firstLine="720"/>
        <w:rPr>
          <w:rFonts w:cs="Calibri"/>
          <w:i/>
          <w:noProof/>
          <w:sz w:val="18"/>
          <w:szCs w:val="18"/>
          <w:lang w:val="sq-AL"/>
        </w:rPr>
      </w:pPr>
      <w:r>
        <w:rPr>
          <w:rFonts w:cs="Calibri"/>
          <w:i/>
          <w:noProof/>
          <w:sz w:val="18"/>
          <w:szCs w:val="18"/>
          <w:lang w:val="sq-AL"/>
        </w:rPr>
        <w:t>Burimi: Ministria e Financave dhe Ekonomisë (2022)</w:t>
      </w:r>
    </w:p>
    <w:p w:rsidR="00110CDC" w:rsidRPr="00476D2E" w:rsidRDefault="00110CDC" w:rsidP="004B2FC0">
      <w:pPr>
        <w:spacing w:before="0"/>
        <w:ind w:left="720" w:firstLine="720"/>
        <w:rPr>
          <w:rFonts w:cs="Calibri"/>
          <w:i/>
          <w:noProof/>
          <w:sz w:val="18"/>
          <w:szCs w:val="18"/>
          <w:lang w:val="sq-AL"/>
        </w:rPr>
      </w:pPr>
    </w:p>
    <w:p w:rsidR="009F3F84" w:rsidRDefault="008961B4" w:rsidP="00554F56">
      <w:pPr>
        <w:spacing w:before="0"/>
        <w:rPr>
          <w:rFonts w:cs="Calibri"/>
          <w:noProof/>
          <w:lang w:val="sq-AL"/>
        </w:rPr>
      </w:pPr>
      <w:r w:rsidRPr="008961B4">
        <w:rPr>
          <w:rFonts w:cs="Calibri"/>
          <w:noProof/>
          <w:lang w:val="sq-AL"/>
        </w:rPr>
        <w:t>Këto të ardhura, të cilat administrohen nga Drejtoria e Përgjithshme e Tatimeve (DPT) dhe Drejtoria e Përgjithshme e Doganave (DPD), përfshijnë Tatimin mbi vlerën e shtuar; Tatimin mbi fitimin; Tatimin mbi të ardhurat personale; Akcizat; Taksat doganore dhe Taksa të tjera kombëtare. DPT administron gjithashtu mbledhjen e kontributeve të sigurimeve shoqërore dhe shëndetësore. Burimet nga të gjitha të ardhurat e administruara nga DPT dhe DPD për vitin 2021, janë realizuar në vlerën 444.3 miliardë lekë, 19.1 përqind ose 71.2 miliardë lekë më shumë se e njëjta periudhë e vitit të kaluar dhe në masën 101.9 përqind të planit vjetor të rishikuar. Rezultati pozitiv krahasuar me vitin e kaluar, është tregues i qartë i mëkëmbjes së ekonomisë shqiptare, e reflektuar me rritjen e aktivitetit ekonomik, kërkesës së brendshme dhe të jashtme; si edhe rritjen e numrit të të punësuarve dhe si rrjedhoje rritje e të ardhurave nga mbledhja e kontributeve të sigurimeve shoqërore dhe shëndetësore</w:t>
      </w:r>
      <w:r w:rsidR="009F3F84" w:rsidRPr="00476D2E">
        <w:rPr>
          <w:rFonts w:cs="Calibri"/>
          <w:noProof/>
          <w:lang w:val="sq-AL"/>
        </w:rPr>
        <w:t xml:space="preserve">. </w:t>
      </w:r>
    </w:p>
    <w:p w:rsidR="00554F56" w:rsidRPr="00476D2E" w:rsidRDefault="00554F56" w:rsidP="00554F56">
      <w:pPr>
        <w:spacing w:before="0"/>
        <w:rPr>
          <w:rFonts w:cs="Calibri"/>
          <w:noProof/>
          <w:lang w:val="sq-AL"/>
        </w:rPr>
      </w:pPr>
    </w:p>
    <w:p w:rsidR="002464D3" w:rsidRPr="00476D2E" w:rsidRDefault="006D577E" w:rsidP="002464D3">
      <w:pPr>
        <w:pStyle w:val="Caption"/>
        <w:keepNext/>
        <w:spacing w:after="0"/>
        <w:rPr>
          <w:rFonts w:cs="Calibri"/>
          <w:lang w:val="sq-AL"/>
        </w:rPr>
      </w:pPr>
      <w:bookmarkStart w:id="83" w:name="_Toc104984080"/>
      <w:r w:rsidRPr="00476D2E">
        <w:rPr>
          <w:rFonts w:cs="Calibri"/>
          <w:lang w:val="sq-AL"/>
        </w:rPr>
        <w:lastRenderedPageBreak/>
        <w:t xml:space="preserve">Tabela </w:t>
      </w:r>
      <w:r w:rsidR="00335A3A" w:rsidRPr="00476D2E">
        <w:rPr>
          <w:rFonts w:cs="Calibri"/>
          <w:lang w:val="sq-AL"/>
        </w:rPr>
        <w:fldChar w:fldCharType="begin"/>
      </w:r>
      <w:r w:rsidR="00335A3A" w:rsidRPr="00476D2E">
        <w:rPr>
          <w:rFonts w:cs="Calibri"/>
          <w:lang w:val="sq-AL"/>
        </w:rPr>
        <w:instrText xml:space="preserve"> SEQ Tabela \* ARABIC </w:instrText>
      </w:r>
      <w:r w:rsidR="00335A3A" w:rsidRPr="00476D2E">
        <w:rPr>
          <w:rFonts w:cs="Calibri"/>
          <w:lang w:val="sq-AL"/>
        </w:rPr>
        <w:fldChar w:fldCharType="separate"/>
      </w:r>
      <w:r w:rsidR="00276062">
        <w:rPr>
          <w:rFonts w:cs="Calibri"/>
          <w:noProof/>
          <w:lang w:val="sq-AL"/>
        </w:rPr>
        <w:t>8</w:t>
      </w:r>
      <w:r w:rsidR="00335A3A" w:rsidRPr="00476D2E">
        <w:rPr>
          <w:rFonts w:cs="Calibri"/>
          <w:noProof/>
          <w:lang w:val="sq-AL"/>
        </w:rPr>
        <w:fldChar w:fldCharType="end"/>
      </w:r>
      <w:r w:rsidRPr="00476D2E">
        <w:rPr>
          <w:rFonts w:cs="Calibri"/>
          <w:lang w:val="sq-AL"/>
        </w:rPr>
        <w:t xml:space="preserve"> Të ardhurat nga tatimet dhe doganat (në milionë lekë)</w:t>
      </w:r>
      <w:bookmarkEnd w:id="83"/>
      <w:r w:rsidR="00FC175F" w:rsidRPr="00476D2E">
        <w:rPr>
          <w:rFonts w:cs="Calibri"/>
          <w:lang w:val="sq-AL"/>
        </w:rPr>
        <w:t xml:space="preserve"> </w:t>
      </w:r>
    </w:p>
    <w:tbl>
      <w:tblPr>
        <w:tblW w:w="5584" w:type="pct"/>
        <w:jc w:val="center"/>
        <w:tblLayout w:type="fixed"/>
        <w:tblLook w:val="04A0" w:firstRow="1" w:lastRow="0" w:firstColumn="1" w:lastColumn="0" w:noHBand="0" w:noVBand="1"/>
      </w:tblPr>
      <w:tblGrid>
        <w:gridCol w:w="2160"/>
        <w:gridCol w:w="787"/>
        <w:gridCol w:w="854"/>
        <w:gridCol w:w="785"/>
        <w:gridCol w:w="994"/>
        <w:gridCol w:w="1042"/>
        <w:gridCol w:w="946"/>
        <w:gridCol w:w="1073"/>
        <w:gridCol w:w="912"/>
        <w:gridCol w:w="1135"/>
        <w:gridCol w:w="1313"/>
      </w:tblGrid>
      <w:tr w:rsidR="001216DB" w:rsidRPr="00476D2E" w:rsidTr="00C16FCE">
        <w:trPr>
          <w:trHeight w:val="784"/>
          <w:jc w:val="center"/>
        </w:trPr>
        <w:tc>
          <w:tcPr>
            <w:tcW w:w="900" w:type="pct"/>
            <w:tcBorders>
              <w:top w:val="single" w:sz="8" w:space="0" w:color="4472C4"/>
              <w:left w:val="single" w:sz="8" w:space="0" w:color="4472C4"/>
              <w:bottom w:val="single" w:sz="8" w:space="0" w:color="4472C4"/>
              <w:right w:val="nil"/>
            </w:tcBorders>
            <w:shd w:val="clear" w:color="000000" w:fill="0B5294" w:themeFill="accent1" w:themeFillShade="BF"/>
            <w:vAlign w:val="center"/>
            <w:hideMark/>
          </w:tcPr>
          <w:p w:rsidR="00512A7B" w:rsidRPr="00476D2E" w:rsidRDefault="00512A7B" w:rsidP="00C16FCE">
            <w:pPr>
              <w:spacing w:before="0" w:line="240" w:lineRule="auto"/>
              <w:contextualSpacing/>
              <w:jc w:val="center"/>
              <w:rPr>
                <w:rFonts w:cs="Calibri"/>
                <w:b/>
                <w:bCs/>
                <w:color w:val="FFFFFF"/>
                <w:sz w:val="16"/>
                <w:lang w:val="sq-AL"/>
              </w:rPr>
            </w:pPr>
            <w:r w:rsidRPr="00476D2E">
              <w:rPr>
                <w:rFonts w:cs="Calibri"/>
                <w:b/>
                <w:bCs/>
                <w:color w:val="FFFFFF"/>
                <w:sz w:val="16"/>
                <w:lang w:val="sq-AL"/>
              </w:rPr>
              <w:t>Lloji i taksave</w:t>
            </w:r>
          </w:p>
        </w:tc>
        <w:tc>
          <w:tcPr>
            <w:tcW w:w="328" w:type="pct"/>
            <w:tcBorders>
              <w:top w:val="single" w:sz="8" w:space="0" w:color="4472C4"/>
              <w:left w:val="nil"/>
              <w:bottom w:val="single" w:sz="8" w:space="0" w:color="4472C4"/>
              <w:right w:val="nil"/>
            </w:tcBorders>
            <w:shd w:val="clear" w:color="000000" w:fill="0B5294" w:themeFill="accent1" w:themeFillShade="BF"/>
            <w:vAlign w:val="center"/>
            <w:hideMark/>
          </w:tcPr>
          <w:p w:rsidR="00512A7B" w:rsidRPr="00476D2E" w:rsidRDefault="00512A7B" w:rsidP="00C16FCE">
            <w:pPr>
              <w:spacing w:before="0" w:line="240" w:lineRule="auto"/>
              <w:contextualSpacing/>
              <w:jc w:val="center"/>
              <w:rPr>
                <w:rFonts w:cs="Calibri"/>
                <w:b/>
                <w:bCs/>
                <w:color w:val="FFFFFF"/>
                <w:sz w:val="16"/>
                <w:lang w:val="sq-AL"/>
              </w:rPr>
            </w:pPr>
            <w:r w:rsidRPr="00476D2E">
              <w:rPr>
                <w:rFonts w:cs="Calibri"/>
                <w:b/>
                <w:bCs/>
                <w:color w:val="FFFFFF"/>
                <w:sz w:val="16"/>
                <w:lang w:val="sq-AL"/>
              </w:rPr>
              <w:t>Fakt 12 mujor 20</w:t>
            </w:r>
            <w:r>
              <w:rPr>
                <w:rFonts w:cs="Calibri"/>
                <w:b/>
                <w:bCs/>
                <w:color w:val="FFFFFF"/>
                <w:sz w:val="16"/>
                <w:lang w:val="sq-AL"/>
              </w:rPr>
              <w:t>20</w:t>
            </w:r>
          </w:p>
        </w:tc>
        <w:tc>
          <w:tcPr>
            <w:tcW w:w="356" w:type="pct"/>
            <w:tcBorders>
              <w:top w:val="single" w:sz="8" w:space="0" w:color="4472C4"/>
              <w:left w:val="nil"/>
              <w:bottom w:val="single" w:sz="8" w:space="0" w:color="4472C4"/>
              <w:right w:val="nil"/>
            </w:tcBorders>
            <w:shd w:val="clear" w:color="000000" w:fill="0B5294" w:themeFill="accent1" w:themeFillShade="BF"/>
            <w:vAlign w:val="center"/>
            <w:hideMark/>
          </w:tcPr>
          <w:p w:rsidR="00512A7B" w:rsidRPr="00476D2E" w:rsidRDefault="00512A7B" w:rsidP="00C16FCE">
            <w:pPr>
              <w:spacing w:before="0" w:line="240" w:lineRule="auto"/>
              <w:contextualSpacing/>
              <w:jc w:val="center"/>
              <w:rPr>
                <w:rFonts w:cs="Calibri"/>
                <w:b/>
                <w:bCs/>
                <w:color w:val="FFFFFF"/>
                <w:sz w:val="16"/>
                <w:lang w:val="sq-AL"/>
              </w:rPr>
            </w:pPr>
            <w:r w:rsidRPr="00476D2E">
              <w:rPr>
                <w:rFonts w:cs="Calibri"/>
                <w:b/>
                <w:bCs/>
                <w:color w:val="FFFFFF"/>
                <w:sz w:val="16"/>
                <w:lang w:val="sq-AL"/>
              </w:rPr>
              <w:t>Fakt 12 mujor 202</w:t>
            </w:r>
            <w:r>
              <w:rPr>
                <w:rFonts w:cs="Calibri"/>
                <w:b/>
                <w:bCs/>
                <w:color w:val="FFFFFF"/>
                <w:sz w:val="16"/>
                <w:lang w:val="sq-AL"/>
              </w:rPr>
              <w:t>1</w:t>
            </w:r>
          </w:p>
        </w:tc>
        <w:tc>
          <w:tcPr>
            <w:tcW w:w="327" w:type="pct"/>
            <w:tcBorders>
              <w:top w:val="single" w:sz="8" w:space="0" w:color="4472C4"/>
              <w:left w:val="nil"/>
              <w:bottom w:val="single" w:sz="8" w:space="0" w:color="4472C4"/>
              <w:right w:val="nil"/>
            </w:tcBorders>
            <w:shd w:val="clear" w:color="000000" w:fill="0B5294" w:themeFill="accent1" w:themeFillShade="BF"/>
            <w:vAlign w:val="center"/>
            <w:hideMark/>
          </w:tcPr>
          <w:p w:rsidR="00512A7B" w:rsidRPr="00476D2E" w:rsidRDefault="00512A7B" w:rsidP="00C16FCE">
            <w:pPr>
              <w:spacing w:before="0" w:line="240" w:lineRule="auto"/>
              <w:contextualSpacing/>
              <w:jc w:val="center"/>
              <w:rPr>
                <w:rFonts w:cs="Calibri"/>
                <w:b/>
                <w:bCs/>
                <w:color w:val="FFFFFF"/>
                <w:sz w:val="16"/>
                <w:lang w:val="sq-AL"/>
              </w:rPr>
            </w:pPr>
            <w:r w:rsidRPr="00476D2E">
              <w:rPr>
                <w:rFonts w:cs="Calibri"/>
                <w:b/>
                <w:bCs/>
                <w:color w:val="FFFFFF"/>
                <w:sz w:val="16"/>
                <w:lang w:val="sq-AL"/>
              </w:rPr>
              <w:t>Plan Fillestar 202</w:t>
            </w:r>
            <w:r>
              <w:rPr>
                <w:rFonts w:cs="Calibri"/>
                <w:b/>
                <w:bCs/>
                <w:color w:val="FFFFFF"/>
                <w:sz w:val="16"/>
                <w:lang w:val="sq-AL"/>
              </w:rPr>
              <w:t>1</w:t>
            </w:r>
          </w:p>
        </w:tc>
        <w:tc>
          <w:tcPr>
            <w:tcW w:w="414" w:type="pct"/>
            <w:tcBorders>
              <w:left w:val="nil"/>
              <w:right w:val="nil"/>
            </w:tcBorders>
            <w:shd w:val="clear" w:color="auto" w:fill="0B5294" w:themeFill="accent1" w:themeFillShade="BF"/>
            <w:vAlign w:val="center"/>
            <w:hideMark/>
          </w:tcPr>
          <w:p w:rsidR="00512A7B" w:rsidRPr="00476D2E" w:rsidRDefault="00512A7B" w:rsidP="00C16FCE">
            <w:pPr>
              <w:spacing w:before="0" w:line="240" w:lineRule="auto"/>
              <w:contextualSpacing/>
              <w:jc w:val="center"/>
              <w:rPr>
                <w:rFonts w:cs="Calibri"/>
                <w:b/>
                <w:bCs/>
                <w:color w:val="FFFFFF"/>
                <w:sz w:val="16"/>
                <w:lang w:val="sq-AL"/>
              </w:rPr>
            </w:pPr>
            <w:r w:rsidRPr="00476D2E">
              <w:rPr>
                <w:rFonts w:cs="Calibri"/>
                <w:b/>
                <w:bCs/>
                <w:color w:val="FFFFFF"/>
                <w:sz w:val="16"/>
                <w:lang w:val="sq-AL"/>
              </w:rPr>
              <w:t>Diferenca 202</w:t>
            </w:r>
            <w:r>
              <w:rPr>
                <w:rFonts w:cs="Calibri"/>
                <w:b/>
                <w:bCs/>
                <w:color w:val="FFFFFF"/>
                <w:sz w:val="16"/>
                <w:lang w:val="sq-AL"/>
              </w:rPr>
              <w:t>1</w:t>
            </w:r>
            <w:r w:rsidRPr="00476D2E">
              <w:rPr>
                <w:rFonts w:cs="Calibri"/>
                <w:b/>
                <w:bCs/>
                <w:color w:val="FFFFFF"/>
                <w:sz w:val="16"/>
                <w:lang w:val="sq-AL"/>
              </w:rPr>
              <w:t>/20</w:t>
            </w:r>
            <w:r>
              <w:rPr>
                <w:rFonts w:cs="Calibri"/>
                <w:b/>
                <w:bCs/>
                <w:color w:val="FFFFFF"/>
                <w:sz w:val="16"/>
                <w:lang w:val="sq-AL"/>
              </w:rPr>
              <w:t>20</w:t>
            </w:r>
          </w:p>
        </w:tc>
        <w:tc>
          <w:tcPr>
            <w:tcW w:w="434" w:type="pct"/>
            <w:tcBorders>
              <w:top w:val="single" w:sz="8" w:space="0" w:color="4472C4"/>
              <w:left w:val="nil"/>
              <w:bottom w:val="single" w:sz="8" w:space="0" w:color="4472C4"/>
              <w:right w:val="nil"/>
            </w:tcBorders>
            <w:shd w:val="clear" w:color="000000" w:fill="0B5294" w:themeFill="accent1" w:themeFillShade="BF"/>
            <w:vAlign w:val="center"/>
            <w:hideMark/>
          </w:tcPr>
          <w:p w:rsidR="00512A7B" w:rsidRPr="00476D2E" w:rsidRDefault="00512A7B" w:rsidP="00C16FCE">
            <w:pPr>
              <w:spacing w:before="0" w:line="240" w:lineRule="auto"/>
              <w:contextualSpacing/>
              <w:jc w:val="center"/>
              <w:rPr>
                <w:rFonts w:cs="Calibri"/>
                <w:b/>
                <w:bCs/>
                <w:color w:val="FFFFFF"/>
                <w:sz w:val="16"/>
                <w:lang w:val="sq-AL"/>
              </w:rPr>
            </w:pPr>
            <w:r w:rsidRPr="00476D2E">
              <w:rPr>
                <w:rFonts w:cs="Calibri"/>
                <w:b/>
                <w:bCs/>
                <w:color w:val="FFFFFF"/>
                <w:sz w:val="16"/>
                <w:lang w:val="sq-AL"/>
              </w:rPr>
              <w:t>Ndryshimi në % 202</w:t>
            </w:r>
            <w:r>
              <w:rPr>
                <w:rFonts w:cs="Calibri"/>
                <w:b/>
                <w:bCs/>
                <w:color w:val="FFFFFF"/>
                <w:sz w:val="16"/>
                <w:lang w:val="sq-AL"/>
              </w:rPr>
              <w:t>1</w:t>
            </w:r>
            <w:r w:rsidRPr="00476D2E">
              <w:rPr>
                <w:rFonts w:cs="Calibri"/>
                <w:b/>
                <w:bCs/>
                <w:color w:val="FFFFFF"/>
                <w:sz w:val="16"/>
                <w:lang w:val="sq-AL"/>
              </w:rPr>
              <w:t>/20</w:t>
            </w:r>
            <w:r>
              <w:rPr>
                <w:rFonts w:cs="Calibri"/>
                <w:b/>
                <w:bCs/>
                <w:color w:val="FFFFFF"/>
                <w:sz w:val="16"/>
                <w:lang w:val="sq-AL"/>
              </w:rPr>
              <w:t>20</w:t>
            </w:r>
          </w:p>
        </w:tc>
        <w:tc>
          <w:tcPr>
            <w:tcW w:w="394" w:type="pct"/>
            <w:tcBorders>
              <w:top w:val="single" w:sz="8" w:space="0" w:color="4472C4"/>
              <w:left w:val="nil"/>
              <w:bottom w:val="single" w:sz="8" w:space="0" w:color="4472C4"/>
              <w:right w:val="nil"/>
            </w:tcBorders>
            <w:shd w:val="clear" w:color="000000" w:fill="0B5294" w:themeFill="accent1" w:themeFillShade="BF"/>
            <w:vAlign w:val="center"/>
            <w:hideMark/>
          </w:tcPr>
          <w:p w:rsidR="00512A7B" w:rsidRPr="00476D2E" w:rsidRDefault="00512A7B" w:rsidP="00C16FCE">
            <w:pPr>
              <w:spacing w:before="0" w:line="240" w:lineRule="auto"/>
              <w:contextualSpacing/>
              <w:jc w:val="center"/>
              <w:rPr>
                <w:rFonts w:cs="Calibri"/>
                <w:b/>
                <w:bCs/>
                <w:color w:val="FFFFFF"/>
                <w:sz w:val="16"/>
                <w:lang w:val="sq-AL"/>
              </w:rPr>
            </w:pPr>
            <w:r w:rsidRPr="00476D2E">
              <w:rPr>
                <w:rFonts w:cs="Calibri"/>
                <w:b/>
                <w:bCs/>
                <w:color w:val="FFFFFF"/>
                <w:sz w:val="16"/>
                <w:lang w:val="sq-AL"/>
              </w:rPr>
              <w:t>Diferenca Fakt/ Plan fillestar 202</w:t>
            </w:r>
            <w:r>
              <w:rPr>
                <w:rFonts w:cs="Calibri"/>
                <w:b/>
                <w:bCs/>
                <w:color w:val="FFFFFF"/>
                <w:sz w:val="16"/>
                <w:lang w:val="sq-AL"/>
              </w:rPr>
              <w:t>1</w:t>
            </w:r>
          </w:p>
        </w:tc>
        <w:tc>
          <w:tcPr>
            <w:tcW w:w="447" w:type="pct"/>
            <w:tcBorders>
              <w:top w:val="single" w:sz="8" w:space="0" w:color="4472C4"/>
              <w:left w:val="nil"/>
              <w:bottom w:val="single" w:sz="8" w:space="0" w:color="4472C4"/>
              <w:right w:val="nil"/>
            </w:tcBorders>
            <w:shd w:val="clear" w:color="000000" w:fill="0B5294" w:themeFill="accent1" w:themeFillShade="BF"/>
            <w:vAlign w:val="center"/>
            <w:hideMark/>
          </w:tcPr>
          <w:p w:rsidR="00512A7B" w:rsidRPr="00476D2E" w:rsidRDefault="00512A7B" w:rsidP="00C16FCE">
            <w:pPr>
              <w:spacing w:before="0" w:line="240" w:lineRule="auto"/>
              <w:contextualSpacing/>
              <w:jc w:val="center"/>
              <w:rPr>
                <w:rFonts w:cs="Calibri"/>
                <w:b/>
                <w:bCs/>
                <w:color w:val="FFFFFF"/>
                <w:sz w:val="16"/>
                <w:lang w:val="sq-AL"/>
              </w:rPr>
            </w:pPr>
            <w:r w:rsidRPr="00476D2E">
              <w:rPr>
                <w:rFonts w:cs="Calibri"/>
                <w:b/>
                <w:bCs/>
                <w:color w:val="FFFFFF"/>
                <w:sz w:val="16"/>
                <w:lang w:val="sq-AL"/>
              </w:rPr>
              <w:t>Ndryshimi në %  Fakt/Plan Fillestar 202</w:t>
            </w:r>
            <w:r>
              <w:rPr>
                <w:rFonts w:cs="Calibri"/>
                <w:b/>
                <w:bCs/>
                <w:color w:val="FFFFFF"/>
                <w:sz w:val="16"/>
                <w:lang w:val="sq-AL"/>
              </w:rPr>
              <w:t>1</w:t>
            </w:r>
          </w:p>
        </w:tc>
        <w:tc>
          <w:tcPr>
            <w:tcW w:w="380" w:type="pct"/>
            <w:tcBorders>
              <w:top w:val="single" w:sz="8" w:space="0" w:color="4472C4"/>
              <w:left w:val="nil"/>
              <w:bottom w:val="single" w:sz="8" w:space="0" w:color="4472C4"/>
              <w:right w:val="nil"/>
            </w:tcBorders>
            <w:shd w:val="clear" w:color="000000" w:fill="0B5294" w:themeFill="accent1" w:themeFillShade="BF"/>
            <w:vAlign w:val="center"/>
            <w:hideMark/>
          </w:tcPr>
          <w:p w:rsidR="00512A7B" w:rsidRPr="00476D2E" w:rsidRDefault="00512A7B" w:rsidP="00C16FCE">
            <w:pPr>
              <w:spacing w:before="0" w:line="240" w:lineRule="auto"/>
              <w:contextualSpacing/>
              <w:jc w:val="center"/>
              <w:rPr>
                <w:rFonts w:cs="Calibri"/>
                <w:b/>
                <w:bCs/>
                <w:color w:val="FFFFFF"/>
                <w:sz w:val="16"/>
                <w:lang w:val="sq-AL"/>
              </w:rPr>
            </w:pPr>
            <w:r w:rsidRPr="00476D2E">
              <w:rPr>
                <w:rFonts w:cs="Calibri"/>
                <w:b/>
                <w:bCs/>
                <w:color w:val="FFFFFF"/>
                <w:sz w:val="16"/>
                <w:lang w:val="sq-AL"/>
              </w:rPr>
              <w:t>202</w:t>
            </w:r>
            <w:r>
              <w:rPr>
                <w:rFonts w:cs="Calibri"/>
                <w:b/>
                <w:bCs/>
                <w:color w:val="FFFFFF"/>
                <w:sz w:val="16"/>
                <w:lang w:val="sq-AL"/>
              </w:rPr>
              <w:t>1</w:t>
            </w:r>
            <w:r w:rsidRPr="00476D2E">
              <w:rPr>
                <w:rFonts w:cs="Calibri"/>
                <w:b/>
                <w:bCs/>
                <w:color w:val="FFFFFF"/>
                <w:sz w:val="16"/>
                <w:lang w:val="sq-AL"/>
              </w:rPr>
              <w:t xml:space="preserve"> (plani i rishikuar)</w:t>
            </w:r>
          </w:p>
        </w:tc>
        <w:tc>
          <w:tcPr>
            <w:tcW w:w="473" w:type="pct"/>
            <w:tcBorders>
              <w:top w:val="single" w:sz="8" w:space="0" w:color="4472C4"/>
              <w:left w:val="nil"/>
              <w:bottom w:val="nil"/>
              <w:right w:val="nil"/>
            </w:tcBorders>
            <w:shd w:val="clear" w:color="000000" w:fill="0B5294" w:themeFill="accent1" w:themeFillShade="BF"/>
            <w:vAlign w:val="center"/>
            <w:hideMark/>
          </w:tcPr>
          <w:p w:rsidR="00512A7B" w:rsidRPr="00476D2E" w:rsidRDefault="00512A7B" w:rsidP="00C16FCE">
            <w:pPr>
              <w:spacing w:before="0" w:line="240" w:lineRule="auto"/>
              <w:contextualSpacing/>
              <w:jc w:val="center"/>
              <w:rPr>
                <w:rFonts w:cs="Calibri"/>
                <w:b/>
                <w:bCs/>
                <w:color w:val="FFFFFF"/>
                <w:sz w:val="16"/>
                <w:lang w:val="sq-AL"/>
              </w:rPr>
            </w:pPr>
            <w:r w:rsidRPr="00476D2E">
              <w:rPr>
                <w:rFonts w:cs="Calibri"/>
                <w:b/>
                <w:bCs/>
                <w:color w:val="FFFFFF"/>
                <w:sz w:val="16"/>
                <w:szCs w:val="16"/>
              </w:rPr>
              <w:t>Diferenca Fakt/ Plan i Rishikuar 202</w:t>
            </w:r>
            <w:r>
              <w:rPr>
                <w:rFonts w:cs="Calibri"/>
                <w:b/>
                <w:bCs/>
                <w:color w:val="FFFFFF"/>
                <w:sz w:val="16"/>
                <w:szCs w:val="16"/>
              </w:rPr>
              <w:t>1</w:t>
            </w:r>
          </w:p>
        </w:tc>
        <w:tc>
          <w:tcPr>
            <w:tcW w:w="547" w:type="pct"/>
            <w:tcBorders>
              <w:top w:val="single" w:sz="8" w:space="0" w:color="4472C4"/>
              <w:left w:val="nil"/>
              <w:bottom w:val="nil"/>
              <w:right w:val="single" w:sz="8" w:space="0" w:color="4472C4"/>
            </w:tcBorders>
            <w:shd w:val="clear" w:color="000000" w:fill="0B5294" w:themeFill="accent1" w:themeFillShade="BF"/>
            <w:vAlign w:val="center"/>
            <w:hideMark/>
          </w:tcPr>
          <w:p w:rsidR="00512A7B" w:rsidRPr="00476D2E" w:rsidRDefault="00512A7B" w:rsidP="00C16FCE">
            <w:pPr>
              <w:spacing w:before="0" w:line="240" w:lineRule="auto"/>
              <w:contextualSpacing/>
              <w:jc w:val="center"/>
              <w:rPr>
                <w:rFonts w:cs="Calibri"/>
                <w:b/>
                <w:bCs/>
                <w:color w:val="FFFFFF"/>
                <w:sz w:val="16"/>
                <w:lang w:val="sq-AL"/>
              </w:rPr>
            </w:pPr>
            <w:r w:rsidRPr="00476D2E">
              <w:rPr>
                <w:rFonts w:cs="Calibri"/>
                <w:b/>
                <w:bCs/>
                <w:color w:val="FFFFFF"/>
                <w:sz w:val="16"/>
                <w:lang w:val="sq-AL"/>
              </w:rPr>
              <w:t>Ndryshimi në %  Fakt/Plan i Rishikuar 202</w:t>
            </w:r>
            <w:r>
              <w:rPr>
                <w:rFonts w:cs="Calibri"/>
                <w:b/>
                <w:bCs/>
                <w:color w:val="FFFFFF"/>
                <w:sz w:val="16"/>
                <w:lang w:val="sq-AL"/>
              </w:rPr>
              <w:t>1</w:t>
            </w:r>
          </w:p>
        </w:tc>
      </w:tr>
      <w:tr w:rsidR="001216DB" w:rsidRPr="00476D2E" w:rsidTr="00C16FCE">
        <w:trPr>
          <w:trHeight w:val="164"/>
          <w:jc w:val="center"/>
        </w:trPr>
        <w:tc>
          <w:tcPr>
            <w:tcW w:w="900" w:type="pct"/>
            <w:tcBorders>
              <w:top w:val="nil"/>
              <w:left w:val="single" w:sz="8" w:space="0" w:color="8EAADB"/>
              <w:bottom w:val="single" w:sz="8" w:space="0" w:color="8EAADB"/>
              <w:right w:val="single" w:sz="8" w:space="0" w:color="8EAADB"/>
            </w:tcBorders>
            <w:shd w:val="clear" w:color="auto" w:fill="auto"/>
            <w:vAlign w:val="center"/>
            <w:hideMark/>
          </w:tcPr>
          <w:p w:rsidR="00512A7B" w:rsidRPr="00476D2E" w:rsidRDefault="00512A7B" w:rsidP="00C16FCE">
            <w:pPr>
              <w:spacing w:before="0" w:line="240" w:lineRule="auto"/>
              <w:contextualSpacing/>
              <w:rPr>
                <w:rFonts w:cs="Calibri"/>
                <w:b/>
                <w:bCs/>
                <w:color w:val="000000"/>
                <w:sz w:val="16"/>
                <w:lang w:val="sq-AL"/>
              </w:rPr>
            </w:pPr>
            <w:r w:rsidRPr="00476D2E">
              <w:rPr>
                <w:rFonts w:cs="Calibri"/>
                <w:b/>
                <w:bCs/>
                <w:color w:val="000000"/>
                <w:sz w:val="16"/>
                <w:lang w:val="sq-AL"/>
              </w:rPr>
              <w:t>TVSH TOTAL</w:t>
            </w:r>
          </w:p>
        </w:tc>
        <w:tc>
          <w:tcPr>
            <w:tcW w:w="328" w:type="pct"/>
            <w:tcBorders>
              <w:top w:val="single" w:sz="8" w:space="0" w:color="8EA9DB"/>
              <w:left w:val="single" w:sz="8" w:space="0" w:color="8EA9DB"/>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bCs/>
                <w:color w:val="000000"/>
                <w:sz w:val="16"/>
                <w:szCs w:val="16"/>
                <w:lang w:val="sq-AL"/>
              </w:rPr>
            </w:pPr>
            <w:r w:rsidRPr="00476D2E">
              <w:rPr>
                <w:rFonts w:cs="Calibri"/>
                <w:sz w:val="16"/>
                <w:szCs w:val="16"/>
              </w:rPr>
              <w:t>13</w:t>
            </w:r>
            <w:r>
              <w:rPr>
                <w:rFonts w:cs="Calibri"/>
                <w:sz w:val="16"/>
                <w:szCs w:val="16"/>
              </w:rPr>
              <w:t>0</w:t>
            </w:r>
            <w:r w:rsidRPr="00476D2E">
              <w:rPr>
                <w:rFonts w:cs="Calibri"/>
                <w:sz w:val="16"/>
                <w:szCs w:val="16"/>
              </w:rPr>
              <w:t>,</w:t>
            </w:r>
            <w:r>
              <w:rPr>
                <w:rFonts w:cs="Calibri"/>
                <w:sz w:val="16"/>
                <w:szCs w:val="16"/>
              </w:rPr>
              <w:t>354</w:t>
            </w:r>
          </w:p>
        </w:tc>
        <w:tc>
          <w:tcPr>
            <w:tcW w:w="356" w:type="pct"/>
            <w:tcBorders>
              <w:top w:val="single" w:sz="8" w:space="0" w:color="8EA9DB"/>
              <w:left w:val="nil"/>
              <w:bottom w:val="single" w:sz="8" w:space="0" w:color="8EA9DB"/>
              <w:right w:val="single" w:sz="8" w:space="0" w:color="8EA9DB"/>
            </w:tcBorders>
            <w:shd w:val="clear" w:color="auto" w:fill="auto"/>
            <w:vAlign w:val="center"/>
          </w:tcPr>
          <w:p w:rsidR="00512A7B" w:rsidRPr="00476D2E" w:rsidRDefault="00512A7B" w:rsidP="00C16FCE">
            <w:pPr>
              <w:spacing w:before="0" w:line="240" w:lineRule="auto"/>
              <w:contextualSpacing/>
              <w:jc w:val="center"/>
              <w:rPr>
                <w:rFonts w:cs="Calibri"/>
                <w:bCs/>
                <w:color w:val="000000"/>
                <w:sz w:val="16"/>
                <w:szCs w:val="16"/>
                <w:lang w:val="sq-AL"/>
              </w:rPr>
            </w:pPr>
            <w:r>
              <w:rPr>
                <w:rFonts w:cs="Calibri"/>
                <w:bCs/>
                <w:color w:val="000000"/>
                <w:sz w:val="16"/>
                <w:szCs w:val="16"/>
                <w:lang w:val="sq-AL"/>
              </w:rPr>
              <w:t>161,536</w:t>
            </w:r>
          </w:p>
        </w:tc>
        <w:tc>
          <w:tcPr>
            <w:tcW w:w="327" w:type="pct"/>
            <w:tcBorders>
              <w:top w:val="single" w:sz="8" w:space="0" w:color="8EA9DB"/>
              <w:left w:val="nil"/>
              <w:bottom w:val="single" w:sz="8" w:space="0" w:color="8EA9DB"/>
              <w:right w:val="single" w:sz="8" w:space="0" w:color="8EA9DB"/>
            </w:tcBorders>
            <w:shd w:val="clear" w:color="auto" w:fill="auto"/>
            <w:vAlign w:val="center"/>
            <w:hideMark/>
          </w:tcPr>
          <w:p w:rsidR="00512A7B" w:rsidRPr="003F3712" w:rsidRDefault="00512A7B" w:rsidP="00C16FCE">
            <w:pPr>
              <w:spacing w:before="0" w:line="240" w:lineRule="auto"/>
              <w:contextualSpacing/>
              <w:jc w:val="center"/>
              <w:rPr>
                <w:rFonts w:cs="Calibri"/>
                <w:bCs/>
                <w:color w:val="000000"/>
                <w:sz w:val="16"/>
                <w:szCs w:val="16"/>
                <w:highlight w:val="yellow"/>
                <w:lang w:val="sq-AL"/>
              </w:rPr>
            </w:pPr>
            <w:r w:rsidRPr="004755F0">
              <w:rPr>
                <w:rFonts w:cs="Calibri"/>
                <w:sz w:val="16"/>
                <w:szCs w:val="16"/>
              </w:rPr>
              <w:t>148,641</w:t>
            </w:r>
          </w:p>
        </w:tc>
        <w:tc>
          <w:tcPr>
            <w:tcW w:w="414" w:type="pct"/>
            <w:tcBorders>
              <w:left w:val="nil"/>
              <w:bottom w:val="single" w:sz="8" w:space="0" w:color="8EA9DB"/>
              <w:right w:val="single" w:sz="8" w:space="0" w:color="8EA9DB"/>
            </w:tcBorders>
            <w:shd w:val="clear" w:color="auto" w:fill="auto"/>
            <w:vAlign w:val="center"/>
          </w:tcPr>
          <w:p w:rsidR="00512A7B" w:rsidRPr="003F3712" w:rsidRDefault="00512A7B" w:rsidP="00C16FCE">
            <w:pPr>
              <w:spacing w:before="0" w:line="240" w:lineRule="auto"/>
              <w:contextualSpacing/>
              <w:jc w:val="center"/>
              <w:rPr>
                <w:rFonts w:cs="Calibri"/>
                <w:bCs/>
                <w:color w:val="000000"/>
                <w:sz w:val="16"/>
                <w:szCs w:val="16"/>
                <w:highlight w:val="yellow"/>
                <w:lang w:val="sq-AL"/>
              </w:rPr>
            </w:pPr>
            <w:r w:rsidRPr="000264A8">
              <w:rPr>
                <w:rFonts w:cs="Calibri"/>
                <w:bCs/>
                <w:color w:val="000000"/>
                <w:sz w:val="16"/>
                <w:szCs w:val="16"/>
                <w:lang w:val="sq-AL"/>
              </w:rPr>
              <w:t>31,182</w:t>
            </w:r>
          </w:p>
        </w:tc>
        <w:tc>
          <w:tcPr>
            <w:tcW w:w="434" w:type="pct"/>
            <w:tcBorders>
              <w:top w:val="single" w:sz="8" w:space="0" w:color="8EA9DB"/>
              <w:left w:val="nil"/>
              <w:bottom w:val="single" w:sz="8" w:space="0" w:color="8EA9DB"/>
              <w:right w:val="single" w:sz="8" w:space="0" w:color="8EA9DB"/>
            </w:tcBorders>
            <w:shd w:val="clear" w:color="auto" w:fill="auto"/>
            <w:vAlign w:val="center"/>
          </w:tcPr>
          <w:p w:rsidR="00512A7B" w:rsidRPr="003F3712" w:rsidRDefault="00512A7B" w:rsidP="00C16FCE">
            <w:pPr>
              <w:spacing w:before="0" w:line="240" w:lineRule="auto"/>
              <w:contextualSpacing/>
              <w:jc w:val="center"/>
              <w:rPr>
                <w:rFonts w:cs="Calibri"/>
                <w:bCs/>
                <w:color w:val="000000"/>
                <w:sz w:val="16"/>
                <w:szCs w:val="16"/>
                <w:highlight w:val="yellow"/>
                <w:lang w:val="sq-AL"/>
              </w:rPr>
            </w:pPr>
            <w:r w:rsidRPr="000264A8">
              <w:rPr>
                <w:rFonts w:cs="Calibri"/>
                <w:bCs/>
                <w:color w:val="000000"/>
                <w:sz w:val="16"/>
                <w:szCs w:val="16"/>
                <w:lang w:val="sq-AL"/>
              </w:rPr>
              <w:t>24%</w:t>
            </w:r>
          </w:p>
        </w:tc>
        <w:tc>
          <w:tcPr>
            <w:tcW w:w="394" w:type="pct"/>
            <w:tcBorders>
              <w:top w:val="single" w:sz="8" w:space="0" w:color="8EA9DB"/>
              <w:left w:val="nil"/>
              <w:bottom w:val="single" w:sz="8" w:space="0" w:color="8EA9DB"/>
              <w:right w:val="single" w:sz="8" w:space="0" w:color="8EA9DB"/>
            </w:tcBorders>
            <w:shd w:val="clear" w:color="auto" w:fill="auto"/>
            <w:vAlign w:val="center"/>
          </w:tcPr>
          <w:p w:rsidR="00512A7B" w:rsidRPr="008F2799" w:rsidRDefault="00512A7B" w:rsidP="00C16FCE">
            <w:pPr>
              <w:spacing w:before="0" w:line="240" w:lineRule="auto"/>
              <w:contextualSpacing/>
              <w:jc w:val="center"/>
              <w:rPr>
                <w:rFonts w:cs="Calibri"/>
                <w:bCs/>
                <w:color w:val="000000"/>
                <w:sz w:val="16"/>
                <w:szCs w:val="16"/>
                <w:lang w:val="sq-AL"/>
              </w:rPr>
            </w:pPr>
            <w:r w:rsidRPr="008F2799">
              <w:rPr>
                <w:rFonts w:cs="Calibri"/>
                <w:bCs/>
                <w:color w:val="000000"/>
                <w:sz w:val="16"/>
                <w:szCs w:val="16"/>
                <w:lang w:val="sq-AL"/>
              </w:rPr>
              <w:t>12,895</w:t>
            </w:r>
          </w:p>
        </w:tc>
        <w:tc>
          <w:tcPr>
            <w:tcW w:w="447" w:type="pct"/>
            <w:tcBorders>
              <w:top w:val="single" w:sz="8" w:space="0" w:color="8EA9DB"/>
              <w:left w:val="nil"/>
              <w:bottom w:val="single" w:sz="8" w:space="0" w:color="8EA9DB"/>
              <w:right w:val="single" w:sz="8" w:space="0" w:color="8EA9DB"/>
            </w:tcBorders>
            <w:shd w:val="clear" w:color="auto" w:fill="auto"/>
            <w:vAlign w:val="center"/>
          </w:tcPr>
          <w:p w:rsidR="00512A7B" w:rsidRPr="008F2799" w:rsidRDefault="00512A7B" w:rsidP="00C16FCE">
            <w:pPr>
              <w:spacing w:before="0" w:line="240" w:lineRule="auto"/>
              <w:contextualSpacing/>
              <w:jc w:val="center"/>
              <w:rPr>
                <w:rFonts w:cs="Calibri"/>
                <w:bCs/>
                <w:color w:val="000000"/>
                <w:sz w:val="16"/>
                <w:szCs w:val="16"/>
                <w:lang w:val="sq-AL"/>
              </w:rPr>
            </w:pPr>
            <w:r w:rsidRPr="008F2799">
              <w:rPr>
                <w:rFonts w:cs="Calibri"/>
                <w:bCs/>
                <w:color w:val="000000"/>
                <w:sz w:val="16"/>
                <w:szCs w:val="16"/>
                <w:lang w:val="sq-AL"/>
              </w:rPr>
              <w:t>9%</w:t>
            </w:r>
          </w:p>
        </w:tc>
        <w:tc>
          <w:tcPr>
            <w:tcW w:w="380" w:type="pct"/>
            <w:tcBorders>
              <w:top w:val="single" w:sz="8" w:space="0" w:color="8EA9DB"/>
              <w:left w:val="nil"/>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bCs/>
                <w:color w:val="000000"/>
                <w:sz w:val="16"/>
                <w:szCs w:val="16"/>
                <w:lang w:val="sq-AL"/>
              </w:rPr>
            </w:pPr>
            <w:r>
              <w:rPr>
                <w:rFonts w:cs="Calibri"/>
                <w:sz w:val="16"/>
                <w:szCs w:val="16"/>
              </w:rPr>
              <w:t>161</w:t>
            </w:r>
            <w:r w:rsidRPr="00476D2E">
              <w:rPr>
                <w:rFonts w:cs="Calibri"/>
                <w:sz w:val="16"/>
                <w:szCs w:val="16"/>
              </w:rPr>
              <w:t>,</w:t>
            </w:r>
            <w:r>
              <w:rPr>
                <w:rFonts w:cs="Calibri"/>
                <w:sz w:val="16"/>
                <w:szCs w:val="16"/>
              </w:rPr>
              <w:t>061</w:t>
            </w:r>
          </w:p>
        </w:tc>
        <w:tc>
          <w:tcPr>
            <w:tcW w:w="473" w:type="pct"/>
            <w:tcBorders>
              <w:top w:val="single" w:sz="8" w:space="0" w:color="8EA9DB"/>
              <w:left w:val="nil"/>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bCs/>
                <w:color w:val="000000"/>
                <w:sz w:val="16"/>
                <w:szCs w:val="16"/>
                <w:lang w:val="sq-AL"/>
              </w:rPr>
            </w:pPr>
            <w:r>
              <w:rPr>
                <w:rFonts w:cs="Calibri"/>
                <w:sz w:val="16"/>
                <w:szCs w:val="16"/>
              </w:rPr>
              <w:t>1,475</w:t>
            </w:r>
          </w:p>
        </w:tc>
        <w:tc>
          <w:tcPr>
            <w:tcW w:w="547" w:type="pct"/>
            <w:tcBorders>
              <w:top w:val="single" w:sz="8" w:space="0" w:color="8EA9DB"/>
              <w:left w:val="nil"/>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bCs/>
                <w:color w:val="000000"/>
                <w:sz w:val="16"/>
                <w:szCs w:val="16"/>
                <w:lang w:val="sq-AL"/>
              </w:rPr>
            </w:pPr>
            <w:r w:rsidRPr="00476D2E">
              <w:rPr>
                <w:rFonts w:cs="Calibri"/>
                <w:sz w:val="16"/>
                <w:szCs w:val="16"/>
              </w:rPr>
              <w:t>0.</w:t>
            </w:r>
            <w:r>
              <w:rPr>
                <w:rFonts w:cs="Calibri"/>
                <w:sz w:val="16"/>
                <w:szCs w:val="16"/>
              </w:rPr>
              <w:t>9</w:t>
            </w:r>
            <w:r w:rsidRPr="00476D2E">
              <w:rPr>
                <w:rFonts w:cs="Calibri"/>
                <w:sz w:val="16"/>
                <w:szCs w:val="16"/>
              </w:rPr>
              <w:t>%</w:t>
            </w:r>
          </w:p>
        </w:tc>
      </w:tr>
      <w:tr w:rsidR="001216DB" w:rsidRPr="00476D2E" w:rsidTr="00C16FCE">
        <w:trPr>
          <w:trHeight w:val="164"/>
          <w:jc w:val="center"/>
        </w:trPr>
        <w:tc>
          <w:tcPr>
            <w:tcW w:w="900" w:type="pct"/>
            <w:tcBorders>
              <w:top w:val="nil"/>
              <w:left w:val="single" w:sz="8" w:space="0" w:color="8EAADB"/>
              <w:bottom w:val="single" w:sz="8" w:space="0" w:color="8EAADB"/>
              <w:right w:val="single" w:sz="8" w:space="0" w:color="8EAADB"/>
            </w:tcBorders>
            <w:shd w:val="clear" w:color="auto" w:fill="auto"/>
            <w:vAlign w:val="center"/>
            <w:hideMark/>
          </w:tcPr>
          <w:p w:rsidR="00512A7B" w:rsidRPr="00476D2E" w:rsidRDefault="00512A7B" w:rsidP="00C16FCE">
            <w:pPr>
              <w:spacing w:before="0" w:line="240" w:lineRule="auto"/>
              <w:contextualSpacing/>
              <w:jc w:val="right"/>
              <w:rPr>
                <w:rFonts w:cs="Calibri"/>
                <w:bCs/>
                <w:i/>
                <w:iCs/>
                <w:color w:val="000000"/>
                <w:sz w:val="16"/>
                <w:lang w:val="sq-AL"/>
              </w:rPr>
            </w:pPr>
            <w:r w:rsidRPr="00476D2E">
              <w:rPr>
                <w:rFonts w:cs="Calibri"/>
                <w:bCs/>
                <w:i/>
                <w:iCs/>
                <w:color w:val="000000"/>
                <w:sz w:val="16"/>
                <w:lang w:val="sq-AL"/>
              </w:rPr>
              <w:t xml:space="preserve">Tvsh në import </w:t>
            </w:r>
          </w:p>
        </w:tc>
        <w:tc>
          <w:tcPr>
            <w:tcW w:w="328" w:type="pct"/>
            <w:tcBorders>
              <w:top w:val="nil"/>
              <w:left w:val="single" w:sz="8" w:space="0" w:color="8EA9DB"/>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i/>
                <w:color w:val="000000"/>
                <w:sz w:val="16"/>
                <w:szCs w:val="16"/>
                <w:lang w:val="sq-AL"/>
              </w:rPr>
            </w:pPr>
            <w:r w:rsidRPr="00476D2E">
              <w:rPr>
                <w:rFonts w:cs="Calibri"/>
                <w:i/>
                <w:color w:val="000000"/>
                <w:sz w:val="16"/>
                <w:szCs w:val="16"/>
              </w:rPr>
              <w:t>10</w:t>
            </w:r>
            <w:r>
              <w:rPr>
                <w:rFonts w:cs="Calibri"/>
                <w:i/>
                <w:color w:val="000000"/>
                <w:sz w:val="16"/>
                <w:szCs w:val="16"/>
              </w:rPr>
              <w:t>0</w:t>
            </w:r>
            <w:r w:rsidRPr="00476D2E">
              <w:rPr>
                <w:rFonts w:cs="Calibri"/>
                <w:i/>
                <w:color w:val="000000"/>
                <w:sz w:val="16"/>
                <w:szCs w:val="16"/>
              </w:rPr>
              <w:t>,</w:t>
            </w:r>
            <w:r>
              <w:rPr>
                <w:rFonts w:cs="Calibri"/>
                <w:i/>
                <w:color w:val="000000"/>
                <w:sz w:val="16"/>
                <w:szCs w:val="16"/>
              </w:rPr>
              <w:t>850</w:t>
            </w:r>
          </w:p>
        </w:tc>
        <w:tc>
          <w:tcPr>
            <w:tcW w:w="356" w:type="pct"/>
            <w:tcBorders>
              <w:top w:val="nil"/>
              <w:left w:val="nil"/>
              <w:bottom w:val="single" w:sz="8" w:space="0" w:color="8EA9DB"/>
              <w:right w:val="single" w:sz="8" w:space="0" w:color="8EA9DB"/>
            </w:tcBorders>
            <w:shd w:val="clear" w:color="auto" w:fill="auto"/>
            <w:vAlign w:val="center"/>
          </w:tcPr>
          <w:p w:rsidR="00512A7B" w:rsidRPr="00476D2E" w:rsidRDefault="00512A7B" w:rsidP="00C16FCE">
            <w:pPr>
              <w:spacing w:before="0" w:line="240" w:lineRule="auto"/>
              <w:contextualSpacing/>
              <w:jc w:val="center"/>
              <w:rPr>
                <w:rFonts w:cs="Calibri"/>
                <w:i/>
                <w:color w:val="000000"/>
                <w:sz w:val="16"/>
                <w:szCs w:val="16"/>
                <w:lang w:val="sq-AL"/>
              </w:rPr>
            </w:pPr>
            <w:r>
              <w:rPr>
                <w:rFonts w:cs="Calibri"/>
                <w:i/>
                <w:color w:val="000000"/>
                <w:sz w:val="16"/>
                <w:szCs w:val="16"/>
                <w:lang w:val="sq-AL"/>
              </w:rPr>
              <w:t>131,301</w:t>
            </w:r>
          </w:p>
        </w:tc>
        <w:tc>
          <w:tcPr>
            <w:tcW w:w="327" w:type="pct"/>
            <w:tcBorders>
              <w:top w:val="nil"/>
              <w:left w:val="nil"/>
              <w:bottom w:val="single" w:sz="8" w:space="0" w:color="8EA9DB"/>
              <w:right w:val="single" w:sz="8" w:space="0" w:color="8EA9DB"/>
            </w:tcBorders>
            <w:shd w:val="clear" w:color="auto" w:fill="auto"/>
            <w:vAlign w:val="center"/>
            <w:hideMark/>
          </w:tcPr>
          <w:p w:rsidR="00512A7B" w:rsidRPr="003F3712" w:rsidRDefault="00512A7B" w:rsidP="00C16FCE">
            <w:pPr>
              <w:spacing w:before="0" w:line="240" w:lineRule="auto"/>
              <w:contextualSpacing/>
              <w:jc w:val="center"/>
              <w:rPr>
                <w:rFonts w:cs="Calibri"/>
                <w:i/>
                <w:color w:val="000000"/>
                <w:sz w:val="16"/>
                <w:szCs w:val="16"/>
                <w:highlight w:val="yellow"/>
                <w:lang w:val="sq-AL"/>
              </w:rPr>
            </w:pPr>
            <w:r w:rsidRPr="004862D6">
              <w:rPr>
                <w:rFonts w:cs="Calibri"/>
                <w:i/>
                <w:color w:val="000000"/>
                <w:sz w:val="16"/>
                <w:szCs w:val="16"/>
                <w:lang w:val="sq-AL"/>
              </w:rPr>
              <w:t>109,041</w:t>
            </w:r>
          </w:p>
        </w:tc>
        <w:tc>
          <w:tcPr>
            <w:tcW w:w="414" w:type="pct"/>
            <w:tcBorders>
              <w:top w:val="nil"/>
              <w:left w:val="nil"/>
              <w:bottom w:val="single" w:sz="8" w:space="0" w:color="8EA9DB"/>
              <w:right w:val="single" w:sz="8" w:space="0" w:color="8EA9DB"/>
            </w:tcBorders>
            <w:shd w:val="clear" w:color="auto" w:fill="auto"/>
            <w:vAlign w:val="center"/>
          </w:tcPr>
          <w:p w:rsidR="00512A7B" w:rsidRPr="000264A8" w:rsidRDefault="00512A7B" w:rsidP="00C16FCE">
            <w:pPr>
              <w:spacing w:before="0" w:line="240" w:lineRule="auto"/>
              <w:contextualSpacing/>
              <w:jc w:val="center"/>
              <w:rPr>
                <w:rFonts w:cs="Calibri"/>
                <w:i/>
                <w:color w:val="000000"/>
                <w:sz w:val="16"/>
                <w:szCs w:val="16"/>
                <w:lang w:val="sq-AL"/>
              </w:rPr>
            </w:pPr>
            <w:r w:rsidRPr="000264A8">
              <w:rPr>
                <w:rFonts w:cs="Calibri"/>
                <w:i/>
                <w:color w:val="000000"/>
                <w:sz w:val="16"/>
                <w:szCs w:val="16"/>
                <w:lang w:val="sq-AL"/>
              </w:rPr>
              <w:t>30,451</w:t>
            </w:r>
          </w:p>
        </w:tc>
        <w:tc>
          <w:tcPr>
            <w:tcW w:w="434" w:type="pct"/>
            <w:tcBorders>
              <w:top w:val="nil"/>
              <w:left w:val="nil"/>
              <w:bottom w:val="single" w:sz="8" w:space="0" w:color="8EA9DB"/>
              <w:right w:val="single" w:sz="8" w:space="0" w:color="8EA9DB"/>
            </w:tcBorders>
            <w:shd w:val="clear" w:color="auto" w:fill="auto"/>
            <w:vAlign w:val="center"/>
          </w:tcPr>
          <w:p w:rsidR="00512A7B" w:rsidRPr="000264A8" w:rsidRDefault="00512A7B" w:rsidP="00C16FCE">
            <w:pPr>
              <w:spacing w:before="0" w:line="240" w:lineRule="auto"/>
              <w:contextualSpacing/>
              <w:jc w:val="center"/>
              <w:rPr>
                <w:rFonts w:cs="Calibri"/>
                <w:i/>
                <w:color w:val="000000"/>
                <w:sz w:val="16"/>
                <w:szCs w:val="16"/>
                <w:lang w:val="sq-AL"/>
              </w:rPr>
            </w:pPr>
            <w:r w:rsidRPr="000264A8">
              <w:rPr>
                <w:rFonts w:cs="Calibri"/>
                <w:i/>
                <w:color w:val="000000"/>
                <w:sz w:val="16"/>
                <w:szCs w:val="16"/>
                <w:lang w:val="sq-AL"/>
              </w:rPr>
              <w:t>30%</w:t>
            </w:r>
          </w:p>
        </w:tc>
        <w:tc>
          <w:tcPr>
            <w:tcW w:w="394" w:type="pct"/>
            <w:tcBorders>
              <w:top w:val="nil"/>
              <w:left w:val="nil"/>
              <w:bottom w:val="single" w:sz="8" w:space="0" w:color="8EA9DB"/>
              <w:right w:val="single" w:sz="8" w:space="0" w:color="8EA9DB"/>
            </w:tcBorders>
            <w:shd w:val="clear" w:color="auto" w:fill="auto"/>
            <w:vAlign w:val="center"/>
          </w:tcPr>
          <w:p w:rsidR="00512A7B" w:rsidRPr="00F7460D" w:rsidRDefault="00512A7B" w:rsidP="00C16FCE">
            <w:pPr>
              <w:spacing w:before="0" w:line="240" w:lineRule="auto"/>
              <w:contextualSpacing/>
              <w:jc w:val="center"/>
              <w:rPr>
                <w:rFonts w:cs="Calibri"/>
                <w:i/>
                <w:color w:val="000000"/>
                <w:sz w:val="16"/>
                <w:szCs w:val="16"/>
                <w:lang w:val="sq-AL"/>
              </w:rPr>
            </w:pPr>
            <w:r w:rsidRPr="00F7460D">
              <w:rPr>
                <w:rFonts w:cs="Calibri"/>
                <w:i/>
                <w:color w:val="000000"/>
                <w:sz w:val="16"/>
                <w:szCs w:val="16"/>
                <w:lang w:val="sq-AL"/>
              </w:rPr>
              <w:t>22,260</w:t>
            </w:r>
          </w:p>
        </w:tc>
        <w:tc>
          <w:tcPr>
            <w:tcW w:w="447" w:type="pct"/>
            <w:tcBorders>
              <w:top w:val="nil"/>
              <w:left w:val="nil"/>
              <w:bottom w:val="single" w:sz="8" w:space="0" w:color="8EA9DB"/>
              <w:right w:val="single" w:sz="8" w:space="0" w:color="8EA9DB"/>
            </w:tcBorders>
            <w:shd w:val="clear" w:color="auto" w:fill="auto"/>
            <w:vAlign w:val="center"/>
          </w:tcPr>
          <w:p w:rsidR="00512A7B" w:rsidRPr="00F7460D" w:rsidRDefault="00512A7B" w:rsidP="00C16FCE">
            <w:pPr>
              <w:spacing w:before="0" w:line="240" w:lineRule="auto"/>
              <w:contextualSpacing/>
              <w:jc w:val="center"/>
              <w:rPr>
                <w:rFonts w:cs="Calibri"/>
                <w:i/>
                <w:color w:val="000000"/>
                <w:sz w:val="16"/>
                <w:szCs w:val="16"/>
                <w:lang w:val="sq-AL"/>
              </w:rPr>
            </w:pPr>
            <w:r w:rsidRPr="00F7460D">
              <w:rPr>
                <w:rFonts w:cs="Calibri"/>
                <w:i/>
                <w:color w:val="000000"/>
                <w:sz w:val="16"/>
                <w:szCs w:val="16"/>
                <w:lang w:val="sq-AL"/>
              </w:rPr>
              <w:t>20%</w:t>
            </w:r>
          </w:p>
        </w:tc>
        <w:tc>
          <w:tcPr>
            <w:tcW w:w="380" w:type="pct"/>
            <w:tcBorders>
              <w:top w:val="nil"/>
              <w:left w:val="nil"/>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i/>
                <w:color w:val="000000"/>
                <w:sz w:val="16"/>
                <w:szCs w:val="16"/>
                <w:lang w:val="sq-AL"/>
              </w:rPr>
            </w:pPr>
            <w:r w:rsidRPr="00476D2E">
              <w:rPr>
                <w:rFonts w:cs="Calibri"/>
                <w:i/>
                <w:color w:val="000000"/>
                <w:sz w:val="16"/>
                <w:szCs w:val="16"/>
              </w:rPr>
              <w:t>1</w:t>
            </w:r>
            <w:r>
              <w:rPr>
                <w:rFonts w:cs="Calibri"/>
                <w:i/>
                <w:color w:val="000000"/>
                <w:sz w:val="16"/>
                <w:szCs w:val="16"/>
              </w:rPr>
              <w:t>18,751</w:t>
            </w:r>
          </w:p>
        </w:tc>
        <w:tc>
          <w:tcPr>
            <w:tcW w:w="473" w:type="pct"/>
            <w:tcBorders>
              <w:top w:val="nil"/>
              <w:left w:val="nil"/>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i/>
                <w:color w:val="000000"/>
                <w:sz w:val="16"/>
                <w:szCs w:val="16"/>
                <w:lang w:val="sq-AL"/>
              </w:rPr>
            </w:pPr>
            <w:r>
              <w:rPr>
                <w:rFonts w:cs="Calibri"/>
                <w:i/>
                <w:color w:val="000000"/>
                <w:sz w:val="16"/>
                <w:szCs w:val="16"/>
              </w:rPr>
              <w:t>12,550</w:t>
            </w:r>
          </w:p>
        </w:tc>
        <w:tc>
          <w:tcPr>
            <w:tcW w:w="547" w:type="pct"/>
            <w:tcBorders>
              <w:top w:val="nil"/>
              <w:left w:val="nil"/>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i/>
                <w:color w:val="000000"/>
                <w:sz w:val="16"/>
                <w:szCs w:val="16"/>
                <w:lang w:val="sq-AL"/>
              </w:rPr>
            </w:pPr>
            <w:r>
              <w:rPr>
                <w:rFonts w:cs="Calibri"/>
                <w:i/>
                <w:color w:val="000000"/>
                <w:sz w:val="16"/>
                <w:szCs w:val="16"/>
              </w:rPr>
              <w:t>10</w:t>
            </w:r>
            <w:r w:rsidRPr="00476D2E">
              <w:rPr>
                <w:rFonts w:cs="Calibri"/>
                <w:i/>
                <w:color w:val="000000"/>
                <w:sz w:val="16"/>
                <w:szCs w:val="16"/>
              </w:rPr>
              <w:t>.</w:t>
            </w:r>
            <w:r>
              <w:rPr>
                <w:rFonts w:cs="Calibri"/>
                <w:i/>
                <w:color w:val="000000"/>
                <w:sz w:val="16"/>
                <w:szCs w:val="16"/>
              </w:rPr>
              <w:t>6</w:t>
            </w:r>
            <w:r w:rsidRPr="00476D2E">
              <w:rPr>
                <w:rFonts w:cs="Calibri"/>
                <w:i/>
                <w:color w:val="000000"/>
                <w:sz w:val="16"/>
                <w:szCs w:val="16"/>
              </w:rPr>
              <w:t>%</w:t>
            </w:r>
          </w:p>
        </w:tc>
      </w:tr>
      <w:tr w:rsidR="001216DB" w:rsidRPr="00476D2E" w:rsidTr="00C16FCE">
        <w:trPr>
          <w:trHeight w:val="242"/>
          <w:jc w:val="center"/>
        </w:trPr>
        <w:tc>
          <w:tcPr>
            <w:tcW w:w="900" w:type="pct"/>
            <w:tcBorders>
              <w:top w:val="nil"/>
              <w:left w:val="single" w:sz="8" w:space="0" w:color="8EAADB"/>
              <w:bottom w:val="single" w:sz="8" w:space="0" w:color="8EAADB"/>
              <w:right w:val="single" w:sz="8" w:space="0" w:color="8EAADB"/>
            </w:tcBorders>
            <w:shd w:val="clear" w:color="auto" w:fill="auto"/>
            <w:vAlign w:val="center"/>
            <w:hideMark/>
          </w:tcPr>
          <w:p w:rsidR="00512A7B" w:rsidRPr="00476D2E" w:rsidRDefault="00512A7B" w:rsidP="00C16FCE">
            <w:pPr>
              <w:spacing w:before="0" w:line="240" w:lineRule="auto"/>
              <w:contextualSpacing/>
              <w:jc w:val="right"/>
              <w:rPr>
                <w:rFonts w:cs="Calibri"/>
                <w:bCs/>
                <w:i/>
                <w:iCs/>
                <w:color w:val="000000"/>
                <w:sz w:val="16"/>
                <w:lang w:val="sq-AL"/>
              </w:rPr>
            </w:pPr>
            <w:r w:rsidRPr="00476D2E">
              <w:rPr>
                <w:rFonts w:cs="Calibri"/>
                <w:bCs/>
                <w:i/>
                <w:iCs/>
                <w:color w:val="000000"/>
                <w:sz w:val="16"/>
                <w:lang w:val="sq-AL"/>
              </w:rPr>
              <w:t>Tvsh brenda vendit</w:t>
            </w:r>
          </w:p>
        </w:tc>
        <w:tc>
          <w:tcPr>
            <w:tcW w:w="328" w:type="pct"/>
            <w:tcBorders>
              <w:top w:val="nil"/>
              <w:left w:val="single" w:sz="8" w:space="0" w:color="8EA9DB"/>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i/>
                <w:color w:val="000000"/>
                <w:sz w:val="16"/>
                <w:szCs w:val="16"/>
                <w:lang w:val="sq-AL"/>
              </w:rPr>
            </w:pPr>
            <w:r w:rsidRPr="00476D2E">
              <w:rPr>
                <w:rFonts w:cs="Calibri"/>
                <w:i/>
                <w:color w:val="000000"/>
                <w:sz w:val="16"/>
                <w:szCs w:val="16"/>
              </w:rPr>
              <w:t>29,504</w:t>
            </w:r>
          </w:p>
        </w:tc>
        <w:tc>
          <w:tcPr>
            <w:tcW w:w="356" w:type="pct"/>
            <w:tcBorders>
              <w:top w:val="nil"/>
              <w:left w:val="nil"/>
              <w:bottom w:val="single" w:sz="8" w:space="0" w:color="8EA9DB"/>
              <w:right w:val="single" w:sz="8" w:space="0" w:color="8EA9DB"/>
            </w:tcBorders>
            <w:shd w:val="clear" w:color="auto" w:fill="auto"/>
            <w:vAlign w:val="center"/>
          </w:tcPr>
          <w:p w:rsidR="00512A7B" w:rsidRPr="00476D2E" w:rsidRDefault="00512A7B" w:rsidP="00C16FCE">
            <w:pPr>
              <w:spacing w:before="0" w:line="240" w:lineRule="auto"/>
              <w:contextualSpacing/>
              <w:jc w:val="center"/>
              <w:rPr>
                <w:rFonts w:cs="Calibri"/>
                <w:i/>
                <w:color w:val="000000"/>
                <w:sz w:val="16"/>
                <w:szCs w:val="16"/>
                <w:lang w:val="sq-AL"/>
              </w:rPr>
            </w:pPr>
            <w:r>
              <w:rPr>
                <w:rFonts w:cs="Calibri"/>
                <w:i/>
                <w:color w:val="000000"/>
                <w:sz w:val="16"/>
                <w:szCs w:val="16"/>
                <w:lang w:val="sq-AL"/>
              </w:rPr>
              <w:t>30,235</w:t>
            </w:r>
          </w:p>
        </w:tc>
        <w:tc>
          <w:tcPr>
            <w:tcW w:w="327" w:type="pct"/>
            <w:tcBorders>
              <w:top w:val="nil"/>
              <w:left w:val="nil"/>
              <w:bottom w:val="single" w:sz="8" w:space="0" w:color="8EA9DB"/>
              <w:right w:val="single" w:sz="8" w:space="0" w:color="8EA9DB"/>
            </w:tcBorders>
            <w:shd w:val="clear" w:color="auto" w:fill="auto"/>
            <w:vAlign w:val="center"/>
            <w:hideMark/>
          </w:tcPr>
          <w:p w:rsidR="00512A7B" w:rsidRPr="004862D6" w:rsidRDefault="00512A7B" w:rsidP="00C16FCE">
            <w:pPr>
              <w:spacing w:before="0" w:line="240" w:lineRule="auto"/>
              <w:contextualSpacing/>
              <w:jc w:val="center"/>
              <w:rPr>
                <w:rFonts w:cs="Calibri"/>
                <w:color w:val="000000"/>
                <w:sz w:val="16"/>
                <w:szCs w:val="16"/>
                <w:highlight w:val="yellow"/>
                <w:lang w:val="sq-AL"/>
              </w:rPr>
            </w:pPr>
            <w:r w:rsidRPr="004862D6">
              <w:rPr>
                <w:rFonts w:cs="Calibri"/>
                <w:color w:val="000000"/>
                <w:sz w:val="16"/>
                <w:szCs w:val="16"/>
                <w:lang w:val="sq-AL"/>
              </w:rPr>
              <w:t>39,600</w:t>
            </w:r>
          </w:p>
        </w:tc>
        <w:tc>
          <w:tcPr>
            <w:tcW w:w="414" w:type="pct"/>
            <w:tcBorders>
              <w:top w:val="nil"/>
              <w:left w:val="nil"/>
              <w:bottom w:val="single" w:sz="8" w:space="0" w:color="8EA9DB"/>
              <w:right w:val="single" w:sz="8" w:space="0" w:color="8EA9DB"/>
            </w:tcBorders>
            <w:shd w:val="clear" w:color="auto" w:fill="auto"/>
            <w:vAlign w:val="center"/>
          </w:tcPr>
          <w:p w:rsidR="00512A7B" w:rsidRPr="000264A8" w:rsidRDefault="00512A7B" w:rsidP="00C16FCE">
            <w:pPr>
              <w:spacing w:before="0" w:line="240" w:lineRule="auto"/>
              <w:contextualSpacing/>
              <w:jc w:val="center"/>
              <w:rPr>
                <w:rFonts w:cs="Calibri"/>
                <w:i/>
                <w:color w:val="000000"/>
                <w:sz w:val="16"/>
                <w:szCs w:val="16"/>
                <w:lang w:val="sq-AL"/>
              </w:rPr>
            </w:pPr>
            <w:r w:rsidRPr="000264A8">
              <w:rPr>
                <w:rFonts w:cs="Calibri"/>
                <w:i/>
                <w:color w:val="000000"/>
                <w:sz w:val="16"/>
                <w:szCs w:val="16"/>
                <w:lang w:val="sq-AL"/>
              </w:rPr>
              <w:t>731</w:t>
            </w:r>
          </w:p>
        </w:tc>
        <w:tc>
          <w:tcPr>
            <w:tcW w:w="434" w:type="pct"/>
            <w:tcBorders>
              <w:top w:val="nil"/>
              <w:left w:val="nil"/>
              <w:bottom w:val="single" w:sz="8" w:space="0" w:color="8EA9DB"/>
              <w:right w:val="single" w:sz="8" w:space="0" w:color="8EA9DB"/>
            </w:tcBorders>
            <w:shd w:val="clear" w:color="auto" w:fill="auto"/>
            <w:vAlign w:val="center"/>
          </w:tcPr>
          <w:p w:rsidR="00512A7B" w:rsidRPr="000264A8" w:rsidRDefault="00512A7B" w:rsidP="00C16FCE">
            <w:pPr>
              <w:spacing w:before="0" w:line="240" w:lineRule="auto"/>
              <w:contextualSpacing/>
              <w:jc w:val="center"/>
              <w:rPr>
                <w:rFonts w:cs="Calibri"/>
                <w:i/>
                <w:color w:val="000000"/>
                <w:sz w:val="16"/>
                <w:szCs w:val="16"/>
                <w:lang w:val="sq-AL"/>
              </w:rPr>
            </w:pPr>
            <w:r w:rsidRPr="000264A8">
              <w:rPr>
                <w:rFonts w:cs="Calibri"/>
                <w:i/>
                <w:color w:val="000000"/>
                <w:sz w:val="16"/>
                <w:szCs w:val="16"/>
                <w:lang w:val="sq-AL"/>
              </w:rPr>
              <w:t>2%</w:t>
            </w:r>
          </w:p>
        </w:tc>
        <w:tc>
          <w:tcPr>
            <w:tcW w:w="394" w:type="pct"/>
            <w:tcBorders>
              <w:top w:val="nil"/>
              <w:left w:val="nil"/>
              <w:bottom w:val="single" w:sz="8" w:space="0" w:color="8EA9DB"/>
              <w:right w:val="single" w:sz="8" w:space="0" w:color="8EA9DB"/>
            </w:tcBorders>
            <w:shd w:val="clear" w:color="auto" w:fill="auto"/>
            <w:vAlign w:val="center"/>
          </w:tcPr>
          <w:p w:rsidR="00512A7B" w:rsidRPr="00F7460D" w:rsidRDefault="00512A7B" w:rsidP="00C16FCE">
            <w:pPr>
              <w:spacing w:before="0" w:line="240" w:lineRule="auto"/>
              <w:contextualSpacing/>
              <w:jc w:val="center"/>
              <w:rPr>
                <w:rFonts w:cs="Calibri"/>
                <w:i/>
                <w:color w:val="000000"/>
                <w:sz w:val="16"/>
                <w:szCs w:val="16"/>
                <w:lang w:val="sq-AL"/>
              </w:rPr>
            </w:pPr>
            <w:r w:rsidRPr="00F7460D">
              <w:rPr>
                <w:rFonts w:cs="Calibri"/>
                <w:i/>
                <w:color w:val="000000"/>
                <w:sz w:val="16"/>
                <w:szCs w:val="16"/>
                <w:lang w:val="sq-AL"/>
              </w:rPr>
              <w:t>-9</w:t>
            </w:r>
            <w:r>
              <w:rPr>
                <w:rFonts w:cs="Calibri"/>
                <w:i/>
                <w:color w:val="000000"/>
                <w:sz w:val="16"/>
                <w:szCs w:val="16"/>
                <w:lang w:val="sq-AL"/>
              </w:rPr>
              <w:t>,</w:t>
            </w:r>
            <w:r w:rsidRPr="00F7460D">
              <w:rPr>
                <w:rFonts w:cs="Calibri"/>
                <w:i/>
                <w:color w:val="000000"/>
                <w:sz w:val="16"/>
                <w:szCs w:val="16"/>
                <w:lang w:val="sq-AL"/>
              </w:rPr>
              <w:t>365</w:t>
            </w:r>
          </w:p>
        </w:tc>
        <w:tc>
          <w:tcPr>
            <w:tcW w:w="447" w:type="pct"/>
            <w:tcBorders>
              <w:top w:val="nil"/>
              <w:left w:val="nil"/>
              <w:bottom w:val="single" w:sz="8" w:space="0" w:color="8EA9DB"/>
              <w:right w:val="single" w:sz="8" w:space="0" w:color="8EA9DB"/>
            </w:tcBorders>
            <w:shd w:val="clear" w:color="auto" w:fill="auto"/>
            <w:vAlign w:val="center"/>
          </w:tcPr>
          <w:p w:rsidR="00512A7B" w:rsidRPr="00F7460D" w:rsidRDefault="00512A7B" w:rsidP="00C16FCE">
            <w:pPr>
              <w:spacing w:before="0" w:line="240" w:lineRule="auto"/>
              <w:contextualSpacing/>
              <w:jc w:val="center"/>
              <w:rPr>
                <w:rFonts w:cs="Calibri"/>
                <w:i/>
                <w:color w:val="000000"/>
                <w:sz w:val="16"/>
                <w:szCs w:val="16"/>
                <w:lang w:val="sq-AL"/>
              </w:rPr>
            </w:pPr>
            <w:r w:rsidRPr="00F7460D">
              <w:rPr>
                <w:rFonts w:cs="Calibri"/>
                <w:i/>
                <w:color w:val="000000"/>
                <w:sz w:val="16"/>
                <w:szCs w:val="16"/>
                <w:lang w:val="sq-AL"/>
              </w:rPr>
              <w:t>-24%</w:t>
            </w:r>
          </w:p>
        </w:tc>
        <w:tc>
          <w:tcPr>
            <w:tcW w:w="380" w:type="pct"/>
            <w:tcBorders>
              <w:top w:val="nil"/>
              <w:left w:val="nil"/>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i/>
                <w:color w:val="000000"/>
                <w:sz w:val="16"/>
                <w:szCs w:val="16"/>
                <w:lang w:val="sq-AL"/>
              </w:rPr>
            </w:pPr>
            <w:r>
              <w:rPr>
                <w:rFonts w:cs="Calibri"/>
                <w:i/>
                <w:color w:val="000000"/>
                <w:sz w:val="16"/>
                <w:szCs w:val="16"/>
              </w:rPr>
              <w:t>41</w:t>
            </w:r>
            <w:r w:rsidRPr="00476D2E">
              <w:rPr>
                <w:rFonts w:cs="Calibri"/>
                <w:i/>
                <w:color w:val="000000"/>
                <w:sz w:val="16"/>
                <w:szCs w:val="16"/>
              </w:rPr>
              <w:t>,</w:t>
            </w:r>
            <w:r>
              <w:rPr>
                <w:rFonts w:cs="Calibri"/>
                <w:i/>
                <w:color w:val="000000"/>
                <w:sz w:val="16"/>
                <w:szCs w:val="16"/>
              </w:rPr>
              <w:t>31</w:t>
            </w:r>
            <w:r w:rsidRPr="00476D2E">
              <w:rPr>
                <w:rFonts w:cs="Calibri"/>
                <w:i/>
                <w:color w:val="000000"/>
                <w:sz w:val="16"/>
                <w:szCs w:val="16"/>
              </w:rPr>
              <w:t>0</w:t>
            </w:r>
          </w:p>
        </w:tc>
        <w:tc>
          <w:tcPr>
            <w:tcW w:w="473" w:type="pct"/>
            <w:tcBorders>
              <w:top w:val="nil"/>
              <w:left w:val="nil"/>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i/>
                <w:color w:val="000000"/>
                <w:sz w:val="16"/>
                <w:szCs w:val="16"/>
                <w:lang w:val="sq-AL"/>
              </w:rPr>
            </w:pPr>
            <w:r w:rsidRPr="00476D2E">
              <w:rPr>
                <w:rFonts w:cs="Calibri"/>
                <w:i/>
                <w:color w:val="000000"/>
                <w:sz w:val="16"/>
                <w:szCs w:val="16"/>
              </w:rPr>
              <w:t>-1</w:t>
            </w:r>
            <w:r>
              <w:rPr>
                <w:rFonts w:cs="Calibri"/>
                <w:i/>
                <w:color w:val="000000"/>
                <w:sz w:val="16"/>
                <w:szCs w:val="16"/>
              </w:rPr>
              <w:t>1,075</w:t>
            </w:r>
          </w:p>
        </w:tc>
        <w:tc>
          <w:tcPr>
            <w:tcW w:w="547" w:type="pct"/>
            <w:tcBorders>
              <w:top w:val="nil"/>
              <w:left w:val="nil"/>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i/>
                <w:color w:val="000000"/>
                <w:sz w:val="16"/>
                <w:szCs w:val="16"/>
                <w:lang w:val="sq-AL"/>
              </w:rPr>
            </w:pPr>
            <w:r w:rsidRPr="00476D2E">
              <w:rPr>
                <w:rFonts w:cs="Calibri"/>
                <w:i/>
                <w:color w:val="000000"/>
                <w:sz w:val="16"/>
                <w:szCs w:val="16"/>
              </w:rPr>
              <w:t>-</w:t>
            </w:r>
            <w:r>
              <w:rPr>
                <w:rFonts w:cs="Calibri"/>
                <w:i/>
                <w:color w:val="000000"/>
                <w:sz w:val="16"/>
                <w:szCs w:val="16"/>
              </w:rPr>
              <w:t>26</w:t>
            </w:r>
            <w:r w:rsidRPr="00476D2E">
              <w:rPr>
                <w:rFonts w:cs="Calibri"/>
                <w:i/>
                <w:color w:val="000000"/>
                <w:sz w:val="16"/>
                <w:szCs w:val="16"/>
              </w:rPr>
              <w:t>.</w:t>
            </w:r>
            <w:r>
              <w:rPr>
                <w:rFonts w:cs="Calibri"/>
                <w:i/>
                <w:color w:val="000000"/>
                <w:sz w:val="16"/>
                <w:szCs w:val="16"/>
              </w:rPr>
              <w:t>8</w:t>
            </w:r>
            <w:r w:rsidRPr="00476D2E">
              <w:rPr>
                <w:rFonts w:cs="Calibri"/>
                <w:i/>
                <w:color w:val="000000"/>
                <w:sz w:val="16"/>
                <w:szCs w:val="16"/>
              </w:rPr>
              <w:t>%</w:t>
            </w:r>
          </w:p>
        </w:tc>
      </w:tr>
      <w:tr w:rsidR="001216DB" w:rsidRPr="00476D2E" w:rsidTr="00C16FCE">
        <w:trPr>
          <w:trHeight w:val="164"/>
          <w:jc w:val="center"/>
        </w:trPr>
        <w:tc>
          <w:tcPr>
            <w:tcW w:w="900" w:type="pct"/>
            <w:tcBorders>
              <w:top w:val="nil"/>
              <w:left w:val="single" w:sz="8" w:space="0" w:color="8EAADB"/>
              <w:bottom w:val="single" w:sz="8" w:space="0" w:color="8EAADB"/>
              <w:right w:val="single" w:sz="8" w:space="0" w:color="8EAADB"/>
            </w:tcBorders>
            <w:shd w:val="clear" w:color="auto" w:fill="auto"/>
            <w:vAlign w:val="center"/>
            <w:hideMark/>
          </w:tcPr>
          <w:p w:rsidR="00512A7B" w:rsidRPr="00476D2E" w:rsidRDefault="00512A7B" w:rsidP="00C16FCE">
            <w:pPr>
              <w:spacing w:before="0" w:line="240" w:lineRule="auto"/>
              <w:contextualSpacing/>
              <w:jc w:val="right"/>
              <w:rPr>
                <w:rFonts w:cs="Calibri"/>
                <w:bCs/>
                <w:i/>
                <w:color w:val="000000"/>
                <w:sz w:val="16"/>
                <w:lang w:val="sq-AL"/>
              </w:rPr>
            </w:pPr>
            <w:r w:rsidRPr="00476D2E">
              <w:rPr>
                <w:rFonts w:cs="Calibri"/>
                <w:bCs/>
                <w:i/>
                <w:color w:val="000000"/>
                <w:sz w:val="16"/>
                <w:lang w:val="sq-AL"/>
              </w:rPr>
              <w:t>Rimbursim TVSH</w:t>
            </w:r>
          </w:p>
        </w:tc>
        <w:tc>
          <w:tcPr>
            <w:tcW w:w="328" w:type="pct"/>
            <w:tcBorders>
              <w:top w:val="single" w:sz="8" w:space="0" w:color="8EA9DB"/>
              <w:left w:val="single" w:sz="8" w:space="0" w:color="8EA9DB"/>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i/>
                <w:color w:val="000000"/>
                <w:sz w:val="16"/>
                <w:szCs w:val="16"/>
                <w:lang w:val="sq-AL"/>
              </w:rPr>
            </w:pPr>
            <w:r w:rsidRPr="00476D2E">
              <w:rPr>
                <w:rFonts w:cs="Calibri"/>
                <w:i/>
                <w:sz w:val="16"/>
                <w:szCs w:val="16"/>
              </w:rPr>
              <w:t>16,508</w:t>
            </w:r>
          </w:p>
        </w:tc>
        <w:tc>
          <w:tcPr>
            <w:tcW w:w="356" w:type="pct"/>
            <w:tcBorders>
              <w:top w:val="single" w:sz="8" w:space="0" w:color="8EA9DB"/>
              <w:left w:val="nil"/>
              <w:bottom w:val="single" w:sz="8" w:space="0" w:color="8EA9DB"/>
              <w:right w:val="single" w:sz="8" w:space="0" w:color="8EA9DB"/>
            </w:tcBorders>
            <w:shd w:val="clear" w:color="auto" w:fill="auto"/>
            <w:vAlign w:val="center"/>
          </w:tcPr>
          <w:p w:rsidR="00512A7B" w:rsidRPr="00476D2E" w:rsidRDefault="00512A7B" w:rsidP="00C16FCE">
            <w:pPr>
              <w:spacing w:before="0" w:line="240" w:lineRule="auto"/>
              <w:contextualSpacing/>
              <w:jc w:val="center"/>
              <w:rPr>
                <w:rFonts w:cs="Calibri"/>
                <w:i/>
                <w:color w:val="FF0000"/>
                <w:sz w:val="16"/>
                <w:szCs w:val="16"/>
              </w:rPr>
            </w:pPr>
            <w:r w:rsidRPr="002B3899">
              <w:rPr>
                <w:rFonts w:cs="Calibri"/>
                <w:i/>
                <w:sz w:val="16"/>
                <w:szCs w:val="16"/>
              </w:rPr>
              <w:t>24,102</w:t>
            </w:r>
          </w:p>
        </w:tc>
        <w:tc>
          <w:tcPr>
            <w:tcW w:w="327" w:type="pct"/>
            <w:tcBorders>
              <w:top w:val="single" w:sz="8" w:space="0" w:color="8EA9DB"/>
              <w:left w:val="nil"/>
              <w:bottom w:val="single" w:sz="8" w:space="0" w:color="8EA9DB"/>
              <w:right w:val="single" w:sz="8" w:space="0" w:color="8EA9DB"/>
            </w:tcBorders>
            <w:shd w:val="clear" w:color="auto" w:fill="auto"/>
            <w:vAlign w:val="center"/>
            <w:hideMark/>
          </w:tcPr>
          <w:p w:rsidR="00512A7B" w:rsidRPr="00984DA4" w:rsidRDefault="00512A7B" w:rsidP="00C16FCE">
            <w:pPr>
              <w:spacing w:before="0" w:line="240" w:lineRule="auto"/>
              <w:contextualSpacing/>
              <w:jc w:val="center"/>
              <w:rPr>
                <w:rFonts w:cs="Calibri"/>
                <w:i/>
                <w:color w:val="000000"/>
                <w:sz w:val="16"/>
                <w:szCs w:val="16"/>
                <w:lang w:val="sq-AL"/>
              </w:rPr>
            </w:pPr>
            <w:r w:rsidRPr="00984DA4">
              <w:rPr>
                <w:rFonts w:cs="Calibri"/>
                <w:i/>
                <w:color w:val="000000"/>
                <w:sz w:val="16"/>
                <w:szCs w:val="16"/>
                <w:lang w:val="sq-AL"/>
              </w:rPr>
              <w:t>17,000</w:t>
            </w:r>
          </w:p>
        </w:tc>
        <w:tc>
          <w:tcPr>
            <w:tcW w:w="414" w:type="pct"/>
            <w:tcBorders>
              <w:top w:val="single" w:sz="8" w:space="0" w:color="8EA9DB"/>
              <w:left w:val="nil"/>
              <w:bottom w:val="single" w:sz="8" w:space="0" w:color="8EA9DB"/>
              <w:right w:val="single" w:sz="8" w:space="0" w:color="8EA9DB"/>
            </w:tcBorders>
            <w:shd w:val="clear" w:color="auto" w:fill="auto"/>
            <w:vAlign w:val="center"/>
          </w:tcPr>
          <w:p w:rsidR="00512A7B" w:rsidRPr="00984DA4" w:rsidRDefault="00512A7B" w:rsidP="00C16FCE">
            <w:pPr>
              <w:spacing w:before="0" w:line="240" w:lineRule="auto"/>
              <w:contextualSpacing/>
              <w:jc w:val="center"/>
              <w:rPr>
                <w:rFonts w:cs="Calibri"/>
                <w:i/>
                <w:color w:val="000000"/>
                <w:sz w:val="16"/>
                <w:szCs w:val="16"/>
                <w:lang w:val="sq-AL"/>
              </w:rPr>
            </w:pPr>
            <w:r w:rsidRPr="00984DA4">
              <w:rPr>
                <w:rFonts w:cs="Calibri"/>
                <w:i/>
                <w:color w:val="000000"/>
                <w:sz w:val="16"/>
                <w:szCs w:val="16"/>
                <w:lang w:val="sq-AL"/>
              </w:rPr>
              <w:t>7,594</w:t>
            </w:r>
          </w:p>
        </w:tc>
        <w:tc>
          <w:tcPr>
            <w:tcW w:w="434" w:type="pct"/>
            <w:tcBorders>
              <w:top w:val="single" w:sz="8" w:space="0" w:color="8EA9DB"/>
              <w:left w:val="nil"/>
              <w:bottom w:val="single" w:sz="8" w:space="0" w:color="8EA9DB"/>
              <w:right w:val="single" w:sz="8" w:space="0" w:color="8EA9DB"/>
            </w:tcBorders>
            <w:shd w:val="clear" w:color="auto" w:fill="auto"/>
            <w:vAlign w:val="center"/>
          </w:tcPr>
          <w:p w:rsidR="00512A7B" w:rsidRPr="000264A8" w:rsidRDefault="00512A7B" w:rsidP="00C16FCE">
            <w:pPr>
              <w:spacing w:before="0" w:line="240" w:lineRule="auto"/>
              <w:contextualSpacing/>
              <w:jc w:val="center"/>
              <w:rPr>
                <w:rFonts w:cs="Calibri"/>
                <w:i/>
                <w:color w:val="000000"/>
                <w:sz w:val="16"/>
                <w:szCs w:val="16"/>
                <w:lang w:val="sq-AL"/>
              </w:rPr>
            </w:pPr>
            <w:r w:rsidRPr="000264A8">
              <w:rPr>
                <w:rFonts w:cs="Calibri"/>
                <w:i/>
                <w:color w:val="000000"/>
                <w:sz w:val="16"/>
                <w:szCs w:val="16"/>
                <w:lang w:val="sq-AL"/>
              </w:rPr>
              <w:t>46%</w:t>
            </w:r>
          </w:p>
        </w:tc>
        <w:tc>
          <w:tcPr>
            <w:tcW w:w="394" w:type="pct"/>
            <w:tcBorders>
              <w:top w:val="single" w:sz="8" w:space="0" w:color="8EA9DB"/>
              <w:left w:val="nil"/>
              <w:bottom w:val="single" w:sz="8" w:space="0" w:color="8EA9DB"/>
              <w:right w:val="single" w:sz="8" w:space="0" w:color="8EA9DB"/>
            </w:tcBorders>
            <w:shd w:val="clear" w:color="auto" w:fill="auto"/>
            <w:vAlign w:val="center"/>
          </w:tcPr>
          <w:p w:rsidR="00512A7B" w:rsidRPr="00F7460D" w:rsidRDefault="00512A7B" w:rsidP="00C16FCE">
            <w:pPr>
              <w:spacing w:before="0" w:line="240" w:lineRule="auto"/>
              <w:contextualSpacing/>
              <w:jc w:val="center"/>
              <w:rPr>
                <w:rFonts w:cs="Calibri"/>
                <w:i/>
                <w:color w:val="000000"/>
                <w:sz w:val="16"/>
                <w:szCs w:val="16"/>
                <w:lang w:val="sq-AL"/>
              </w:rPr>
            </w:pPr>
            <w:r w:rsidRPr="00F7460D">
              <w:rPr>
                <w:rFonts w:cs="Calibri"/>
                <w:i/>
                <w:color w:val="000000"/>
                <w:sz w:val="16"/>
                <w:szCs w:val="16"/>
                <w:lang w:val="sq-AL"/>
              </w:rPr>
              <w:t>7,102</w:t>
            </w:r>
          </w:p>
        </w:tc>
        <w:tc>
          <w:tcPr>
            <w:tcW w:w="447" w:type="pct"/>
            <w:tcBorders>
              <w:top w:val="single" w:sz="8" w:space="0" w:color="8EA9DB"/>
              <w:left w:val="nil"/>
              <w:bottom w:val="single" w:sz="8" w:space="0" w:color="8EA9DB"/>
              <w:right w:val="single" w:sz="8" w:space="0" w:color="8EA9DB"/>
            </w:tcBorders>
            <w:shd w:val="clear" w:color="auto" w:fill="auto"/>
            <w:vAlign w:val="center"/>
          </w:tcPr>
          <w:p w:rsidR="00512A7B" w:rsidRPr="00F7460D" w:rsidRDefault="00512A7B" w:rsidP="00C16FCE">
            <w:pPr>
              <w:spacing w:before="0" w:line="240" w:lineRule="auto"/>
              <w:contextualSpacing/>
              <w:jc w:val="center"/>
              <w:rPr>
                <w:rFonts w:cs="Calibri"/>
                <w:i/>
                <w:color w:val="000000"/>
                <w:sz w:val="16"/>
                <w:szCs w:val="16"/>
                <w:lang w:val="sq-AL"/>
              </w:rPr>
            </w:pPr>
            <w:r w:rsidRPr="00F7460D">
              <w:rPr>
                <w:rFonts w:cs="Calibri"/>
                <w:i/>
                <w:color w:val="000000"/>
                <w:sz w:val="16"/>
                <w:szCs w:val="16"/>
                <w:lang w:val="sq-AL"/>
              </w:rPr>
              <w:t>42%</w:t>
            </w:r>
          </w:p>
        </w:tc>
        <w:tc>
          <w:tcPr>
            <w:tcW w:w="380" w:type="pct"/>
            <w:tcBorders>
              <w:top w:val="single" w:sz="8" w:space="0" w:color="8EA9DB"/>
              <w:left w:val="nil"/>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i/>
                <w:color w:val="000000"/>
                <w:sz w:val="16"/>
                <w:szCs w:val="16"/>
                <w:lang w:val="sq-AL"/>
              </w:rPr>
            </w:pPr>
            <w:r>
              <w:rPr>
                <w:rFonts w:cs="Calibri"/>
                <w:i/>
                <w:sz w:val="16"/>
                <w:szCs w:val="16"/>
              </w:rPr>
              <w:t>17</w:t>
            </w:r>
            <w:r w:rsidRPr="00476D2E">
              <w:rPr>
                <w:rFonts w:cs="Calibri"/>
                <w:i/>
                <w:sz w:val="16"/>
                <w:szCs w:val="16"/>
              </w:rPr>
              <w:t>,000</w:t>
            </w:r>
          </w:p>
        </w:tc>
        <w:tc>
          <w:tcPr>
            <w:tcW w:w="473" w:type="pct"/>
            <w:tcBorders>
              <w:top w:val="single" w:sz="8" w:space="0" w:color="8EA9DB"/>
              <w:left w:val="nil"/>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i/>
                <w:color w:val="000000"/>
                <w:sz w:val="16"/>
                <w:szCs w:val="16"/>
                <w:lang w:val="sq-AL"/>
              </w:rPr>
            </w:pPr>
            <w:r>
              <w:rPr>
                <w:rFonts w:cs="Calibri"/>
                <w:i/>
                <w:color w:val="000000"/>
                <w:sz w:val="16"/>
                <w:szCs w:val="16"/>
              </w:rPr>
              <w:t>7,102</w:t>
            </w:r>
          </w:p>
        </w:tc>
        <w:tc>
          <w:tcPr>
            <w:tcW w:w="547" w:type="pct"/>
            <w:tcBorders>
              <w:top w:val="single" w:sz="8" w:space="0" w:color="8EA9DB"/>
              <w:left w:val="nil"/>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i/>
                <w:color w:val="000000"/>
                <w:sz w:val="16"/>
                <w:szCs w:val="16"/>
                <w:lang w:val="sq-AL"/>
              </w:rPr>
            </w:pPr>
            <w:r>
              <w:rPr>
                <w:rFonts w:cs="Calibri"/>
                <w:i/>
                <w:color w:val="000000"/>
                <w:sz w:val="16"/>
                <w:szCs w:val="16"/>
              </w:rPr>
              <w:t>41</w:t>
            </w:r>
            <w:r w:rsidRPr="00476D2E">
              <w:rPr>
                <w:rFonts w:cs="Calibri"/>
                <w:i/>
                <w:color w:val="000000"/>
                <w:sz w:val="16"/>
                <w:szCs w:val="16"/>
              </w:rPr>
              <w:t>.</w:t>
            </w:r>
            <w:r>
              <w:rPr>
                <w:rFonts w:cs="Calibri"/>
                <w:i/>
                <w:color w:val="000000"/>
                <w:sz w:val="16"/>
                <w:szCs w:val="16"/>
              </w:rPr>
              <w:t>8</w:t>
            </w:r>
            <w:r w:rsidRPr="00476D2E">
              <w:rPr>
                <w:rFonts w:cs="Calibri"/>
                <w:i/>
                <w:color w:val="000000"/>
                <w:sz w:val="16"/>
                <w:szCs w:val="16"/>
              </w:rPr>
              <w:t>%</w:t>
            </w:r>
          </w:p>
        </w:tc>
      </w:tr>
      <w:tr w:rsidR="001216DB" w:rsidRPr="00476D2E" w:rsidTr="00C16FCE">
        <w:trPr>
          <w:trHeight w:val="164"/>
          <w:jc w:val="center"/>
        </w:trPr>
        <w:tc>
          <w:tcPr>
            <w:tcW w:w="900" w:type="pct"/>
            <w:tcBorders>
              <w:top w:val="nil"/>
              <w:left w:val="single" w:sz="8" w:space="0" w:color="8EAADB"/>
              <w:bottom w:val="single" w:sz="8" w:space="0" w:color="8EAADB"/>
              <w:right w:val="single" w:sz="8" w:space="0" w:color="8EAADB"/>
            </w:tcBorders>
            <w:shd w:val="clear" w:color="auto" w:fill="auto"/>
            <w:vAlign w:val="center"/>
            <w:hideMark/>
          </w:tcPr>
          <w:p w:rsidR="00512A7B" w:rsidRPr="00476D2E" w:rsidRDefault="00512A7B" w:rsidP="00C16FCE">
            <w:pPr>
              <w:spacing w:before="0" w:line="240" w:lineRule="auto"/>
              <w:contextualSpacing/>
              <w:rPr>
                <w:rFonts w:cs="Calibri"/>
                <w:b/>
                <w:bCs/>
                <w:color w:val="000000"/>
                <w:sz w:val="16"/>
                <w:lang w:val="sq-AL"/>
              </w:rPr>
            </w:pPr>
            <w:r w:rsidRPr="00476D2E">
              <w:rPr>
                <w:rFonts w:cs="Calibri"/>
                <w:b/>
                <w:bCs/>
                <w:color w:val="000000"/>
                <w:sz w:val="16"/>
                <w:lang w:val="sq-AL"/>
              </w:rPr>
              <w:t>Tatimi mbi fitimin</w:t>
            </w:r>
          </w:p>
        </w:tc>
        <w:tc>
          <w:tcPr>
            <w:tcW w:w="328" w:type="pct"/>
            <w:tcBorders>
              <w:top w:val="nil"/>
              <w:left w:val="single" w:sz="8" w:space="0" w:color="8EA9DB"/>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color w:val="000000"/>
                <w:sz w:val="16"/>
                <w:szCs w:val="16"/>
                <w:lang w:val="sq-AL"/>
              </w:rPr>
            </w:pPr>
            <w:r w:rsidRPr="00476D2E">
              <w:rPr>
                <w:rFonts w:cs="Calibri"/>
                <w:color w:val="000000"/>
                <w:sz w:val="16"/>
                <w:szCs w:val="16"/>
              </w:rPr>
              <w:t>28,381</w:t>
            </w:r>
          </w:p>
        </w:tc>
        <w:tc>
          <w:tcPr>
            <w:tcW w:w="356" w:type="pct"/>
            <w:tcBorders>
              <w:top w:val="nil"/>
              <w:left w:val="nil"/>
              <w:bottom w:val="single" w:sz="8" w:space="0" w:color="8EA9DB"/>
              <w:right w:val="single" w:sz="8" w:space="0" w:color="8EA9DB"/>
            </w:tcBorders>
            <w:shd w:val="clear" w:color="auto" w:fill="auto"/>
            <w:vAlign w:val="center"/>
          </w:tcPr>
          <w:p w:rsidR="00512A7B" w:rsidRPr="00476D2E" w:rsidRDefault="00512A7B" w:rsidP="00C16FCE">
            <w:pPr>
              <w:spacing w:before="0" w:line="240" w:lineRule="auto"/>
              <w:contextualSpacing/>
              <w:jc w:val="center"/>
              <w:rPr>
                <w:rFonts w:cs="Calibri"/>
                <w:color w:val="000000"/>
                <w:sz w:val="16"/>
                <w:szCs w:val="16"/>
                <w:lang w:val="sq-AL"/>
              </w:rPr>
            </w:pPr>
            <w:r>
              <w:rPr>
                <w:rFonts w:cs="Calibri"/>
                <w:color w:val="000000"/>
                <w:sz w:val="16"/>
                <w:szCs w:val="16"/>
                <w:lang w:val="sq-AL"/>
              </w:rPr>
              <w:t>35,610</w:t>
            </w:r>
          </w:p>
        </w:tc>
        <w:tc>
          <w:tcPr>
            <w:tcW w:w="327" w:type="pct"/>
            <w:tcBorders>
              <w:top w:val="nil"/>
              <w:left w:val="nil"/>
              <w:bottom w:val="single" w:sz="8" w:space="0" w:color="8EA9DB"/>
              <w:right w:val="single" w:sz="8" w:space="0" w:color="8EA9DB"/>
            </w:tcBorders>
            <w:shd w:val="clear" w:color="auto" w:fill="auto"/>
            <w:vAlign w:val="center"/>
            <w:hideMark/>
          </w:tcPr>
          <w:p w:rsidR="00512A7B" w:rsidRPr="003F3712" w:rsidRDefault="00512A7B" w:rsidP="00C16FCE">
            <w:pPr>
              <w:spacing w:before="0" w:line="240" w:lineRule="auto"/>
              <w:contextualSpacing/>
              <w:jc w:val="center"/>
              <w:rPr>
                <w:rFonts w:cs="Calibri"/>
                <w:color w:val="000000"/>
                <w:sz w:val="16"/>
                <w:szCs w:val="16"/>
                <w:highlight w:val="yellow"/>
                <w:lang w:val="sq-AL"/>
              </w:rPr>
            </w:pPr>
            <w:r w:rsidRPr="004862D6">
              <w:rPr>
                <w:rFonts w:cs="Calibri"/>
                <w:color w:val="000000"/>
                <w:sz w:val="16"/>
                <w:szCs w:val="16"/>
              </w:rPr>
              <w:t>33,031</w:t>
            </w:r>
          </w:p>
        </w:tc>
        <w:tc>
          <w:tcPr>
            <w:tcW w:w="414" w:type="pct"/>
            <w:tcBorders>
              <w:top w:val="nil"/>
              <w:left w:val="nil"/>
              <w:bottom w:val="single" w:sz="8" w:space="0" w:color="8EA9DB"/>
              <w:right w:val="single" w:sz="8" w:space="0" w:color="8EA9DB"/>
            </w:tcBorders>
            <w:shd w:val="clear" w:color="auto" w:fill="auto"/>
            <w:vAlign w:val="center"/>
          </w:tcPr>
          <w:p w:rsidR="00512A7B" w:rsidRPr="000264A8" w:rsidRDefault="00512A7B" w:rsidP="00C16FCE">
            <w:pPr>
              <w:spacing w:before="0" w:line="240" w:lineRule="auto"/>
              <w:contextualSpacing/>
              <w:jc w:val="center"/>
              <w:rPr>
                <w:rFonts w:cs="Calibri"/>
                <w:color w:val="000000"/>
                <w:sz w:val="16"/>
                <w:szCs w:val="16"/>
                <w:lang w:val="sq-AL"/>
              </w:rPr>
            </w:pPr>
            <w:r w:rsidRPr="000264A8">
              <w:rPr>
                <w:rFonts w:cs="Calibri"/>
                <w:color w:val="000000"/>
                <w:sz w:val="16"/>
                <w:szCs w:val="16"/>
                <w:lang w:val="sq-AL"/>
              </w:rPr>
              <w:t>7,229</w:t>
            </w:r>
          </w:p>
        </w:tc>
        <w:tc>
          <w:tcPr>
            <w:tcW w:w="434" w:type="pct"/>
            <w:tcBorders>
              <w:top w:val="nil"/>
              <w:left w:val="nil"/>
              <w:bottom w:val="single" w:sz="8" w:space="0" w:color="8EA9DB"/>
              <w:right w:val="single" w:sz="8" w:space="0" w:color="8EA9DB"/>
            </w:tcBorders>
            <w:shd w:val="clear" w:color="auto" w:fill="auto"/>
            <w:vAlign w:val="center"/>
          </w:tcPr>
          <w:p w:rsidR="00512A7B" w:rsidRPr="000264A8" w:rsidRDefault="00512A7B" w:rsidP="00C16FCE">
            <w:pPr>
              <w:spacing w:before="0" w:line="240" w:lineRule="auto"/>
              <w:contextualSpacing/>
              <w:jc w:val="center"/>
              <w:rPr>
                <w:rFonts w:cs="Calibri"/>
                <w:color w:val="000000"/>
                <w:sz w:val="16"/>
                <w:szCs w:val="16"/>
                <w:lang w:val="sq-AL"/>
              </w:rPr>
            </w:pPr>
            <w:r w:rsidRPr="000264A8">
              <w:rPr>
                <w:rFonts w:cs="Calibri"/>
                <w:color w:val="000000"/>
                <w:sz w:val="16"/>
                <w:szCs w:val="16"/>
                <w:lang w:val="sq-AL"/>
              </w:rPr>
              <w:t>25%</w:t>
            </w:r>
          </w:p>
        </w:tc>
        <w:tc>
          <w:tcPr>
            <w:tcW w:w="394" w:type="pct"/>
            <w:tcBorders>
              <w:top w:val="nil"/>
              <w:left w:val="nil"/>
              <w:bottom w:val="single" w:sz="8" w:space="0" w:color="8EA9DB"/>
              <w:right w:val="single" w:sz="8" w:space="0" w:color="8EA9DB"/>
            </w:tcBorders>
            <w:shd w:val="clear" w:color="auto" w:fill="auto"/>
            <w:vAlign w:val="center"/>
          </w:tcPr>
          <w:p w:rsidR="00512A7B" w:rsidRPr="00F7460D" w:rsidRDefault="00512A7B" w:rsidP="00C16FCE">
            <w:pPr>
              <w:spacing w:before="0" w:line="240" w:lineRule="auto"/>
              <w:contextualSpacing/>
              <w:jc w:val="center"/>
              <w:rPr>
                <w:rFonts w:cs="Calibri"/>
                <w:color w:val="000000"/>
                <w:sz w:val="16"/>
                <w:szCs w:val="16"/>
                <w:lang w:val="sq-AL"/>
              </w:rPr>
            </w:pPr>
            <w:r w:rsidRPr="00F7460D">
              <w:rPr>
                <w:rFonts w:cs="Calibri"/>
                <w:color w:val="000000"/>
                <w:sz w:val="16"/>
                <w:szCs w:val="16"/>
                <w:lang w:val="sq-AL"/>
              </w:rPr>
              <w:t>2,579</w:t>
            </w:r>
          </w:p>
        </w:tc>
        <w:tc>
          <w:tcPr>
            <w:tcW w:w="447" w:type="pct"/>
            <w:tcBorders>
              <w:top w:val="nil"/>
              <w:left w:val="nil"/>
              <w:bottom w:val="single" w:sz="8" w:space="0" w:color="8EA9DB"/>
              <w:right w:val="single" w:sz="8" w:space="0" w:color="8EA9DB"/>
            </w:tcBorders>
            <w:shd w:val="clear" w:color="auto" w:fill="auto"/>
            <w:vAlign w:val="center"/>
          </w:tcPr>
          <w:p w:rsidR="00512A7B" w:rsidRPr="00F7460D" w:rsidRDefault="00512A7B" w:rsidP="00C16FCE">
            <w:pPr>
              <w:spacing w:before="0" w:line="240" w:lineRule="auto"/>
              <w:contextualSpacing/>
              <w:jc w:val="center"/>
              <w:rPr>
                <w:rFonts w:cs="Calibri"/>
                <w:color w:val="000000"/>
                <w:sz w:val="16"/>
                <w:szCs w:val="16"/>
                <w:lang w:val="sq-AL"/>
              </w:rPr>
            </w:pPr>
            <w:r w:rsidRPr="00F7460D">
              <w:rPr>
                <w:rFonts w:cs="Calibri"/>
                <w:color w:val="000000"/>
                <w:sz w:val="16"/>
                <w:szCs w:val="16"/>
                <w:lang w:val="sq-AL"/>
              </w:rPr>
              <w:t>8%</w:t>
            </w:r>
          </w:p>
        </w:tc>
        <w:tc>
          <w:tcPr>
            <w:tcW w:w="380" w:type="pct"/>
            <w:tcBorders>
              <w:top w:val="nil"/>
              <w:left w:val="nil"/>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color w:val="000000"/>
                <w:sz w:val="16"/>
                <w:szCs w:val="16"/>
                <w:lang w:val="sq-AL"/>
              </w:rPr>
            </w:pPr>
            <w:r>
              <w:rPr>
                <w:rFonts w:cs="Calibri"/>
                <w:color w:val="000000"/>
                <w:sz w:val="16"/>
                <w:szCs w:val="16"/>
              </w:rPr>
              <w:t>33</w:t>
            </w:r>
            <w:r w:rsidRPr="00476D2E">
              <w:rPr>
                <w:rFonts w:cs="Calibri"/>
                <w:color w:val="000000"/>
                <w:sz w:val="16"/>
                <w:szCs w:val="16"/>
              </w:rPr>
              <w:t>,</w:t>
            </w:r>
            <w:r>
              <w:rPr>
                <w:rFonts w:cs="Calibri"/>
                <w:color w:val="000000"/>
                <w:sz w:val="16"/>
                <w:szCs w:val="16"/>
              </w:rPr>
              <w:t>631</w:t>
            </w:r>
          </w:p>
        </w:tc>
        <w:tc>
          <w:tcPr>
            <w:tcW w:w="473" w:type="pct"/>
            <w:tcBorders>
              <w:top w:val="nil"/>
              <w:left w:val="nil"/>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color w:val="000000"/>
                <w:sz w:val="16"/>
                <w:szCs w:val="16"/>
                <w:lang w:val="sq-AL"/>
              </w:rPr>
            </w:pPr>
            <w:r>
              <w:rPr>
                <w:rFonts w:cs="Calibri"/>
                <w:color w:val="000000"/>
                <w:sz w:val="16"/>
                <w:szCs w:val="16"/>
              </w:rPr>
              <w:t>1</w:t>
            </w:r>
            <w:r w:rsidRPr="00476D2E">
              <w:rPr>
                <w:rFonts w:cs="Calibri"/>
                <w:color w:val="000000"/>
                <w:sz w:val="16"/>
                <w:szCs w:val="16"/>
              </w:rPr>
              <w:t>,</w:t>
            </w:r>
            <w:r>
              <w:rPr>
                <w:rFonts w:cs="Calibri"/>
                <w:color w:val="000000"/>
                <w:sz w:val="16"/>
                <w:szCs w:val="16"/>
              </w:rPr>
              <w:t>979</w:t>
            </w:r>
          </w:p>
        </w:tc>
        <w:tc>
          <w:tcPr>
            <w:tcW w:w="547" w:type="pct"/>
            <w:tcBorders>
              <w:top w:val="nil"/>
              <w:left w:val="nil"/>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color w:val="000000"/>
                <w:sz w:val="16"/>
                <w:szCs w:val="16"/>
                <w:lang w:val="sq-AL"/>
              </w:rPr>
            </w:pPr>
            <w:r>
              <w:rPr>
                <w:rFonts w:cs="Calibri"/>
                <w:color w:val="000000"/>
                <w:sz w:val="16"/>
                <w:szCs w:val="16"/>
              </w:rPr>
              <w:t>5</w:t>
            </w:r>
            <w:r w:rsidRPr="00476D2E">
              <w:rPr>
                <w:rFonts w:cs="Calibri"/>
                <w:color w:val="000000"/>
                <w:sz w:val="16"/>
                <w:szCs w:val="16"/>
              </w:rPr>
              <w:t>.</w:t>
            </w:r>
            <w:r>
              <w:rPr>
                <w:rFonts w:cs="Calibri"/>
                <w:color w:val="000000"/>
                <w:sz w:val="16"/>
                <w:szCs w:val="16"/>
              </w:rPr>
              <w:t>9</w:t>
            </w:r>
            <w:r w:rsidRPr="00476D2E">
              <w:rPr>
                <w:rFonts w:cs="Calibri"/>
                <w:color w:val="000000"/>
                <w:sz w:val="16"/>
                <w:szCs w:val="16"/>
              </w:rPr>
              <w:t>%</w:t>
            </w:r>
          </w:p>
        </w:tc>
      </w:tr>
      <w:tr w:rsidR="001216DB" w:rsidRPr="00476D2E" w:rsidTr="00C16FCE">
        <w:trPr>
          <w:trHeight w:val="164"/>
          <w:jc w:val="center"/>
        </w:trPr>
        <w:tc>
          <w:tcPr>
            <w:tcW w:w="900" w:type="pct"/>
            <w:tcBorders>
              <w:top w:val="nil"/>
              <w:left w:val="single" w:sz="8" w:space="0" w:color="8EAADB"/>
              <w:bottom w:val="single" w:sz="8" w:space="0" w:color="8EAADB"/>
              <w:right w:val="single" w:sz="8" w:space="0" w:color="8EAADB"/>
            </w:tcBorders>
            <w:shd w:val="clear" w:color="auto" w:fill="auto"/>
            <w:vAlign w:val="center"/>
            <w:hideMark/>
          </w:tcPr>
          <w:p w:rsidR="00512A7B" w:rsidRPr="00476D2E" w:rsidRDefault="00512A7B" w:rsidP="00C16FCE">
            <w:pPr>
              <w:spacing w:before="0" w:line="240" w:lineRule="auto"/>
              <w:contextualSpacing/>
              <w:rPr>
                <w:rFonts w:cs="Calibri"/>
                <w:b/>
                <w:bCs/>
                <w:color w:val="000000"/>
                <w:sz w:val="16"/>
                <w:lang w:val="sq-AL"/>
              </w:rPr>
            </w:pPr>
            <w:r w:rsidRPr="00476D2E">
              <w:rPr>
                <w:rFonts w:cs="Calibri"/>
                <w:b/>
                <w:bCs/>
                <w:color w:val="000000"/>
                <w:sz w:val="16"/>
                <w:lang w:val="sq-AL"/>
              </w:rPr>
              <w:t xml:space="preserve">Akciza </w:t>
            </w:r>
          </w:p>
        </w:tc>
        <w:tc>
          <w:tcPr>
            <w:tcW w:w="328" w:type="pct"/>
            <w:tcBorders>
              <w:top w:val="nil"/>
              <w:left w:val="single" w:sz="8" w:space="0" w:color="8EA9DB"/>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color w:val="000000"/>
                <w:sz w:val="16"/>
                <w:szCs w:val="16"/>
                <w:lang w:val="sq-AL"/>
              </w:rPr>
            </w:pPr>
            <w:r w:rsidRPr="00476D2E">
              <w:rPr>
                <w:rFonts w:cs="Calibri"/>
                <w:color w:val="000000"/>
                <w:sz w:val="16"/>
                <w:szCs w:val="16"/>
              </w:rPr>
              <w:t>44,521</w:t>
            </w:r>
          </w:p>
        </w:tc>
        <w:tc>
          <w:tcPr>
            <w:tcW w:w="356" w:type="pct"/>
            <w:tcBorders>
              <w:top w:val="nil"/>
              <w:left w:val="nil"/>
              <w:bottom w:val="single" w:sz="8" w:space="0" w:color="8EA9DB"/>
              <w:right w:val="single" w:sz="8" w:space="0" w:color="8EA9DB"/>
            </w:tcBorders>
            <w:shd w:val="clear" w:color="auto" w:fill="auto"/>
            <w:vAlign w:val="center"/>
          </w:tcPr>
          <w:p w:rsidR="00512A7B" w:rsidRPr="00476D2E" w:rsidRDefault="00512A7B" w:rsidP="00C16FCE">
            <w:pPr>
              <w:spacing w:before="0" w:line="240" w:lineRule="auto"/>
              <w:contextualSpacing/>
              <w:jc w:val="center"/>
              <w:rPr>
                <w:rFonts w:cs="Calibri"/>
                <w:color w:val="000000"/>
                <w:sz w:val="16"/>
                <w:szCs w:val="16"/>
                <w:lang w:val="sq-AL"/>
              </w:rPr>
            </w:pPr>
            <w:r>
              <w:rPr>
                <w:rFonts w:cs="Calibri"/>
                <w:color w:val="000000"/>
                <w:sz w:val="16"/>
                <w:szCs w:val="16"/>
                <w:lang w:val="sq-AL"/>
              </w:rPr>
              <w:t>51,637</w:t>
            </w:r>
          </w:p>
        </w:tc>
        <w:tc>
          <w:tcPr>
            <w:tcW w:w="327" w:type="pct"/>
            <w:tcBorders>
              <w:top w:val="nil"/>
              <w:left w:val="nil"/>
              <w:bottom w:val="single" w:sz="8" w:space="0" w:color="8EA9DB"/>
              <w:right w:val="single" w:sz="8" w:space="0" w:color="8EA9DB"/>
            </w:tcBorders>
            <w:shd w:val="clear" w:color="auto" w:fill="auto"/>
            <w:vAlign w:val="center"/>
            <w:hideMark/>
          </w:tcPr>
          <w:p w:rsidR="00512A7B" w:rsidRPr="003F3712" w:rsidRDefault="00512A7B" w:rsidP="00C16FCE">
            <w:pPr>
              <w:spacing w:before="0" w:line="240" w:lineRule="auto"/>
              <w:contextualSpacing/>
              <w:jc w:val="center"/>
              <w:rPr>
                <w:rFonts w:cs="Calibri"/>
                <w:color w:val="000000"/>
                <w:sz w:val="16"/>
                <w:szCs w:val="16"/>
                <w:highlight w:val="yellow"/>
                <w:lang w:val="sq-AL"/>
              </w:rPr>
            </w:pPr>
            <w:r w:rsidRPr="004862D6">
              <w:rPr>
                <w:rFonts w:cs="Calibri"/>
                <w:color w:val="000000"/>
                <w:sz w:val="16"/>
                <w:szCs w:val="16"/>
              </w:rPr>
              <w:t>49,000</w:t>
            </w:r>
          </w:p>
        </w:tc>
        <w:tc>
          <w:tcPr>
            <w:tcW w:w="414" w:type="pct"/>
            <w:tcBorders>
              <w:top w:val="nil"/>
              <w:left w:val="nil"/>
              <w:bottom w:val="single" w:sz="8" w:space="0" w:color="8EA9DB"/>
              <w:right w:val="single" w:sz="8" w:space="0" w:color="8EA9DB"/>
            </w:tcBorders>
            <w:shd w:val="clear" w:color="auto" w:fill="auto"/>
            <w:vAlign w:val="center"/>
          </w:tcPr>
          <w:p w:rsidR="00512A7B" w:rsidRPr="000264A8" w:rsidRDefault="00512A7B" w:rsidP="00C16FCE">
            <w:pPr>
              <w:spacing w:before="0" w:line="240" w:lineRule="auto"/>
              <w:contextualSpacing/>
              <w:jc w:val="center"/>
              <w:rPr>
                <w:rFonts w:cs="Calibri"/>
                <w:color w:val="000000"/>
                <w:sz w:val="16"/>
                <w:szCs w:val="16"/>
                <w:lang w:val="sq-AL"/>
              </w:rPr>
            </w:pPr>
            <w:r w:rsidRPr="000264A8">
              <w:rPr>
                <w:rFonts w:cs="Calibri"/>
                <w:color w:val="000000"/>
                <w:sz w:val="16"/>
                <w:szCs w:val="16"/>
                <w:lang w:val="sq-AL"/>
              </w:rPr>
              <w:t>7,116</w:t>
            </w:r>
          </w:p>
        </w:tc>
        <w:tc>
          <w:tcPr>
            <w:tcW w:w="434" w:type="pct"/>
            <w:tcBorders>
              <w:top w:val="nil"/>
              <w:left w:val="nil"/>
              <w:bottom w:val="single" w:sz="8" w:space="0" w:color="8EA9DB"/>
              <w:right w:val="single" w:sz="8" w:space="0" w:color="8EA9DB"/>
            </w:tcBorders>
            <w:shd w:val="clear" w:color="auto" w:fill="auto"/>
            <w:vAlign w:val="center"/>
          </w:tcPr>
          <w:p w:rsidR="00512A7B" w:rsidRPr="000264A8" w:rsidRDefault="00512A7B" w:rsidP="00C16FCE">
            <w:pPr>
              <w:spacing w:before="0" w:line="240" w:lineRule="auto"/>
              <w:contextualSpacing/>
              <w:jc w:val="center"/>
              <w:rPr>
                <w:rFonts w:cs="Calibri"/>
                <w:color w:val="000000"/>
                <w:sz w:val="16"/>
                <w:szCs w:val="16"/>
                <w:lang w:val="sq-AL"/>
              </w:rPr>
            </w:pPr>
            <w:r w:rsidRPr="000264A8">
              <w:rPr>
                <w:rFonts w:cs="Calibri"/>
                <w:color w:val="000000"/>
                <w:sz w:val="16"/>
                <w:szCs w:val="16"/>
                <w:lang w:val="sq-AL"/>
              </w:rPr>
              <w:t>16%</w:t>
            </w:r>
          </w:p>
        </w:tc>
        <w:tc>
          <w:tcPr>
            <w:tcW w:w="394" w:type="pct"/>
            <w:tcBorders>
              <w:top w:val="nil"/>
              <w:left w:val="nil"/>
              <w:bottom w:val="single" w:sz="8" w:space="0" w:color="8EA9DB"/>
              <w:right w:val="single" w:sz="8" w:space="0" w:color="8EA9DB"/>
            </w:tcBorders>
            <w:shd w:val="clear" w:color="auto" w:fill="auto"/>
            <w:vAlign w:val="center"/>
          </w:tcPr>
          <w:p w:rsidR="00512A7B" w:rsidRPr="00F7460D" w:rsidRDefault="00512A7B" w:rsidP="00C16FCE">
            <w:pPr>
              <w:spacing w:before="0" w:line="240" w:lineRule="auto"/>
              <w:contextualSpacing/>
              <w:jc w:val="center"/>
              <w:rPr>
                <w:rFonts w:cs="Calibri"/>
                <w:color w:val="000000"/>
                <w:sz w:val="16"/>
                <w:szCs w:val="16"/>
                <w:lang w:val="sq-AL"/>
              </w:rPr>
            </w:pPr>
            <w:r w:rsidRPr="00F7460D">
              <w:rPr>
                <w:rFonts w:cs="Calibri"/>
                <w:color w:val="000000"/>
                <w:sz w:val="16"/>
                <w:szCs w:val="16"/>
                <w:lang w:val="sq-AL"/>
              </w:rPr>
              <w:t>2,637</w:t>
            </w:r>
          </w:p>
        </w:tc>
        <w:tc>
          <w:tcPr>
            <w:tcW w:w="447" w:type="pct"/>
            <w:tcBorders>
              <w:top w:val="nil"/>
              <w:left w:val="nil"/>
              <w:bottom w:val="single" w:sz="8" w:space="0" w:color="8EA9DB"/>
              <w:right w:val="single" w:sz="8" w:space="0" w:color="8EA9DB"/>
            </w:tcBorders>
            <w:shd w:val="clear" w:color="auto" w:fill="auto"/>
            <w:vAlign w:val="center"/>
          </w:tcPr>
          <w:p w:rsidR="00512A7B" w:rsidRPr="00F7460D" w:rsidRDefault="00512A7B" w:rsidP="00C16FCE">
            <w:pPr>
              <w:spacing w:before="0" w:line="240" w:lineRule="auto"/>
              <w:contextualSpacing/>
              <w:jc w:val="center"/>
              <w:rPr>
                <w:rFonts w:cs="Calibri"/>
                <w:color w:val="000000"/>
                <w:sz w:val="16"/>
                <w:szCs w:val="16"/>
                <w:lang w:val="sq-AL"/>
              </w:rPr>
            </w:pPr>
            <w:r w:rsidRPr="00F7460D">
              <w:rPr>
                <w:rFonts w:cs="Calibri"/>
                <w:color w:val="000000"/>
                <w:sz w:val="16"/>
                <w:szCs w:val="16"/>
                <w:lang w:val="sq-AL"/>
              </w:rPr>
              <w:t>5%</w:t>
            </w:r>
          </w:p>
        </w:tc>
        <w:tc>
          <w:tcPr>
            <w:tcW w:w="380" w:type="pct"/>
            <w:tcBorders>
              <w:top w:val="nil"/>
              <w:left w:val="nil"/>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color w:val="000000"/>
                <w:sz w:val="16"/>
                <w:szCs w:val="16"/>
                <w:lang w:val="sq-AL"/>
              </w:rPr>
            </w:pPr>
            <w:r>
              <w:rPr>
                <w:rFonts w:cs="Calibri"/>
                <w:color w:val="000000"/>
                <w:sz w:val="16"/>
                <w:szCs w:val="16"/>
              </w:rPr>
              <w:t>51</w:t>
            </w:r>
            <w:r w:rsidRPr="00476D2E">
              <w:rPr>
                <w:rFonts w:cs="Calibri"/>
                <w:color w:val="000000"/>
                <w:sz w:val="16"/>
                <w:szCs w:val="16"/>
              </w:rPr>
              <w:t>,</w:t>
            </w:r>
            <w:r>
              <w:rPr>
                <w:rFonts w:cs="Calibri"/>
                <w:color w:val="000000"/>
                <w:sz w:val="16"/>
                <w:szCs w:val="16"/>
              </w:rPr>
              <w:t>4</w:t>
            </w:r>
            <w:r w:rsidRPr="00476D2E">
              <w:rPr>
                <w:rFonts w:cs="Calibri"/>
                <w:color w:val="000000"/>
                <w:sz w:val="16"/>
                <w:szCs w:val="16"/>
              </w:rPr>
              <w:t>00</w:t>
            </w:r>
          </w:p>
        </w:tc>
        <w:tc>
          <w:tcPr>
            <w:tcW w:w="473" w:type="pct"/>
            <w:tcBorders>
              <w:top w:val="nil"/>
              <w:left w:val="nil"/>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color w:val="000000"/>
                <w:sz w:val="16"/>
                <w:szCs w:val="16"/>
                <w:lang w:val="sq-AL"/>
              </w:rPr>
            </w:pPr>
            <w:r>
              <w:rPr>
                <w:rFonts w:cs="Calibri"/>
                <w:color w:val="000000"/>
                <w:sz w:val="16"/>
                <w:szCs w:val="16"/>
              </w:rPr>
              <w:t>237</w:t>
            </w:r>
          </w:p>
        </w:tc>
        <w:tc>
          <w:tcPr>
            <w:tcW w:w="547" w:type="pct"/>
            <w:tcBorders>
              <w:top w:val="nil"/>
              <w:left w:val="nil"/>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color w:val="000000"/>
                <w:sz w:val="16"/>
                <w:szCs w:val="16"/>
                <w:lang w:val="sq-AL"/>
              </w:rPr>
            </w:pPr>
            <w:r>
              <w:rPr>
                <w:rFonts w:cs="Calibri"/>
                <w:color w:val="000000"/>
                <w:sz w:val="16"/>
                <w:szCs w:val="16"/>
              </w:rPr>
              <w:t>0.5</w:t>
            </w:r>
            <w:r w:rsidRPr="00476D2E">
              <w:rPr>
                <w:rFonts w:cs="Calibri"/>
                <w:color w:val="000000"/>
                <w:sz w:val="16"/>
                <w:szCs w:val="16"/>
              </w:rPr>
              <w:t>%</w:t>
            </w:r>
          </w:p>
        </w:tc>
      </w:tr>
      <w:tr w:rsidR="001216DB" w:rsidRPr="00476D2E" w:rsidTr="00C16FCE">
        <w:trPr>
          <w:trHeight w:val="235"/>
          <w:jc w:val="center"/>
        </w:trPr>
        <w:tc>
          <w:tcPr>
            <w:tcW w:w="900" w:type="pct"/>
            <w:tcBorders>
              <w:top w:val="nil"/>
              <w:left w:val="single" w:sz="8" w:space="0" w:color="8EAADB"/>
              <w:bottom w:val="single" w:sz="8" w:space="0" w:color="8EAADB"/>
              <w:right w:val="single" w:sz="8" w:space="0" w:color="8EAADB"/>
            </w:tcBorders>
            <w:shd w:val="clear" w:color="auto" w:fill="auto"/>
            <w:vAlign w:val="center"/>
            <w:hideMark/>
          </w:tcPr>
          <w:p w:rsidR="00512A7B" w:rsidRPr="00476D2E" w:rsidRDefault="00512A7B" w:rsidP="00C16FCE">
            <w:pPr>
              <w:spacing w:before="0" w:line="240" w:lineRule="auto"/>
              <w:contextualSpacing/>
              <w:rPr>
                <w:rFonts w:cs="Calibri"/>
                <w:b/>
                <w:bCs/>
                <w:color w:val="000000"/>
                <w:sz w:val="16"/>
                <w:lang w:val="sq-AL"/>
              </w:rPr>
            </w:pPr>
            <w:r w:rsidRPr="00476D2E">
              <w:rPr>
                <w:rFonts w:cs="Calibri"/>
                <w:b/>
                <w:bCs/>
                <w:color w:val="000000"/>
                <w:sz w:val="16"/>
                <w:lang w:val="sq-AL"/>
              </w:rPr>
              <w:t>Tatimi mbi të ardhurat personale</w:t>
            </w:r>
          </w:p>
        </w:tc>
        <w:tc>
          <w:tcPr>
            <w:tcW w:w="328" w:type="pct"/>
            <w:tcBorders>
              <w:top w:val="nil"/>
              <w:left w:val="single" w:sz="8" w:space="0" w:color="8EA9DB"/>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color w:val="000000"/>
                <w:sz w:val="16"/>
                <w:szCs w:val="16"/>
                <w:lang w:val="sq-AL"/>
              </w:rPr>
            </w:pPr>
            <w:r w:rsidRPr="00476D2E">
              <w:rPr>
                <w:rFonts w:cs="Calibri"/>
                <w:color w:val="000000"/>
                <w:sz w:val="16"/>
                <w:szCs w:val="16"/>
              </w:rPr>
              <w:t>33,658</w:t>
            </w:r>
          </w:p>
        </w:tc>
        <w:tc>
          <w:tcPr>
            <w:tcW w:w="356" w:type="pct"/>
            <w:tcBorders>
              <w:top w:val="nil"/>
              <w:left w:val="nil"/>
              <w:bottom w:val="single" w:sz="8" w:space="0" w:color="8EA9DB"/>
              <w:right w:val="single" w:sz="8" w:space="0" w:color="8EA9DB"/>
            </w:tcBorders>
            <w:shd w:val="clear" w:color="auto" w:fill="auto"/>
            <w:vAlign w:val="center"/>
          </w:tcPr>
          <w:p w:rsidR="00512A7B" w:rsidRPr="00476D2E" w:rsidRDefault="00512A7B" w:rsidP="00C16FCE">
            <w:pPr>
              <w:spacing w:before="0" w:line="240" w:lineRule="auto"/>
              <w:contextualSpacing/>
              <w:jc w:val="center"/>
              <w:rPr>
                <w:rFonts w:cs="Calibri"/>
                <w:color w:val="000000"/>
                <w:sz w:val="16"/>
                <w:szCs w:val="16"/>
                <w:lang w:val="sq-AL"/>
              </w:rPr>
            </w:pPr>
            <w:r>
              <w:rPr>
                <w:rFonts w:cs="Calibri"/>
                <w:color w:val="000000"/>
                <w:sz w:val="16"/>
                <w:szCs w:val="16"/>
                <w:lang w:val="sq-AL"/>
              </w:rPr>
              <w:t>39,312</w:t>
            </w:r>
          </w:p>
        </w:tc>
        <w:tc>
          <w:tcPr>
            <w:tcW w:w="327" w:type="pct"/>
            <w:tcBorders>
              <w:top w:val="nil"/>
              <w:left w:val="nil"/>
              <w:bottom w:val="single" w:sz="8" w:space="0" w:color="8EA9DB"/>
              <w:right w:val="single" w:sz="8" w:space="0" w:color="8EA9DB"/>
            </w:tcBorders>
            <w:shd w:val="clear" w:color="auto" w:fill="auto"/>
            <w:vAlign w:val="center"/>
            <w:hideMark/>
          </w:tcPr>
          <w:p w:rsidR="00512A7B" w:rsidRPr="003F3712" w:rsidRDefault="00512A7B" w:rsidP="00C16FCE">
            <w:pPr>
              <w:spacing w:before="0" w:line="240" w:lineRule="auto"/>
              <w:contextualSpacing/>
              <w:jc w:val="center"/>
              <w:rPr>
                <w:rFonts w:cs="Calibri"/>
                <w:color w:val="000000"/>
                <w:sz w:val="16"/>
                <w:szCs w:val="16"/>
                <w:highlight w:val="yellow"/>
                <w:lang w:val="sq-AL"/>
              </w:rPr>
            </w:pPr>
            <w:r w:rsidRPr="004862D6">
              <w:rPr>
                <w:rFonts w:cs="Calibri"/>
                <w:color w:val="000000"/>
                <w:sz w:val="16"/>
                <w:szCs w:val="16"/>
              </w:rPr>
              <w:t>41,000</w:t>
            </w:r>
          </w:p>
        </w:tc>
        <w:tc>
          <w:tcPr>
            <w:tcW w:w="414" w:type="pct"/>
            <w:tcBorders>
              <w:top w:val="nil"/>
              <w:left w:val="nil"/>
              <w:bottom w:val="single" w:sz="8" w:space="0" w:color="8EA9DB"/>
              <w:right w:val="single" w:sz="8" w:space="0" w:color="8EA9DB"/>
            </w:tcBorders>
            <w:shd w:val="clear" w:color="auto" w:fill="auto"/>
            <w:vAlign w:val="center"/>
          </w:tcPr>
          <w:p w:rsidR="00512A7B" w:rsidRPr="000264A8" w:rsidRDefault="00512A7B" w:rsidP="00C16FCE">
            <w:pPr>
              <w:spacing w:before="0" w:line="240" w:lineRule="auto"/>
              <w:contextualSpacing/>
              <w:jc w:val="center"/>
              <w:rPr>
                <w:rFonts w:cs="Calibri"/>
                <w:color w:val="000000"/>
                <w:sz w:val="16"/>
                <w:szCs w:val="16"/>
                <w:lang w:val="sq-AL"/>
              </w:rPr>
            </w:pPr>
            <w:r w:rsidRPr="000264A8">
              <w:rPr>
                <w:rFonts w:cs="Calibri"/>
                <w:color w:val="000000"/>
                <w:sz w:val="16"/>
                <w:szCs w:val="16"/>
                <w:lang w:val="sq-AL"/>
              </w:rPr>
              <w:t>5,654</w:t>
            </w:r>
          </w:p>
        </w:tc>
        <w:tc>
          <w:tcPr>
            <w:tcW w:w="434" w:type="pct"/>
            <w:tcBorders>
              <w:top w:val="nil"/>
              <w:left w:val="nil"/>
              <w:bottom w:val="single" w:sz="8" w:space="0" w:color="8EA9DB"/>
              <w:right w:val="single" w:sz="8" w:space="0" w:color="8EA9DB"/>
            </w:tcBorders>
            <w:shd w:val="clear" w:color="auto" w:fill="auto"/>
            <w:vAlign w:val="center"/>
          </w:tcPr>
          <w:p w:rsidR="00512A7B" w:rsidRPr="000264A8" w:rsidRDefault="00512A7B" w:rsidP="00C16FCE">
            <w:pPr>
              <w:spacing w:before="0" w:line="240" w:lineRule="auto"/>
              <w:contextualSpacing/>
              <w:jc w:val="center"/>
              <w:rPr>
                <w:rFonts w:cs="Calibri"/>
                <w:color w:val="000000"/>
                <w:sz w:val="16"/>
                <w:szCs w:val="16"/>
                <w:lang w:val="sq-AL"/>
              </w:rPr>
            </w:pPr>
            <w:r w:rsidRPr="000264A8">
              <w:rPr>
                <w:rFonts w:cs="Calibri"/>
                <w:color w:val="000000"/>
                <w:sz w:val="16"/>
                <w:szCs w:val="16"/>
                <w:lang w:val="sq-AL"/>
              </w:rPr>
              <w:t>17%</w:t>
            </w:r>
          </w:p>
        </w:tc>
        <w:tc>
          <w:tcPr>
            <w:tcW w:w="394" w:type="pct"/>
            <w:tcBorders>
              <w:top w:val="nil"/>
              <w:left w:val="nil"/>
              <w:bottom w:val="single" w:sz="8" w:space="0" w:color="8EA9DB"/>
              <w:right w:val="single" w:sz="8" w:space="0" w:color="8EA9DB"/>
            </w:tcBorders>
            <w:shd w:val="clear" w:color="auto" w:fill="auto"/>
            <w:vAlign w:val="center"/>
          </w:tcPr>
          <w:p w:rsidR="00512A7B" w:rsidRPr="00F7460D" w:rsidRDefault="00512A7B" w:rsidP="00C16FCE">
            <w:pPr>
              <w:spacing w:before="0" w:line="240" w:lineRule="auto"/>
              <w:contextualSpacing/>
              <w:jc w:val="center"/>
              <w:rPr>
                <w:rFonts w:cs="Calibri"/>
                <w:color w:val="000000"/>
                <w:sz w:val="16"/>
                <w:szCs w:val="16"/>
                <w:lang w:val="sq-AL"/>
              </w:rPr>
            </w:pPr>
            <w:r w:rsidRPr="00F7460D">
              <w:rPr>
                <w:rFonts w:cs="Calibri"/>
                <w:color w:val="000000"/>
                <w:sz w:val="16"/>
                <w:szCs w:val="16"/>
                <w:lang w:val="sq-AL"/>
              </w:rPr>
              <w:t>-1,688</w:t>
            </w:r>
          </w:p>
        </w:tc>
        <w:tc>
          <w:tcPr>
            <w:tcW w:w="447" w:type="pct"/>
            <w:tcBorders>
              <w:top w:val="nil"/>
              <w:left w:val="nil"/>
              <w:bottom w:val="single" w:sz="8" w:space="0" w:color="8EA9DB"/>
              <w:right w:val="single" w:sz="8" w:space="0" w:color="8EA9DB"/>
            </w:tcBorders>
            <w:shd w:val="clear" w:color="auto" w:fill="auto"/>
            <w:vAlign w:val="center"/>
          </w:tcPr>
          <w:p w:rsidR="00512A7B" w:rsidRPr="00F7460D" w:rsidRDefault="00512A7B" w:rsidP="00C16FCE">
            <w:pPr>
              <w:spacing w:before="0" w:line="240" w:lineRule="auto"/>
              <w:contextualSpacing/>
              <w:jc w:val="center"/>
              <w:rPr>
                <w:rFonts w:cs="Calibri"/>
                <w:color w:val="000000"/>
                <w:sz w:val="16"/>
                <w:szCs w:val="16"/>
                <w:lang w:val="sq-AL"/>
              </w:rPr>
            </w:pPr>
            <w:r w:rsidRPr="00F7460D">
              <w:rPr>
                <w:rFonts w:cs="Calibri"/>
                <w:color w:val="000000"/>
                <w:sz w:val="16"/>
                <w:szCs w:val="16"/>
                <w:lang w:val="sq-AL"/>
              </w:rPr>
              <w:t>-4%</w:t>
            </w:r>
          </w:p>
        </w:tc>
        <w:tc>
          <w:tcPr>
            <w:tcW w:w="380" w:type="pct"/>
            <w:tcBorders>
              <w:top w:val="nil"/>
              <w:left w:val="nil"/>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color w:val="000000"/>
                <w:sz w:val="16"/>
                <w:szCs w:val="16"/>
                <w:lang w:val="sq-AL"/>
              </w:rPr>
            </w:pPr>
            <w:r w:rsidRPr="00476D2E">
              <w:rPr>
                <w:rFonts w:cs="Calibri"/>
                <w:color w:val="000000"/>
                <w:sz w:val="16"/>
                <w:szCs w:val="16"/>
              </w:rPr>
              <w:t>41,</w:t>
            </w:r>
            <w:r>
              <w:rPr>
                <w:rFonts w:cs="Calibri"/>
                <w:color w:val="000000"/>
                <w:sz w:val="16"/>
                <w:szCs w:val="16"/>
              </w:rPr>
              <w:t>200</w:t>
            </w:r>
          </w:p>
        </w:tc>
        <w:tc>
          <w:tcPr>
            <w:tcW w:w="473" w:type="pct"/>
            <w:tcBorders>
              <w:top w:val="nil"/>
              <w:left w:val="nil"/>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color w:val="000000"/>
                <w:sz w:val="16"/>
                <w:szCs w:val="16"/>
                <w:lang w:val="sq-AL"/>
              </w:rPr>
            </w:pPr>
            <w:r>
              <w:rPr>
                <w:rFonts w:cs="Calibri"/>
                <w:color w:val="000000"/>
                <w:sz w:val="16"/>
                <w:szCs w:val="16"/>
              </w:rPr>
              <w:t>-1,888</w:t>
            </w:r>
          </w:p>
        </w:tc>
        <w:tc>
          <w:tcPr>
            <w:tcW w:w="547" w:type="pct"/>
            <w:tcBorders>
              <w:top w:val="nil"/>
              <w:left w:val="nil"/>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color w:val="000000"/>
                <w:sz w:val="16"/>
                <w:szCs w:val="16"/>
                <w:lang w:val="sq-AL"/>
              </w:rPr>
            </w:pPr>
            <w:r>
              <w:rPr>
                <w:rFonts w:cs="Calibri"/>
                <w:color w:val="000000"/>
                <w:sz w:val="16"/>
                <w:szCs w:val="16"/>
              </w:rPr>
              <w:t>-4.6</w:t>
            </w:r>
            <w:r w:rsidRPr="00476D2E">
              <w:rPr>
                <w:rFonts w:cs="Calibri"/>
                <w:color w:val="000000"/>
                <w:sz w:val="16"/>
                <w:szCs w:val="16"/>
              </w:rPr>
              <w:t>%</w:t>
            </w:r>
          </w:p>
        </w:tc>
      </w:tr>
      <w:tr w:rsidR="001216DB" w:rsidRPr="00476D2E" w:rsidTr="00C16FCE">
        <w:trPr>
          <w:trHeight w:val="274"/>
          <w:jc w:val="center"/>
        </w:trPr>
        <w:tc>
          <w:tcPr>
            <w:tcW w:w="900" w:type="pct"/>
            <w:tcBorders>
              <w:top w:val="nil"/>
              <w:left w:val="single" w:sz="8" w:space="0" w:color="8EAADB"/>
              <w:bottom w:val="single" w:sz="8" w:space="0" w:color="8EAADB"/>
              <w:right w:val="single" w:sz="8" w:space="0" w:color="8EAADB"/>
            </w:tcBorders>
            <w:shd w:val="clear" w:color="auto" w:fill="auto"/>
            <w:vAlign w:val="center"/>
            <w:hideMark/>
          </w:tcPr>
          <w:p w:rsidR="00512A7B" w:rsidRPr="00476D2E" w:rsidRDefault="00512A7B" w:rsidP="00C16FCE">
            <w:pPr>
              <w:spacing w:before="0" w:line="240" w:lineRule="auto"/>
              <w:contextualSpacing/>
              <w:rPr>
                <w:rFonts w:cs="Calibri"/>
                <w:b/>
                <w:bCs/>
                <w:color w:val="000000"/>
                <w:sz w:val="16"/>
                <w:lang w:val="sq-AL"/>
              </w:rPr>
            </w:pPr>
            <w:r w:rsidRPr="00476D2E">
              <w:rPr>
                <w:rFonts w:cs="Calibri"/>
                <w:b/>
                <w:bCs/>
                <w:color w:val="000000"/>
                <w:sz w:val="16"/>
                <w:lang w:val="sq-AL"/>
              </w:rPr>
              <w:t>Taksa nacionale dhe te tjera</w:t>
            </w:r>
          </w:p>
        </w:tc>
        <w:tc>
          <w:tcPr>
            <w:tcW w:w="328" w:type="pct"/>
            <w:tcBorders>
              <w:top w:val="nil"/>
              <w:left w:val="single" w:sz="8" w:space="0" w:color="8EA9DB"/>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color w:val="000000"/>
                <w:sz w:val="16"/>
                <w:szCs w:val="16"/>
                <w:lang w:val="sq-AL"/>
              </w:rPr>
            </w:pPr>
            <w:r w:rsidRPr="00476D2E">
              <w:rPr>
                <w:rFonts w:cs="Calibri"/>
                <w:color w:val="000000"/>
                <w:sz w:val="16"/>
                <w:szCs w:val="16"/>
              </w:rPr>
              <w:t>35,829</w:t>
            </w:r>
          </w:p>
        </w:tc>
        <w:tc>
          <w:tcPr>
            <w:tcW w:w="356" w:type="pct"/>
            <w:tcBorders>
              <w:top w:val="nil"/>
              <w:left w:val="nil"/>
              <w:bottom w:val="single" w:sz="8" w:space="0" w:color="8EA9DB"/>
              <w:right w:val="single" w:sz="8" w:space="0" w:color="8EA9DB"/>
            </w:tcBorders>
            <w:shd w:val="clear" w:color="auto" w:fill="auto"/>
            <w:vAlign w:val="center"/>
          </w:tcPr>
          <w:p w:rsidR="00512A7B" w:rsidRPr="00476D2E" w:rsidRDefault="00512A7B" w:rsidP="00C16FCE">
            <w:pPr>
              <w:spacing w:before="0" w:line="240" w:lineRule="auto"/>
              <w:contextualSpacing/>
              <w:jc w:val="center"/>
              <w:rPr>
                <w:rFonts w:cs="Calibri"/>
                <w:color w:val="000000"/>
                <w:sz w:val="16"/>
                <w:szCs w:val="16"/>
                <w:lang w:val="sq-AL"/>
              </w:rPr>
            </w:pPr>
            <w:r>
              <w:rPr>
                <w:rFonts w:cs="Calibri"/>
                <w:color w:val="000000"/>
                <w:sz w:val="16"/>
                <w:szCs w:val="16"/>
                <w:lang w:val="sq-AL"/>
              </w:rPr>
              <w:t>42,521</w:t>
            </w:r>
          </w:p>
        </w:tc>
        <w:tc>
          <w:tcPr>
            <w:tcW w:w="327" w:type="pct"/>
            <w:tcBorders>
              <w:top w:val="nil"/>
              <w:left w:val="nil"/>
              <w:bottom w:val="single" w:sz="8" w:space="0" w:color="8EA9DB"/>
              <w:right w:val="single" w:sz="8" w:space="0" w:color="8EA9DB"/>
            </w:tcBorders>
            <w:shd w:val="clear" w:color="auto" w:fill="auto"/>
            <w:vAlign w:val="center"/>
            <w:hideMark/>
          </w:tcPr>
          <w:p w:rsidR="00512A7B" w:rsidRPr="003F3712" w:rsidRDefault="00512A7B" w:rsidP="00C16FCE">
            <w:pPr>
              <w:spacing w:before="0" w:line="240" w:lineRule="auto"/>
              <w:contextualSpacing/>
              <w:jc w:val="center"/>
              <w:rPr>
                <w:rFonts w:cs="Calibri"/>
                <w:color w:val="000000"/>
                <w:sz w:val="16"/>
                <w:szCs w:val="16"/>
                <w:highlight w:val="yellow"/>
                <w:lang w:val="sq-AL"/>
              </w:rPr>
            </w:pPr>
            <w:r w:rsidRPr="004755F0">
              <w:rPr>
                <w:rFonts w:cs="Calibri"/>
                <w:color w:val="000000"/>
                <w:sz w:val="16"/>
                <w:szCs w:val="16"/>
              </w:rPr>
              <w:t>38,000</w:t>
            </w:r>
          </w:p>
        </w:tc>
        <w:tc>
          <w:tcPr>
            <w:tcW w:w="414" w:type="pct"/>
            <w:tcBorders>
              <w:top w:val="nil"/>
              <w:left w:val="nil"/>
              <w:bottom w:val="single" w:sz="8" w:space="0" w:color="8EA9DB"/>
              <w:right w:val="single" w:sz="8" w:space="0" w:color="8EA9DB"/>
            </w:tcBorders>
            <w:shd w:val="clear" w:color="auto" w:fill="auto"/>
            <w:vAlign w:val="center"/>
          </w:tcPr>
          <w:p w:rsidR="00512A7B" w:rsidRPr="000264A8" w:rsidRDefault="00512A7B" w:rsidP="00C16FCE">
            <w:pPr>
              <w:spacing w:before="0" w:line="240" w:lineRule="auto"/>
              <w:contextualSpacing/>
              <w:jc w:val="center"/>
              <w:rPr>
                <w:rFonts w:cs="Calibri"/>
                <w:color w:val="000000"/>
                <w:sz w:val="16"/>
                <w:szCs w:val="16"/>
                <w:lang w:val="sq-AL"/>
              </w:rPr>
            </w:pPr>
            <w:r w:rsidRPr="000264A8">
              <w:rPr>
                <w:rFonts w:cs="Calibri"/>
                <w:color w:val="000000"/>
                <w:sz w:val="16"/>
                <w:szCs w:val="16"/>
                <w:lang w:val="sq-AL"/>
              </w:rPr>
              <w:t>6,692</w:t>
            </w:r>
          </w:p>
        </w:tc>
        <w:tc>
          <w:tcPr>
            <w:tcW w:w="434" w:type="pct"/>
            <w:tcBorders>
              <w:top w:val="nil"/>
              <w:left w:val="nil"/>
              <w:bottom w:val="single" w:sz="8" w:space="0" w:color="8EA9DB"/>
              <w:right w:val="single" w:sz="8" w:space="0" w:color="8EA9DB"/>
            </w:tcBorders>
            <w:shd w:val="clear" w:color="auto" w:fill="auto"/>
            <w:vAlign w:val="center"/>
          </w:tcPr>
          <w:p w:rsidR="00512A7B" w:rsidRPr="000264A8" w:rsidRDefault="00512A7B" w:rsidP="00C16FCE">
            <w:pPr>
              <w:spacing w:before="0" w:line="240" w:lineRule="auto"/>
              <w:contextualSpacing/>
              <w:jc w:val="center"/>
              <w:rPr>
                <w:rFonts w:cs="Calibri"/>
                <w:color w:val="000000"/>
                <w:sz w:val="16"/>
                <w:szCs w:val="16"/>
                <w:lang w:val="sq-AL"/>
              </w:rPr>
            </w:pPr>
            <w:r w:rsidRPr="000264A8">
              <w:rPr>
                <w:rFonts w:cs="Calibri"/>
                <w:color w:val="000000"/>
                <w:sz w:val="16"/>
                <w:szCs w:val="16"/>
                <w:lang w:val="sq-AL"/>
              </w:rPr>
              <w:t>19%</w:t>
            </w:r>
          </w:p>
        </w:tc>
        <w:tc>
          <w:tcPr>
            <w:tcW w:w="394" w:type="pct"/>
            <w:tcBorders>
              <w:top w:val="nil"/>
              <w:left w:val="nil"/>
              <w:bottom w:val="single" w:sz="8" w:space="0" w:color="8EA9DB"/>
              <w:right w:val="single" w:sz="8" w:space="0" w:color="8EA9DB"/>
            </w:tcBorders>
            <w:shd w:val="clear" w:color="auto" w:fill="auto"/>
            <w:vAlign w:val="center"/>
          </w:tcPr>
          <w:p w:rsidR="00512A7B" w:rsidRPr="00F7460D" w:rsidRDefault="00512A7B" w:rsidP="00C16FCE">
            <w:pPr>
              <w:spacing w:before="0" w:line="240" w:lineRule="auto"/>
              <w:contextualSpacing/>
              <w:jc w:val="center"/>
              <w:rPr>
                <w:rFonts w:cs="Calibri"/>
                <w:color w:val="000000"/>
                <w:sz w:val="16"/>
                <w:szCs w:val="16"/>
                <w:lang w:val="sq-AL"/>
              </w:rPr>
            </w:pPr>
            <w:r w:rsidRPr="00F7460D">
              <w:rPr>
                <w:rFonts w:cs="Calibri"/>
                <w:color w:val="000000"/>
                <w:sz w:val="16"/>
                <w:szCs w:val="16"/>
                <w:lang w:val="sq-AL"/>
              </w:rPr>
              <w:t>4,521</w:t>
            </w:r>
          </w:p>
        </w:tc>
        <w:tc>
          <w:tcPr>
            <w:tcW w:w="447" w:type="pct"/>
            <w:tcBorders>
              <w:top w:val="nil"/>
              <w:left w:val="nil"/>
              <w:bottom w:val="single" w:sz="8" w:space="0" w:color="8EA9DB"/>
              <w:right w:val="single" w:sz="8" w:space="0" w:color="8EA9DB"/>
            </w:tcBorders>
            <w:shd w:val="clear" w:color="auto" w:fill="auto"/>
            <w:vAlign w:val="center"/>
          </w:tcPr>
          <w:p w:rsidR="00512A7B" w:rsidRPr="00F7460D" w:rsidRDefault="00512A7B" w:rsidP="00C16FCE">
            <w:pPr>
              <w:spacing w:before="0" w:line="240" w:lineRule="auto"/>
              <w:contextualSpacing/>
              <w:jc w:val="center"/>
              <w:rPr>
                <w:rFonts w:cs="Calibri"/>
                <w:color w:val="000000"/>
                <w:sz w:val="16"/>
                <w:szCs w:val="16"/>
                <w:lang w:val="sq-AL"/>
              </w:rPr>
            </w:pPr>
            <w:r w:rsidRPr="00F7460D">
              <w:rPr>
                <w:rFonts w:cs="Calibri"/>
                <w:color w:val="000000"/>
                <w:sz w:val="16"/>
                <w:szCs w:val="16"/>
                <w:lang w:val="sq-AL"/>
              </w:rPr>
              <w:t>12%</w:t>
            </w:r>
          </w:p>
        </w:tc>
        <w:tc>
          <w:tcPr>
            <w:tcW w:w="380" w:type="pct"/>
            <w:tcBorders>
              <w:top w:val="nil"/>
              <w:left w:val="nil"/>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color w:val="000000"/>
                <w:sz w:val="16"/>
                <w:szCs w:val="16"/>
                <w:lang w:val="sq-AL"/>
              </w:rPr>
            </w:pPr>
            <w:r>
              <w:rPr>
                <w:rFonts w:cs="Calibri"/>
                <w:color w:val="000000"/>
                <w:sz w:val="16"/>
                <w:szCs w:val="16"/>
              </w:rPr>
              <w:t>39,500</w:t>
            </w:r>
          </w:p>
        </w:tc>
        <w:tc>
          <w:tcPr>
            <w:tcW w:w="473" w:type="pct"/>
            <w:tcBorders>
              <w:top w:val="nil"/>
              <w:left w:val="nil"/>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color w:val="000000"/>
                <w:sz w:val="16"/>
                <w:szCs w:val="16"/>
                <w:lang w:val="sq-AL"/>
              </w:rPr>
            </w:pPr>
            <w:r>
              <w:rPr>
                <w:rFonts w:cs="Calibri"/>
                <w:color w:val="000000"/>
                <w:sz w:val="16"/>
                <w:szCs w:val="16"/>
              </w:rPr>
              <w:t>3,021</w:t>
            </w:r>
          </w:p>
        </w:tc>
        <w:tc>
          <w:tcPr>
            <w:tcW w:w="547" w:type="pct"/>
            <w:tcBorders>
              <w:top w:val="nil"/>
              <w:left w:val="nil"/>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color w:val="000000"/>
                <w:sz w:val="16"/>
                <w:szCs w:val="16"/>
                <w:lang w:val="sq-AL"/>
              </w:rPr>
            </w:pPr>
            <w:r>
              <w:rPr>
                <w:rFonts w:cs="Calibri"/>
                <w:color w:val="000000"/>
                <w:sz w:val="16"/>
                <w:szCs w:val="16"/>
              </w:rPr>
              <w:t>7.6</w:t>
            </w:r>
            <w:r w:rsidRPr="00476D2E">
              <w:rPr>
                <w:rFonts w:cs="Calibri"/>
                <w:color w:val="000000"/>
                <w:sz w:val="16"/>
                <w:szCs w:val="16"/>
              </w:rPr>
              <w:t>%</w:t>
            </w:r>
          </w:p>
        </w:tc>
      </w:tr>
      <w:tr w:rsidR="001216DB" w:rsidRPr="00476D2E" w:rsidTr="00C16FCE">
        <w:trPr>
          <w:trHeight w:val="164"/>
          <w:jc w:val="center"/>
        </w:trPr>
        <w:tc>
          <w:tcPr>
            <w:tcW w:w="900" w:type="pct"/>
            <w:tcBorders>
              <w:top w:val="nil"/>
              <w:left w:val="single" w:sz="8" w:space="0" w:color="8EAADB"/>
              <w:bottom w:val="single" w:sz="8" w:space="0" w:color="8EAADB"/>
              <w:right w:val="single" w:sz="8" w:space="0" w:color="8EAADB"/>
            </w:tcBorders>
            <w:shd w:val="clear" w:color="auto" w:fill="auto"/>
            <w:vAlign w:val="center"/>
            <w:hideMark/>
          </w:tcPr>
          <w:p w:rsidR="00512A7B" w:rsidRPr="00476D2E" w:rsidRDefault="00512A7B" w:rsidP="00C16FCE">
            <w:pPr>
              <w:spacing w:before="0" w:line="240" w:lineRule="auto"/>
              <w:contextualSpacing/>
              <w:jc w:val="right"/>
              <w:rPr>
                <w:rFonts w:cs="Calibri"/>
                <w:bCs/>
                <w:i/>
                <w:iCs/>
                <w:color w:val="000000"/>
                <w:sz w:val="16"/>
                <w:lang w:val="sq-AL"/>
              </w:rPr>
            </w:pPr>
            <w:r w:rsidRPr="00476D2E">
              <w:rPr>
                <w:rFonts w:cs="Calibri"/>
                <w:bCs/>
                <w:i/>
                <w:iCs/>
                <w:color w:val="000000"/>
                <w:sz w:val="16"/>
                <w:lang w:val="sq-AL"/>
              </w:rPr>
              <w:t>Taksat nacionale</w:t>
            </w:r>
          </w:p>
        </w:tc>
        <w:tc>
          <w:tcPr>
            <w:tcW w:w="328" w:type="pct"/>
            <w:tcBorders>
              <w:top w:val="nil"/>
              <w:left w:val="single" w:sz="8" w:space="0" w:color="8EA9DB"/>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i/>
                <w:color w:val="000000"/>
                <w:sz w:val="16"/>
                <w:szCs w:val="16"/>
                <w:lang w:val="sq-AL"/>
              </w:rPr>
            </w:pPr>
            <w:r w:rsidRPr="00476D2E">
              <w:rPr>
                <w:rFonts w:cs="Calibri"/>
                <w:i/>
                <w:color w:val="000000"/>
                <w:sz w:val="16"/>
                <w:szCs w:val="16"/>
              </w:rPr>
              <w:t>34,034</w:t>
            </w:r>
          </w:p>
        </w:tc>
        <w:tc>
          <w:tcPr>
            <w:tcW w:w="356" w:type="pct"/>
            <w:tcBorders>
              <w:top w:val="nil"/>
              <w:left w:val="nil"/>
              <w:bottom w:val="single" w:sz="8" w:space="0" w:color="8EA9DB"/>
              <w:right w:val="single" w:sz="8" w:space="0" w:color="8EA9DB"/>
            </w:tcBorders>
            <w:shd w:val="clear" w:color="auto" w:fill="auto"/>
            <w:vAlign w:val="center"/>
          </w:tcPr>
          <w:p w:rsidR="00512A7B" w:rsidRPr="00476D2E" w:rsidRDefault="00512A7B" w:rsidP="00C16FCE">
            <w:pPr>
              <w:spacing w:before="0" w:line="240" w:lineRule="auto"/>
              <w:contextualSpacing/>
              <w:jc w:val="center"/>
              <w:rPr>
                <w:rFonts w:cs="Calibri"/>
                <w:i/>
                <w:color w:val="000000"/>
                <w:sz w:val="16"/>
                <w:szCs w:val="16"/>
                <w:lang w:val="sq-AL"/>
              </w:rPr>
            </w:pPr>
            <w:r>
              <w:rPr>
                <w:rFonts w:cs="Calibri"/>
                <w:i/>
                <w:color w:val="000000"/>
                <w:sz w:val="16"/>
                <w:szCs w:val="16"/>
                <w:lang w:val="sq-AL"/>
              </w:rPr>
              <w:t>40,076</w:t>
            </w:r>
          </w:p>
        </w:tc>
        <w:tc>
          <w:tcPr>
            <w:tcW w:w="327" w:type="pct"/>
            <w:tcBorders>
              <w:top w:val="nil"/>
              <w:left w:val="nil"/>
              <w:bottom w:val="single" w:sz="8" w:space="0" w:color="8EA9DB"/>
              <w:right w:val="single" w:sz="8" w:space="0" w:color="8EA9DB"/>
            </w:tcBorders>
            <w:shd w:val="clear" w:color="auto" w:fill="auto"/>
            <w:vAlign w:val="center"/>
            <w:hideMark/>
          </w:tcPr>
          <w:p w:rsidR="00512A7B" w:rsidRPr="004862D6" w:rsidRDefault="00512A7B" w:rsidP="00C16FCE">
            <w:pPr>
              <w:spacing w:before="0" w:line="240" w:lineRule="auto"/>
              <w:contextualSpacing/>
              <w:jc w:val="center"/>
              <w:rPr>
                <w:rFonts w:cs="Calibri"/>
                <w:color w:val="000000"/>
                <w:sz w:val="16"/>
                <w:szCs w:val="16"/>
                <w:highlight w:val="yellow"/>
                <w:lang w:val="sq-AL"/>
              </w:rPr>
            </w:pPr>
            <w:r w:rsidRPr="004862D6">
              <w:rPr>
                <w:rFonts w:cs="Calibri"/>
                <w:color w:val="000000"/>
                <w:sz w:val="16"/>
                <w:szCs w:val="16"/>
                <w:lang w:val="sq-AL"/>
              </w:rPr>
              <w:t>35,600</w:t>
            </w:r>
          </w:p>
        </w:tc>
        <w:tc>
          <w:tcPr>
            <w:tcW w:w="414" w:type="pct"/>
            <w:tcBorders>
              <w:top w:val="nil"/>
              <w:left w:val="nil"/>
              <w:bottom w:val="single" w:sz="8" w:space="0" w:color="8EA9DB"/>
              <w:right w:val="single" w:sz="8" w:space="0" w:color="8EA9DB"/>
            </w:tcBorders>
            <w:shd w:val="clear" w:color="auto" w:fill="auto"/>
            <w:vAlign w:val="center"/>
          </w:tcPr>
          <w:p w:rsidR="00512A7B" w:rsidRPr="000264A8" w:rsidRDefault="00512A7B" w:rsidP="00C16FCE">
            <w:pPr>
              <w:spacing w:before="0" w:line="240" w:lineRule="auto"/>
              <w:contextualSpacing/>
              <w:jc w:val="center"/>
              <w:rPr>
                <w:rFonts w:cs="Calibri"/>
                <w:i/>
                <w:color w:val="000000"/>
                <w:sz w:val="16"/>
                <w:szCs w:val="16"/>
                <w:lang w:val="sq-AL"/>
              </w:rPr>
            </w:pPr>
            <w:r w:rsidRPr="000264A8">
              <w:rPr>
                <w:rFonts w:cs="Calibri"/>
                <w:i/>
                <w:color w:val="000000"/>
                <w:sz w:val="16"/>
                <w:szCs w:val="16"/>
                <w:lang w:val="sq-AL"/>
              </w:rPr>
              <w:t>6,042</w:t>
            </w:r>
          </w:p>
        </w:tc>
        <w:tc>
          <w:tcPr>
            <w:tcW w:w="434" w:type="pct"/>
            <w:tcBorders>
              <w:top w:val="nil"/>
              <w:left w:val="nil"/>
              <w:bottom w:val="single" w:sz="8" w:space="0" w:color="8EA9DB"/>
              <w:right w:val="single" w:sz="8" w:space="0" w:color="8EA9DB"/>
            </w:tcBorders>
            <w:shd w:val="clear" w:color="auto" w:fill="auto"/>
            <w:vAlign w:val="center"/>
          </w:tcPr>
          <w:p w:rsidR="00512A7B" w:rsidRPr="000264A8" w:rsidRDefault="00512A7B" w:rsidP="00C16FCE">
            <w:pPr>
              <w:spacing w:before="0" w:line="240" w:lineRule="auto"/>
              <w:contextualSpacing/>
              <w:jc w:val="center"/>
              <w:rPr>
                <w:rFonts w:cs="Calibri"/>
                <w:i/>
                <w:color w:val="000000"/>
                <w:sz w:val="16"/>
                <w:szCs w:val="16"/>
                <w:lang w:val="sq-AL"/>
              </w:rPr>
            </w:pPr>
            <w:r w:rsidRPr="000264A8">
              <w:rPr>
                <w:rFonts w:cs="Calibri"/>
                <w:i/>
                <w:color w:val="000000"/>
                <w:sz w:val="16"/>
                <w:szCs w:val="16"/>
                <w:lang w:val="sq-AL"/>
              </w:rPr>
              <w:t>18%</w:t>
            </w:r>
          </w:p>
        </w:tc>
        <w:tc>
          <w:tcPr>
            <w:tcW w:w="394" w:type="pct"/>
            <w:tcBorders>
              <w:top w:val="nil"/>
              <w:left w:val="nil"/>
              <w:bottom w:val="single" w:sz="8" w:space="0" w:color="8EA9DB"/>
              <w:right w:val="single" w:sz="8" w:space="0" w:color="8EA9DB"/>
            </w:tcBorders>
            <w:shd w:val="clear" w:color="auto" w:fill="auto"/>
            <w:vAlign w:val="center"/>
          </w:tcPr>
          <w:p w:rsidR="00512A7B" w:rsidRPr="00F7460D" w:rsidRDefault="00512A7B" w:rsidP="00C16FCE">
            <w:pPr>
              <w:spacing w:before="0" w:line="240" w:lineRule="auto"/>
              <w:contextualSpacing/>
              <w:jc w:val="center"/>
              <w:rPr>
                <w:rFonts w:cs="Calibri"/>
                <w:i/>
                <w:color w:val="000000"/>
                <w:sz w:val="16"/>
                <w:szCs w:val="16"/>
                <w:lang w:val="sq-AL"/>
              </w:rPr>
            </w:pPr>
            <w:r w:rsidRPr="00F7460D">
              <w:rPr>
                <w:rFonts w:cs="Calibri"/>
                <w:i/>
                <w:color w:val="000000"/>
                <w:sz w:val="16"/>
                <w:szCs w:val="16"/>
                <w:lang w:val="sq-AL"/>
              </w:rPr>
              <w:t>4,476</w:t>
            </w:r>
          </w:p>
        </w:tc>
        <w:tc>
          <w:tcPr>
            <w:tcW w:w="447" w:type="pct"/>
            <w:tcBorders>
              <w:top w:val="nil"/>
              <w:left w:val="nil"/>
              <w:bottom w:val="single" w:sz="8" w:space="0" w:color="8EA9DB"/>
              <w:right w:val="single" w:sz="8" w:space="0" w:color="8EA9DB"/>
            </w:tcBorders>
            <w:shd w:val="clear" w:color="auto" w:fill="auto"/>
            <w:vAlign w:val="center"/>
          </w:tcPr>
          <w:p w:rsidR="00512A7B" w:rsidRPr="00F7460D" w:rsidRDefault="00512A7B" w:rsidP="00C16FCE">
            <w:pPr>
              <w:spacing w:before="0" w:line="240" w:lineRule="auto"/>
              <w:contextualSpacing/>
              <w:jc w:val="center"/>
              <w:rPr>
                <w:rFonts w:cs="Calibri"/>
                <w:i/>
                <w:color w:val="000000"/>
                <w:sz w:val="16"/>
                <w:szCs w:val="16"/>
                <w:lang w:val="sq-AL"/>
              </w:rPr>
            </w:pPr>
            <w:r w:rsidRPr="00F7460D">
              <w:rPr>
                <w:rFonts w:cs="Calibri"/>
                <w:i/>
                <w:color w:val="000000"/>
                <w:sz w:val="16"/>
                <w:szCs w:val="16"/>
                <w:lang w:val="sq-AL"/>
              </w:rPr>
              <w:t>13%</w:t>
            </w:r>
          </w:p>
        </w:tc>
        <w:tc>
          <w:tcPr>
            <w:tcW w:w="380" w:type="pct"/>
            <w:tcBorders>
              <w:top w:val="nil"/>
              <w:left w:val="nil"/>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i/>
                <w:color w:val="000000"/>
                <w:sz w:val="16"/>
                <w:szCs w:val="16"/>
                <w:lang w:val="sq-AL"/>
              </w:rPr>
            </w:pPr>
            <w:r>
              <w:rPr>
                <w:rFonts w:cs="Calibri"/>
                <w:i/>
                <w:color w:val="000000"/>
                <w:sz w:val="16"/>
                <w:szCs w:val="16"/>
              </w:rPr>
              <w:t>35</w:t>
            </w:r>
            <w:r w:rsidRPr="00476D2E">
              <w:rPr>
                <w:rFonts w:cs="Calibri"/>
                <w:i/>
                <w:color w:val="000000"/>
                <w:sz w:val="16"/>
                <w:szCs w:val="16"/>
              </w:rPr>
              <w:t>,</w:t>
            </w:r>
            <w:r>
              <w:rPr>
                <w:rFonts w:cs="Calibri"/>
                <w:i/>
                <w:color w:val="000000"/>
                <w:sz w:val="16"/>
                <w:szCs w:val="16"/>
              </w:rPr>
              <w:t>600</w:t>
            </w:r>
          </w:p>
        </w:tc>
        <w:tc>
          <w:tcPr>
            <w:tcW w:w="473" w:type="pct"/>
            <w:tcBorders>
              <w:top w:val="nil"/>
              <w:left w:val="nil"/>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i/>
                <w:color w:val="000000"/>
                <w:sz w:val="16"/>
                <w:szCs w:val="16"/>
                <w:lang w:val="sq-AL"/>
              </w:rPr>
            </w:pPr>
            <w:r>
              <w:rPr>
                <w:rFonts w:cs="Calibri"/>
                <w:i/>
                <w:color w:val="000000"/>
                <w:sz w:val="16"/>
                <w:szCs w:val="16"/>
              </w:rPr>
              <w:t>4,476</w:t>
            </w:r>
          </w:p>
        </w:tc>
        <w:tc>
          <w:tcPr>
            <w:tcW w:w="547" w:type="pct"/>
            <w:tcBorders>
              <w:top w:val="nil"/>
              <w:left w:val="nil"/>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i/>
                <w:color w:val="000000"/>
                <w:sz w:val="16"/>
                <w:szCs w:val="16"/>
                <w:lang w:val="sq-AL"/>
              </w:rPr>
            </w:pPr>
            <w:r>
              <w:rPr>
                <w:rFonts w:cs="Calibri"/>
                <w:i/>
                <w:color w:val="000000"/>
                <w:sz w:val="16"/>
                <w:szCs w:val="16"/>
              </w:rPr>
              <w:t>12.6</w:t>
            </w:r>
            <w:r w:rsidRPr="00476D2E">
              <w:rPr>
                <w:rFonts w:cs="Calibri"/>
                <w:i/>
                <w:color w:val="000000"/>
                <w:sz w:val="16"/>
                <w:szCs w:val="16"/>
              </w:rPr>
              <w:t>%</w:t>
            </w:r>
          </w:p>
        </w:tc>
      </w:tr>
      <w:tr w:rsidR="001216DB" w:rsidRPr="00476D2E" w:rsidTr="00C16FCE">
        <w:trPr>
          <w:trHeight w:val="164"/>
          <w:jc w:val="center"/>
        </w:trPr>
        <w:tc>
          <w:tcPr>
            <w:tcW w:w="900" w:type="pct"/>
            <w:tcBorders>
              <w:top w:val="nil"/>
              <w:left w:val="single" w:sz="8" w:space="0" w:color="8EAADB"/>
              <w:bottom w:val="single" w:sz="8" w:space="0" w:color="8EAADB"/>
              <w:right w:val="single" w:sz="8" w:space="0" w:color="8EAADB"/>
            </w:tcBorders>
            <w:shd w:val="clear" w:color="auto" w:fill="auto"/>
            <w:vAlign w:val="center"/>
            <w:hideMark/>
          </w:tcPr>
          <w:p w:rsidR="00512A7B" w:rsidRPr="00476D2E" w:rsidRDefault="00512A7B" w:rsidP="00C16FCE">
            <w:pPr>
              <w:spacing w:before="0" w:line="240" w:lineRule="auto"/>
              <w:contextualSpacing/>
              <w:jc w:val="right"/>
              <w:rPr>
                <w:rFonts w:cs="Calibri"/>
                <w:bCs/>
                <w:i/>
                <w:iCs/>
                <w:color w:val="000000"/>
                <w:sz w:val="16"/>
                <w:lang w:val="sq-AL"/>
              </w:rPr>
            </w:pPr>
            <w:r w:rsidRPr="00476D2E">
              <w:rPr>
                <w:rFonts w:cs="Calibri"/>
                <w:bCs/>
                <w:i/>
                <w:iCs/>
                <w:color w:val="000000"/>
                <w:sz w:val="16"/>
                <w:lang w:val="sq-AL"/>
              </w:rPr>
              <w:t>Renta Minerare</w:t>
            </w:r>
          </w:p>
        </w:tc>
        <w:tc>
          <w:tcPr>
            <w:tcW w:w="328" w:type="pct"/>
            <w:tcBorders>
              <w:top w:val="nil"/>
              <w:left w:val="single" w:sz="8" w:space="0" w:color="8EA9DB"/>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i/>
                <w:color w:val="000000"/>
                <w:sz w:val="16"/>
                <w:szCs w:val="16"/>
                <w:lang w:val="sq-AL"/>
              </w:rPr>
            </w:pPr>
            <w:r w:rsidRPr="00476D2E">
              <w:rPr>
                <w:rFonts w:cs="Calibri"/>
                <w:i/>
                <w:color w:val="000000"/>
                <w:sz w:val="16"/>
                <w:szCs w:val="16"/>
              </w:rPr>
              <w:t>1,795</w:t>
            </w:r>
          </w:p>
        </w:tc>
        <w:tc>
          <w:tcPr>
            <w:tcW w:w="356" w:type="pct"/>
            <w:tcBorders>
              <w:top w:val="nil"/>
              <w:left w:val="nil"/>
              <w:bottom w:val="single" w:sz="8" w:space="0" w:color="8EA9DB"/>
              <w:right w:val="single" w:sz="8" w:space="0" w:color="8EA9DB"/>
            </w:tcBorders>
            <w:shd w:val="clear" w:color="auto" w:fill="auto"/>
            <w:vAlign w:val="center"/>
          </w:tcPr>
          <w:p w:rsidR="00512A7B" w:rsidRPr="00476D2E" w:rsidRDefault="00512A7B" w:rsidP="00C16FCE">
            <w:pPr>
              <w:spacing w:before="0" w:line="240" w:lineRule="auto"/>
              <w:contextualSpacing/>
              <w:jc w:val="center"/>
              <w:rPr>
                <w:rFonts w:cs="Calibri"/>
                <w:i/>
                <w:color w:val="000000"/>
                <w:sz w:val="16"/>
                <w:szCs w:val="16"/>
                <w:lang w:val="sq-AL"/>
              </w:rPr>
            </w:pPr>
            <w:r>
              <w:rPr>
                <w:rFonts w:cs="Calibri"/>
                <w:i/>
                <w:color w:val="000000"/>
                <w:sz w:val="16"/>
                <w:szCs w:val="16"/>
                <w:lang w:val="sq-AL"/>
              </w:rPr>
              <w:t>2,445</w:t>
            </w:r>
          </w:p>
        </w:tc>
        <w:tc>
          <w:tcPr>
            <w:tcW w:w="327" w:type="pct"/>
            <w:tcBorders>
              <w:top w:val="nil"/>
              <w:left w:val="nil"/>
              <w:bottom w:val="single" w:sz="8" w:space="0" w:color="8EA9DB"/>
              <w:right w:val="single" w:sz="8" w:space="0" w:color="8EA9DB"/>
            </w:tcBorders>
            <w:shd w:val="clear" w:color="auto" w:fill="auto"/>
            <w:vAlign w:val="center"/>
            <w:hideMark/>
          </w:tcPr>
          <w:p w:rsidR="00512A7B" w:rsidRPr="003F3712" w:rsidRDefault="00512A7B" w:rsidP="00C16FCE">
            <w:pPr>
              <w:spacing w:before="0" w:line="240" w:lineRule="auto"/>
              <w:contextualSpacing/>
              <w:jc w:val="center"/>
              <w:rPr>
                <w:rFonts w:cs="Calibri"/>
                <w:i/>
                <w:color w:val="000000"/>
                <w:sz w:val="16"/>
                <w:szCs w:val="16"/>
                <w:highlight w:val="yellow"/>
                <w:lang w:val="sq-AL"/>
              </w:rPr>
            </w:pPr>
            <w:r w:rsidRPr="004862D6">
              <w:rPr>
                <w:rFonts w:cs="Calibri"/>
                <w:i/>
                <w:color w:val="000000"/>
                <w:sz w:val="16"/>
                <w:szCs w:val="16"/>
                <w:lang w:val="sq-AL"/>
              </w:rPr>
              <w:t>2</w:t>
            </w:r>
            <w:r>
              <w:rPr>
                <w:rFonts w:cs="Calibri"/>
                <w:i/>
                <w:color w:val="000000"/>
                <w:sz w:val="16"/>
                <w:szCs w:val="16"/>
                <w:lang w:val="sq-AL"/>
              </w:rPr>
              <w:t>,</w:t>
            </w:r>
            <w:r w:rsidRPr="004862D6">
              <w:rPr>
                <w:rFonts w:cs="Calibri"/>
                <w:i/>
                <w:color w:val="000000"/>
                <w:sz w:val="16"/>
                <w:szCs w:val="16"/>
                <w:lang w:val="sq-AL"/>
              </w:rPr>
              <w:t>400</w:t>
            </w:r>
          </w:p>
        </w:tc>
        <w:tc>
          <w:tcPr>
            <w:tcW w:w="414" w:type="pct"/>
            <w:tcBorders>
              <w:top w:val="nil"/>
              <w:left w:val="nil"/>
              <w:bottom w:val="single" w:sz="8" w:space="0" w:color="8EA9DB"/>
              <w:right w:val="single" w:sz="8" w:space="0" w:color="8EA9DB"/>
            </w:tcBorders>
            <w:shd w:val="clear" w:color="auto" w:fill="auto"/>
            <w:vAlign w:val="center"/>
          </w:tcPr>
          <w:p w:rsidR="00512A7B" w:rsidRPr="000264A8" w:rsidRDefault="00512A7B" w:rsidP="00C16FCE">
            <w:pPr>
              <w:spacing w:before="0" w:line="240" w:lineRule="auto"/>
              <w:contextualSpacing/>
              <w:jc w:val="center"/>
              <w:rPr>
                <w:rFonts w:cs="Calibri"/>
                <w:i/>
                <w:color w:val="000000"/>
                <w:sz w:val="16"/>
                <w:szCs w:val="16"/>
                <w:lang w:val="sq-AL"/>
              </w:rPr>
            </w:pPr>
            <w:r w:rsidRPr="000264A8">
              <w:rPr>
                <w:rFonts w:cs="Calibri"/>
                <w:i/>
                <w:color w:val="000000"/>
                <w:sz w:val="16"/>
                <w:szCs w:val="16"/>
                <w:lang w:val="sq-AL"/>
              </w:rPr>
              <w:t>650</w:t>
            </w:r>
          </w:p>
        </w:tc>
        <w:tc>
          <w:tcPr>
            <w:tcW w:w="434" w:type="pct"/>
            <w:tcBorders>
              <w:top w:val="nil"/>
              <w:left w:val="nil"/>
              <w:bottom w:val="single" w:sz="8" w:space="0" w:color="8EA9DB"/>
              <w:right w:val="single" w:sz="8" w:space="0" w:color="8EA9DB"/>
            </w:tcBorders>
            <w:shd w:val="clear" w:color="auto" w:fill="auto"/>
            <w:vAlign w:val="center"/>
          </w:tcPr>
          <w:p w:rsidR="00512A7B" w:rsidRPr="000264A8" w:rsidRDefault="00512A7B" w:rsidP="00C16FCE">
            <w:pPr>
              <w:spacing w:before="0" w:line="240" w:lineRule="auto"/>
              <w:contextualSpacing/>
              <w:jc w:val="center"/>
              <w:rPr>
                <w:rFonts w:cs="Calibri"/>
                <w:i/>
                <w:color w:val="000000"/>
                <w:sz w:val="16"/>
                <w:szCs w:val="16"/>
                <w:lang w:val="sq-AL"/>
              </w:rPr>
            </w:pPr>
            <w:r w:rsidRPr="000264A8">
              <w:rPr>
                <w:rFonts w:cs="Calibri"/>
                <w:i/>
                <w:color w:val="000000"/>
                <w:sz w:val="16"/>
                <w:szCs w:val="16"/>
                <w:lang w:val="sq-AL"/>
              </w:rPr>
              <w:t>36%</w:t>
            </w:r>
          </w:p>
        </w:tc>
        <w:tc>
          <w:tcPr>
            <w:tcW w:w="394" w:type="pct"/>
            <w:tcBorders>
              <w:top w:val="nil"/>
              <w:left w:val="nil"/>
              <w:bottom w:val="single" w:sz="8" w:space="0" w:color="8EA9DB"/>
              <w:right w:val="single" w:sz="8" w:space="0" w:color="8EA9DB"/>
            </w:tcBorders>
            <w:shd w:val="clear" w:color="auto" w:fill="auto"/>
            <w:vAlign w:val="center"/>
          </w:tcPr>
          <w:p w:rsidR="00512A7B" w:rsidRPr="00F7460D" w:rsidRDefault="00512A7B" w:rsidP="00C16FCE">
            <w:pPr>
              <w:spacing w:before="0" w:line="240" w:lineRule="auto"/>
              <w:contextualSpacing/>
              <w:jc w:val="center"/>
              <w:rPr>
                <w:rFonts w:cs="Calibri"/>
                <w:i/>
                <w:color w:val="000000"/>
                <w:sz w:val="16"/>
                <w:szCs w:val="16"/>
                <w:lang w:val="sq-AL"/>
              </w:rPr>
            </w:pPr>
            <w:r w:rsidRPr="00F7460D">
              <w:rPr>
                <w:rFonts w:cs="Calibri"/>
                <w:i/>
                <w:color w:val="000000"/>
                <w:sz w:val="16"/>
                <w:szCs w:val="16"/>
                <w:lang w:val="sq-AL"/>
              </w:rPr>
              <w:t>45</w:t>
            </w:r>
          </w:p>
        </w:tc>
        <w:tc>
          <w:tcPr>
            <w:tcW w:w="447" w:type="pct"/>
            <w:tcBorders>
              <w:top w:val="nil"/>
              <w:left w:val="nil"/>
              <w:bottom w:val="single" w:sz="8" w:space="0" w:color="8EA9DB"/>
              <w:right w:val="single" w:sz="8" w:space="0" w:color="8EA9DB"/>
            </w:tcBorders>
            <w:shd w:val="clear" w:color="auto" w:fill="auto"/>
            <w:vAlign w:val="center"/>
          </w:tcPr>
          <w:p w:rsidR="00512A7B" w:rsidRPr="00F7460D" w:rsidRDefault="00512A7B" w:rsidP="00C16FCE">
            <w:pPr>
              <w:spacing w:before="0" w:line="240" w:lineRule="auto"/>
              <w:contextualSpacing/>
              <w:jc w:val="center"/>
              <w:rPr>
                <w:rFonts w:cs="Calibri"/>
                <w:i/>
                <w:color w:val="000000"/>
                <w:sz w:val="16"/>
                <w:szCs w:val="16"/>
                <w:lang w:val="sq-AL"/>
              </w:rPr>
            </w:pPr>
            <w:r w:rsidRPr="00F7460D">
              <w:rPr>
                <w:rFonts w:cs="Calibri"/>
                <w:i/>
                <w:color w:val="000000"/>
                <w:sz w:val="16"/>
                <w:szCs w:val="16"/>
                <w:lang w:val="sq-AL"/>
              </w:rPr>
              <w:t>2%</w:t>
            </w:r>
          </w:p>
        </w:tc>
        <w:tc>
          <w:tcPr>
            <w:tcW w:w="380" w:type="pct"/>
            <w:tcBorders>
              <w:top w:val="nil"/>
              <w:left w:val="nil"/>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i/>
                <w:color w:val="000000"/>
                <w:sz w:val="16"/>
                <w:szCs w:val="16"/>
                <w:lang w:val="sq-AL"/>
              </w:rPr>
            </w:pPr>
            <w:r>
              <w:rPr>
                <w:rFonts w:cs="Calibri"/>
                <w:i/>
                <w:color w:val="000000"/>
                <w:sz w:val="16"/>
                <w:szCs w:val="16"/>
              </w:rPr>
              <w:t>3</w:t>
            </w:r>
            <w:r w:rsidRPr="00476D2E">
              <w:rPr>
                <w:rFonts w:cs="Calibri"/>
                <w:i/>
                <w:color w:val="000000"/>
                <w:sz w:val="16"/>
                <w:szCs w:val="16"/>
              </w:rPr>
              <w:t>,</w:t>
            </w:r>
            <w:r>
              <w:rPr>
                <w:rFonts w:cs="Calibri"/>
                <w:i/>
                <w:color w:val="000000"/>
                <w:sz w:val="16"/>
                <w:szCs w:val="16"/>
              </w:rPr>
              <w:t>900</w:t>
            </w:r>
          </w:p>
        </w:tc>
        <w:tc>
          <w:tcPr>
            <w:tcW w:w="473" w:type="pct"/>
            <w:tcBorders>
              <w:top w:val="nil"/>
              <w:left w:val="nil"/>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i/>
                <w:color w:val="000000"/>
                <w:sz w:val="16"/>
                <w:szCs w:val="16"/>
                <w:lang w:val="sq-AL"/>
              </w:rPr>
            </w:pPr>
            <w:r>
              <w:rPr>
                <w:rFonts w:cs="Calibri"/>
                <w:i/>
                <w:color w:val="000000"/>
                <w:sz w:val="16"/>
                <w:szCs w:val="16"/>
              </w:rPr>
              <w:t>1,455</w:t>
            </w:r>
          </w:p>
        </w:tc>
        <w:tc>
          <w:tcPr>
            <w:tcW w:w="547" w:type="pct"/>
            <w:tcBorders>
              <w:top w:val="nil"/>
              <w:left w:val="nil"/>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i/>
                <w:color w:val="000000"/>
                <w:sz w:val="16"/>
                <w:szCs w:val="16"/>
                <w:lang w:val="sq-AL"/>
              </w:rPr>
            </w:pPr>
            <w:r w:rsidRPr="00476D2E">
              <w:rPr>
                <w:rFonts w:cs="Calibri"/>
                <w:i/>
                <w:color w:val="000000"/>
                <w:sz w:val="16"/>
                <w:szCs w:val="16"/>
              </w:rPr>
              <w:t>-</w:t>
            </w:r>
            <w:r>
              <w:rPr>
                <w:rFonts w:cs="Calibri"/>
                <w:i/>
                <w:color w:val="000000"/>
                <w:sz w:val="16"/>
                <w:szCs w:val="16"/>
              </w:rPr>
              <w:t>37</w:t>
            </w:r>
            <w:r w:rsidRPr="00476D2E">
              <w:rPr>
                <w:rFonts w:cs="Calibri"/>
                <w:i/>
                <w:color w:val="000000"/>
                <w:sz w:val="16"/>
                <w:szCs w:val="16"/>
              </w:rPr>
              <w:t>.</w:t>
            </w:r>
            <w:r>
              <w:rPr>
                <w:rFonts w:cs="Calibri"/>
                <w:i/>
                <w:color w:val="000000"/>
                <w:sz w:val="16"/>
                <w:szCs w:val="16"/>
              </w:rPr>
              <w:t>3</w:t>
            </w:r>
            <w:r w:rsidRPr="00476D2E">
              <w:rPr>
                <w:rFonts w:cs="Calibri"/>
                <w:i/>
                <w:color w:val="000000"/>
                <w:sz w:val="16"/>
                <w:szCs w:val="16"/>
              </w:rPr>
              <w:t>%</w:t>
            </w:r>
          </w:p>
        </w:tc>
      </w:tr>
      <w:tr w:rsidR="001216DB" w:rsidRPr="00476D2E" w:rsidTr="00C16FCE">
        <w:trPr>
          <w:trHeight w:val="164"/>
          <w:jc w:val="center"/>
        </w:trPr>
        <w:tc>
          <w:tcPr>
            <w:tcW w:w="900" w:type="pct"/>
            <w:tcBorders>
              <w:top w:val="nil"/>
              <w:left w:val="single" w:sz="8" w:space="0" w:color="8EAADB"/>
              <w:bottom w:val="single" w:sz="8" w:space="0" w:color="8EAADB"/>
              <w:right w:val="single" w:sz="8" w:space="0" w:color="8EAADB"/>
            </w:tcBorders>
            <w:shd w:val="clear" w:color="auto" w:fill="auto"/>
            <w:vAlign w:val="center"/>
            <w:hideMark/>
          </w:tcPr>
          <w:p w:rsidR="00512A7B" w:rsidRPr="00476D2E" w:rsidRDefault="00512A7B" w:rsidP="00C16FCE">
            <w:pPr>
              <w:spacing w:before="0" w:line="240" w:lineRule="auto"/>
              <w:contextualSpacing/>
              <w:rPr>
                <w:rFonts w:cs="Calibri"/>
                <w:b/>
                <w:bCs/>
                <w:color w:val="000000"/>
                <w:sz w:val="16"/>
                <w:lang w:val="sq-AL"/>
              </w:rPr>
            </w:pPr>
            <w:r w:rsidRPr="00476D2E">
              <w:rPr>
                <w:rFonts w:cs="Calibri"/>
                <w:b/>
                <w:bCs/>
                <w:color w:val="000000"/>
                <w:sz w:val="16"/>
                <w:lang w:val="sq-AL"/>
              </w:rPr>
              <w:t>Taksë Doganore</w:t>
            </w:r>
          </w:p>
        </w:tc>
        <w:tc>
          <w:tcPr>
            <w:tcW w:w="328" w:type="pct"/>
            <w:tcBorders>
              <w:top w:val="nil"/>
              <w:left w:val="single" w:sz="8" w:space="0" w:color="8EA9DB"/>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color w:val="000000"/>
                <w:sz w:val="16"/>
                <w:szCs w:val="16"/>
                <w:lang w:val="sq-AL"/>
              </w:rPr>
            </w:pPr>
            <w:r w:rsidRPr="00476D2E">
              <w:rPr>
                <w:rFonts w:cs="Calibri"/>
                <w:color w:val="000000"/>
                <w:sz w:val="16"/>
                <w:szCs w:val="16"/>
              </w:rPr>
              <w:t>6,241</w:t>
            </w:r>
          </w:p>
        </w:tc>
        <w:tc>
          <w:tcPr>
            <w:tcW w:w="356" w:type="pct"/>
            <w:tcBorders>
              <w:top w:val="nil"/>
              <w:left w:val="nil"/>
              <w:bottom w:val="single" w:sz="8" w:space="0" w:color="8EA9DB"/>
              <w:right w:val="single" w:sz="8" w:space="0" w:color="8EA9DB"/>
            </w:tcBorders>
            <w:shd w:val="clear" w:color="auto" w:fill="auto"/>
            <w:vAlign w:val="center"/>
          </w:tcPr>
          <w:p w:rsidR="00512A7B" w:rsidRPr="00476D2E" w:rsidRDefault="00512A7B" w:rsidP="00C16FCE">
            <w:pPr>
              <w:spacing w:before="0" w:line="240" w:lineRule="auto"/>
              <w:contextualSpacing/>
              <w:jc w:val="center"/>
              <w:rPr>
                <w:rFonts w:cs="Calibri"/>
                <w:color w:val="000000"/>
                <w:sz w:val="16"/>
                <w:szCs w:val="16"/>
                <w:lang w:val="sq-AL"/>
              </w:rPr>
            </w:pPr>
            <w:r>
              <w:rPr>
                <w:rFonts w:cs="Calibri"/>
                <w:color w:val="000000"/>
                <w:sz w:val="16"/>
                <w:szCs w:val="16"/>
                <w:lang w:val="sq-AL"/>
              </w:rPr>
              <w:t>7,457</w:t>
            </w:r>
          </w:p>
        </w:tc>
        <w:tc>
          <w:tcPr>
            <w:tcW w:w="327" w:type="pct"/>
            <w:tcBorders>
              <w:top w:val="nil"/>
              <w:left w:val="nil"/>
              <w:bottom w:val="single" w:sz="8" w:space="0" w:color="8EA9DB"/>
              <w:right w:val="single" w:sz="8" w:space="0" w:color="8EA9DB"/>
            </w:tcBorders>
            <w:shd w:val="clear" w:color="auto" w:fill="auto"/>
            <w:vAlign w:val="center"/>
            <w:hideMark/>
          </w:tcPr>
          <w:p w:rsidR="00512A7B" w:rsidRPr="003F3712" w:rsidRDefault="00512A7B" w:rsidP="00C16FCE">
            <w:pPr>
              <w:spacing w:before="0" w:line="240" w:lineRule="auto"/>
              <w:contextualSpacing/>
              <w:jc w:val="center"/>
              <w:rPr>
                <w:rFonts w:cs="Calibri"/>
                <w:color w:val="000000"/>
                <w:sz w:val="16"/>
                <w:szCs w:val="16"/>
                <w:highlight w:val="yellow"/>
                <w:lang w:val="sq-AL"/>
              </w:rPr>
            </w:pPr>
            <w:r w:rsidRPr="004862D6">
              <w:rPr>
                <w:rFonts w:cs="Calibri"/>
                <w:color w:val="000000"/>
                <w:sz w:val="16"/>
                <w:szCs w:val="16"/>
              </w:rPr>
              <w:t>6,500</w:t>
            </w:r>
          </w:p>
        </w:tc>
        <w:tc>
          <w:tcPr>
            <w:tcW w:w="414" w:type="pct"/>
            <w:tcBorders>
              <w:top w:val="nil"/>
              <w:left w:val="nil"/>
              <w:bottom w:val="single" w:sz="8" w:space="0" w:color="8EA9DB"/>
              <w:right w:val="single" w:sz="8" w:space="0" w:color="8EA9DB"/>
            </w:tcBorders>
            <w:shd w:val="clear" w:color="auto" w:fill="auto"/>
            <w:vAlign w:val="center"/>
          </w:tcPr>
          <w:p w:rsidR="00512A7B" w:rsidRPr="000264A8" w:rsidRDefault="00512A7B" w:rsidP="00C16FCE">
            <w:pPr>
              <w:spacing w:before="0" w:line="240" w:lineRule="auto"/>
              <w:contextualSpacing/>
              <w:jc w:val="center"/>
              <w:rPr>
                <w:rFonts w:cs="Calibri"/>
                <w:color w:val="000000"/>
                <w:sz w:val="16"/>
                <w:szCs w:val="16"/>
                <w:lang w:val="sq-AL"/>
              </w:rPr>
            </w:pPr>
            <w:r w:rsidRPr="000264A8">
              <w:rPr>
                <w:rFonts w:cs="Calibri"/>
                <w:color w:val="000000"/>
                <w:sz w:val="16"/>
                <w:szCs w:val="16"/>
                <w:lang w:val="sq-AL"/>
              </w:rPr>
              <w:t>1,216</w:t>
            </w:r>
          </w:p>
        </w:tc>
        <w:tc>
          <w:tcPr>
            <w:tcW w:w="434" w:type="pct"/>
            <w:tcBorders>
              <w:top w:val="nil"/>
              <w:left w:val="nil"/>
              <w:bottom w:val="single" w:sz="8" w:space="0" w:color="8EA9DB"/>
              <w:right w:val="single" w:sz="8" w:space="0" w:color="8EA9DB"/>
            </w:tcBorders>
            <w:shd w:val="clear" w:color="auto" w:fill="auto"/>
            <w:vAlign w:val="center"/>
          </w:tcPr>
          <w:p w:rsidR="00512A7B" w:rsidRPr="000264A8" w:rsidRDefault="00512A7B" w:rsidP="00C16FCE">
            <w:pPr>
              <w:spacing w:before="0" w:line="240" w:lineRule="auto"/>
              <w:contextualSpacing/>
              <w:jc w:val="center"/>
              <w:rPr>
                <w:rFonts w:cs="Calibri"/>
                <w:color w:val="000000"/>
                <w:sz w:val="16"/>
                <w:szCs w:val="16"/>
                <w:lang w:val="sq-AL"/>
              </w:rPr>
            </w:pPr>
            <w:r w:rsidRPr="000264A8">
              <w:rPr>
                <w:rFonts w:cs="Calibri"/>
                <w:color w:val="000000"/>
                <w:sz w:val="16"/>
                <w:szCs w:val="16"/>
                <w:lang w:val="sq-AL"/>
              </w:rPr>
              <w:t>19%</w:t>
            </w:r>
          </w:p>
        </w:tc>
        <w:tc>
          <w:tcPr>
            <w:tcW w:w="394" w:type="pct"/>
            <w:tcBorders>
              <w:top w:val="nil"/>
              <w:left w:val="nil"/>
              <w:bottom w:val="single" w:sz="8" w:space="0" w:color="8EA9DB"/>
              <w:right w:val="single" w:sz="8" w:space="0" w:color="8EA9DB"/>
            </w:tcBorders>
            <w:shd w:val="clear" w:color="auto" w:fill="auto"/>
            <w:vAlign w:val="center"/>
          </w:tcPr>
          <w:p w:rsidR="00512A7B" w:rsidRPr="00F7460D" w:rsidRDefault="00512A7B" w:rsidP="00C16FCE">
            <w:pPr>
              <w:spacing w:before="0" w:line="240" w:lineRule="auto"/>
              <w:contextualSpacing/>
              <w:jc w:val="center"/>
              <w:rPr>
                <w:rFonts w:cs="Calibri"/>
                <w:color w:val="000000"/>
                <w:sz w:val="16"/>
                <w:szCs w:val="16"/>
                <w:lang w:val="sq-AL"/>
              </w:rPr>
            </w:pPr>
            <w:r w:rsidRPr="00F7460D">
              <w:rPr>
                <w:rFonts w:cs="Calibri"/>
                <w:color w:val="000000"/>
                <w:sz w:val="16"/>
                <w:szCs w:val="16"/>
                <w:lang w:val="sq-AL"/>
              </w:rPr>
              <w:t>957</w:t>
            </w:r>
          </w:p>
        </w:tc>
        <w:tc>
          <w:tcPr>
            <w:tcW w:w="447" w:type="pct"/>
            <w:tcBorders>
              <w:top w:val="nil"/>
              <w:left w:val="nil"/>
              <w:bottom w:val="single" w:sz="8" w:space="0" w:color="8EA9DB"/>
              <w:right w:val="single" w:sz="8" w:space="0" w:color="8EA9DB"/>
            </w:tcBorders>
            <w:shd w:val="clear" w:color="auto" w:fill="auto"/>
            <w:vAlign w:val="center"/>
          </w:tcPr>
          <w:p w:rsidR="00512A7B" w:rsidRPr="00F7460D" w:rsidRDefault="00512A7B" w:rsidP="00C16FCE">
            <w:pPr>
              <w:spacing w:before="0" w:line="240" w:lineRule="auto"/>
              <w:contextualSpacing/>
              <w:jc w:val="center"/>
              <w:rPr>
                <w:rFonts w:cs="Calibri"/>
                <w:color w:val="000000"/>
                <w:sz w:val="16"/>
                <w:szCs w:val="16"/>
                <w:lang w:val="sq-AL"/>
              </w:rPr>
            </w:pPr>
            <w:r w:rsidRPr="00F7460D">
              <w:rPr>
                <w:rFonts w:cs="Calibri"/>
                <w:color w:val="000000"/>
                <w:sz w:val="16"/>
                <w:szCs w:val="16"/>
                <w:lang w:val="sq-AL"/>
              </w:rPr>
              <w:t>15%</w:t>
            </w:r>
          </w:p>
        </w:tc>
        <w:tc>
          <w:tcPr>
            <w:tcW w:w="380" w:type="pct"/>
            <w:tcBorders>
              <w:top w:val="nil"/>
              <w:left w:val="nil"/>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color w:val="000000"/>
                <w:sz w:val="16"/>
                <w:szCs w:val="16"/>
                <w:lang w:val="sq-AL"/>
              </w:rPr>
            </w:pPr>
            <w:r>
              <w:rPr>
                <w:rFonts w:cs="Calibri"/>
                <w:color w:val="000000"/>
                <w:sz w:val="16"/>
                <w:szCs w:val="16"/>
              </w:rPr>
              <w:t>7,001</w:t>
            </w:r>
          </w:p>
        </w:tc>
        <w:tc>
          <w:tcPr>
            <w:tcW w:w="473" w:type="pct"/>
            <w:tcBorders>
              <w:top w:val="nil"/>
              <w:left w:val="nil"/>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color w:val="000000"/>
                <w:sz w:val="16"/>
                <w:szCs w:val="16"/>
                <w:lang w:val="sq-AL"/>
              </w:rPr>
            </w:pPr>
            <w:r>
              <w:rPr>
                <w:rFonts w:cs="Calibri"/>
                <w:color w:val="000000"/>
                <w:sz w:val="16"/>
                <w:szCs w:val="16"/>
              </w:rPr>
              <w:t>456</w:t>
            </w:r>
          </w:p>
        </w:tc>
        <w:tc>
          <w:tcPr>
            <w:tcW w:w="547" w:type="pct"/>
            <w:tcBorders>
              <w:top w:val="nil"/>
              <w:left w:val="nil"/>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color w:val="000000"/>
                <w:sz w:val="16"/>
                <w:szCs w:val="16"/>
                <w:lang w:val="sq-AL"/>
              </w:rPr>
            </w:pPr>
            <w:r>
              <w:rPr>
                <w:rFonts w:cs="Calibri"/>
                <w:color w:val="000000"/>
                <w:sz w:val="16"/>
                <w:szCs w:val="16"/>
              </w:rPr>
              <w:t>6.5</w:t>
            </w:r>
            <w:r w:rsidRPr="00476D2E">
              <w:rPr>
                <w:rFonts w:cs="Calibri"/>
                <w:color w:val="000000"/>
                <w:sz w:val="16"/>
                <w:szCs w:val="16"/>
              </w:rPr>
              <w:t>%</w:t>
            </w:r>
          </w:p>
        </w:tc>
      </w:tr>
      <w:tr w:rsidR="001216DB" w:rsidRPr="00476D2E" w:rsidTr="00C16FCE">
        <w:trPr>
          <w:trHeight w:val="258"/>
          <w:jc w:val="center"/>
        </w:trPr>
        <w:tc>
          <w:tcPr>
            <w:tcW w:w="900" w:type="pct"/>
            <w:tcBorders>
              <w:top w:val="nil"/>
              <w:left w:val="single" w:sz="8" w:space="0" w:color="8EAADB"/>
              <w:bottom w:val="single" w:sz="8" w:space="0" w:color="8EAADB"/>
              <w:right w:val="single" w:sz="8" w:space="0" w:color="8EAADB"/>
            </w:tcBorders>
            <w:shd w:val="clear" w:color="auto" w:fill="C0D7F1" w:themeFill="text2" w:themeFillTint="33"/>
            <w:vAlign w:val="center"/>
            <w:hideMark/>
          </w:tcPr>
          <w:p w:rsidR="00512A7B" w:rsidRPr="00476D2E" w:rsidRDefault="00512A7B" w:rsidP="00C16FCE">
            <w:pPr>
              <w:spacing w:before="0" w:line="240" w:lineRule="auto"/>
              <w:contextualSpacing/>
              <w:rPr>
                <w:rFonts w:cs="Calibri"/>
                <w:b/>
                <w:bCs/>
                <w:color w:val="000000"/>
                <w:sz w:val="16"/>
                <w:lang w:val="sq-AL"/>
              </w:rPr>
            </w:pPr>
            <w:r w:rsidRPr="00476D2E">
              <w:rPr>
                <w:rFonts w:cs="Calibri"/>
                <w:b/>
                <w:bCs/>
                <w:color w:val="000000"/>
                <w:sz w:val="16"/>
                <w:lang w:val="sq-AL"/>
              </w:rPr>
              <w:t xml:space="preserve">TOTALI TATIME + DOGANA </w:t>
            </w:r>
          </w:p>
        </w:tc>
        <w:tc>
          <w:tcPr>
            <w:tcW w:w="328" w:type="pct"/>
            <w:tcBorders>
              <w:top w:val="nil"/>
              <w:left w:val="single" w:sz="8" w:space="0" w:color="8EA9DB"/>
              <w:bottom w:val="single" w:sz="8" w:space="0" w:color="8EA9DB"/>
              <w:right w:val="single" w:sz="8" w:space="0" w:color="8EA9DB"/>
            </w:tcBorders>
            <w:shd w:val="clear" w:color="auto" w:fill="C0D7F1" w:themeFill="text2" w:themeFillTint="33"/>
            <w:vAlign w:val="center"/>
            <w:hideMark/>
          </w:tcPr>
          <w:p w:rsidR="00512A7B" w:rsidRPr="00476D2E" w:rsidRDefault="00512A7B" w:rsidP="00C16FCE">
            <w:pPr>
              <w:spacing w:before="0" w:line="240" w:lineRule="auto"/>
              <w:contextualSpacing/>
              <w:jc w:val="center"/>
              <w:rPr>
                <w:rFonts w:cs="Calibri"/>
                <w:b/>
                <w:bCs/>
                <w:color w:val="000000"/>
                <w:sz w:val="16"/>
                <w:szCs w:val="16"/>
                <w:lang w:val="sq-AL"/>
              </w:rPr>
            </w:pPr>
            <w:r w:rsidRPr="00476D2E">
              <w:rPr>
                <w:rFonts w:cs="Calibri"/>
                <w:b/>
                <w:color w:val="000000"/>
                <w:sz w:val="16"/>
                <w:szCs w:val="16"/>
              </w:rPr>
              <w:t>278,985</w:t>
            </w:r>
          </w:p>
        </w:tc>
        <w:tc>
          <w:tcPr>
            <w:tcW w:w="356" w:type="pct"/>
            <w:tcBorders>
              <w:top w:val="nil"/>
              <w:left w:val="nil"/>
              <w:bottom w:val="single" w:sz="8" w:space="0" w:color="8EA9DB"/>
              <w:right w:val="single" w:sz="8" w:space="0" w:color="8EA9DB"/>
            </w:tcBorders>
            <w:shd w:val="clear" w:color="auto" w:fill="C0D7F1" w:themeFill="text2" w:themeFillTint="33"/>
            <w:vAlign w:val="center"/>
            <w:hideMark/>
          </w:tcPr>
          <w:p w:rsidR="00512A7B" w:rsidRPr="00476D2E" w:rsidRDefault="00512A7B" w:rsidP="00C16FCE">
            <w:pPr>
              <w:spacing w:before="0" w:line="240" w:lineRule="auto"/>
              <w:contextualSpacing/>
              <w:jc w:val="center"/>
              <w:rPr>
                <w:rFonts w:cs="Calibri"/>
                <w:b/>
                <w:bCs/>
                <w:color w:val="000000"/>
                <w:sz w:val="16"/>
                <w:szCs w:val="16"/>
                <w:lang w:val="sq-AL"/>
              </w:rPr>
            </w:pPr>
            <w:r>
              <w:rPr>
                <w:rFonts w:cs="Calibri"/>
                <w:b/>
                <w:color w:val="000000"/>
                <w:sz w:val="16"/>
                <w:szCs w:val="16"/>
              </w:rPr>
              <w:t>338</w:t>
            </w:r>
            <w:r w:rsidRPr="00476D2E">
              <w:rPr>
                <w:rFonts w:cs="Calibri"/>
                <w:b/>
                <w:color w:val="000000"/>
                <w:sz w:val="16"/>
                <w:szCs w:val="16"/>
              </w:rPr>
              <w:t>,</w:t>
            </w:r>
            <w:r>
              <w:rPr>
                <w:rFonts w:cs="Calibri"/>
                <w:b/>
                <w:color w:val="000000"/>
                <w:sz w:val="16"/>
                <w:szCs w:val="16"/>
              </w:rPr>
              <w:t>074</w:t>
            </w:r>
          </w:p>
        </w:tc>
        <w:tc>
          <w:tcPr>
            <w:tcW w:w="327" w:type="pct"/>
            <w:tcBorders>
              <w:top w:val="nil"/>
              <w:left w:val="nil"/>
              <w:bottom w:val="single" w:sz="8" w:space="0" w:color="8EA9DB"/>
              <w:right w:val="single" w:sz="8" w:space="0" w:color="8EA9DB"/>
            </w:tcBorders>
            <w:shd w:val="clear" w:color="auto" w:fill="C0D7F1" w:themeFill="text2" w:themeFillTint="33"/>
            <w:vAlign w:val="center"/>
            <w:hideMark/>
          </w:tcPr>
          <w:p w:rsidR="00512A7B" w:rsidRPr="003F3712" w:rsidRDefault="00512A7B" w:rsidP="00C16FCE">
            <w:pPr>
              <w:spacing w:before="0" w:line="240" w:lineRule="auto"/>
              <w:contextualSpacing/>
              <w:jc w:val="center"/>
              <w:rPr>
                <w:rFonts w:cs="Calibri"/>
                <w:b/>
                <w:bCs/>
                <w:color w:val="000000"/>
                <w:sz w:val="16"/>
                <w:szCs w:val="16"/>
                <w:highlight w:val="yellow"/>
                <w:lang w:val="sq-AL"/>
              </w:rPr>
            </w:pPr>
            <w:r w:rsidRPr="004755F0">
              <w:rPr>
                <w:rFonts w:cs="Calibri"/>
                <w:b/>
                <w:color w:val="000000"/>
                <w:sz w:val="16"/>
                <w:szCs w:val="16"/>
              </w:rPr>
              <w:t>316,172</w:t>
            </w:r>
          </w:p>
        </w:tc>
        <w:tc>
          <w:tcPr>
            <w:tcW w:w="414" w:type="pct"/>
            <w:tcBorders>
              <w:top w:val="nil"/>
              <w:left w:val="nil"/>
              <w:bottom w:val="single" w:sz="8" w:space="0" w:color="8EA9DB"/>
              <w:right w:val="single" w:sz="8" w:space="0" w:color="8EA9DB"/>
            </w:tcBorders>
            <w:shd w:val="clear" w:color="auto" w:fill="C0D7F1" w:themeFill="text2" w:themeFillTint="33"/>
            <w:vAlign w:val="center"/>
          </w:tcPr>
          <w:p w:rsidR="00512A7B" w:rsidRPr="000264A8" w:rsidRDefault="00512A7B" w:rsidP="00C16FCE">
            <w:pPr>
              <w:spacing w:before="0" w:line="240" w:lineRule="auto"/>
              <w:contextualSpacing/>
              <w:jc w:val="center"/>
              <w:rPr>
                <w:rFonts w:cs="Calibri"/>
                <w:b/>
                <w:bCs/>
                <w:color w:val="000000"/>
                <w:sz w:val="16"/>
                <w:szCs w:val="16"/>
                <w:lang w:val="sq-AL"/>
              </w:rPr>
            </w:pPr>
            <w:r w:rsidRPr="000264A8">
              <w:rPr>
                <w:rFonts w:cs="Calibri"/>
                <w:b/>
                <w:bCs/>
                <w:color w:val="000000"/>
                <w:sz w:val="16"/>
                <w:szCs w:val="16"/>
                <w:lang w:val="sq-AL"/>
              </w:rPr>
              <w:t>59,089</w:t>
            </w:r>
          </w:p>
        </w:tc>
        <w:tc>
          <w:tcPr>
            <w:tcW w:w="434" w:type="pct"/>
            <w:tcBorders>
              <w:top w:val="nil"/>
              <w:left w:val="nil"/>
              <w:bottom w:val="single" w:sz="8" w:space="0" w:color="8EA9DB"/>
              <w:right w:val="single" w:sz="8" w:space="0" w:color="8EA9DB"/>
            </w:tcBorders>
            <w:shd w:val="clear" w:color="auto" w:fill="C0D7F1" w:themeFill="text2" w:themeFillTint="33"/>
            <w:vAlign w:val="center"/>
          </w:tcPr>
          <w:p w:rsidR="00512A7B" w:rsidRPr="000264A8" w:rsidRDefault="00512A7B" w:rsidP="00C16FCE">
            <w:pPr>
              <w:spacing w:before="0" w:line="240" w:lineRule="auto"/>
              <w:contextualSpacing/>
              <w:jc w:val="center"/>
              <w:rPr>
                <w:rFonts w:cs="Calibri"/>
                <w:b/>
                <w:bCs/>
                <w:color w:val="000000"/>
                <w:sz w:val="16"/>
                <w:szCs w:val="16"/>
                <w:lang w:val="sq-AL"/>
              </w:rPr>
            </w:pPr>
            <w:r w:rsidRPr="000264A8">
              <w:rPr>
                <w:rFonts w:cs="Calibri"/>
                <w:b/>
                <w:bCs/>
                <w:color w:val="000000"/>
                <w:sz w:val="16"/>
                <w:szCs w:val="16"/>
                <w:lang w:val="sq-AL"/>
              </w:rPr>
              <w:t>21%</w:t>
            </w:r>
          </w:p>
        </w:tc>
        <w:tc>
          <w:tcPr>
            <w:tcW w:w="394" w:type="pct"/>
            <w:tcBorders>
              <w:top w:val="nil"/>
              <w:left w:val="nil"/>
              <w:bottom w:val="single" w:sz="8" w:space="0" w:color="8EA9DB"/>
              <w:right w:val="single" w:sz="8" w:space="0" w:color="8EA9DB"/>
            </w:tcBorders>
            <w:shd w:val="clear" w:color="auto" w:fill="C0D7F1" w:themeFill="text2" w:themeFillTint="33"/>
            <w:vAlign w:val="center"/>
          </w:tcPr>
          <w:p w:rsidR="00512A7B" w:rsidRPr="00F7460D" w:rsidRDefault="00512A7B" w:rsidP="00C16FCE">
            <w:pPr>
              <w:spacing w:before="0" w:line="240" w:lineRule="auto"/>
              <w:contextualSpacing/>
              <w:jc w:val="center"/>
              <w:rPr>
                <w:rFonts w:cs="Calibri"/>
                <w:b/>
                <w:bCs/>
                <w:color w:val="000000"/>
                <w:sz w:val="16"/>
                <w:szCs w:val="16"/>
                <w:lang w:val="sq-AL"/>
              </w:rPr>
            </w:pPr>
            <w:r w:rsidRPr="00F7460D">
              <w:rPr>
                <w:rFonts w:cs="Calibri"/>
                <w:b/>
                <w:bCs/>
                <w:color w:val="000000"/>
                <w:sz w:val="16"/>
                <w:szCs w:val="16"/>
                <w:lang w:val="sq-AL"/>
              </w:rPr>
              <w:t>21,902</w:t>
            </w:r>
          </w:p>
        </w:tc>
        <w:tc>
          <w:tcPr>
            <w:tcW w:w="447" w:type="pct"/>
            <w:tcBorders>
              <w:top w:val="nil"/>
              <w:left w:val="nil"/>
              <w:bottom w:val="single" w:sz="8" w:space="0" w:color="8EA9DB"/>
              <w:right w:val="single" w:sz="8" w:space="0" w:color="8EA9DB"/>
            </w:tcBorders>
            <w:shd w:val="clear" w:color="auto" w:fill="C0D7F1" w:themeFill="text2" w:themeFillTint="33"/>
            <w:vAlign w:val="center"/>
          </w:tcPr>
          <w:p w:rsidR="00512A7B" w:rsidRPr="00F7460D" w:rsidRDefault="00512A7B" w:rsidP="00C16FCE">
            <w:pPr>
              <w:spacing w:before="0" w:line="240" w:lineRule="auto"/>
              <w:contextualSpacing/>
              <w:jc w:val="center"/>
              <w:rPr>
                <w:rFonts w:cs="Calibri"/>
                <w:b/>
                <w:bCs/>
                <w:color w:val="000000"/>
                <w:sz w:val="16"/>
                <w:szCs w:val="16"/>
                <w:lang w:val="sq-AL"/>
              </w:rPr>
            </w:pPr>
            <w:r w:rsidRPr="00F7460D">
              <w:rPr>
                <w:rFonts w:cs="Calibri"/>
                <w:b/>
                <w:bCs/>
                <w:color w:val="000000"/>
                <w:sz w:val="16"/>
                <w:szCs w:val="16"/>
                <w:lang w:val="sq-AL"/>
              </w:rPr>
              <w:t>7%</w:t>
            </w:r>
          </w:p>
        </w:tc>
        <w:tc>
          <w:tcPr>
            <w:tcW w:w="380" w:type="pct"/>
            <w:tcBorders>
              <w:top w:val="nil"/>
              <w:left w:val="nil"/>
              <w:bottom w:val="single" w:sz="8" w:space="0" w:color="8EA9DB"/>
              <w:right w:val="single" w:sz="8" w:space="0" w:color="8EA9DB"/>
            </w:tcBorders>
            <w:shd w:val="clear" w:color="auto" w:fill="C0D7F1" w:themeFill="text2" w:themeFillTint="33"/>
            <w:vAlign w:val="center"/>
            <w:hideMark/>
          </w:tcPr>
          <w:p w:rsidR="00512A7B" w:rsidRPr="00476D2E" w:rsidRDefault="00512A7B" w:rsidP="00C16FCE">
            <w:pPr>
              <w:spacing w:before="0" w:line="240" w:lineRule="auto"/>
              <w:contextualSpacing/>
              <w:jc w:val="center"/>
              <w:rPr>
                <w:rFonts w:cs="Calibri"/>
                <w:b/>
                <w:bCs/>
                <w:color w:val="000000"/>
                <w:sz w:val="16"/>
                <w:szCs w:val="16"/>
                <w:lang w:val="sq-AL"/>
              </w:rPr>
            </w:pPr>
            <w:r>
              <w:rPr>
                <w:rFonts w:cs="Calibri"/>
                <w:b/>
                <w:color w:val="000000"/>
                <w:sz w:val="16"/>
                <w:szCs w:val="16"/>
              </w:rPr>
              <w:t>332</w:t>
            </w:r>
            <w:r w:rsidRPr="00476D2E">
              <w:rPr>
                <w:rFonts w:cs="Calibri"/>
                <w:b/>
                <w:color w:val="000000"/>
                <w:sz w:val="16"/>
                <w:szCs w:val="16"/>
              </w:rPr>
              <w:t>,</w:t>
            </w:r>
            <w:r>
              <w:rPr>
                <w:rFonts w:cs="Calibri"/>
                <w:b/>
                <w:color w:val="000000"/>
                <w:sz w:val="16"/>
                <w:szCs w:val="16"/>
              </w:rPr>
              <w:t>794</w:t>
            </w:r>
          </w:p>
        </w:tc>
        <w:tc>
          <w:tcPr>
            <w:tcW w:w="473" w:type="pct"/>
            <w:tcBorders>
              <w:top w:val="nil"/>
              <w:left w:val="nil"/>
              <w:bottom w:val="single" w:sz="8" w:space="0" w:color="8EA9DB"/>
              <w:right w:val="single" w:sz="8" w:space="0" w:color="8EA9DB"/>
            </w:tcBorders>
            <w:shd w:val="clear" w:color="auto" w:fill="C0D7F1" w:themeFill="text2" w:themeFillTint="33"/>
            <w:vAlign w:val="center"/>
            <w:hideMark/>
          </w:tcPr>
          <w:p w:rsidR="00512A7B" w:rsidRPr="00476D2E" w:rsidRDefault="00512A7B" w:rsidP="00C16FCE">
            <w:pPr>
              <w:spacing w:before="0" w:line="240" w:lineRule="auto"/>
              <w:contextualSpacing/>
              <w:jc w:val="center"/>
              <w:rPr>
                <w:rFonts w:cs="Calibri"/>
                <w:b/>
                <w:bCs/>
                <w:color w:val="000000"/>
                <w:sz w:val="16"/>
                <w:szCs w:val="16"/>
                <w:lang w:val="sq-AL"/>
              </w:rPr>
            </w:pPr>
            <w:r>
              <w:rPr>
                <w:rFonts w:cs="Calibri"/>
                <w:b/>
                <w:color w:val="000000"/>
                <w:sz w:val="16"/>
                <w:szCs w:val="16"/>
              </w:rPr>
              <w:t>5,280</w:t>
            </w:r>
          </w:p>
        </w:tc>
        <w:tc>
          <w:tcPr>
            <w:tcW w:w="547" w:type="pct"/>
            <w:tcBorders>
              <w:top w:val="nil"/>
              <w:left w:val="nil"/>
              <w:bottom w:val="single" w:sz="8" w:space="0" w:color="8EA9DB"/>
              <w:right w:val="single" w:sz="8" w:space="0" w:color="8EA9DB"/>
            </w:tcBorders>
            <w:shd w:val="clear" w:color="auto" w:fill="C0D7F1" w:themeFill="text2" w:themeFillTint="33"/>
            <w:vAlign w:val="center"/>
            <w:hideMark/>
          </w:tcPr>
          <w:p w:rsidR="00512A7B" w:rsidRPr="00476D2E" w:rsidRDefault="00512A7B" w:rsidP="00C16FCE">
            <w:pPr>
              <w:spacing w:before="0" w:line="240" w:lineRule="auto"/>
              <w:contextualSpacing/>
              <w:jc w:val="center"/>
              <w:rPr>
                <w:rFonts w:cs="Calibri"/>
                <w:b/>
                <w:bCs/>
                <w:color w:val="000000"/>
                <w:sz w:val="16"/>
                <w:szCs w:val="16"/>
                <w:lang w:val="sq-AL"/>
              </w:rPr>
            </w:pPr>
            <w:r>
              <w:rPr>
                <w:rFonts w:cs="Calibri"/>
                <w:b/>
                <w:color w:val="000000"/>
                <w:sz w:val="16"/>
                <w:szCs w:val="16"/>
              </w:rPr>
              <w:t>1.6</w:t>
            </w:r>
            <w:r w:rsidRPr="00476D2E">
              <w:rPr>
                <w:rFonts w:cs="Calibri"/>
                <w:b/>
                <w:color w:val="000000"/>
                <w:sz w:val="16"/>
                <w:szCs w:val="16"/>
              </w:rPr>
              <w:t>%</w:t>
            </w:r>
          </w:p>
        </w:tc>
      </w:tr>
      <w:tr w:rsidR="001216DB" w:rsidRPr="00476D2E" w:rsidTr="00C16FCE">
        <w:trPr>
          <w:trHeight w:val="282"/>
          <w:jc w:val="center"/>
        </w:trPr>
        <w:tc>
          <w:tcPr>
            <w:tcW w:w="900" w:type="pct"/>
            <w:tcBorders>
              <w:top w:val="nil"/>
              <w:left w:val="single" w:sz="8" w:space="0" w:color="8EAADB"/>
              <w:bottom w:val="single" w:sz="8" w:space="0" w:color="8EAADB"/>
              <w:right w:val="single" w:sz="8" w:space="0" w:color="8EAADB"/>
            </w:tcBorders>
            <w:shd w:val="clear" w:color="auto" w:fill="auto"/>
            <w:vAlign w:val="center"/>
            <w:hideMark/>
          </w:tcPr>
          <w:p w:rsidR="00512A7B" w:rsidRPr="00476D2E" w:rsidRDefault="00512A7B" w:rsidP="00C16FCE">
            <w:pPr>
              <w:spacing w:before="0" w:line="240" w:lineRule="auto"/>
              <w:contextualSpacing/>
              <w:rPr>
                <w:rFonts w:cs="Calibri"/>
                <w:b/>
                <w:bCs/>
                <w:color w:val="000000"/>
                <w:sz w:val="16"/>
                <w:lang w:val="sq-AL"/>
              </w:rPr>
            </w:pPr>
            <w:r w:rsidRPr="00476D2E">
              <w:rPr>
                <w:rFonts w:cs="Calibri"/>
                <w:b/>
                <w:bCs/>
                <w:color w:val="000000"/>
                <w:sz w:val="16"/>
                <w:lang w:val="sq-AL"/>
              </w:rPr>
              <w:t>Kontributet e mbledhura (DPT)</w:t>
            </w:r>
          </w:p>
        </w:tc>
        <w:tc>
          <w:tcPr>
            <w:tcW w:w="328" w:type="pct"/>
            <w:tcBorders>
              <w:top w:val="nil"/>
              <w:left w:val="single" w:sz="8" w:space="0" w:color="8EA9DB"/>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b/>
                <w:color w:val="000000"/>
                <w:sz w:val="18"/>
                <w:szCs w:val="16"/>
                <w:lang w:val="sq-AL"/>
              </w:rPr>
            </w:pPr>
            <w:r w:rsidRPr="00476D2E">
              <w:rPr>
                <w:rFonts w:cs="Calibri"/>
                <w:b/>
                <w:sz w:val="18"/>
                <w:szCs w:val="16"/>
              </w:rPr>
              <w:t>94,121</w:t>
            </w:r>
          </w:p>
        </w:tc>
        <w:tc>
          <w:tcPr>
            <w:tcW w:w="356" w:type="pct"/>
            <w:tcBorders>
              <w:top w:val="nil"/>
              <w:left w:val="nil"/>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b/>
                <w:color w:val="000000"/>
                <w:sz w:val="18"/>
                <w:szCs w:val="16"/>
                <w:lang w:val="sq-AL"/>
              </w:rPr>
            </w:pPr>
            <w:r>
              <w:rPr>
                <w:rFonts w:cs="Calibri"/>
                <w:b/>
                <w:sz w:val="18"/>
                <w:szCs w:val="16"/>
              </w:rPr>
              <w:t>106,266</w:t>
            </w:r>
          </w:p>
        </w:tc>
        <w:tc>
          <w:tcPr>
            <w:tcW w:w="327" w:type="pct"/>
            <w:tcBorders>
              <w:top w:val="nil"/>
              <w:left w:val="nil"/>
              <w:bottom w:val="single" w:sz="8" w:space="0" w:color="8EA9DB"/>
              <w:right w:val="single" w:sz="8" w:space="0" w:color="8EA9DB"/>
            </w:tcBorders>
            <w:shd w:val="clear" w:color="auto" w:fill="auto"/>
            <w:vAlign w:val="center"/>
            <w:hideMark/>
          </w:tcPr>
          <w:p w:rsidR="00512A7B" w:rsidRPr="003F3712" w:rsidRDefault="00512A7B" w:rsidP="00C16FCE">
            <w:pPr>
              <w:spacing w:before="0" w:line="240" w:lineRule="auto"/>
              <w:contextualSpacing/>
              <w:jc w:val="center"/>
              <w:rPr>
                <w:rFonts w:cs="Calibri"/>
                <w:b/>
                <w:color w:val="000000"/>
                <w:sz w:val="18"/>
                <w:szCs w:val="16"/>
                <w:highlight w:val="yellow"/>
                <w:lang w:val="sq-AL"/>
              </w:rPr>
            </w:pPr>
            <w:r w:rsidRPr="004862D6">
              <w:rPr>
                <w:rFonts w:cs="Calibri"/>
                <w:b/>
                <w:sz w:val="18"/>
                <w:szCs w:val="16"/>
              </w:rPr>
              <w:t>96</w:t>
            </w:r>
            <w:r>
              <w:rPr>
                <w:rFonts w:cs="Calibri"/>
                <w:b/>
                <w:sz w:val="18"/>
                <w:szCs w:val="16"/>
              </w:rPr>
              <w:t>,</w:t>
            </w:r>
            <w:r w:rsidRPr="004862D6">
              <w:rPr>
                <w:rFonts w:cs="Calibri"/>
                <w:b/>
                <w:sz w:val="18"/>
                <w:szCs w:val="16"/>
              </w:rPr>
              <w:t>655</w:t>
            </w:r>
          </w:p>
        </w:tc>
        <w:tc>
          <w:tcPr>
            <w:tcW w:w="414" w:type="pct"/>
            <w:tcBorders>
              <w:top w:val="nil"/>
              <w:left w:val="nil"/>
              <w:bottom w:val="single" w:sz="8" w:space="0" w:color="8EA9DB"/>
              <w:right w:val="single" w:sz="8" w:space="0" w:color="8EA9DB"/>
            </w:tcBorders>
            <w:shd w:val="clear" w:color="auto" w:fill="auto"/>
            <w:vAlign w:val="center"/>
          </w:tcPr>
          <w:p w:rsidR="00512A7B" w:rsidRPr="000264A8" w:rsidRDefault="00512A7B" w:rsidP="00C16FCE">
            <w:pPr>
              <w:spacing w:before="0" w:line="240" w:lineRule="auto"/>
              <w:contextualSpacing/>
              <w:jc w:val="center"/>
              <w:rPr>
                <w:rFonts w:cs="Calibri"/>
                <w:b/>
                <w:color w:val="000000"/>
                <w:sz w:val="18"/>
                <w:szCs w:val="16"/>
                <w:lang w:val="sq-AL"/>
              </w:rPr>
            </w:pPr>
            <w:r w:rsidRPr="000264A8">
              <w:rPr>
                <w:rFonts w:cs="Calibri"/>
                <w:b/>
                <w:color w:val="000000"/>
                <w:sz w:val="18"/>
                <w:szCs w:val="16"/>
                <w:lang w:val="sq-AL"/>
              </w:rPr>
              <w:t>12,145</w:t>
            </w:r>
          </w:p>
        </w:tc>
        <w:tc>
          <w:tcPr>
            <w:tcW w:w="434" w:type="pct"/>
            <w:tcBorders>
              <w:top w:val="nil"/>
              <w:left w:val="nil"/>
              <w:bottom w:val="single" w:sz="8" w:space="0" w:color="8EA9DB"/>
              <w:right w:val="single" w:sz="8" w:space="0" w:color="8EA9DB"/>
            </w:tcBorders>
            <w:shd w:val="clear" w:color="auto" w:fill="auto"/>
            <w:vAlign w:val="center"/>
          </w:tcPr>
          <w:p w:rsidR="00512A7B" w:rsidRPr="000264A8" w:rsidRDefault="00512A7B" w:rsidP="00C16FCE">
            <w:pPr>
              <w:spacing w:before="0" w:line="240" w:lineRule="auto"/>
              <w:contextualSpacing/>
              <w:jc w:val="center"/>
              <w:rPr>
                <w:rFonts w:cs="Calibri"/>
                <w:b/>
                <w:color w:val="000000"/>
                <w:sz w:val="18"/>
                <w:szCs w:val="16"/>
                <w:lang w:val="sq-AL"/>
              </w:rPr>
            </w:pPr>
            <w:r w:rsidRPr="000264A8">
              <w:rPr>
                <w:rFonts w:cs="Calibri"/>
                <w:b/>
                <w:color w:val="000000"/>
                <w:sz w:val="18"/>
                <w:szCs w:val="16"/>
                <w:lang w:val="sq-AL"/>
              </w:rPr>
              <w:t>13%</w:t>
            </w:r>
          </w:p>
        </w:tc>
        <w:tc>
          <w:tcPr>
            <w:tcW w:w="394" w:type="pct"/>
            <w:tcBorders>
              <w:top w:val="nil"/>
              <w:left w:val="nil"/>
              <w:bottom w:val="single" w:sz="8" w:space="0" w:color="8EA9DB"/>
              <w:right w:val="single" w:sz="8" w:space="0" w:color="8EA9DB"/>
            </w:tcBorders>
            <w:shd w:val="clear" w:color="auto" w:fill="auto"/>
            <w:vAlign w:val="center"/>
          </w:tcPr>
          <w:p w:rsidR="00512A7B" w:rsidRPr="00F7460D" w:rsidRDefault="00512A7B" w:rsidP="00C16FCE">
            <w:pPr>
              <w:spacing w:before="0" w:line="240" w:lineRule="auto"/>
              <w:contextualSpacing/>
              <w:jc w:val="center"/>
              <w:rPr>
                <w:rFonts w:cs="Calibri"/>
                <w:b/>
                <w:color w:val="000000"/>
                <w:sz w:val="18"/>
                <w:szCs w:val="16"/>
                <w:lang w:val="sq-AL"/>
              </w:rPr>
            </w:pPr>
            <w:r w:rsidRPr="00F7460D">
              <w:rPr>
                <w:rFonts w:cs="Calibri"/>
                <w:b/>
                <w:color w:val="000000"/>
                <w:sz w:val="18"/>
                <w:szCs w:val="16"/>
                <w:lang w:val="sq-AL"/>
              </w:rPr>
              <w:t>9,611</w:t>
            </w:r>
          </w:p>
        </w:tc>
        <w:tc>
          <w:tcPr>
            <w:tcW w:w="447" w:type="pct"/>
            <w:tcBorders>
              <w:top w:val="nil"/>
              <w:left w:val="nil"/>
              <w:bottom w:val="single" w:sz="8" w:space="0" w:color="8EA9DB"/>
              <w:right w:val="single" w:sz="8" w:space="0" w:color="8EA9DB"/>
            </w:tcBorders>
            <w:shd w:val="clear" w:color="auto" w:fill="auto"/>
            <w:vAlign w:val="center"/>
          </w:tcPr>
          <w:p w:rsidR="00512A7B" w:rsidRPr="00F7460D" w:rsidRDefault="00512A7B" w:rsidP="00C16FCE">
            <w:pPr>
              <w:spacing w:before="0" w:line="240" w:lineRule="auto"/>
              <w:contextualSpacing/>
              <w:jc w:val="center"/>
              <w:rPr>
                <w:rFonts w:cs="Calibri"/>
                <w:b/>
                <w:color w:val="000000"/>
                <w:sz w:val="18"/>
                <w:szCs w:val="16"/>
                <w:lang w:val="sq-AL"/>
              </w:rPr>
            </w:pPr>
            <w:r w:rsidRPr="00F7460D">
              <w:rPr>
                <w:rFonts w:cs="Calibri"/>
                <w:b/>
                <w:color w:val="000000"/>
                <w:sz w:val="18"/>
                <w:szCs w:val="16"/>
                <w:lang w:val="sq-AL"/>
              </w:rPr>
              <w:t>10%</w:t>
            </w:r>
          </w:p>
        </w:tc>
        <w:tc>
          <w:tcPr>
            <w:tcW w:w="380" w:type="pct"/>
            <w:tcBorders>
              <w:top w:val="nil"/>
              <w:left w:val="nil"/>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b/>
                <w:color w:val="000000"/>
                <w:sz w:val="18"/>
                <w:szCs w:val="16"/>
                <w:lang w:val="sq-AL"/>
              </w:rPr>
            </w:pPr>
            <w:r>
              <w:rPr>
                <w:rFonts w:cs="Calibri"/>
                <w:b/>
                <w:sz w:val="18"/>
                <w:szCs w:val="16"/>
              </w:rPr>
              <w:t>103</w:t>
            </w:r>
            <w:r w:rsidRPr="00476D2E">
              <w:rPr>
                <w:rFonts w:cs="Calibri"/>
                <w:b/>
                <w:sz w:val="18"/>
                <w:szCs w:val="16"/>
              </w:rPr>
              <w:t>,</w:t>
            </w:r>
            <w:r>
              <w:rPr>
                <w:rFonts w:cs="Calibri"/>
                <w:b/>
                <w:sz w:val="18"/>
                <w:szCs w:val="16"/>
              </w:rPr>
              <w:t>355</w:t>
            </w:r>
          </w:p>
        </w:tc>
        <w:tc>
          <w:tcPr>
            <w:tcW w:w="473" w:type="pct"/>
            <w:tcBorders>
              <w:top w:val="nil"/>
              <w:left w:val="nil"/>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b/>
                <w:color w:val="000000"/>
                <w:sz w:val="18"/>
                <w:szCs w:val="16"/>
                <w:lang w:val="sq-AL"/>
              </w:rPr>
            </w:pPr>
            <w:r>
              <w:rPr>
                <w:rFonts w:cs="Calibri"/>
                <w:b/>
                <w:color w:val="000000"/>
                <w:sz w:val="18"/>
                <w:szCs w:val="16"/>
              </w:rPr>
              <w:t>2,911</w:t>
            </w:r>
          </w:p>
        </w:tc>
        <w:tc>
          <w:tcPr>
            <w:tcW w:w="547" w:type="pct"/>
            <w:tcBorders>
              <w:top w:val="nil"/>
              <w:left w:val="nil"/>
              <w:bottom w:val="single" w:sz="8" w:space="0" w:color="8EA9DB"/>
              <w:right w:val="single" w:sz="8" w:space="0" w:color="8EA9DB"/>
            </w:tcBorders>
            <w:shd w:val="clear" w:color="auto" w:fill="auto"/>
            <w:vAlign w:val="center"/>
            <w:hideMark/>
          </w:tcPr>
          <w:p w:rsidR="00512A7B" w:rsidRPr="00476D2E" w:rsidRDefault="00512A7B" w:rsidP="00C16FCE">
            <w:pPr>
              <w:spacing w:before="0" w:line="240" w:lineRule="auto"/>
              <w:contextualSpacing/>
              <w:jc w:val="center"/>
              <w:rPr>
                <w:rFonts w:cs="Calibri"/>
                <w:b/>
                <w:color w:val="000000"/>
                <w:sz w:val="18"/>
                <w:szCs w:val="16"/>
                <w:lang w:val="sq-AL"/>
              </w:rPr>
            </w:pPr>
            <w:r>
              <w:rPr>
                <w:rFonts w:cs="Calibri"/>
                <w:b/>
                <w:color w:val="000000"/>
                <w:sz w:val="18"/>
                <w:szCs w:val="16"/>
              </w:rPr>
              <w:t>2</w:t>
            </w:r>
            <w:r w:rsidRPr="00476D2E">
              <w:rPr>
                <w:rFonts w:cs="Calibri"/>
                <w:b/>
                <w:color w:val="000000"/>
                <w:sz w:val="18"/>
                <w:szCs w:val="16"/>
              </w:rPr>
              <w:t>.</w:t>
            </w:r>
            <w:r>
              <w:rPr>
                <w:rFonts w:cs="Calibri"/>
                <w:b/>
                <w:color w:val="000000"/>
                <w:sz w:val="18"/>
                <w:szCs w:val="16"/>
              </w:rPr>
              <w:t>8</w:t>
            </w:r>
            <w:r w:rsidRPr="00476D2E">
              <w:rPr>
                <w:rFonts w:cs="Calibri"/>
                <w:b/>
                <w:color w:val="000000"/>
                <w:sz w:val="18"/>
                <w:szCs w:val="16"/>
              </w:rPr>
              <w:t>%</w:t>
            </w:r>
          </w:p>
        </w:tc>
      </w:tr>
      <w:tr w:rsidR="001216DB" w:rsidRPr="00476D2E" w:rsidTr="00C16FCE">
        <w:trPr>
          <w:trHeight w:val="295"/>
          <w:jc w:val="center"/>
        </w:trPr>
        <w:tc>
          <w:tcPr>
            <w:tcW w:w="900" w:type="pct"/>
            <w:tcBorders>
              <w:top w:val="nil"/>
              <w:left w:val="single" w:sz="8" w:space="0" w:color="8EAADB"/>
              <w:bottom w:val="single" w:sz="8" w:space="0" w:color="8EAADB"/>
              <w:right w:val="single" w:sz="8" w:space="0" w:color="8EAADB"/>
            </w:tcBorders>
            <w:shd w:val="clear" w:color="auto" w:fill="C0D7F1" w:themeFill="text2" w:themeFillTint="33"/>
            <w:vAlign w:val="center"/>
            <w:hideMark/>
          </w:tcPr>
          <w:p w:rsidR="00512A7B" w:rsidRPr="00476D2E" w:rsidRDefault="00512A7B" w:rsidP="00C16FCE">
            <w:pPr>
              <w:spacing w:before="0" w:line="240" w:lineRule="auto"/>
              <w:contextualSpacing/>
              <w:rPr>
                <w:rFonts w:cs="Calibri"/>
                <w:b/>
                <w:bCs/>
                <w:color w:val="000000"/>
                <w:sz w:val="16"/>
                <w:lang w:val="sq-AL"/>
              </w:rPr>
            </w:pPr>
            <w:r w:rsidRPr="00476D2E">
              <w:rPr>
                <w:rFonts w:cs="Calibri"/>
                <w:b/>
                <w:bCs/>
                <w:color w:val="000000"/>
                <w:sz w:val="16"/>
                <w:lang w:val="sq-AL"/>
              </w:rPr>
              <w:t>TOTALI TATIME + DOGANA (përfshirë kontributet)</w:t>
            </w:r>
          </w:p>
        </w:tc>
        <w:tc>
          <w:tcPr>
            <w:tcW w:w="328" w:type="pct"/>
            <w:tcBorders>
              <w:top w:val="nil"/>
              <w:left w:val="single" w:sz="8" w:space="0" w:color="8EA9DB"/>
              <w:bottom w:val="single" w:sz="8" w:space="0" w:color="8EA9DB"/>
              <w:right w:val="single" w:sz="8" w:space="0" w:color="8EA9DB"/>
            </w:tcBorders>
            <w:shd w:val="clear" w:color="auto" w:fill="C0D7F1" w:themeFill="text2" w:themeFillTint="33"/>
            <w:vAlign w:val="center"/>
            <w:hideMark/>
          </w:tcPr>
          <w:p w:rsidR="00512A7B" w:rsidRPr="00476D2E" w:rsidRDefault="00512A7B" w:rsidP="00C16FCE">
            <w:pPr>
              <w:spacing w:before="0" w:line="240" w:lineRule="auto"/>
              <w:contextualSpacing/>
              <w:jc w:val="center"/>
              <w:rPr>
                <w:rFonts w:cs="Calibri"/>
                <w:b/>
                <w:bCs/>
                <w:color w:val="000000"/>
                <w:sz w:val="16"/>
                <w:szCs w:val="16"/>
                <w:lang w:val="sq-AL"/>
              </w:rPr>
            </w:pPr>
            <w:r w:rsidRPr="00476D2E">
              <w:rPr>
                <w:rFonts w:cs="Calibri"/>
                <w:b/>
                <w:color w:val="000000"/>
                <w:sz w:val="16"/>
                <w:szCs w:val="16"/>
              </w:rPr>
              <w:t>373,106</w:t>
            </w:r>
          </w:p>
        </w:tc>
        <w:tc>
          <w:tcPr>
            <w:tcW w:w="356" w:type="pct"/>
            <w:tcBorders>
              <w:top w:val="nil"/>
              <w:left w:val="nil"/>
              <w:bottom w:val="single" w:sz="8" w:space="0" w:color="8EA9DB"/>
              <w:right w:val="single" w:sz="8" w:space="0" w:color="8EA9DB"/>
            </w:tcBorders>
            <w:shd w:val="clear" w:color="auto" w:fill="C0D7F1" w:themeFill="text2" w:themeFillTint="33"/>
            <w:vAlign w:val="center"/>
            <w:hideMark/>
          </w:tcPr>
          <w:p w:rsidR="00512A7B" w:rsidRPr="00476D2E" w:rsidRDefault="00512A7B" w:rsidP="00C16FCE">
            <w:pPr>
              <w:spacing w:before="0" w:line="240" w:lineRule="auto"/>
              <w:contextualSpacing/>
              <w:jc w:val="center"/>
              <w:rPr>
                <w:rFonts w:cs="Calibri"/>
                <w:b/>
                <w:bCs/>
                <w:color w:val="000000"/>
                <w:sz w:val="16"/>
                <w:szCs w:val="16"/>
                <w:lang w:val="sq-AL"/>
              </w:rPr>
            </w:pPr>
            <w:r>
              <w:rPr>
                <w:rFonts w:cs="Calibri"/>
                <w:b/>
                <w:color w:val="000000"/>
                <w:sz w:val="16"/>
                <w:szCs w:val="16"/>
              </w:rPr>
              <w:t>444</w:t>
            </w:r>
            <w:r w:rsidRPr="00476D2E">
              <w:rPr>
                <w:rFonts w:cs="Calibri"/>
                <w:b/>
                <w:color w:val="000000"/>
                <w:sz w:val="16"/>
                <w:szCs w:val="16"/>
              </w:rPr>
              <w:t>,</w:t>
            </w:r>
            <w:r>
              <w:rPr>
                <w:rFonts w:cs="Calibri"/>
                <w:b/>
                <w:color w:val="000000"/>
                <w:sz w:val="16"/>
                <w:szCs w:val="16"/>
              </w:rPr>
              <w:t>340</w:t>
            </w:r>
          </w:p>
        </w:tc>
        <w:tc>
          <w:tcPr>
            <w:tcW w:w="327" w:type="pct"/>
            <w:tcBorders>
              <w:top w:val="nil"/>
              <w:left w:val="nil"/>
              <w:bottom w:val="single" w:sz="8" w:space="0" w:color="8EA9DB"/>
              <w:right w:val="single" w:sz="8" w:space="0" w:color="8EA9DB"/>
            </w:tcBorders>
            <w:shd w:val="clear" w:color="auto" w:fill="C0D7F1" w:themeFill="text2" w:themeFillTint="33"/>
            <w:vAlign w:val="center"/>
            <w:hideMark/>
          </w:tcPr>
          <w:p w:rsidR="00512A7B" w:rsidRPr="003F3712" w:rsidRDefault="00512A7B" w:rsidP="00C16FCE">
            <w:pPr>
              <w:spacing w:before="0" w:line="240" w:lineRule="auto"/>
              <w:contextualSpacing/>
              <w:jc w:val="center"/>
              <w:rPr>
                <w:rFonts w:cs="Calibri"/>
                <w:b/>
                <w:bCs/>
                <w:color w:val="000000"/>
                <w:sz w:val="16"/>
                <w:szCs w:val="16"/>
                <w:highlight w:val="yellow"/>
                <w:lang w:val="sq-AL"/>
              </w:rPr>
            </w:pPr>
            <w:r w:rsidRPr="004755F0">
              <w:rPr>
                <w:rFonts w:cs="Calibri"/>
                <w:b/>
                <w:color w:val="000000"/>
                <w:sz w:val="16"/>
                <w:szCs w:val="16"/>
              </w:rPr>
              <w:t>412,827</w:t>
            </w:r>
          </w:p>
        </w:tc>
        <w:tc>
          <w:tcPr>
            <w:tcW w:w="414" w:type="pct"/>
            <w:tcBorders>
              <w:top w:val="nil"/>
              <w:left w:val="nil"/>
              <w:bottom w:val="single" w:sz="8" w:space="0" w:color="8EA9DB"/>
              <w:right w:val="single" w:sz="8" w:space="0" w:color="8EA9DB"/>
            </w:tcBorders>
            <w:shd w:val="clear" w:color="auto" w:fill="C0D7F1" w:themeFill="text2" w:themeFillTint="33"/>
            <w:vAlign w:val="center"/>
          </w:tcPr>
          <w:p w:rsidR="00512A7B" w:rsidRPr="000264A8" w:rsidRDefault="00512A7B" w:rsidP="00C16FCE">
            <w:pPr>
              <w:spacing w:before="0" w:line="240" w:lineRule="auto"/>
              <w:contextualSpacing/>
              <w:jc w:val="center"/>
              <w:rPr>
                <w:rFonts w:cs="Calibri"/>
                <w:b/>
                <w:bCs/>
                <w:color w:val="000000"/>
                <w:sz w:val="16"/>
                <w:szCs w:val="16"/>
                <w:lang w:val="sq-AL"/>
              </w:rPr>
            </w:pPr>
            <w:r w:rsidRPr="000264A8">
              <w:rPr>
                <w:rFonts w:cs="Calibri"/>
                <w:b/>
                <w:bCs/>
                <w:color w:val="000000"/>
                <w:sz w:val="16"/>
                <w:szCs w:val="16"/>
                <w:lang w:val="sq-AL"/>
              </w:rPr>
              <w:t>71,234</w:t>
            </w:r>
          </w:p>
        </w:tc>
        <w:tc>
          <w:tcPr>
            <w:tcW w:w="434" w:type="pct"/>
            <w:tcBorders>
              <w:top w:val="nil"/>
              <w:left w:val="nil"/>
              <w:bottom w:val="single" w:sz="8" w:space="0" w:color="8EA9DB"/>
              <w:right w:val="single" w:sz="8" w:space="0" w:color="8EA9DB"/>
            </w:tcBorders>
            <w:shd w:val="clear" w:color="auto" w:fill="C0D7F1" w:themeFill="text2" w:themeFillTint="33"/>
            <w:vAlign w:val="center"/>
          </w:tcPr>
          <w:p w:rsidR="00512A7B" w:rsidRPr="000264A8" w:rsidRDefault="00512A7B" w:rsidP="00C16FCE">
            <w:pPr>
              <w:spacing w:before="0" w:line="240" w:lineRule="auto"/>
              <w:contextualSpacing/>
              <w:jc w:val="center"/>
              <w:rPr>
                <w:rFonts w:cs="Calibri"/>
                <w:b/>
                <w:bCs/>
                <w:color w:val="000000"/>
                <w:sz w:val="16"/>
                <w:szCs w:val="16"/>
                <w:lang w:val="sq-AL"/>
              </w:rPr>
            </w:pPr>
            <w:r w:rsidRPr="000264A8">
              <w:rPr>
                <w:rFonts w:cs="Calibri"/>
                <w:b/>
                <w:bCs/>
                <w:color w:val="000000"/>
                <w:sz w:val="16"/>
                <w:szCs w:val="16"/>
                <w:lang w:val="sq-AL"/>
              </w:rPr>
              <w:t>19%</w:t>
            </w:r>
          </w:p>
        </w:tc>
        <w:tc>
          <w:tcPr>
            <w:tcW w:w="394" w:type="pct"/>
            <w:tcBorders>
              <w:top w:val="nil"/>
              <w:left w:val="nil"/>
              <w:bottom w:val="single" w:sz="8" w:space="0" w:color="8EA9DB"/>
              <w:right w:val="single" w:sz="8" w:space="0" w:color="8EA9DB"/>
            </w:tcBorders>
            <w:shd w:val="clear" w:color="auto" w:fill="C0D7F1" w:themeFill="text2" w:themeFillTint="33"/>
            <w:vAlign w:val="center"/>
          </w:tcPr>
          <w:p w:rsidR="00512A7B" w:rsidRPr="00F7460D" w:rsidRDefault="00512A7B" w:rsidP="00C16FCE">
            <w:pPr>
              <w:spacing w:before="0" w:line="240" w:lineRule="auto"/>
              <w:contextualSpacing/>
              <w:jc w:val="center"/>
              <w:rPr>
                <w:rFonts w:cs="Calibri"/>
                <w:b/>
                <w:bCs/>
                <w:color w:val="000000"/>
                <w:sz w:val="16"/>
                <w:szCs w:val="16"/>
                <w:lang w:val="sq-AL"/>
              </w:rPr>
            </w:pPr>
            <w:r w:rsidRPr="00F7460D">
              <w:rPr>
                <w:rFonts w:cs="Calibri"/>
                <w:b/>
                <w:bCs/>
                <w:color w:val="000000"/>
                <w:sz w:val="16"/>
                <w:szCs w:val="16"/>
                <w:lang w:val="sq-AL"/>
              </w:rPr>
              <w:t>31,513</w:t>
            </w:r>
          </w:p>
        </w:tc>
        <w:tc>
          <w:tcPr>
            <w:tcW w:w="447" w:type="pct"/>
            <w:tcBorders>
              <w:top w:val="nil"/>
              <w:left w:val="nil"/>
              <w:bottom w:val="single" w:sz="8" w:space="0" w:color="8EA9DB"/>
              <w:right w:val="single" w:sz="8" w:space="0" w:color="8EA9DB"/>
            </w:tcBorders>
            <w:shd w:val="clear" w:color="auto" w:fill="C0D7F1" w:themeFill="text2" w:themeFillTint="33"/>
            <w:vAlign w:val="center"/>
          </w:tcPr>
          <w:p w:rsidR="00512A7B" w:rsidRPr="00F7460D" w:rsidRDefault="00512A7B" w:rsidP="00C16FCE">
            <w:pPr>
              <w:spacing w:before="0" w:line="240" w:lineRule="auto"/>
              <w:contextualSpacing/>
              <w:jc w:val="center"/>
              <w:rPr>
                <w:rFonts w:cs="Calibri"/>
                <w:b/>
                <w:bCs/>
                <w:color w:val="000000"/>
                <w:sz w:val="16"/>
                <w:szCs w:val="16"/>
                <w:lang w:val="sq-AL"/>
              </w:rPr>
            </w:pPr>
            <w:r w:rsidRPr="00F7460D">
              <w:rPr>
                <w:rFonts w:cs="Calibri"/>
                <w:b/>
                <w:bCs/>
                <w:color w:val="000000"/>
                <w:sz w:val="16"/>
                <w:szCs w:val="16"/>
                <w:lang w:val="sq-AL"/>
              </w:rPr>
              <w:t>8%</w:t>
            </w:r>
          </w:p>
        </w:tc>
        <w:tc>
          <w:tcPr>
            <w:tcW w:w="380" w:type="pct"/>
            <w:tcBorders>
              <w:top w:val="nil"/>
              <w:left w:val="nil"/>
              <w:bottom w:val="single" w:sz="8" w:space="0" w:color="8EA9DB"/>
              <w:right w:val="single" w:sz="8" w:space="0" w:color="8EA9DB"/>
            </w:tcBorders>
            <w:shd w:val="clear" w:color="auto" w:fill="C0D7F1" w:themeFill="text2" w:themeFillTint="33"/>
            <w:vAlign w:val="center"/>
            <w:hideMark/>
          </w:tcPr>
          <w:p w:rsidR="00512A7B" w:rsidRPr="00476D2E" w:rsidRDefault="00512A7B" w:rsidP="00C16FCE">
            <w:pPr>
              <w:spacing w:before="0" w:line="240" w:lineRule="auto"/>
              <w:contextualSpacing/>
              <w:jc w:val="center"/>
              <w:rPr>
                <w:rFonts w:cs="Calibri"/>
                <w:b/>
                <w:bCs/>
                <w:color w:val="000000"/>
                <w:sz w:val="16"/>
                <w:szCs w:val="16"/>
                <w:lang w:val="sq-AL"/>
              </w:rPr>
            </w:pPr>
            <w:r>
              <w:rPr>
                <w:rFonts w:cs="Calibri"/>
                <w:b/>
                <w:color w:val="000000"/>
                <w:sz w:val="16"/>
                <w:szCs w:val="16"/>
              </w:rPr>
              <w:t>436</w:t>
            </w:r>
            <w:r w:rsidRPr="00476D2E">
              <w:rPr>
                <w:rFonts w:cs="Calibri"/>
                <w:b/>
                <w:color w:val="000000"/>
                <w:sz w:val="16"/>
                <w:szCs w:val="16"/>
              </w:rPr>
              <w:t>,</w:t>
            </w:r>
            <w:r>
              <w:rPr>
                <w:rFonts w:cs="Calibri"/>
                <w:b/>
                <w:color w:val="000000"/>
                <w:sz w:val="16"/>
                <w:szCs w:val="16"/>
              </w:rPr>
              <w:t>149</w:t>
            </w:r>
          </w:p>
        </w:tc>
        <w:tc>
          <w:tcPr>
            <w:tcW w:w="473" w:type="pct"/>
            <w:tcBorders>
              <w:top w:val="nil"/>
              <w:left w:val="nil"/>
              <w:bottom w:val="single" w:sz="8" w:space="0" w:color="8EA9DB"/>
              <w:right w:val="single" w:sz="8" w:space="0" w:color="8EA9DB"/>
            </w:tcBorders>
            <w:shd w:val="clear" w:color="auto" w:fill="C0D7F1" w:themeFill="text2" w:themeFillTint="33"/>
            <w:vAlign w:val="center"/>
            <w:hideMark/>
          </w:tcPr>
          <w:p w:rsidR="00512A7B" w:rsidRPr="00476D2E" w:rsidRDefault="00512A7B" w:rsidP="00C16FCE">
            <w:pPr>
              <w:spacing w:before="0" w:line="240" w:lineRule="auto"/>
              <w:contextualSpacing/>
              <w:jc w:val="center"/>
              <w:rPr>
                <w:rFonts w:cs="Calibri"/>
                <w:b/>
                <w:bCs/>
                <w:color w:val="000000"/>
                <w:sz w:val="16"/>
                <w:szCs w:val="16"/>
                <w:lang w:val="sq-AL"/>
              </w:rPr>
            </w:pPr>
            <w:r>
              <w:rPr>
                <w:rFonts w:cs="Calibri"/>
                <w:b/>
                <w:color w:val="000000"/>
                <w:sz w:val="16"/>
                <w:szCs w:val="16"/>
              </w:rPr>
              <w:t>8,191</w:t>
            </w:r>
          </w:p>
        </w:tc>
        <w:tc>
          <w:tcPr>
            <w:tcW w:w="547" w:type="pct"/>
            <w:tcBorders>
              <w:top w:val="nil"/>
              <w:left w:val="nil"/>
              <w:bottom w:val="single" w:sz="8" w:space="0" w:color="8EA9DB"/>
              <w:right w:val="single" w:sz="8" w:space="0" w:color="8EA9DB"/>
            </w:tcBorders>
            <w:shd w:val="clear" w:color="auto" w:fill="C0D7F1" w:themeFill="text2" w:themeFillTint="33"/>
            <w:vAlign w:val="center"/>
            <w:hideMark/>
          </w:tcPr>
          <w:p w:rsidR="00512A7B" w:rsidRPr="00476D2E" w:rsidRDefault="00512A7B" w:rsidP="00C16FCE">
            <w:pPr>
              <w:spacing w:before="0" w:line="240" w:lineRule="auto"/>
              <w:contextualSpacing/>
              <w:jc w:val="center"/>
              <w:rPr>
                <w:rFonts w:cs="Calibri"/>
                <w:b/>
                <w:bCs/>
                <w:color w:val="000000"/>
                <w:sz w:val="16"/>
                <w:szCs w:val="16"/>
                <w:lang w:val="sq-AL"/>
              </w:rPr>
            </w:pPr>
            <w:r>
              <w:rPr>
                <w:rFonts w:cs="Calibri"/>
                <w:b/>
                <w:color w:val="000000"/>
                <w:sz w:val="16"/>
                <w:szCs w:val="16"/>
              </w:rPr>
              <w:t>1.9</w:t>
            </w:r>
            <w:r w:rsidRPr="00476D2E">
              <w:rPr>
                <w:rFonts w:cs="Calibri"/>
                <w:b/>
                <w:color w:val="000000"/>
                <w:sz w:val="16"/>
                <w:szCs w:val="16"/>
              </w:rPr>
              <w:t>%</w:t>
            </w:r>
          </w:p>
        </w:tc>
      </w:tr>
    </w:tbl>
    <w:p w:rsidR="002464D3" w:rsidRDefault="000661E2" w:rsidP="0010282F">
      <w:pPr>
        <w:spacing w:before="0"/>
        <w:rPr>
          <w:rFonts w:cs="Calibri"/>
          <w:i/>
          <w:noProof/>
          <w:sz w:val="18"/>
          <w:szCs w:val="18"/>
          <w:lang w:val="sq-AL"/>
        </w:rPr>
      </w:pPr>
      <w:r>
        <w:rPr>
          <w:rFonts w:cs="Calibri"/>
          <w:i/>
          <w:noProof/>
          <w:sz w:val="18"/>
          <w:szCs w:val="18"/>
          <w:lang w:val="sq-AL"/>
        </w:rPr>
        <w:t>Burimi: Ministria e Financave dhe Ekonomisë (2022)</w:t>
      </w:r>
    </w:p>
    <w:p w:rsidR="00C16FCE" w:rsidRPr="00C16FCE" w:rsidRDefault="00C16FCE" w:rsidP="00C16FCE">
      <w:pPr>
        <w:spacing w:before="0"/>
        <w:rPr>
          <w:rFonts w:cs="Calibri"/>
          <w:noProof/>
          <w:sz w:val="8"/>
          <w:szCs w:val="8"/>
          <w:lang w:val="sq-AL"/>
        </w:rPr>
      </w:pPr>
    </w:p>
    <w:p w:rsidR="002464D3" w:rsidRDefault="00C16FCE" w:rsidP="00C16FCE">
      <w:pPr>
        <w:spacing w:before="0"/>
        <w:rPr>
          <w:rFonts w:cs="Calibri"/>
          <w:noProof/>
          <w:lang w:val="sq-AL"/>
        </w:rPr>
      </w:pPr>
      <w:r w:rsidRPr="00476D2E">
        <w:rPr>
          <w:rFonts w:cs="Calibri"/>
          <w:noProof/>
          <w:lang w:val="sq-AL"/>
        </w:rPr>
        <w:t xml:space="preserve">Të ardhurat nga </w:t>
      </w:r>
      <w:r w:rsidRPr="00476D2E">
        <w:rPr>
          <w:rFonts w:cs="Calibri"/>
          <w:b/>
          <w:noProof/>
          <w:lang w:val="sq-AL"/>
        </w:rPr>
        <w:t>Administrata Doganore</w:t>
      </w:r>
      <w:r>
        <w:rPr>
          <w:rFonts w:cs="Calibri"/>
          <w:noProof/>
          <w:lang w:val="sq-AL"/>
        </w:rPr>
        <w:t xml:space="preserve"> për vitin 2021 arritën në 192.8</w:t>
      </w:r>
      <w:r w:rsidRPr="00476D2E">
        <w:rPr>
          <w:rFonts w:cs="Calibri"/>
          <w:noProof/>
          <w:lang w:val="sq-AL"/>
        </w:rPr>
        <w:t xml:space="preserve"> miliardë lek</w:t>
      </w:r>
      <w:r>
        <w:rPr>
          <w:rFonts w:cs="Calibri"/>
          <w:noProof/>
          <w:lang w:val="sq-AL"/>
        </w:rPr>
        <w:t>ë, me një realizim në masën 106.5</w:t>
      </w:r>
      <w:r w:rsidRPr="00476D2E">
        <w:rPr>
          <w:rFonts w:cs="Calibri"/>
          <w:noProof/>
          <w:lang w:val="sq-AL"/>
        </w:rPr>
        <w:t xml:space="preserve"> </w:t>
      </w:r>
      <w:r>
        <w:rPr>
          <w:rFonts w:cs="Calibri"/>
          <w:noProof/>
          <w:lang w:val="sq-AL"/>
        </w:rPr>
        <w:t>përqind të planit të rishikuar, ose 11</w:t>
      </w:r>
      <w:r w:rsidRPr="00476D2E">
        <w:rPr>
          <w:rFonts w:cs="Calibri"/>
          <w:noProof/>
          <w:lang w:val="sq-AL"/>
        </w:rPr>
        <w:t xml:space="preserve"> miliar</w:t>
      </w:r>
      <w:r>
        <w:rPr>
          <w:rFonts w:cs="Calibri"/>
          <w:noProof/>
          <w:lang w:val="sq-AL"/>
        </w:rPr>
        <w:t>dë lekë më shum</w:t>
      </w:r>
      <w:r w:rsidRPr="00D653E3">
        <w:rPr>
          <w:rFonts w:ascii="Times New Roman" w:hAnsi="Times New Roman"/>
          <w:noProof/>
          <w:lang w:val="sq-AL"/>
        </w:rPr>
        <w:t>ë</w:t>
      </w:r>
      <w:r>
        <w:rPr>
          <w:rFonts w:cs="Calibri"/>
          <w:noProof/>
          <w:lang w:val="sq-AL"/>
        </w:rPr>
        <w:t>. Në krahasim me vitin 2020</w:t>
      </w:r>
      <w:r w:rsidRPr="00476D2E">
        <w:rPr>
          <w:rFonts w:cs="Calibri"/>
          <w:noProof/>
          <w:lang w:val="sq-AL"/>
        </w:rPr>
        <w:t xml:space="preserve">, performanca ka qenë </w:t>
      </w:r>
      <w:r>
        <w:rPr>
          <w:rFonts w:cs="Calibri"/>
          <w:noProof/>
          <w:lang w:val="sq-AL"/>
        </w:rPr>
        <w:t xml:space="preserve">pozitive me rreth 39.4 miliardë lekë më </w:t>
      </w:r>
      <w:r w:rsidRPr="005E3E7C">
        <w:rPr>
          <w:rFonts w:cs="Calibri"/>
          <w:noProof/>
          <w:lang w:val="sq-AL"/>
        </w:rPr>
        <w:t>shum</w:t>
      </w:r>
      <w:r w:rsidRPr="005E3E7C">
        <w:rPr>
          <w:rFonts w:ascii="Times New Roman" w:hAnsi="Times New Roman"/>
          <w:noProof/>
          <w:lang w:val="sq-AL"/>
        </w:rPr>
        <w:t>ë</w:t>
      </w:r>
      <w:r w:rsidRPr="005E3E7C">
        <w:rPr>
          <w:rFonts w:cs="Calibri"/>
          <w:noProof/>
          <w:lang w:val="sq-AL"/>
        </w:rPr>
        <w:t xml:space="preserve"> sesa një vit më parë, me rritje 25.7 </w:t>
      </w:r>
      <w:r>
        <w:rPr>
          <w:rFonts w:cs="Calibri"/>
          <w:noProof/>
          <w:lang w:val="sq-AL"/>
        </w:rPr>
        <w:t>përqind</w:t>
      </w:r>
      <w:r w:rsidRPr="005E3E7C">
        <w:rPr>
          <w:rFonts w:cs="Calibri"/>
          <w:noProof/>
          <w:lang w:val="sq-AL"/>
        </w:rPr>
        <w:t xml:space="preserve">. Krahasuar me vitin 2020, paraqiten me rritje Akciza (+16 </w:t>
      </w:r>
      <w:r>
        <w:rPr>
          <w:rFonts w:cs="Calibri"/>
          <w:noProof/>
          <w:lang w:val="sq-AL"/>
        </w:rPr>
        <w:t>përqind</w:t>
      </w:r>
      <w:r w:rsidRPr="005E3E7C">
        <w:rPr>
          <w:rFonts w:cs="Calibri"/>
          <w:noProof/>
          <w:lang w:val="sq-AL"/>
        </w:rPr>
        <w:t xml:space="preserve">) dhe Taksa doganore (+19.5 </w:t>
      </w:r>
      <w:r>
        <w:rPr>
          <w:rFonts w:cs="Calibri"/>
          <w:noProof/>
          <w:lang w:val="sq-AL"/>
        </w:rPr>
        <w:t>përqind</w:t>
      </w:r>
      <w:r w:rsidRPr="005E3E7C">
        <w:rPr>
          <w:rFonts w:cs="Calibri"/>
          <w:noProof/>
          <w:lang w:val="sq-AL"/>
        </w:rPr>
        <w:t xml:space="preserve">), Renta minerare (+36.2 </w:t>
      </w:r>
      <w:r>
        <w:rPr>
          <w:rFonts w:cs="Calibri"/>
          <w:noProof/>
          <w:lang w:val="sq-AL"/>
        </w:rPr>
        <w:t>përqind</w:t>
      </w:r>
      <w:r w:rsidRPr="005E3E7C">
        <w:rPr>
          <w:rFonts w:cs="Calibri"/>
          <w:noProof/>
          <w:lang w:val="sq-AL"/>
        </w:rPr>
        <w:t>) dhe TVSH n</w:t>
      </w:r>
      <w:r w:rsidRPr="005E3E7C">
        <w:rPr>
          <w:rFonts w:cs="Calibri"/>
          <w:noProof/>
          <w:lang w:val="sq-AL" w:eastAsia="ja-JP"/>
        </w:rPr>
        <w:t xml:space="preserve">ë import </w:t>
      </w:r>
      <w:r w:rsidRPr="005E3E7C">
        <w:rPr>
          <w:rFonts w:cs="Calibri"/>
          <w:noProof/>
          <w:lang w:val="sq-AL"/>
        </w:rPr>
        <w:t xml:space="preserve">(+30.2 </w:t>
      </w:r>
      <w:r>
        <w:rPr>
          <w:rFonts w:cs="Calibri"/>
          <w:noProof/>
          <w:lang w:val="sq-AL"/>
        </w:rPr>
        <w:t>përqind</w:t>
      </w:r>
      <w:r w:rsidRPr="005E3E7C">
        <w:rPr>
          <w:rFonts w:cs="Calibri"/>
          <w:noProof/>
          <w:lang w:val="sq-AL"/>
        </w:rPr>
        <w:t>)</w:t>
      </w:r>
      <w:r w:rsidRPr="005E3E7C">
        <w:rPr>
          <w:rFonts w:cs="Calibri"/>
          <w:noProof/>
          <w:lang w:val="sq-AL" w:eastAsia="ja-JP"/>
        </w:rPr>
        <w:t>.</w:t>
      </w:r>
      <w:r w:rsidRPr="005E3E7C">
        <w:rPr>
          <w:rFonts w:cs="Calibri"/>
          <w:noProof/>
          <w:lang w:val="sq-AL"/>
        </w:rPr>
        <w:t xml:space="preserve"> Krahasuar me planin, të gjithë zërat e të ardhurave doganore paraqiten me mbirealizim. Mbirealizimi i krijuar me planin lidhet kryesisht me rritjen totale të fluksit të importit, ku rritja e të ardhurave nga cmimet ndërkombëtare zë vetëm 21% të rritjes totale dhe 79% e suksesit të të ardhurave vjen si rrjedhojë e rritjes ekonomike, rritjes së fluksit të importit dhe mirëadministrimit</w:t>
      </w:r>
      <w:r w:rsidR="002464D3" w:rsidRPr="00476D2E">
        <w:rPr>
          <w:rFonts w:cs="Calibri"/>
          <w:noProof/>
          <w:lang w:val="sq-AL"/>
        </w:rPr>
        <w:t>.</w:t>
      </w:r>
    </w:p>
    <w:p w:rsidR="00C16FCE" w:rsidRPr="00C16FCE" w:rsidRDefault="00C16FCE" w:rsidP="00C16FCE">
      <w:pPr>
        <w:spacing w:before="0"/>
        <w:rPr>
          <w:rFonts w:cs="Calibri"/>
          <w:noProof/>
          <w:sz w:val="8"/>
          <w:szCs w:val="8"/>
          <w:lang w:val="sq-AL"/>
        </w:rPr>
      </w:pPr>
    </w:p>
    <w:p w:rsidR="00A06CDF" w:rsidRPr="00476D2E" w:rsidRDefault="00A06CDF" w:rsidP="00C16FCE">
      <w:pPr>
        <w:pStyle w:val="Caption"/>
        <w:keepNext/>
        <w:spacing w:before="0" w:after="0"/>
        <w:rPr>
          <w:rFonts w:cs="Calibri"/>
          <w:lang w:val="sq-AL"/>
        </w:rPr>
      </w:pPr>
      <w:bookmarkStart w:id="84" w:name="_Toc104984031"/>
      <w:r w:rsidRPr="00476D2E">
        <w:rPr>
          <w:rFonts w:cs="Calibri"/>
          <w:lang w:val="sq-AL"/>
        </w:rPr>
        <w:t xml:space="preserve">Grafiku </w:t>
      </w:r>
      <w:r w:rsidR="00C87F41" w:rsidRPr="00476D2E">
        <w:rPr>
          <w:rFonts w:cs="Calibri"/>
          <w:noProof/>
          <w:lang w:val="sq-AL"/>
        </w:rPr>
        <w:fldChar w:fldCharType="begin"/>
      </w:r>
      <w:r w:rsidR="00C87F41" w:rsidRPr="00476D2E">
        <w:rPr>
          <w:rFonts w:cs="Calibri"/>
          <w:noProof/>
          <w:lang w:val="sq-AL"/>
        </w:rPr>
        <w:instrText xml:space="preserve"> SEQ Grafiku \* ARABIC </w:instrText>
      </w:r>
      <w:r w:rsidR="00C87F41" w:rsidRPr="00476D2E">
        <w:rPr>
          <w:rFonts w:cs="Calibri"/>
          <w:noProof/>
          <w:lang w:val="sq-AL"/>
        </w:rPr>
        <w:fldChar w:fldCharType="separate"/>
      </w:r>
      <w:r w:rsidR="00FE66EC">
        <w:rPr>
          <w:rFonts w:cs="Calibri"/>
          <w:noProof/>
          <w:lang w:val="sq-AL"/>
        </w:rPr>
        <w:t>12</w:t>
      </w:r>
      <w:r w:rsidR="00C87F41" w:rsidRPr="00476D2E">
        <w:rPr>
          <w:rFonts w:cs="Calibri"/>
          <w:noProof/>
          <w:lang w:val="sq-AL"/>
        </w:rPr>
        <w:fldChar w:fldCharType="end"/>
      </w:r>
      <w:r w:rsidRPr="00476D2E">
        <w:rPr>
          <w:rFonts w:cs="Calibri"/>
          <w:lang w:val="sq-AL"/>
        </w:rPr>
        <w:t xml:space="preserve"> T</w:t>
      </w:r>
      <w:r w:rsidR="00C33B16" w:rsidRPr="00476D2E">
        <w:rPr>
          <w:rFonts w:cs="Calibri"/>
          <w:lang w:val="sq-AL"/>
        </w:rPr>
        <w:t>ë</w:t>
      </w:r>
      <w:r w:rsidRPr="00476D2E">
        <w:rPr>
          <w:rFonts w:cs="Calibri"/>
          <w:lang w:val="sq-AL"/>
        </w:rPr>
        <w:t xml:space="preserve"> ardhurat doganore, </w:t>
      </w:r>
      <w:r w:rsidR="001916CC" w:rsidRPr="00476D2E">
        <w:rPr>
          <w:rFonts w:cs="Calibri"/>
          <w:lang w:val="sq-AL"/>
        </w:rPr>
        <w:t>r</w:t>
      </w:r>
      <w:r w:rsidR="00086626" w:rsidRPr="00476D2E">
        <w:rPr>
          <w:rFonts w:cs="Calibri"/>
          <w:lang w:val="sq-AL"/>
        </w:rPr>
        <w:t>ë</w:t>
      </w:r>
      <w:r w:rsidR="001916CC" w:rsidRPr="00476D2E">
        <w:rPr>
          <w:rFonts w:cs="Calibri"/>
          <w:lang w:val="sq-AL"/>
        </w:rPr>
        <w:t xml:space="preserve">nia </w:t>
      </w:r>
      <w:r w:rsidR="00551EC1" w:rsidRPr="00476D2E">
        <w:rPr>
          <w:rFonts w:cs="Calibri"/>
          <w:lang w:val="sq-AL"/>
        </w:rPr>
        <w:t xml:space="preserve">vjetore </w:t>
      </w:r>
      <w:r w:rsidRPr="00476D2E">
        <w:rPr>
          <w:rFonts w:cs="Calibri"/>
          <w:lang w:val="sq-AL"/>
        </w:rPr>
        <w:t xml:space="preserve">sipas </w:t>
      </w:r>
      <w:r w:rsidR="00551EC1" w:rsidRPr="00476D2E">
        <w:rPr>
          <w:rFonts w:cs="Calibri"/>
          <w:lang w:val="sq-AL"/>
        </w:rPr>
        <w:t>llojit t</w:t>
      </w:r>
      <w:r w:rsidR="00086626" w:rsidRPr="00476D2E">
        <w:rPr>
          <w:rFonts w:cs="Calibri"/>
          <w:lang w:val="sq-AL"/>
        </w:rPr>
        <w:t>ë</w:t>
      </w:r>
      <w:r w:rsidR="00551EC1" w:rsidRPr="00476D2E">
        <w:rPr>
          <w:rFonts w:cs="Calibri"/>
          <w:lang w:val="sq-AL"/>
        </w:rPr>
        <w:t xml:space="preserve"> taksave 202</w:t>
      </w:r>
      <w:r w:rsidR="00D76212">
        <w:rPr>
          <w:rFonts w:cs="Calibri"/>
          <w:lang w:val="sq-AL"/>
        </w:rPr>
        <w:t>1</w:t>
      </w:r>
      <w:r w:rsidR="00551EC1" w:rsidRPr="00476D2E">
        <w:rPr>
          <w:rFonts w:cs="Calibri"/>
          <w:lang w:val="sq-AL"/>
        </w:rPr>
        <w:t xml:space="preserve"> - 20</w:t>
      </w:r>
      <w:r w:rsidR="00D76212">
        <w:rPr>
          <w:rFonts w:cs="Calibri"/>
          <w:lang w:val="sq-AL"/>
        </w:rPr>
        <w:t>20</w:t>
      </w:r>
      <w:r w:rsidR="00551EC1" w:rsidRPr="00476D2E">
        <w:rPr>
          <w:rFonts w:cs="Calibri"/>
          <w:lang w:val="sq-AL"/>
        </w:rPr>
        <w:t xml:space="preserve"> </w:t>
      </w:r>
      <w:r w:rsidRPr="00476D2E">
        <w:rPr>
          <w:rFonts w:cs="Calibri"/>
          <w:lang w:val="sq-AL"/>
        </w:rPr>
        <w:t>(n</w:t>
      </w:r>
      <w:r w:rsidR="00C33B16" w:rsidRPr="00476D2E">
        <w:rPr>
          <w:rFonts w:cs="Calibri"/>
          <w:lang w:val="sq-AL"/>
        </w:rPr>
        <w:t>ë</w:t>
      </w:r>
      <w:r w:rsidRPr="00476D2E">
        <w:rPr>
          <w:rFonts w:cs="Calibri"/>
          <w:lang w:val="sq-AL"/>
        </w:rPr>
        <w:t xml:space="preserve"> milion</w:t>
      </w:r>
      <w:r w:rsidR="00C33B16" w:rsidRPr="00476D2E">
        <w:rPr>
          <w:rFonts w:cs="Calibri"/>
          <w:lang w:val="sq-AL"/>
        </w:rPr>
        <w:t>ë</w:t>
      </w:r>
      <w:r w:rsidRPr="00476D2E">
        <w:rPr>
          <w:rFonts w:cs="Calibri"/>
          <w:lang w:val="sq-AL"/>
        </w:rPr>
        <w:t xml:space="preserve"> lek</w:t>
      </w:r>
      <w:r w:rsidR="00C33B16" w:rsidRPr="00476D2E">
        <w:rPr>
          <w:rFonts w:cs="Calibri"/>
          <w:lang w:val="sq-AL"/>
        </w:rPr>
        <w:t>ë</w:t>
      </w:r>
      <w:r w:rsidRPr="00476D2E">
        <w:rPr>
          <w:rFonts w:cs="Calibri"/>
          <w:lang w:val="sq-AL"/>
        </w:rPr>
        <w:t>)</w:t>
      </w:r>
      <w:bookmarkEnd w:id="84"/>
    </w:p>
    <w:p w:rsidR="006D2CC4" w:rsidRPr="00476D2E" w:rsidRDefault="009A63FB" w:rsidP="00C16FCE">
      <w:pPr>
        <w:spacing w:before="0" w:line="240" w:lineRule="auto"/>
        <w:jc w:val="center"/>
        <w:rPr>
          <w:rFonts w:cs="Calibri"/>
          <w:i/>
          <w:noProof/>
          <w:sz w:val="20"/>
          <w:lang w:val="sq-AL"/>
        </w:rPr>
      </w:pPr>
      <w:r w:rsidRPr="00675507">
        <w:rPr>
          <w:rFonts w:cs="Calibri"/>
          <w:noProof/>
        </w:rPr>
        <w:drawing>
          <wp:inline distT="0" distB="0" distL="0" distR="0" wp14:anchorId="3B54942C" wp14:editId="36C53380">
            <wp:extent cx="6296025" cy="1432560"/>
            <wp:effectExtent l="0" t="0" r="9525" b="15240"/>
            <wp:docPr id="55" name="Chart 55">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CECA93-E5D4-4868-95B4-864FFD340C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D2CC4" w:rsidRPr="00476D2E" w:rsidRDefault="000661E2" w:rsidP="00F04A00">
      <w:pPr>
        <w:spacing w:before="0"/>
        <w:ind w:firstLine="720"/>
        <w:rPr>
          <w:rFonts w:cs="Calibri"/>
          <w:i/>
          <w:sz w:val="18"/>
          <w:szCs w:val="18"/>
          <w:lang w:val="sq-AL"/>
        </w:rPr>
      </w:pPr>
      <w:r>
        <w:rPr>
          <w:rFonts w:cs="Calibri"/>
          <w:i/>
          <w:sz w:val="18"/>
          <w:szCs w:val="18"/>
          <w:lang w:val="sq-AL"/>
        </w:rPr>
        <w:t>Burimi: Ministria e Financave dhe Ekonomisë (2022)</w:t>
      </w:r>
    </w:p>
    <w:p w:rsidR="006C653F" w:rsidRPr="00476D2E" w:rsidRDefault="00F04A00" w:rsidP="006C653F">
      <w:pPr>
        <w:spacing w:before="240"/>
        <w:rPr>
          <w:rFonts w:cs="Calibri"/>
          <w:noProof/>
          <w:lang w:val="sq-AL"/>
        </w:rPr>
      </w:pPr>
      <w:r w:rsidRPr="00476D2E">
        <w:rPr>
          <w:rFonts w:cs="Calibri"/>
          <w:lang w:val="sq-AL"/>
        </w:rPr>
        <w:t xml:space="preserve">Të ardhurat nga </w:t>
      </w:r>
      <w:r w:rsidRPr="00476D2E">
        <w:rPr>
          <w:rFonts w:cs="Calibri"/>
          <w:b/>
          <w:bCs/>
          <w:lang w:val="sq-AL"/>
        </w:rPr>
        <w:t>Administrata tatimore</w:t>
      </w:r>
      <w:r w:rsidRPr="00476D2E">
        <w:rPr>
          <w:rFonts w:cs="Calibri"/>
          <w:lang w:val="sq-AL"/>
        </w:rPr>
        <w:t xml:space="preserve"> (përfshirë kontributet) rezultojnë </w:t>
      </w:r>
      <w:r>
        <w:rPr>
          <w:rFonts w:cs="Calibri"/>
          <w:lang w:val="sq-AL"/>
        </w:rPr>
        <w:t>251.5</w:t>
      </w:r>
      <w:r w:rsidRPr="00476D2E">
        <w:rPr>
          <w:rFonts w:cs="Calibri"/>
          <w:lang w:val="sq-AL"/>
        </w:rPr>
        <w:t xml:space="preserve"> miliardë lekë nga </w:t>
      </w:r>
      <w:r>
        <w:rPr>
          <w:rFonts w:cs="Calibri"/>
          <w:lang w:val="sq-AL"/>
        </w:rPr>
        <w:t>219.7</w:t>
      </w:r>
      <w:r w:rsidRPr="00476D2E">
        <w:rPr>
          <w:rFonts w:cs="Calibri"/>
          <w:lang w:val="sq-AL"/>
        </w:rPr>
        <w:t xml:space="preserve"> miliardë lekë të një viti më parë, me një r</w:t>
      </w:r>
      <w:r>
        <w:rPr>
          <w:rFonts w:cs="Calibri"/>
          <w:lang w:val="sq-AL"/>
        </w:rPr>
        <w:t>ritje</w:t>
      </w:r>
      <w:r w:rsidRPr="00476D2E">
        <w:rPr>
          <w:rFonts w:cs="Calibri"/>
          <w:lang w:val="sq-AL"/>
        </w:rPr>
        <w:t xml:space="preserve"> </w:t>
      </w:r>
      <w:r>
        <w:rPr>
          <w:rFonts w:cs="Calibri"/>
          <w:lang w:val="sq-AL"/>
        </w:rPr>
        <w:t>vjetore prej 14.5</w:t>
      </w:r>
      <w:r w:rsidRPr="00476D2E">
        <w:rPr>
          <w:rFonts w:cs="Calibri"/>
          <w:lang w:val="sq-AL"/>
        </w:rPr>
        <w:t xml:space="preserve"> </w:t>
      </w:r>
      <w:r>
        <w:rPr>
          <w:rFonts w:cs="Calibri"/>
          <w:lang w:val="sq-AL"/>
        </w:rPr>
        <w:t>përqind</w:t>
      </w:r>
      <w:r w:rsidRPr="00476D2E">
        <w:rPr>
          <w:rFonts w:cs="Calibri"/>
          <w:lang w:val="sq-AL"/>
        </w:rPr>
        <w:t xml:space="preserve"> ose </w:t>
      </w:r>
      <w:r>
        <w:rPr>
          <w:rFonts w:cs="Calibri"/>
          <w:lang w:val="sq-AL"/>
        </w:rPr>
        <w:t>31.8</w:t>
      </w:r>
      <w:r w:rsidRPr="00476D2E">
        <w:rPr>
          <w:rFonts w:cs="Calibri"/>
          <w:lang w:val="sq-AL"/>
        </w:rPr>
        <w:t xml:space="preserve"> miliardë lekë më </w:t>
      </w:r>
      <w:r>
        <w:rPr>
          <w:rFonts w:cs="Calibri"/>
          <w:lang w:val="sq-AL"/>
        </w:rPr>
        <w:t>shum</w:t>
      </w:r>
      <w:r w:rsidRPr="00C37940">
        <w:rPr>
          <w:rFonts w:ascii="Times New Roman" w:hAnsi="Times New Roman"/>
          <w:lang w:val="sq-AL"/>
        </w:rPr>
        <w:t>ë</w:t>
      </w:r>
      <w:r w:rsidRPr="00476D2E">
        <w:rPr>
          <w:rFonts w:cs="Calibri"/>
          <w:lang w:val="sq-AL"/>
        </w:rPr>
        <w:t xml:space="preserve">. Edhe të ardhurat nga kontributet e sigurimeve shoqërore dhe shëndetësore të mbledhura nga DPT kanë pësuar </w:t>
      </w:r>
      <w:r>
        <w:rPr>
          <w:rFonts w:cs="Calibri"/>
          <w:lang w:val="sq-AL"/>
        </w:rPr>
        <w:t>rritje</w:t>
      </w:r>
      <w:r w:rsidRPr="00476D2E">
        <w:rPr>
          <w:rFonts w:cs="Calibri"/>
          <w:lang w:val="sq-AL"/>
        </w:rPr>
        <w:t xml:space="preserve"> mbi baza vjetore, prej </w:t>
      </w:r>
      <w:r>
        <w:rPr>
          <w:rFonts w:cs="Calibri"/>
          <w:lang w:val="sq-AL"/>
        </w:rPr>
        <w:t>2.9 miliard</w:t>
      </w:r>
      <w:r w:rsidRPr="00476D2E">
        <w:rPr>
          <w:rFonts w:cs="Calibri"/>
          <w:lang w:val="sq-AL"/>
        </w:rPr>
        <w:t xml:space="preserve">ë lekësh. Krahasuar me të dhënat e një viti më parë, pothuajse të gjitha llojet e të ardhurave tatimore kanë pasur një tendencë në </w:t>
      </w:r>
      <w:r>
        <w:rPr>
          <w:rFonts w:cs="Calibri"/>
          <w:lang w:val="sq-AL"/>
        </w:rPr>
        <w:t>rritje</w:t>
      </w:r>
      <w:r w:rsidRPr="00476D2E">
        <w:rPr>
          <w:rFonts w:cs="Calibri"/>
          <w:lang w:val="sq-AL"/>
        </w:rPr>
        <w:t>, në krahasim me buxhetin fille</w:t>
      </w:r>
      <w:r>
        <w:rPr>
          <w:rFonts w:cs="Calibri"/>
          <w:lang w:val="sq-AL"/>
        </w:rPr>
        <w:t>star 2021</w:t>
      </w:r>
      <w:r w:rsidRPr="00476D2E">
        <w:rPr>
          <w:rFonts w:cs="Calibri"/>
          <w:lang w:val="sq-AL"/>
        </w:rPr>
        <w:t xml:space="preserve"> dh</w:t>
      </w:r>
      <w:r>
        <w:rPr>
          <w:rFonts w:cs="Calibri"/>
          <w:lang w:val="sq-AL"/>
        </w:rPr>
        <w:t>e realizimin e një viti më</w:t>
      </w:r>
      <w:r w:rsidRPr="00476D2E">
        <w:rPr>
          <w:rFonts w:cs="Calibri"/>
          <w:lang w:val="sq-AL"/>
        </w:rPr>
        <w:t>parë</w:t>
      </w:r>
      <w:r w:rsidR="006C653F" w:rsidRPr="00476D2E">
        <w:rPr>
          <w:rFonts w:cs="Calibri"/>
          <w:noProof/>
          <w:lang w:val="sq-AL"/>
        </w:rPr>
        <w:t xml:space="preserve">. </w:t>
      </w:r>
    </w:p>
    <w:p w:rsidR="00450CD8" w:rsidRPr="00476D2E" w:rsidRDefault="00450CD8" w:rsidP="00FD59D8">
      <w:pPr>
        <w:pStyle w:val="Caption"/>
        <w:keepNext/>
        <w:spacing w:before="240" w:after="0"/>
        <w:rPr>
          <w:rFonts w:cs="Calibri"/>
          <w:lang w:val="sq-AL"/>
        </w:rPr>
      </w:pPr>
      <w:bookmarkStart w:id="85" w:name="_Toc104984032"/>
      <w:r w:rsidRPr="00476D2E">
        <w:rPr>
          <w:rFonts w:cs="Calibri"/>
          <w:lang w:val="sq-AL"/>
        </w:rPr>
        <w:lastRenderedPageBreak/>
        <w:t xml:space="preserve">Grafiku </w:t>
      </w:r>
      <w:r w:rsidR="00C87F41" w:rsidRPr="00476D2E">
        <w:rPr>
          <w:rFonts w:cs="Calibri"/>
          <w:noProof/>
          <w:lang w:val="sq-AL"/>
        </w:rPr>
        <w:fldChar w:fldCharType="begin"/>
      </w:r>
      <w:r w:rsidR="00C87F41" w:rsidRPr="00476D2E">
        <w:rPr>
          <w:rFonts w:cs="Calibri"/>
          <w:noProof/>
          <w:lang w:val="sq-AL"/>
        </w:rPr>
        <w:instrText xml:space="preserve"> SEQ Grafiku \* ARABIC </w:instrText>
      </w:r>
      <w:r w:rsidR="00C87F41" w:rsidRPr="00476D2E">
        <w:rPr>
          <w:rFonts w:cs="Calibri"/>
          <w:noProof/>
          <w:lang w:val="sq-AL"/>
        </w:rPr>
        <w:fldChar w:fldCharType="separate"/>
      </w:r>
      <w:r w:rsidR="00FE66EC">
        <w:rPr>
          <w:rFonts w:cs="Calibri"/>
          <w:noProof/>
          <w:lang w:val="sq-AL"/>
        </w:rPr>
        <w:t>13</w:t>
      </w:r>
      <w:r w:rsidR="00C87F41" w:rsidRPr="00476D2E">
        <w:rPr>
          <w:rFonts w:cs="Calibri"/>
          <w:noProof/>
          <w:lang w:val="sq-AL"/>
        </w:rPr>
        <w:fldChar w:fldCharType="end"/>
      </w:r>
      <w:r w:rsidRPr="00476D2E">
        <w:rPr>
          <w:rFonts w:cs="Calibri"/>
          <w:lang w:val="sq-AL"/>
        </w:rPr>
        <w:t xml:space="preserve"> T</w:t>
      </w:r>
      <w:r w:rsidR="00C33B16" w:rsidRPr="00476D2E">
        <w:rPr>
          <w:rFonts w:cs="Calibri"/>
          <w:lang w:val="sq-AL"/>
        </w:rPr>
        <w:t>ë</w:t>
      </w:r>
      <w:r w:rsidRPr="00476D2E">
        <w:rPr>
          <w:rFonts w:cs="Calibri"/>
          <w:lang w:val="sq-AL"/>
        </w:rPr>
        <w:t xml:space="preserve"> ardhurat tatimore, </w:t>
      </w:r>
      <w:r w:rsidR="00AC51AD" w:rsidRPr="00476D2E">
        <w:rPr>
          <w:rFonts w:cs="Calibri"/>
          <w:lang w:val="sq-AL"/>
        </w:rPr>
        <w:t>r</w:t>
      </w:r>
      <w:r w:rsidR="00086626" w:rsidRPr="00476D2E">
        <w:rPr>
          <w:rFonts w:cs="Calibri"/>
          <w:lang w:val="sq-AL"/>
        </w:rPr>
        <w:t>ë</w:t>
      </w:r>
      <w:r w:rsidR="00AC51AD" w:rsidRPr="00476D2E">
        <w:rPr>
          <w:rFonts w:cs="Calibri"/>
          <w:lang w:val="sq-AL"/>
        </w:rPr>
        <w:t xml:space="preserve">nia vjetore </w:t>
      </w:r>
      <w:r w:rsidRPr="00476D2E">
        <w:rPr>
          <w:rFonts w:cs="Calibri"/>
          <w:lang w:val="sq-AL"/>
        </w:rPr>
        <w:t xml:space="preserve">sipas </w:t>
      </w:r>
      <w:r w:rsidR="00AC51AD" w:rsidRPr="00476D2E">
        <w:rPr>
          <w:rFonts w:cs="Calibri"/>
          <w:lang w:val="sq-AL"/>
        </w:rPr>
        <w:t>llojit t</w:t>
      </w:r>
      <w:r w:rsidR="00C33B16" w:rsidRPr="00476D2E">
        <w:rPr>
          <w:rFonts w:cs="Calibri"/>
          <w:lang w:val="sq-AL"/>
        </w:rPr>
        <w:t>ë</w:t>
      </w:r>
      <w:r w:rsidRPr="00476D2E">
        <w:rPr>
          <w:rFonts w:cs="Calibri"/>
          <w:lang w:val="sq-AL"/>
        </w:rPr>
        <w:t xml:space="preserve"> taksave (n</w:t>
      </w:r>
      <w:r w:rsidR="00C33B16" w:rsidRPr="00476D2E">
        <w:rPr>
          <w:rFonts w:cs="Calibri"/>
          <w:lang w:val="sq-AL"/>
        </w:rPr>
        <w:t>ë</w:t>
      </w:r>
      <w:r w:rsidRPr="00476D2E">
        <w:rPr>
          <w:rFonts w:cs="Calibri"/>
          <w:lang w:val="sq-AL"/>
        </w:rPr>
        <w:t xml:space="preserve"> milion</w:t>
      </w:r>
      <w:r w:rsidR="00C33B16" w:rsidRPr="00476D2E">
        <w:rPr>
          <w:rFonts w:cs="Calibri"/>
          <w:lang w:val="sq-AL"/>
        </w:rPr>
        <w:t>ë</w:t>
      </w:r>
      <w:r w:rsidRPr="00476D2E">
        <w:rPr>
          <w:rFonts w:cs="Calibri"/>
          <w:lang w:val="sq-AL"/>
        </w:rPr>
        <w:t xml:space="preserve"> lek</w:t>
      </w:r>
      <w:r w:rsidR="00C33B16" w:rsidRPr="00476D2E">
        <w:rPr>
          <w:rFonts w:cs="Calibri"/>
          <w:lang w:val="sq-AL"/>
        </w:rPr>
        <w:t>ë</w:t>
      </w:r>
      <w:r w:rsidRPr="00476D2E">
        <w:rPr>
          <w:rFonts w:cs="Calibri"/>
          <w:lang w:val="sq-AL"/>
        </w:rPr>
        <w:t>)</w:t>
      </w:r>
      <w:bookmarkEnd w:id="85"/>
    </w:p>
    <w:p w:rsidR="006D2CC4" w:rsidRPr="00476D2E" w:rsidRDefault="00675507" w:rsidP="006E3070">
      <w:pPr>
        <w:spacing w:before="0"/>
        <w:jc w:val="center"/>
        <w:rPr>
          <w:rFonts w:cs="Calibri"/>
          <w:noProof/>
          <w:lang w:val="sq-AL"/>
        </w:rPr>
      </w:pPr>
      <w:r>
        <w:rPr>
          <w:noProof/>
        </w:rPr>
        <w:drawing>
          <wp:inline distT="0" distB="0" distL="0" distR="0" wp14:anchorId="46559555" wp14:editId="5C4EC3EE">
            <wp:extent cx="6353175" cy="1394460"/>
            <wp:effectExtent l="0" t="0" r="9525" b="15240"/>
            <wp:docPr id="56" name="Chart 5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xmlns:arto="http://schemas.microsoft.com/office/word/2006/arto" id="{0B876103-0F55-4292-8478-F19E3A16BC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D2CC4" w:rsidRPr="00476D2E" w:rsidRDefault="000661E2" w:rsidP="00F04A00">
      <w:pPr>
        <w:spacing w:before="0"/>
        <w:ind w:firstLine="720"/>
        <w:rPr>
          <w:rFonts w:cs="Calibri"/>
          <w:i/>
          <w:sz w:val="18"/>
          <w:szCs w:val="18"/>
          <w:lang w:val="sq-AL"/>
        </w:rPr>
      </w:pPr>
      <w:r>
        <w:rPr>
          <w:rFonts w:cs="Calibri"/>
          <w:i/>
          <w:sz w:val="18"/>
          <w:szCs w:val="18"/>
          <w:lang w:val="sq-AL"/>
        </w:rPr>
        <w:t>Burimi: Ministria e Financave dhe Ekonomisë (2022)</w:t>
      </w:r>
    </w:p>
    <w:p w:rsidR="002464D3" w:rsidRPr="00476D2E" w:rsidRDefault="00F04A00" w:rsidP="002464D3">
      <w:pPr>
        <w:spacing w:before="240"/>
        <w:rPr>
          <w:rFonts w:cs="Calibri"/>
          <w:lang w:val="sq-AL"/>
        </w:rPr>
      </w:pPr>
      <w:r w:rsidRPr="00A51A92">
        <w:rPr>
          <w:rFonts w:cs="Calibri"/>
          <w:lang w:val="sq-AL"/>
        </w:rPr>
        <w:t xml:space="preserve">Nga të dhënat për 12-mujorin 2021, lidhur me kontributin e sektorëve të ekonomisë në totalin e të ardhurave nga administrata tatimore rezulton se peshën kryesore e zë sektori i “Shërbimit” përkatësisht me 32 </w:t>
      </w:r>
      <w:r>
        <w:rPr>
          <w:rFonts w:cs="Calibri"/>
          <w:lang w:val="sq-AL"/>
        </w:rPr>
        <w:t>përqind</w:t>
      </w:r>
      <w:r w:rsidRPr="00A51A92">
        <w:rPr>
          <w:rFonts w:cs="Calibri"/>
          <w:lang w:val="sq-AL"/>
        </w:rPr>
        <w:t xml:space="preserve">, sektori i “Tregtisë”, përkatësisht 30.5 </w:t>
      </w:r>
      <w:r>
        <w:rPr>
          <w:rFonts w:cs="Calibri"/>
          <w:lang w:val="sq-AL"/>
        </w:rPr>
        <w:t>përqind</w:t>
      </w:r>
      <w:r w:rsidRPr="00A51A92">
        <w:rPr>
          <w:rFonts w:cs="Calibri"/>
          <w:lang w:val="sq-AL"/>
        </w:rPr>
        <w:t xml:space="preserve"> dhe sektori i “Prodhimit” përkatësisht me 20.8 </w:t>
      </w:r>
      <w:r>
        <w:rPr>
          <w:rFonts w:cs="Calibri"/>
          <w:lang w:val="sq-AL"/>
        </w:rPr>
        <w:t>përqind</w:t>
      </w:r>
      <w:r w:rsidR="002464D3" w:rsidRPr="00476D2E">
        <w:rPr>
          <w:rFonts w:cs="Calibri"/>
          <w:lang w:val="sq-AL"/>
        </w:rPr>
        <w:t xml:space="preserve">. </w:t>
      </w:r>
    </w:p>
    <w:p w:rsidR="00450CD8" w:rsidRPr="00476D2E" w:rsidRDefault="00450CD8" w:rsidP="00FD59D8">
      <w:pPr>
        <w:pStyle w:val="Caption"/>
        <w:keepNext/>
        <w:spacing w:after="0"/>
        <w:rPr>
          <w:rFonts w:cs="Calibri"/>
          <w:lang w:val="sq-AL"/>
        </w:rPr>
      </w:pPr>
      <w:bookmarkStart w:id="86" w:name="_Toc104984033"/>
      <w:r w:rsidRPr="00476D2E">
        <w:rPr>
          <w:rFonts w:cs="Calibri"/>
          <w:lang w:val="sq-AL"/>
        </w:rPr>
        <w:t xml:space="preserve">Grafiku </w:t>
      </w:r>
      <w:r w:rsidR="00C87F41" w:rsidRPr="00476D2E">
        <w:rPr>
          <w:rFonts w:cs="Calibri"/>
          <w:noProof/>
          <w:lang w:val="sq-AL"/>
        </w:rPr>
        <w:fldChar w:fldCharType="begin"/>
      </w:r>
      <w:r w:rsidR="00C87F41" w:rsidRPr="00476D2E">
        <w:rPr>
          <w:rFonts w:cs="Calibri"/>
          <w:noProof/>
          <w:lang w:val="sq-AL"/>
        </w:rPr>
        <w:instrText xml:space="preserve"> SEQ Grafiku \* ARABIC </w:instrText>
      </w:r>
      <w:r w:rsidR="00C87F41" w:rsidRPr="00476D2E">
        <w:rPr>
          <w:rFonts w:cs="Calibri"/>
          <w:noProof/>
          <w:lang w:val="sq-AL"/>
        </w:rPr>
        <w:fldChar w:fldCharType="separate"/>
      </w:r>
      <w:r w:rsidR="00FE66EC">
        <w:rPr>
          <w:rFonts w:cs="Calibri"/>
          <w:noProof/>
          <w:lang w:val="sq-AL"/>
        </w:rPr>
        <w:t>14</w:t>
      </w:r>
      <w:r w:rsidR="00C87F41" w:rsidRPr="00476D2E">
        <w:rPr>
          <w:rFonts w:cs="Calibri"/>
          <w:noProof/>
          <w:lang w:val="sq-AL"/>
        </w:rPr>
        <w:fldChar w:fldCharType="end"/>
      </w:r>
      <w:r w:rsidRPr="00476D2E">
        <w:rPr>
          <w:rFonts w:cs="Calibri"/>
          <w:lang w:val="sq-AL"/>
        </w:rPr>
        <w:t xml:space="preserve"> T</w:t>
      </w:r>
      <w:r w:rsidR="00C33B16" w:rsidRPr="00476D2E">
        <w:rPr>
          <w:rFonts w:cs="Calibri"/>
          <w:lang w:val="sq-AL"/>
        </w:rPr>
        <w:t>ë</w:t>
      </w:r>
      <w:r w:rsidRPr="00476D2E">
        <w:rPr>
          <w:rFonts w:cs="Calibri"/>
          <w:lang w:val="sq-AL"/>
        </w:rPr>
        <w:t xml:space="preserve"> ardhurat tatimore, sipas sektor</w:t>
      </w:r>
      <w:r w:rsidR="00C33B16" w:rsidRPr="00476D2E">
        <w:rPr>
          <w:rFonts w:cs="Calibri"/>
          <w:lang w:val="sq-AL"/>
        </w:rPr>
        <w:t>ë</w:t>
      </w:r>
      <w:r w:rsidRPr="00476D2E">
        <w:rPr>
          <w:rFonts w:cs="Calibri"/>
          <w:lang w:val="sq-AL"/>
        </w:rPr>
        <w:t>ve (n</w:t>
      </w:r>
      <w:r w:rsidR="00C33B16" w:rsidRPr="00476D2E">
        <w:rPr>
          <w:rFonts w:cs="Calibri"/>
          <w:lang w:val="sq-AL"/>
        </w:rPr>
        <w:t>ë</w:t>
      </w:r>
      <w:r w:rsidRPr="00476D2E">
        <w:rPr>
          <w:rFonts w:cs="Calibri"/>
          <w:lang w:val="sq-AL"/>
        </w:rPr>
        <w:t xml:space="preserve"> %)</w:t>
      </w:r>
      <w:bookmarkEnd w:id="86"/>
    </w:p>
    <w:p w:rsidR="001F28BA" w:rsidRPr="00476D2E" w:rsidRDefault="004C380C" w:rsidP="006E3070">
      <w:pPr>
        <w:spacing w:before="0"/>
        <w:jc w:val="center"/>
        <w:rPr>
          <w:rFonts w:cs="Calibri"/>
          <w:i/>
          <w:sz w:val="18"/>
          <w:szCs w:val="18"/>
          <w:lang w:val="sq-AL"/>
        </w:rPr>
      </w:pPr>
      <w:r w:rsidRPr="00476D2E">
        <w:rPr>
          <w:rFonts w:cs="Calibri"/>
          <w:noProof/>
        </w:rPr>
        <w:drawing>
          <wp:inline distT="0" distB="0" distL="0" distR="0" wp14:anchorId="54BF6A6F" wp14:editId="4E631085">
            <wp:extent cx="6515100" cy="2164080"/>
            <wp:effectExtent l="0" t="0" r="0" b="762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D2CC4" w:rsidRDefault="000661E2" w:rsidP="00F04A00">
      <w:pPr>
        <w:spacing w:before="0"/>
        <w:ind w:firstLine="360"/>
        <w:rPr>
          <w:rFonts w:cs="Calibri"/>
          <w:i/>
          <w:sz w:val="18"/>
          <w:szCs w:val="18"/>
          <w:lang w:val="sq-AL"/>
        </w:rPr>
      </w:pPr>
      <w:r>
        <w:rPr>
          <w:rFonts w:cs="Calibri"/>
          <w:i/>
          <w:sz w:val="18"/>
          <w:szCs w:val="18"/>
          <w:lang w:val="sq-AL"/>
        </w:rPr>
        <w:t>Burimi: Ministria e Financave dhe Ekonomisë (2022)</w:t>
      </w:r>
    </w:p>
    <w:p w:rsidR="00F04A00" w:rsidRDefault="00F04A00" w:rsidP="0055755A">
      <w:pPr>
        <w:spacing w:before="0"/>
        <w:rPr>
          <w:rFonts w:cs="Calibri"/>
          <w:i/>
          <w:sz w:val="18"/>
          <w:szCs w:val="18"/>
          <w:lang w:val="sq-AL"/>
        </w:rPr>
      </w:pPr>
    </w:p>
    <w:p w:rsidR="00F04A00" w:rsidRPr="00476D2E" w:rsidRDefault="00F04A00" w:rsidP="0055755A">
      <w:pPr>
        <w:spacing w:before="0"/>
        <w:rPr>
          <w:rFonts w:cs="Calibri"/>
          <w:i/>
          <w:sz w:val="18"/>
          <w:szCs w:val="18"/>
          <w:lang w:val="sq-AL"/>
        </w:rPr>
      </w:pPr>
    </w:p>
    <w:p w:rsidR="006D2CC4" w:rsidRDefault="006D2CC4" w:rsidP="00B77671">
      <w:pPr>
        <w:pStyle w:val="Fiskale2"/>
        <w:rPr>
          <w:rFonts w:ascii="Calibri" w:hAnsi="Calibri" w:cs="Calibri"/>
        </w:rPr>
      </w:pPr>
      <w:bookmarkStart w:id="87" w:name="_Toc10033274"/>
      <w:bookmarkStart w:id="88" w:name="_Toc10721411"/>
      <w:bookmarkStart w:id="89" w:name="_Toc104980329"/>
      <w:r w:rsidRPr="00476D2E">
        <w:rPr>
          <w:rFonts w:ascii="Calibri" w:hAnsi="Calibri" w:cs="Calibri"/>
        </w:rPr>
        <w:t>Të ardhurat sipas taksave, tatimeve dhe burimeve të tjera</w:t>
      </w:r>
      <w:bookmarkEnd w:id="87"/>
      <w:bookmarkEnd w:id="88"/>
      <w:bookmarkEnd w:id="89"/>
    </w:p>
    <w:p w:rsidR="00F04A00" w:rsidRPr="00F04A00" w:rsidRDefault="00F04A00" w:rsidP="00F04A00">
      <w:pPr>
        <w:pStyle w:val="Fiskale2"/>
        <w:numPr>
          <w:ilvl w:val="0"/>
          <w:numId w:val="0"/>
        </w:numPr>
        <w:ind w:left="720" w:hanging="360"/>
        <w:rPr>
          <w:rFonts w:ascii="Calibri" w:hAnsi="Calibri" w:cs="Calibri"/>
          <w:sz w:val="8"/>
          <w:szCs w:val="8"/>
        </w:rPr>
      </w:pPr>
    </w:p>
    <w:p w:rsidR="006D2CC4" w:rsidRPr="00476D2E" w:rsidRDefault="006D2CC4" w:rsidP="00B77671">
      <w:pPr>
        <w:pStyle w:val="fiskale3"/>
        <w:rPr>
          <w:rFonts w:ascii="Calibri" w:hAnsi="Calibri" w:cs="Calibri"/>
        </w:rPr>
      </w:pPr>
      <w:bookmarkStart w:id="90" w:name="_Toc10033275"/>
      <w:bookmarkStart w:id="91" w:name="_Toc10721412"/>
      <w:bookmarkStart w:id="92" w:name="_Toc104980330"/>
      <w:r w:rsidRPr="00476D2E">
        <w:rPr>
          <w:rFonts w:ascii="Calibri" w:hAnsi="Calibri" w:cs="Calibri"/>
        </w:rPr>
        <w:t>Taksimi Indirekt</w:t>
      </w:r>
      <w:bookmarkEnd w:id="90"/>
      <w:bookmarkEnd w:id="91"/>
      <w:bookmarkEnd w:id="92"/>
    </w:p>
    <w:p w:rsidR="006D2CC4" w:rsidRPr="00476D2E" w:rsidRDefault="006D2CC4" w:rsidP="00F04A00">
      <w:pPr>
        <w:pStyle w:val="ListParagraph"/>
        <w:numPr>
          <w:ilvl w:val="0"/>
          <w:numId w:val="1"/>
        </w:numPr>
        <w:ind w:left="990" w:hanging="270"/>
        <w:rPr>
          <w:rFonts w:cs="Calibri"/>
          <w:i/>
          <w:noProof/>
          <w:u w:val="single"/>
          <w:lang w:val="sq-AL"/>
        </w:rPr>
      </w:pPr>
      <w:r w:rsidRPr="00476D2E">
        <w:rPr>
          <w:rFonts w:cs="Calibri"/>
          <w:i/>
          <w:noProof/>
          <w:u w:val="single"/>
          <w:lang w:val="sq-AL"/>
        </w:rPr>
        <w:t xml:space="preserve">Tatimi mbi </w:t>
      </w:r>
      <w:r w:rsidR="00AC51AD" w:rsidRPr="00476D2E">
        <w:rPr>
          <w:rFonts w:cs="Calibri"/>
          <w:i/>
          <w:noProof/>
          <w:u w:val="single"/>
          <w:lang w:val="sq-AL"/>
        </w:rPr>
        <w:t>v</w:t>
      </w:r>
      <w:r w:rsidRPr="00476D2E">
        <w:rPr>
          <w:rFonts w:cs="Calibri"/>
          <w:i/>
          <w:noProof/>
          <w:u w:val="single"/>
          <w:lang w:val="sq-AL"/>
        </w:rPr>
        <w:t xml:space="preserve">lerën e </w:t>
      </w:r>
      <w:r w:rsidR="00AC51AD" w:rsidRPr="00476D2E">
        <w:rPr>
          <w:rFonts w:cs="Calibri"/>
          <w:i/>
          <w:noProof/>
          <w:u w:val="single"/>
          <w:lang w:val="sq-AL"/>
        </w:rPr>
        <w:t>shtuar (TVSH)</w:t>
      </w:r>
    </w:p>
    <w:p w:rsidR="00DF0EA3" w:rsidRPr="008E5580" w:rsidRDefault="00DF0EA3" w:rsidP="00F04A00">
      <w:pPr>
        <w:spacing w:before="0"/>
        <w:rPr>
          <w:rFonts w:asciiTheme="majorHAnsi" w:hAnsiTheme="majorHAnsi" w:cstheme="majorHAnsi"/>
          <w:lang w:val="sq-AL"/>
        </w:rPr>
      </w:pPr>
      <w:r w:rsidRPr="008E5580">
        <w:rPr>
          <w:rFonts w:asciiTheme="majorHAnsi" w:hAnsiTheme="majorHAnsi" w:cstheme="majorHAnsi"/>
          <w:lang w:val="sq-AL"/>
        </w:rPr>
        <w:t xml:space="preserve">Të ardhurat nga T.V.SH qenë 161.5 miliardë lekë në vitin 2021, duke zënë sërish peshë të rëndësishme në të ardhurat buxhetore: 8.5 </w:t>
      </w:r>
      <w:r w:rsidR="008961B4">
        <w:rPr>
          <w:rFonts w:asciiTheme="majorHAnsi" w:hAnsiTheme="majorHAnsi" w:cstheme="majorHAnsi"/>
          <w:lang w:val="sq-AL"/>
        </w:rPr>
        <w:t>përqind</w:t>
      </w:r>
      <w:r w:rsidRPr="008E5580">
        <w:rPr>
          <w:rFonts w:asciiTheme="majorHAnsi" w:hAnsiTheme="majorHAnsi" w:cstheme="majorHAnsi"/>
          <w:lang w:val="sq-AL"/>
        </w:rPr>
        <w:t xml:space="preserve"> të Produktit të Brendshëm Bruto ose 36.4 </w:t>
      </w:r>
      <w:r w:rsidR="008961B4">
        <w:rPr>
          <w:rFonts w:asciiTheme="majorHAnsi" w:hAnsiTheme="majorHAnsi" w:cstheme="majorHAnsi"/>
          <w:lang w:val="sq-AL"/>
        </w:rPr>
        <w:t>përqind</w:t>
      </w:r>
      <w:r w:rsidRPr="008E5580">
        <w:rPr>
          <w:rFonts w:asciiTheme="majorHAnsi" w:hAnsiTheme="majorHAnsi" w:cstheme="majorHAnsi"/>
          <w:lang w:val="sq-AL"/>
        </w:rPr>
        <w:t xml:space="preserve"> të totalit të të ardhurave tatimore dhe doganore. Pesha e të ardhurave nga TVSH ndaj të ardhurave tatimore gjithsej në 2021 mbetet në të njëjtat nivele me parashikimin në buxhetin fillestar, por në terma nominalë realizimi ka qenë 1% më i lartë se buxheti fillestar dhe 23.9 </w:t>
      </w:r>
      <w:r w:rsidR="008961B4">
        <w:rPr>
          <w:rFonts w:asciiTheme="majorHAnsi" w:hAnsiTheme="majorHAnsi" w:cstheme="majorHAnsi"/>
          <w:lang w:val="sq-AL"/>
        </w:rPr>
        <w:t>përqind</w:t>
      </w:r>
      <w:r w:rsidRPr="008E5580">
        <w:rPr>
          <w:rFonts w:asciiTheme="majorHAnsi" w:hAnsiTheme="majorHAnsi" w:cstheme="majorHAnsi"/>
          <w:lang w:val="sq-AL"/>
        </w:rPr>
        <w:t xml:space="preserve"> ose 31.1 miliardë lekë më shumë se realizimi në vitin paraardhës.</w:t>
      </w:r>
      <w:r w:rsidR="00554F56">
        <w:rPr>
          <w:rFonts w:asciiTheme="majorHAnsi" w:hAnsiTheme="majorHAnsi" w:cstheme="majorHAnsi"/>
          <w:lang w:val="sq-AL"/>
        </w:rPr>
        <w:t xml:space="preserve"> </w:t>
      </w:r>
      <w:r w:rsidRPr="008E5580">
        <w:rPr>
          <w:rFonts w:asciiTheme="majorHAnsi" w:hAnsiTheme="majorHAnsi" w:cstheme="majorHAnsi"/>
          <w:lang w:val="sq-AL"/>
        </w:rPr>
        <w:t xml:space="preserve">Të ardhurat e mbledhura nga TVSH në import u realizuan në nivelin 131.3 miliardë lekë, me një realizim në masën 110.6 </w:t>
      </w:r>
      <w:r w:rsidR="008961B4">
        <w:rPr>
          <w:rFonts w:asciiTheme="majorHAnsi" w:hAnsiTheme="majorHAnsi" w:cstheme="majorHAnsi"/>
          <w:lang w:val="sq-AL"/>
        </w:rPr>
        <w:t>përqind</w:t>
      </w:r>
      <w:r w:rsidRPr="008E5580">
        <w:rPr>
          <w:rFonts w:asciiTheme="majorHAnsi" w:hAnsiTheme="majorHAnsi" w:cstheme="majorHAnsi"/>
          <w:lang w:val="sq-AL"/>
        </w:rPr>
        <w:t xml:space="preserve"> kundrejt planit të rishikuar dhe 130.2 </w:t>
      </w:r>
      <w:r w:rsidR="008961B4">
        <w:rPr>
          <w:rFonts w:asciiTheme="majorHAnsi" w:hAnsiTheme="majorHAnsi" w:cstheme="majorHAnsi"/>
          <w:lang w:val="sq-AL"/>
        </w:rPr>
        <w:t>përqind</w:t>
      </w:r>
      <w:r w:rsidRPr="008E5580">
        <w:rPr>
          <w:rFonts w:asciiTheme="majorHAnsi" w:hAnsiTheme="majorHAnsi" w:cstheme="majorHAnsi"/>
          <w:lang w:val="sq-AL"/>
        </w:rPr>
        <w:t xml:space="preserve"> kundrejt vitit të kaluar. Për këtë periudhë, të ardhurat nga TVSH-ja në doganë përbëjnë rreth 81.3 </w:t>
      </w:r>
      <w:r w:rsidR="008961B4">
        <w:rPr>
          <w:rFonts w:asciiTheme="majorHAnsi" w:hAnsiTheme="majorHAnsi" w:cstheme="majorHAnsi"/>
          <w:lang w:val="sq-AL"/>
        </w:rPr>
        <w:t>përqind</w:t>
      </w:r>
      <w:r w:rsidRPr="008E5580">
        <w:rPr>
          <w:rFonts w:asciiTheme="majorHAnsi" w:hAnsiTheme="majorHAnsi" w:cstheme="majorHAnsi"/>
          <w:lang w:val="sq-AL"/>
        </w:rPr>
        <w:t xml:space="preserve"> të të ardhurave totale nga TVSh-ja. Performanca e të ardhurave nga TVSH në import u ndikua nga:</w:t>
      </w:r>
      <w:r w:rsidRPr="008E5580">
        <w:rPr>
          <w:rFonts w:asciiTheme="majorHAnsi" w:hAnsiTheme="majorHAnsi" w:cstheme="majorHAnsi"/>
        </w:rPr>
        <w:t xml:space="preserve"> </w:t>
      </w:r>
    </w:p>
    <w:p w:rsidR="00DF0EA3" w:rsidRPr="008E5580" w:rsidRDefault="00DF0EA3" w:rsidP="00DF0EA3">
      <w:pPr>
        <w:numPr>
          <w:ilvl w:val="0"/>
          <w:numId w:val="2"/>
        </w:numPr>
        <w:ind w:left="540"/>
        <w:contextualSpacing/>
        <w:rPr>
          <w:rFonts w:asciiTheme="majorHAnsi" w:hAnsiTheme="majorHAnsi" w:cstheme="majorHAnsi"/>
          <w:bCs/>
          <w:iCs/>
          <w:lang w:val="sq-AL"/>
        </w:rPr>
      </w:pPr>
      <w:bookmarkStart w:id="93" w:name="_Toc515446553"/>
      <w:r w:rsidRPr="008E5580">
        <w:rPr>
          <w:rFonts w:asciiTheme="majorHAnsi" w:hAnsiTheme="majorHAnsi" w:cstheme="majorHAnsi"/>
          <w:bCs/>
          <w:iCs/>
          <w:lang w:val="sq-AL"/>
        </w:rPr>
        <w:t xml:space="preserve">Rritja e importeve te tatueshme me 7.2% kundrejt vitit paraardhës, me efekt negativ në të ardhura me vlerë -3.4 miliardë lekë. </w:t>
      </w:r>
    </w:p>
    <w:p w:rsidR="00DF0EA3" w:rsidRPr="008E5580" w:rsidRDefault="00DF0EA3" w:rsidP="00DF0EA3">
      <w:pPr>
        <w:numPr>
          <w:ilvl w:val="0"/>
          <w:numId w:val="2"/>
        </w:numPr>
        <w:ind w:left="540"/>
        <w:contextualSpacing/>
        <w:rPr>
          <w:rFonts w:asciiTheme="majorHAnsi" w:hAnsiTheme="majorHAnsi" w:cstheme="majorHAnsi"/>
          <w:bCs/>
          <w:iCs/>
          <w:lang w:val="sq-AL"/>
        </w:rPr>
      </w:pPr>
      <w:r w:rsidRPr="008E5580">
        <w:rPr>
          <w:rFonts w:asciiTheme="majorHAnsi" w:hAnsiTheme="majorHAnsi" w:cstheme="majorHAnsi"/>
          <w:bCs/>
          <w:iCs/>
          <w:lang w:val="sq-AL"/>
        </w:rPr>
        <w:lastRenderedPageBreak/>
        <w:t>Rritja e çmimit të mallrave te importit në tregjet ndërkombëtare krahasuar me vitin 2020, për disa artikuj me peshë në performancën e TVSH-së, si :</w:t>
      </w:r>
    </w:p>
    <w:p w:rsidR="00DF0EA3" w:rsidRPr="00EA51C8" w:rsidRDefault="00DF0EA3" w:rsidP="00EA51C8">
      <w:pPr>
        <w:numPr>
          <w:ilvl w:val="1"/>
          <w:numId w:val="2"/>
        </w:numPr>
        <w:ind w:left="990"/>
        <w:contextualSpacing/>
        <w:rPr>
          <w:rFonts w:asciiTheme="majorHAnsi" w:hAnsiTheme="majorHAnsi" w:cstheme="majorHAnsi"/>
          <w:bCs/>
          <w:i/>
          <w:iCs/>
          <w:lang w:val="sq-AL"/>
        </w:rPr>
      </w:pPr>
      <w:r w:rsidRPr="00EA51C8">
        <w:rPr>
          <w:rFonts w:asciiTheme="majorHAnsi" w:hAnsiTheme="majorHAnsi" w:cstheme="majorHAnsi"/>
          <w:bCs/>
          <w:i/>
          <w:iCs/>
          <w:lang w:val="sq-AL"/>
        </w:rPr>
        <w:t xml:space="preserve">rritja e çmimit të energjisë elektrike, duke dhënë efekt pozitiv prej 4.7 miliardë lekë ose 61.4 </w:t>
      </w:r>
      <w:r w:rsidR="008961B4">
        <w:rPr>
          <w:rFonts w:asciiTheme="majorHAnsi" w:hAnsiTheme="majorHAnsi" w:cstheme="majorHAnsi"/>
          <w:bCs/>
          <w:i/>
          <w:iCs/>
          <w:lang w:val="sq-AL"/>
        </w:rPr>
        <w:t>përqind</w:t>
      </w:r>
      <w:bookmarkEnd w:id="93"/>
    </w:p>
    <w:p w:rsidR="00DF0EA3" w:rsidRPr="00EA51C8" w:rsidRDefault="00DF0EA3" w:rsidP="00EA51C8">
      <w:pPr>
        <w:numPr>
          <w:ilvl w:val="1"/>
          <w:numId w:val="2"/>
        </w:numPr>
        <w:ind w:left="990"/>
        <w:contextualSpacing/>
        <w:rPr>
          <w:rFonts w:asciiTheme="majorHAnsi" w:hAnsiTheme="majorHAnsi" w:cstheme="majorHAnsi"/>
          <w:bCs/>
          <w:i/>
          <w:iCs/>
          <w:lang w:val="sq-AL"/>
        </w:rPr>
      </w:pPr>
      <w:r w:rsidRPr="00EA51C8">
        <w:rPr>
          <w:rFonts w:asciiTheme="majorHAnsi" w:hAnsiTheme="majorHAnsi" w:cstheme="majorHAnsi"/>
          <w:bCs/>
          <w:i/>
          <w:iCs/>
          <w:lang w:val="sq-AL"/>
        </w:rPr>
        <w:t xml:space="preserve">rritja e çmimit të karburantit të importit duke dhënë efekt pozitiv prej 4.2 miliardë lekë ose 30.8 </w:t>
      </w:r>
      <w:r w:rsidR="008961B4">
        <w:rPr>
          <w:rFonts w:asciiTheme="majorHAnsi" w:hAnsiTheme="majorHAnsi" w:cstheme="majorHAnsi"/>
          <w:bCs/>
          <w:i/>
          <w:iCs/>
          <w:lang w:val="sq-AL"/>
        </w:rPr>
        <w:t>përqind</w:t>
      </w:r>
    </w:p>
    <w:p w:rsidR="00DF0EA3" w:rsidRPr="00EA51C8" w:rsidRDefault="00DF0EA3" w:rsidP="00EA51C8">
      <w:pPr>
        <w:numPr>
          <w:ilvl w:val="1"/>
          <w:numId w:val="2"/>
        </w:numPr>
        <w:ind w:left="990"/>
        <w:contextualSpacing/>
        <w:rPr>
          <w:rFonts w:asciiTheme="majorHAnsi" w:hAnsiTheme="majorHAnsi" w:cstheme="majorHAnsi"/>
          <w:bCs/>
          <w:i/>
          <w:iCs/>
          <w:lang w:val="sq-AL"/>
        </w:rPr>
      </w:pPr>
      <w:r w:rsidRPr="00EA51C8">
        <w:rPr>
          <w:rFonts w:asciiTheme="majorHAnsi" w:hAnsiTheme="majorHAnsi" w:cstheme="majorHAnsi"/>
          <w:bCs/>
          <w:i/>
          <w:iCs/>
          <w:lang w:val="sq-AL"/>
        </w:rPr>
        <w:t xml:space="preserve">rritja e çmimit të metaleve bazë dhe artikujt </w:t>
      </w:r>
      <w:r w:rsidR="00EA51C8">
        <w:rPr>
          <w:rFonts w:asciiTheme="majorHAnsi" w:hAnsiTheme="majorHAnsi" w:cstheme="majorHAnsi"/>
          <w:bCs/>
          <w:i/>
          <w:iCs/>
          <w:lang w:val="sq-AL"/>
        </w:rPr>
        <w:t>e</w:t>
      </w:r>
      <w:r w:rsidRPr="00EA51C8">
        <w:rPr>
          <w:rFonts w:asciiTheme="majorHAnsi" w:hAnsiTheme="majorHAnsi" w:cstheme="majorHAnsi"/>
          <w:bCs/>
          <w:i/>
          <w:iCs/>
          <w:lang w:val="sq-AL"/>
        </w:rPr>
        <w:t xml:space="preserve"> tyre</w:t>
      </w:r>
      <w:r w:rsidR="00EA51C8">
        <w:rPr>
          <w:rFonts w:asciiTheme="majorHAnsi" w:hAnsiTheme="majorHAnsi" w:cstheme="majorHAnsi"/>
          <w:bCs/>
          <w:i/>
          <w:iCs/>
          <w:lang w:val="sq-AL"/>
        </w:rPr>
        <w:t>,</w:t>
      </w:r>
      <w:r w:rsidRPr="00EA51C8">
        <w:rPr>
          <w:rFonts w:asciiTheme="majorHAnsi" w:hAnsiTheme="majorHAnsi" w:cstheme="majorHAnsi"/>
          <w:bCs/>
          <w:i/>
          <w:iCs/>
          <w:lang w:val="sq-AL"/>
        </w:rPr>
        <w:t xml:space="preserve"> </w:t>
      </w:r>
      <w:r w:rsidR="00EA51C8">
        <w:rPr>
          <w:rFonts w:asciiTheme="majorHAnsi" w:hAnsiTheme="majorHAnsi" w:cstheme="majorHAnsi"/>
          <w:bCs/>
          <w:i/>
          <w:iCs/>
          <w:lang w:val="sq-AL"/>
        </w:rPr>
        <w:t>me</w:t>
      </w:r>
      <w:r w:rsidRPr="00EA51C8">
        <w:rPr>
          <w:rFonts w:asciiTheme="majorHAnsi" w:hAnsiTheme="majorHAnsi" w:cstheme="majorHAnsi"/>
          <w:bCs/>
          <w:i/>
          <w:iCs/>
          <w:lang w:val="sq-AL"/>
        </w:rPr>
        <w:t xml:space="preserve"> efekt pozitiv prej 3.3 miliardë lekë ose 42.9%.</w:t>
      </w:r>
    </w:p>
    <w:p w:rsidR="009A4089" w:rsidRPr="00476D2E" w:rsidRDefault="00DF0EA3" w:rsidP="00DF0EA3">
      <w:pPr>
        <w:rPr>
          <w:rFonts w:cs="Calibri"/>
          <w:lang w:val="sq-AL"/>
        </w:rPr>
      </w:pPr>
      <w:r w:rsidRPr="008E5580">
        <w:rPr>
          <w:rFonts w:asciiTheme="majorHAnsi" w:hAnsiTheme="majorHAnsi" w:cstheme="majorHAnsi"/>
          <w:lang w:val="sq-AL"/>
        </w:rPr>
        <w:t>Të dhënat 12-mujore të vitit 202</w:t>
      </w:r>
      <w:r>
        <w:rPr>
          <w:rFonts w:asciiTheme="majorHAnsi" w:hAnsiTheme="majorHAnsi" w:cstheme="majorHAnsi"/>
          <w:lang w:val="sq-AL"/>
        </w:rPr>
        <w:t>1</w:t>
      </w:r>
      <w:r w:rsidRPr="008E5580">
        <w:rPr>
          <w:rFonts w:asciiTheme="majorHAnsi" w:hAnsiTheme="majorHAnsi" w:cstheme="majorHAnsi"/>
          <w:lang w:val="sq-AL"/>
        </w:rPr>
        <w:t>, mbi shpërndarjen sektoriale të TVSh-së brenda vendit, tregojnë se, “Tregtia”, “Shërbimet” dhe “Prodhimi”  kanë peshën kryesore në të ardhurat nga TVSH</w:t>
      </w:r>
      <w:r w:rsidR="009A4089" w:rsidRPr="00476D2E">
        <w:rPr>
          <w:rFonts w:cs="Calibri"/>
          <w:lang w:val="sq-AL"/>
        </w:rPr>
        <w:t>.</w:t>
      </w:r>
    </w:p>
    <w:p w:rsidR="009A4089" w:rsidRPr="00476D2E" w:rsidRDefault="009A4089" w:rsidP="006E3070">
      <w:pPr>
        <w:pStyle w:val="Caption"/>
        <w:keepNext/>
        <w:spacing w:after="0"/>
        <w:rPr>
          <w:rFonts w:cs="Calibri"/>
        </w:rPr>
      </w:pPr>
      <w:bookmarkStart w:id="94" w:name="_Toc104984034"/>
      <w:r w:rsidRPr="00476D2E">
        <w:rPr>
          <w:rFonts w:cs="Calibri"/>
        </w:rPr>
        <w:t xml:space="preserve">Grafiku </w:t>
      </w:r>
      <w:r w:rsidRPr="00476D2E">
        <w:rPr>
          <w:rFonts w:cs="Calibri"/>
        </w:rPr>
        <w:fldChar w:fldCharType="begin"/>
      </w:r>
      <w:r w:rsidRPr="00476D2E">
        <w:rPr>
          <w:rFonts w:cs="Calibri"/>
        </w:rPr>
        <w:instrText xml:space="preserve"> SEQ Grafiku \* ARABIC </w:instrText>
      </w:r>
      <w:r w:rsidRPr="00476D2E">
        <w:rPr>
          <w:rFonts w:cs="Calibri"/>
        </w:rPr>
        <w:fldChar w:fldCharType="separate"/>
      </w:r>
      <w:r w:rsidR="00FE66EC">
        <w:rPr>
          <w:rFonts w:cs="Calibri"/>
          <w:noProof/>
        </w:rPr>
        <w:t>15</w:t>
      </w:r>
      <w:r w:rsidRPr="00476D2E">
        <w:rPr>
          <w:rFonts w:cs="Calibri"/>
        </w:rPr>
        <w:fldChar w:fldCharType="end"/>
      </w:r>
      <w:r w:rsidRPr="00476D2E">
        <w:rPr>
          <w:rFonts w:cs="Calibri"/>
        </w:rPr>
        <w:t xml:space="preserve"> </w:t>
      </w:r>
      <w:r w:rsidRPr="00476D2E">
        <w:rPr>
          <w:rFonts w:cs="Calibri"/>
          <w:lang w:val="sq-AL"/>
        </w:rPr>
        <w:t>TVSH-ja brenda vendit, sipas sektorëve (në %)</w:t>
      </w:r>
      <w:bookmarkEnd w:id="94"/>
    </w:p>
    <w:p w:rsidR="009A4089" w:rsidRPr="00476D2E" w:rsidRDefault="00EA51C8" w:rsidP="006E3070">
      <w:pPr>
        <w:spacing w:before="0"/>
        <w:jc w:val="center"/>
        <w:rPr>
          <w:rFonts w:cs="Calibri"/>
          <w:lang w:val="sq-AL"/>
        </w:rPr>
      </w:pPr>
      <w:r w:rsidRPr="00476D2E">
        <w:rPr>
          <w:rFonts w:cs="Calibri"/>
          <w:noProof/>
        </w:rPr>
        <w:drawing>
          <wp:inline distT="0" distB="0" distL="0" distR="0" wp14:anchorId="497DA33F" wp14:editId="73EC750F">
            <wp:extent cx="6080760" cy="2316480"/>
            <wp:effectExtent l="0" t="0" r="15240" b="7620"/>
            <wp:docPr id="57" name="Chart 5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C34ED082-7AA2-412E-AA66-613BB220EC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A4089" w:rsidRPr="006E3070" w:rsidRDefault="000661E2" w:rsidP="006E3070">
      <w:pPr>
        <w:ind w:firstLine="720"/>
        <w:contextualSpacing/>
        <w:rPr>
          <w:rFonts w:cs="Calibri"/>
          <w:i/>
          <w:noProof/>
          <w:sz w:val="18"/>
          <w:lang w:val="sq-AL"/>
        </w:rPr>
      </w:pPr>
      <w:r w:rsidRPr="006E3070">
        <w:rPr>
          <w:rFonts w:cs="Calibri"/>
          <w:i/>
          <w:noProof/>
          <w:sz w:val="18"/>
          <w:lang w:val="sq-AL"/>
        </w:rPr>
        <w:t>Burimi: Ministria e Financave dhe Ekonomisë (2022)</w:t>
      </w:r>
    </w:p>
    <w:p w:rsidR="009A4089" w:rsidRPr="00476D2E" w:rsidRDefault="00EA51C8" w:rsidP="009A4089">
      <w:pPr>
        <w:spacing w:before="240"/>
        <w:rPr>
          <w:rFonts w:cs="Calibri"/>
          <w:lang w:val="sq-AL"/>
        </w:rPr>
      </w:pPr>
      <w:r w:rsidRPr="00EA51C8">
        <w:rPr>
          <w:rFonts w:cs="Calibri"/>
          <w:lang w:val="sq-AL"/>
        </w:rPr>
        <w:t xml:space="preserve">Të ardhurat e mbledhura nga TVSH brenda vendit (TVSH neto) janë 30.2 miliardë lekë, me rritje  kundrejt vitit të kaluar në masën 2.5 </w:t>
      </w:r>
      <w:r w:rsidR="008961B4">
        <w:rPr>
          <w:rFonts w:cs="Calibri"/>
          <w:lang w:val="sq-AL"/>
        </w:rPr>
        <w:t>përqind</w:t>
      </w:r>
      <w:r w:rsidRPr="00EA51C8">
        <w:rPr>
          <w:rFonts w:cs="Calibri"/>
          <w:lang w:val="sq-AL"/>
        </w:rPr>
        <w:t xml:space="preserve"> ose +731 milionë lekë. Kjo rritje ka ardhur reflekton rimëkëmbjen ekonomike kundrejt pasojave të Covid-19, implementimit të proçesit të fiskalizimit dhe mirëadministrimit nga administrata tatimore. Grafiku më poshtë paraqet rimbursimin e TVSH-së në vitet 2012-2021 në milionë lekë</w:t>
      </w:r>
      <w:r w:rsidR="009A4089" w:rsidRPr="00476D2E">
        <w:rPr>
          <w:rFonts w:cs="Calibri"/>
          <w:lang w:val="sq-AL"/>
        </w:rPr>
        <w:t>.</w:t>
      </w:r>
    </w:p>
    <w:p w:rsidR="009A4089" w:rsidRPr="00476D2E" w:rsidRDefault="009A4089" w:rsidP="006E3070">
      <w:pPr>
        <w:pStyle w:val="Caption"/>
        <w:keepNext/>
        <w:spacing w:after="0"/>
        <w:rPr>
          <w:rFonts w:cs="Calibri"/>
        </w:rPr>
      </w:pPr>
      <w:bookmarkStart w:id="95" w:name="_Toc104984035"/>
      <w:r w:rsidRPr="00476D2E">
        <w:rPr>
          <w:rFonts w:cs="Calibri"/>
        </w:rPr>
        <w:t xml:space="preserve">Grafiku </w:t>
      </w:r>
      <w:r w:rsidRPr="00476D2E">
        <w:rPr>
          <w:rFonts w:cs="Calibri"/>
        </w:rPr>
        <w:fldChar w:fldCharType="begin"/>
      </w:r>
      <w:r w:rsidRPr="00476D2E">
        <w:rPr>
          <w:rFonts w:cs="Calibri"/>
        </w:rPr>
        <w:instrText xml:space="preserve"> SEQ Grafiku \* ARABIC </w:instrText>
      </w:r>
      <w:r w:rsidRPr="00476D2E">
        <w:rPr>
          <w:rFonts w:cs="Calibri"/>
        </w:rPr>
        <w:fldChar w:fldCharType="separate"/>
      </w:r>
      <w:r w:rsidR="00FE66EC">
        <w:rPr>
          <w:rFonts w:cs="Calibri"/>
          <w:noProof/>
        </w:rPr>
        <w:t>16</w:t>
      </w:r>
      <w:r w:rsidRPr="00476D2E">
        <w:rPr>
          <w:rFonts w:cs="Calibri"/>
        </w:rPr>
        <w:fldChar w:fldCharType="end"/>
      </w:r>
      <w:r w:rsidRPr="00476D2E">
        <w:rPr>
          <w:rFonts w:cs="Calibri"/>
        </w:rPr>
        <w:t xml:space="preserve"> Rim</w:t>
      </w:r>
      <w:r w:rsidRPr="00476D2E">
        <w:rPr>
          <w:rFonts w:cs="Calibri"/>
          <w:lang w:val="sq-AL"/>
        </w:rPr>
        <w:t>bursimi i TVSH-së në vite (në milionë lekë)</w:t>
      </w:r>
      <w:bookmarkEnd w:id="95"/>
    </w:p>
    <w:p w:rsidR="009A4089" w:rsidRPr="00476D2E" w:rsidRDefault="00EA51C8" w:rsidP="006E3070">
      <w:pPr>
        <w:spacing w:before="0"/>
        <w:jc w:val="center"/>
        <w:rPr>
          <w:rFonts w:cs="Calibri"/>
          <w:lang w:val="sq-AL"/>
        </w:rPr>
      </w:pPr>
      <w:r>
        <w:rPr>
          <w:noProof/>
        </w:rPr>
        <w:drawing>
          <wp:inline distT="0" distB="0" distL="0" distR="0" wp14:anchorId="5153C419" wp14:editId="1596D278">
            <wp:extent cx="6515100" cy="2118360"/>
            <wp:effectExtent l="0" t="0" r="0" b="15240"/>
            <wp:docPr id="58" name="Chart 5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arto="http://schemas.microsoft.com/office/word/2006/arto" id="{DBF9E7E1-1364-4AAB-9FFB-C4AD713891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D2CC4" w:rsidRDefault="000661E2" w:rsidP="006E3070">
      <w:pPr>
        <w:spacing w:before="0"/>
        <w:rPr>
          <w:rFonts w:cs="Calibri"/>
          <w:i/>
          <w:noProof/>
          <w:sz w:val="18"/>
          <w:szCs w:val="18"/>
          <w:lang w:val="sq-AL"/>
        </w:rPr>
      </w:pPr>
      <w:r>
        <w:rPr>
          <w:rFonts w:cs="Calibri"/>
          <w:i/>
          <w:noProof/>
          <w:sz w:val="18"/>
          <w:szCs w:val="18"/>
          <w:lang w:val="sq-AL"/>
        </w:rPr>
        <w:t>Burimi: Ministria e Financave dhe Ekonomisë (2022)</w:t>
      </w:r>
    </w:p>
    <w:p w:rsidR="00554F56" w:rsidRDefault="00554F56" w:rsidP="006E3070">
      <w:pPr>
        <w:spacing w:before="0"/>
        <w:rPr>
          <w:rFonts w:cs="Calibri"/>
          <w:i/>
          <w:noProof/>
          <w:sz w:val="18"/>
          <w:szCs w:val="18"/>
          <w:lang w:val="sq-AL"/>
        </w:rPr>
      </w:pPr>
    </w:p>
    <w:p w:rsidR="00554F56" w:rsidRDefault="00554F56" w:rsidP="006E3070">
      <w:pPr>
        <w:spacing w:before="0"/>
        <w:rPr>
          <w:rFonts w:cs="Calibri"/>
          <w:i/>
          <w:noProof/>
          <w:sz w:val="18"/>
          <w:szCs w:val="18"/>
          <w:lang w:val="sq-AL"/>
        </w:rPr>
      </w:pPr>
    </w:p>
    <w:p w:rsidR="00554F56" w:rsidRDefault="00554F56" w:rsidP="006E3070">
      <w:pPr>
        <w:spacing w:before="0"/>
        <w:rPr>
          <w:rFonts w:cs="Calibri"/>
          <w:i/>
          <w:noProof/>
          <w:sz w:val="18"/>
          <w:szCs w:val="18"/>
          <w:lang w:val="sq-AL"/>
        </w:rPr>
      </w:pPr>
    </w:p>
    <w:p w:rsidR="006D2CC4" w:rsidRPr="00476D2E" w:rsidRDefault="006D2CC4" w:rsidP="004878D4">
      <w:pPr>
        <w:pStyle w:val="ListParagraph"/>
        <w:numPr>
          <w:ilvl w:val="0"/>
          <w:numId w:val="1"/>
        </w:numPr>
        <w:spacing w:before="240" w:line="360" w:lineRule="auto"/>
        <w:ind w:left="990" w:hanging="270"/>
        <w:rPr>
          <w:rFonts w:cs="Calibri"/>
          <w:i/>
          <w:noProof/>
          <w:u w:val="single"/>
          <w:lang w:val="sq-AL"/>
        </w:rPr>
      </w:pPr>
      <w:r w:rsidRPr="00476D2E">
        <w:rPr>
          <w:rFonts w:cs="Calibri"/>
          <w:i/>
          <w:noProof/>
          <w:u w:val="single"/>
          <w:lang w:val="sq-AL"/>
        </w:rPr>
        <w:lastRenderedPageBreak/>
        <w:t>Akciza</w:t>
      </w:r>
    </w:p>
    <w:p w:rsidR="00EA51C8" w:rsidRPr="00D4047F" w:rsidRDefault="00EA51C8" w:rsidP="006E3070">
      <w:pPr>
        <w:spacing w:before="0"/>
        <w:rPr>
          <w:rFonts w:cs="Calibri"/>
          <w:lang w:val="sq-AL"/>
        </w:rPr>
      </w:pPr>
      <w:r w:rsidRPr="00D4047F">
        <w:rPr>
          <w:rFonts w:cs="Calibri"/>
          <w:lang w:val="sq-AL"/>
        </w:rPr>
        <w:t>Të ardhurat nga Akciza për periudhën Janar–Dhjetor 2021 arritën në rreth 51.6 miliardë lekë; ose 5.4 përqind me shum</w:t>
      </w:r>
      <w:r w:rsidRPr="00D4047F">
        <w:rPr>
          <w:rFonts w:ascii="Times New Roman" w:hAnsi="Times New Roman"/>
          <w:lang w:val="sq-AL"/>
        </w:rPr>
        <w:t>ë</w:t>
      </w:r>
      <w:r w:rsidRPr="00D4047F">
        <w:rPr>
          <w:rFonts w:cs="Calibri"/>
          <w:lang w:val="sq-AL"/>
        </w:rPr>
        <w:t xml:space="preserve"> se plani në buxhetin fillestar dhe rreth 0.5 </w:t>
      </w:r>
      <w:r w:rsidR="008961B4">
        <w:rPr>
          <w:rFonts w:cs="Calibri"/>
          <w:lang w:val="sq-AL"/>
        </w:rPr>
        <w:t>përqind</w:t>
      </w:r>
      <w:r w:rsidRPr="00D4047F">
        <w:rPr>
          <w:rFonts w:cs="Calibri"/>
          <w:lang w:val="sq-AL"/>
        </w:rPr>
        <w:t xml:space="preserve"> ose 51.4 milionë lekë më shum</w:t>
      </w:r>
      <w:r w:rsidRPr="00D4047F">
        <w:rPr>
          <w:rFonts w:ascii="Times New Roman" w:hAnsi="Times New Roman"/>
          <w:lang w:val="sq-AL"/>
        </w:rPr>
        <w:t>ë</w:t>
      </w:r>
      <w:r w:rsidRPr="00D4047F">
        <w:rPr>
          <w:rFonts w:cs="Calibri"/>
          <w:lang w:val="sq-AL"/>
        </w:rPr>
        <w:t xml:space="preserve"> se plani i rishikuar. Në krahasim me vitin 2020, realizimi ishte 7.1 miliardë lekë apo 6 </w:t>
      </w:r>
      <w:r w:rsidR="008961B4">
        <w:rPr>
          <w:rFonts w:cs="Calibri"/>
          <w:lang w:val="sq-AL"/>
        </w:rPr>
        <w:t>përqind</w:t>
      </w:r>
      <w:r w:rsidRPr="00D4047F">
        <w:rPr>
          <w:rFonts w:cs="Calibri"/>
          <w:lang w:val="sq-AL"/>
        </w:rPr>
        <w:t xml:space="preserve"> më shum</w:t>
      </w:r>
      <w:r w:rsidRPr="00D4047F">
        <w:rPr>
          <w:rFonts w:ascii="Times New Roman" w:hAnsi="Times New Roman"/>
          <w:lang w:val="sq-AL"/>
        </w:rPr>
        <w:t>ë</w:t>
      </w:r>
      <w:r w:rsidRPr="00D4047F">
        <w:rPr>
          <w:rFonts w:cs="Calibri"/>
          <w:lang w:val="sq-AL"/>
        </w:rPr>
        <w:t>. Rritja në realizimin e të ardhurave nga akciza ka ardhur kryesisht si rezultat i kërkesës më të lart</w:t>
      </w:r>
      <w:r w:rsidRPr="00D4047F">
        <w:rPr>
          <w:rFonts w:ascii="Times New Roman" w:hAnsi="Times New Roman"/>
          <w:lang w:val="sq-AL"/>
        </w:rPr>
        <w:t>ë</w:t>
      </w:r>
      <w:r w:rsidRPr="00D4047F">
        <w:rPr>
          <w:rFonts w:cs="Calibri"/>
          <w:lang w:val="sq-AL"/>
        </w:rPr>
        <w:t xml:space="preserve"> për disa mallra kyç, përfshirë: </w:t>
      </w:r>
    </w:p>
    <w:p w:rsidR="00EA51C8" w:rsidRPr="00D4047F" w:rsidRDefault="00EA51C8" w:rsidP="00981E8B">
      <w:pPr>
        <w:numPr>
          <w:ilvl w:val="0"/>
          <w:numId w:val="2"/>
        </w:numPr>
        <w:spacing w:before="0"/>
        <w:ind w:left="720"/>
        <w:rPr>
          <w:rFonts w:cs="Calibri"/>
          <w:bCs/>
          <w:i/>
          <w:iCs/>
          <w:lang w:val="sq-AL"/>
        </w:rPr>
      </w:pPr>
      <w:r w:rsidRPr="00D4047F">
        <w:rPr>
          <w:rFonts w:cs="Calibri"/>
          <w:bCs/>
          <w:i/>
          <w:iCs/>
          <w:lang w:val="sq-AL"/>
        </w:rPr>
        <w:t xml:space="preserve">Importi i cigares ishte rreth 2,934 tonë, me një rritje prej 220tonë ose 8.1 </w:t>
      </w:r>
      <w:r w:rsidR="008961B4">
        <w:rPr>
          <w:rFonts w:cs="Calibri"/>
          <w:bCs/>
          <w:i/>
          <w:iCs/>
          <w:lang w:val="sq-AL"/>
        </w:rPr>
        <w:t>përqind</w:t>
      </w:r>
      <w:r w:rsidRPr="00D4047F">
        <w:rPr>
          <w:rFonts w:cs="Calibri"/>
          <w:bCs/>
          <w:i/>
          <w:iCs/>
          <w:lang w:val="sq-AL"/>
        </w:rPr>
        <w:t xml:space="preserve"> krahasuar me 12 mujorin e vitit 2020, me efekt pozitiv 2.7 miliardë lekë.</w:t>
      </w:r>
    </w:p>
    <w:p w:rsidR="001550B0" w:rsidRPr="00476D2E" w:rsidRDefault="00EA51C8" w:rsidP="00981E8B">
      <w:pPr>
        <w:numPr>
          <w:ilvl w:val="0"/>
          <w:numId w:val="2"/>
        </w:numPr>
        <w:spacing w:before="0"/>
        <w:ind w:left="720"/>
        <w:rPr>
          <w:rFonts w:cs="Calibri"/>
          <w:bCs/>
          <w:i/>
          <w:iCs/>
          <w:lang w:val="sq-AL"/>
        </w:rPr>
      </w:pPr>
      <w:r w:rsidRPr="00D4047F">
        <w:rPr>
          <w:rFonts w:cs="Calibri"/>
          <w:bCs/>
          <w:i/>
          <w:iCs/>
          <w:lang w:val="sq-AL"/>
        </w:rPr>
        <w:t xml:space="preserve">Rritje e sasisë së karburantit të importuar, me 14.7 </w:t>
      </w:r>
      <w:r w:rsidR="008961B4">
        <w:rPr>
          <w:rFonts w:cs="Calibri"/>
          <w:bCs/>
          <w:i/>
          <w:iCs/>
          <w:lang w:val="sq-AL"/>
        </w:rPr>
        <w:t>përqind</w:t>
      </w:r>
      <w:r w:rsidRPr="00D4047F">
        <w:rPr>
          <w:rFonts w:cs="Calibri"/>
          <w:bCs/>
          <w:i/>
          <w:iCs/>
          <w:lang w:val="sq-AL"/>
        </w:rPr>
        <w:t xml:space="preserve"> krahasuar me të njëjtën periudhë të vitit të kaluar, me efekt pozitiv 5.3 miliardë lekë</w:t>
      </w:r>
      <w:r w:rsidR="001550B0" w:rsidRPr="00EA51C8">
        <w:rPr>
          <w:rFonts w:cs="Calibri"/>
          <w:bCs/>
          <w:i/>
          <w:iCs/>
          <w:lang w:val="sq-AL"/>
        </w:rPr>
        <w:t>.</w:t>
      </w:r>
    </w:p>
    <w:p w:rsidR="00A06CDF" w:rsidRPr="00476D2E" w:rsidRDefault="006D577E" w:rsidP="006D577E">
      <w:pPr>
        <w:pStyle w:val="Caption"/>
        <w:spacing w:after="0"/>
        <w:rPr>
          <w:rFonts w:cs="Calibri"/>
          <w:lang w:val="sq-AL"/>
        </w:rPr>
      </w:pPr>
      <w:bookmarkStart w:id="96" w:name="_Toc104984081"/>
      <w:r w:rsidRPr="00476D2E">
        <w:rPr>
          <w:rFonts w:cs="Calibri"/>
          <w:lang w:val="sq-AL"/>
        </w:rPr>
        <w:t xml:space="preserve">Tabela </w:t>
      </w:r>
      <w:r w:rsidR="00335A3A" w:rsidRPr="00476D2E">
        <w:rPr>
          <w:rFonts w:cs="Calibri"/>
          <w:lang w:val="sq-AL"/>
        </w:rPr>
        <w:fldChar w:fldCharType="begin"/>
      </w:r>
      <w:r w:rsidR="00335A3A" w:rsidRPr="00476D2E">
        <w:rPr>
          <w:rFonts w:cs="Calibri"/>
          <w:lang w:val="sq-AL"/>
        </w:rPr>
        <w:instrText xml:space="preserve"> SEQ Tabela \* ARABIC </w:instrText>
      </w:r>
      <w:r w:rsidR="00335A3A" w:rsidRPr="00476D2E">
        <w:rPr>
          <w:rFonts w:cs="Calibri"/>
          <w:lang w:val="sq-AL"/>
        </w:rPr>
        <w:fldChar w:fldCharType="separate"/>
      </w:r>
      <w:r w:rsidR="00276062">
        <w:rPr>
          <w:rFonts w:cs="Calibri"/>
          <w:noProof/>
          <w:lang w:val="sq-AL"/>
        </w:rPr>
        <w:t>9</w:t>
      </w:r>
      <w:r w:rsidR="00335A3A" w:rsidRPr="00476D2E">
        <w:rPr>
          <w:rFonts w:cs="Calibri"/>
          <w:noProof/>
          <w:lang w:val="sq-AL"/>
        </w:rPr>
        <w:fldChar w:fldCharType="end"/>
      </w:r>
      <w:r w:rsidRPr="00476D2E">
        <w:rPr>
          <w:rFonts w:cs="Calibri"/>
          <w:lang w:val="sq-AL"/>
        </w:rPr>
        <w:t xml:space="preserve"> Performanca e të ardhurave nga akciza: mallrat kryesorë 20</w:t>
      </w:r>
      <w:r w:rsidR="001550B0" w:rsidRPr="00476D2E">
        <w:rPr>
          <w:rFonts w:cs="Calibri"/>
          <w:lang w:val="sq-AL"/>
        </w:rPr>
        <w:t>2</w:t>
      </w:r>
      <w:r w:rsidR="00A711C8">
        <w:rPr>
          <w:rFonts w:cs="Calibri"/>
          <w:lang w:val="sq-AL"/>
        </w:rPr>
        <w:t>1</w:t>
      </w:r>
      <w:r w:rsidRPr="00476D2E">
        <w:rPr>
          <w:rFonts w:cs="Calibri"/>
          <w:lang w:val="sq-AL"/>
        </w:rPr>
        <w:t xml:space="preserve"> - 20</w:t>
      </w:r>
      <w:r w:rsidR="00A711C8">
        <w:rPr>
          <w:rFonts w:cs="Calibri"/>
          <w:lang w:val="sq-AL"/>
        </w:rPr>
        <w:t>20</w:t>
      </w:r>
      <w:bookmarkEnd w:id="96"/>
    </w:p>
    <w:tbl>
      <w:tblPr>
        <w:tblW w:w="9042" w:type="dxa"/>
        <w:jc w:val="center"/>
        <w:shd w:val="clear" w:color="auto" w:fill="DBEFF9" w:themeFill="background2"/>
        <w:tblLook w:val="04A0" w:firstRow="1" w:lastRow="0" w:firstColumn="1" w:lastColumn="0" w:noHBand="0" w:noVBand="1"/>
      </w:tblPr>
      <w:tblGrid>
        <w:gridCol w:w="3580"/>
        <w:gridCol w:w="1093"/>
        <w:gridCol w:w="898"/>
        <w:gridCol w:w="940"/>
        <w:gridCol w:w="1318"/>
        <w:gridCol w:w="1213"/>
      </w:tblGrid>
      <w:tr w:rsidR="00A711C8" w:rsidRPr="006E3070" w:rsidTr="00F21132">
        <w:trPr>
          <w:trHeight w:val="377"/>
          <w:jc w:val="center"/>
        </w:trPr>
        <w:tc>
          <w:tcPr>
            <w:tcW w:w="3580" w:type="dxa"/>
            <w:vMerge w:val="restart"/>
            <w:tcBorders>
              <w:top w:val="single" w:sz="4" w:space="0" w:color="0070C0"/>
              <w:left w:val="single" w:sz="4" w:space="0" w:color="0070C0"/>
              <w:bottom w:val="nil"/>
              <w:right w:val="single" w:sz="4" w:space="0" w:color="0070C0"/>
            </w:tcBorders>
            <w:shd w:val="clear" w:color="auto" w:fill="DBEFF9" w:themeFill="background2"/>
            <w:noWrap/>
            <w:vAlign w:val="center"/>
            <w:hideMark/>
          </w:tcPr>
          <w:p w:rsidR="00A711C8" w:rsidRPr="006E3070" w:rsidRDefault="00A711C8" w:rsidP="00F21132">
            <w:pPr>
              <w:spacing w:before="0" w:line="240" w:lineRule="auto"/>
              <w:jc w:val="center"/>
              <w:rPr>
                <w:rFonts w:cs="Calibri"/>
                <w:b/>
                <w:color w:val="000000"/>
                <w:sz w:val="18"/>
                <w:szCs w:val="22"/>
                <w:lang w:val="en-GB" w:eastAsia="en-GB"/>
              </w:rPr>
            </w:pPr>
            <w:r w:rsidRPr="006E3070">
              <w:rPr>
                <w:rFonts w:cs="Calibri"/>
                <w:b/>
                <w:color w:val="000000"/>
                <w:sz w:val="18"/>
                <w:szCs w:val="22"/>
                <w:lang w:val="en-GB" w:eastAsia="en-GB"/>
              </w:rPr>
              <w:t>Mallrat e forta</w:t>
            </w:r>
          </w:p>
        </w:tc>
        <w:tc>
          <w:tcPr>
            <w:tcW w:w="1093" w:type="dxa"/>
            <w:vMerge w:val="restart"/>
            <w:tcBorders>
              <w:top w:val="single" w:sz="4" w:space="0" w:color="0070C0"/>
              <w:left w:val="nil"/>
              <w:bottom w:val="nil"/>
              <w:right w:val="nil"/>
            </w:tcBorders>
            <w:shd w:val="clear" w:color="auto" w:fill="DBEFF9" w:themeFill="background2"/>
            <w:vAlign w:val="center"/>
            <w:hideMark/>
          </w:tcPr>
          <w:p w:rsidR="00A711C8" w:rsidRPr="006E3070" w:rsidRDefault="00A711C8" w:rsidP="00F21132">
            <w:pPr>
              <w:spacing w:before="0" w:line="240" w:lineRule="auto"/>
              <w:jc w:val="center"/>
              <w:rPr>
                <w:rFonts w:cs="Calibri"/>
                <w:b/>
                <w:color w:val="000000"/>
                <w:sz w:val="18"/>
                <w:szCs w:val="22"/>
                <w:lang w:val="en-GB" w:eastAsia="en-GB"/>
              </w:rPr>
            </w:pPr>
            <w:r w:rsidRPr="006E3070">
              <w:rPr>
                <w:rFonts w:cs="Calibri"/>
                <w:b/>
                <w:color w:val="000000"/>
                <w:sz w:val="18"/>
                <w:szCs w:val="22"/>
                <w:lang w:val="en-GB" w:eastAsia="en-GB"/>
              </w:rPr>
              <w:t>Njesia e matjes</w:t>
            </w:r>
          </w:p>
        </w:tc>
        <w:tc>
          <w:tcPr>
            <w:tcW w:w="1838" w:type="dxa"/>
            <w:gridSpan w:val="2"/>
            <w:tcBorders>
              <w:top w:val="single" w:sz="4" w:space="0" w:color="0070C0"/>
              <w:left w:val="single" w:sz="4" w:space="0" w:color="0070C0"/>
              <w:bottom w:val="single" w:sz="4" w:space="0" w:color="0070C0"/>
              <w:right w:val="single" w:sz="4" w:space="0" w:color="0070C0"/>
            </w:tcBorders>
            <w:shd w:val="clear" w:color="auto" w:fill="DBEFF9" w:themeFill="background2"/>
            <w:noWrap/>
            <w:vAlign w:val="center"/>
            <w:hideMark/>
          </w:tcPr>
          <w:p w:rsidR="00A711C8" w:rsidRPr="006E3070" w:rsidRDefault="00A711C8" w:rsidP="00F21132">
            <w:pPr>
              <w:spacing w:before="0" w:line="240" w:lineRule="auto"/>
              <w:jc w:val="center"/>
              <w:rPr>
                <w:rFonts w:cs="Calibri"/>
                <w:b/>
                <w:color w:val="000000"/>
                <w:sz w:val="18"/>
                <w:szCs w:val="22"/>
                <w:lang w:val="en-GB" w:eastAsia="en-GB"/>
              </w:rPr>
            </w:pPr>
            <w:r w:rsidRPr="006E3070">
              <w:rPr>
                <w:rFonts w:cs="Calibri"/>
                <w:b/>
                <w:color w:val="000000"/>
                <w:sz w:val="18"/>
                <w:szCs w:val="22"/>
                <w:lang w:val="en-GB" w:eastAsia="en-GB"/>
              </w:rPr>
              <w:t>Janar - Dhjetor</w:t>
            </w:r>
          </w:p>
        </w:tc>
        <w:tc>
          <w:tcPr>
            <w:tcW w:w="2531" w:type="dxa"/>
            <w:gridSpan w:val="2"/>
            <w:tcBorders>
              <w:top w:val="single" w:sz="4" w:space="0" w:color="0070C0"/>
              <w:left w:val="nil"/>
              <w:bottom w:val="single" w:sz="4" w:space="0" w:color="0070C0"/>
              <w:right w:val="single" w:sz="4" w:space="0" w:color="0070C0"/>
            </w:tcBorders>
            <w:shd w:val="clear" w:color="auto" w:fill="DBEFF9" w:themeFill="background2"/>
            <w:noWrap/>
            <w:vAlign w:val="center"/>
            <w:hideMark/>
          </w:tcPr>
          <w:p w:rsidR="00A711C8" w:rsidRPr="006E3070" w:rsidRDefault="00A711C8" w:rsidP="00F21132">
            <w:pPr>
              <w:spacing w:before="0" w:line="240" w:lineRule="auto"/>
              <w:jc w:val="center"/>
              <w:rPr>
                <w:rFonts w:cs="Calibri"/>
                <w:b/>
                <w:color w:val="000000"/>
                <w:sz w:val="18"/>
                <w:szCs w:val="22"/>
                <w:lang w:val="en-GB" w:eastAsia="en-GB"/>
              </w:rPr>
            </w:pPr>
            <w:r w:rsidRPr="006E3070">
              <w:rPr>
                <w:rFonts w:cs="Calibri"/>
                <w:b/>
                <w:color w:val="000000"/>
                <w:sz w:val="18"/>
                <w:szCs w:val="22"/>
                <w:lang w:val="en-GB" w:eastAsia="en-GB"/>
              </w:rPr>
              <w:t>Diferenca</w:t>
            </w:r>
          </w:p>
        </w:tc>
      </w:tr>
      <w:tr w:rsidR="00A711C8" w:rsidRPr="006E3070" w:rsidTr="00F21132">
        <w:trPr>
          <w:trHeight w:val="300"/>
          <w:jc w:val="center"/>
        </w:trPr>
        <w:tc>
          <w:tcPr>
            <w:tcW w:w="3580" w:type="dxa"/>
            <w:vMerge/>
            <w:tcBorders>
              <w:top w:val="single" w:sz="4" w:space="0" w:color="0070C0"/>
              <w:left w:val="single" w:sz="4" w:space="0" w:color="0070C0"/>
              <w:bottom w:val="nil"/>
              <w:right w:val="single" w:sz="4" w:space="0" w:color="0070C0"/>
            </w:tcBorders>
            <w:shd w:val="clear" w:color="auto" w:fill="DBEFF9" w:themeFill="background2"/>
            <w:vAlign w:val="center"/>
            <w:hideMark/>
          </w:tcPr>
          <w:p w:rsidR="00A711C8" w:rsidRPr="006E3070" w:rsidRDefault="00A711C8" w:rsidP="00F21132">
            <w:pPr>
              <w:spacing w:before="0" w:line="240" w:lineRule="auto"/>
              <w:jc w:val="center"/>
              <w:rPr>
                <w:rFonts w:cs="Calibri"/>
                <w:color w:val="000000"/>
                <w:sz w:val="18"/>
                <w:szCs w:val="22"/>
                <w:lang w:val="en-GB" w:eastAsia="en-GB"/>
              </w:rPr>
            </w:pPr>
          </w:p>
        </w:tc>
        <w:tc>
          <w:tcPr>
            <w:tcW w:w="1093" w:type="dxa"/>
            <w:vMerge/>
            <w:tcBorders>
              <w:top w:val="single" w:sz="4" w:space="0" w:color="0070C0"/>
              <w:left w:val="nil"/>
              <w:bottom w:val="nil"/>
              <w:right w:val="nil"/>
            </w:tcBorders>
            <w:shd w:val="clear" w:color="auto" w:fill="DBEFF9" w:themeFill="background2"/>
            <w:vAlign w:val="center"/>
            <w:hideMark/>
          </w:tcPr>
          <w:p w:rsidR="00A711C8" w:rsidRPr="006E3070" w:rsidRDefault="00A711C8" w:rsidP="00F21132">
            <w:pPr>
              <w:spacing w:before="0" w:line="240" w:lineRule="auto"/>
              <w:jc w:val="center"/>
              <w:rPr>
                <w:rFonts w:cs="Calibri"/>
                <w:color w:val="000000"/>
                <w:sz w:val="18"/>
                <w:szCs w:val="22"/>
                <w:lang w:val="en-GB" w:eastAsia="en-GB"/>
              </w:rPr>
            </w:pPr>
          </w:p>
        </w:tc>
        <w:tc>
          <w:tcPr>
            <w:tcW w:w="898" w:type="dxa"/>
            <w:tcBorders>
              <w:top w:val="nil"/>
              <w:left w:val="single" w:sz="4" w:space="0" w:color="0070C0"/>
              <w:bottom w:val="nil"/>
              <w:right w:val="nil"/>
            </w:tcBorders>
            <w:shd w:val="clear" w:color="auto" w:fill="DBEFF9" w:themeFill="background2"/>
            <w:noWrap/>
            <w:vAlign w:val="bottom"/>
            <w:hideMark/>
          </w:tcPr>
          <w:p w:rsidR="00A711C8" w:rsidRPr="006E3070" w:rsidRDefault="00A711C8" w:rsidP="00F21132">
            <w:pPr>
              <w:spacing w:before="0" w:line="240" w:lineRule="auto"/>
              <w:jc w:val="center"/>
              <w:rPr>
                <w:rFonts w:cs="Calibri"/>
                <w:b/>
                <w:color w:val="000000"/>
                <w:sz w:val="18"/>
                <w:szCs w:val="22"/>
                <w:lang w:val="en-GB" w:eastAsia="en-GB"/>
              </w:rPr>
            </w:pPr>
            <w:r w:rsidRPr="006E3070">
              <w:rPr>
                <w:rFonts w:cs="Calibri"/>
                <w:b/>
                <w:color w:val="000000"/>
                <w:sz w:val="18"/>
                <w:szCs w:val="22"/>
                <w:lang w:val="en-GB" w:eastAsia="en-GB"/>
              </w:rPr>
              <w:t>2020</w:t>
            </w:r>
          </w:p>
        </w:tc>
        <w:tc>
          <w:tcPr>
            <w:tcW w:w="940" w:type="dxa"/>
            <w:tcBorders>
              <w:top w:val="nil"/>
              <w:left w:val="nil"/>
              <w:bottom w:val="nil"/>
              <w:right w:val="single" w:sz="4" w:space="0" w:color="0070C0"/>
            </w:tcBorders>
            <w:shd w:val="clear" w:color="auto" w:fill="DBEFF9" w:themeFill="background2"/>
            <w:noWrap/>
            <w:vAlign w:val="bottom"/>
            <w:hideMark/>
          </w:tcPr>
          <w:p w:rsidR="00A711C8" w:rsidRPr="006E3070" w:rsidRDefault="00A711C8" w:rsidP="00F21132">
            <w:pPr>
              <w:spacing w:before="0" w:line="240" w:lineRule="auto"/>
              <w:jc w:val="center"/>
              <w:rPr>
                <w:rFonts w:cs="Calibri"/>
                <w:b/>
                <w:color w:val="000000"/>
                <w:sz w:val="18"/>
                <w:szCs w:val="22"/>
                <w:lang w:val="en-GB" w:eastAsia="en-GB"/>
              </w:rPr>
            </w:pPr>
            <w:r w:rsidRPr="006E3070">
              <w:rPr>
                <w:rFonts w:cs="Calibri"/>
                <w:b/>
                <w:color w:val="000000"/>
                <w:sz w:val="18"/>
                <w:szCs w:val="22"/>
                <w:lang w:val="en-GB" w:eastAsia="en-GB"/>
              </w:rPr>
              <w:t>2021</w:t>
            </w:r>
          </w:p>
        </w:tc>
        <w:tc>
          <w:tcPr>
            <w:tcW w:w="1318" w:type="dxa"/>
            <w:tcBorders>
              <w:top w:val="nil"/>
              <w:left w:val="nil"/>
              <w:bottom w:val="nil"/>
              <w:right w:val="nil"/>
            </w:tcBorders>
            <w:shd w:val="clear" w:color="auto" w:fill="DBEFF9" w:themeFill="background2"/>
            <w:noWrap/>
            <w:vAlign w:val="bottom"/>
            <w:hideMark/>
          </w:tcPr>
          <w:p w:rsidR="00A711C8" w:rsidRPr="006E3070" w:rsidRDefault="00A711C8" w:rsidP="00F21132">
            <w:pPr>
              <w:spacing w:before="0" w:line="240" w:lineRule="auto"/>
              <w:jc w:val="center"/>
              <w:rPr>
                <w:rFonts w:cs="Calibri"/>
                <w:b/>
                <w:color w:val="000000"/>
                <w:sz w:val="18"/>
                <w:szCs w:val="22"/>
                <w:lang w:val="en-GB" w:eastAsia="en-GB"/>
              </w:rPr>
            </w:pPr>
            <w:r w:rsidRPr="006E3070">
              <w:rPr>
                <w:rFonts w:cs="Calibri"/>
                <w:b/>
                <w:color w:val="000000"/>
                <w:sz w:val="18"/>
                <w:szCs w:val="22"/>
                <w:lang w:val="en-GB" w:eastAsia="en-GB"/>
              </w:rPr>
              <w:t>ne njesi fizike</w:t>
            </w:r>
          </w:p>
        </w:tc>
        <w:tc>
          <w:tcPr>
            <w:tcW w:w="1213" w:type="dxa"/>
            <w:tcBorders>
              <w:top w:val="nil"/>
              <w:left w:val="nil"/>
              <w:bottom w:val="nil"/>
              <w:right w:val="single" w:sz="4" w:space="0" w:color="0070C0"/>
            </w:tcBorders>
            <w:shd w:val="clear" w:color="auto" w:fill="DBEFF9" w:themeFill="background2"/>
            <w:noWrap/>
            <w:vAlign w:val="bottom"/>
            <w:hideMark/>
          </w:tcPr>
          <w:p w:rsidR="00A711C8" w:rsidRPr="006E3070" w:rsidRDefault="00A711C8" w:rsidP="00F21132">
            <w:pPr>
              <w:spacing w:before="0" w:line="240" w:lineRule="auto"/>
              <w:jc w:val="center"/>
              <w:rPr>
                <w:rFonts w:cs="Calibri"/>
                <w:b/>
                <w:color w:val="000000"/>
                <w:sz w:val="18"/>
                <w:szCs w:val="22"/>
                <w:lang w:val="en-GB" w:eastAsia="en-GB"/>
              </w:rPr>
            </w:pPr>
            <w:r w:rsidRPr="006E3070">
              <w:rPr>
                <w:rFonts w:cs="Calibri"/>
                <w:b/>
                <w:color w:val="000000"/>
                <w:sz w:val="18"/>
                <w:szCs w:val="22"/>
                <w:lang w:val="en-GB" w:eastAsia="en-GB"/>
              </w:rPr>
              <w:t>ne perqind</w:t>
            </w:r>
          </w:p>
        </w:tc>
      </w:tr>
      <w:tr w:rsidR="00A711C8" w:rsidRPr="006E3070" w:rsidTr="00F21132">
        <w:trPr>
          <w:trHeight w:val="300"/>
          <w:jc w:val="center"/>
        </w:trPr>
        <w:tc>
          <w:tcPr>
            <w:tcW w:w="3580" w:type="dxa"/>
            <w:tcBorders>
              <w:top w:val="single" w:sz="4" w:space="0" w:color="0070C0"/>
              <w:left w:val="single" w:sz="4" w:space="0" w:color="0070C0"/>
              <w:bottom w:val="nil"/>
              <w:right w:val="nil"/>
            </w:tcBorders>
            <w:shd w:val="clear" w:color="auto" w:fill="DBEFF9" w:themeFill="background2"/>
            <w:noWrap/>
            <w:vAlign w:val="bottom"/>
            <w:hideMark/>
          </w:tcPr>
          <w:p w:rsidR="00A711C8" w:rsidRPr="006E3070" w:rsidRDefault="00A711C8" w:rsidP="00F21132">
            <w:pPr>
              <w:spacing w:before="0" w:line="240" w:lineRule="auto"/>
              <w:jc w:val="center"/>
              <w:rPr>
                <w:rFonts w:cs="Calibri"/>
                <w:b/>
                <w:color w:val="000000"/>
                <w:sz w:val="18"/>
                <w:szCs w:val="22"/>
                <w:lang w:val="en-GB" w:eastAsia="en-GB"/>
              </w:rPr>
            </w:pPr>
            <w:r w:rsidRPr="006E3070">
              <w:rPr>
                <w:rFonts w:cs="Calibri"/>
                <w:b/>
                <w:color w:val="000000"/>
                <w:sz w:val="18"/>
                <w:szCs w:val="22"/>
                <w:lang w:val="en-GB" w:eastAsia="en-GB"/>
              </w:rPr>
              <w:t>Cigare</w:t>
            </w:r>
          </w:p>
        </w:tc>
        <w:tc>
          <w:tcPr>
            <w:tcW w:w="1093" w:type="dxa"/>
            <w:tcBorders>
              <w:top w:val="single" w:sz="4" w:space="0" w:color="0070C0"/>
              <w:left w:val="nil"/>
              <w:bottom w:val="nil"/>
              <w:right w:val="nil"/>
            </w:tcBorders>
            <w:shd w:val="clear" w:color="auto" w:fill="DBEFF9" w:themeFill="background2"/>
            <w:noWrap/>
            <w:vAlign w:val="bottom"/>
            <w:hideMark/>
          </w:tcPr>
          <w:p w:rsidR="00A711C8" w:rsidRPr="006E3070" w:rsidRDefault="00A711C8" w:rsidP="00F21132">
            <w:pPr>
              <w:spacing w:before="0" w:line="240" w:lineRule="auto"/>
              <w:jc w:val="center"/>
              <w:rPr>
                <w:rFonts w:cs="Calibri"/>
                <w:color w:val="000000"/>
                <w:sz w:val="18"/>
                <w:szCs w:val="22"/>
                <w:lang w:val="en-GB" w:eastAsia="en-GB"/>
              </w:rPr>
            </w:pPr>
            <w:r w:rsidRPr="006E3070">
              <w:rPr>
                <w:rFonts w:cs="Calibri"/>
                <w:color w:val="000000"/>
                <w:sz w:val="18"/>
                <w:szCs w:val="22"/>
                <w:lang w:val="en-GB" w:eastAsia="en-GB"/>
              </w:rPr>
              <w:t>Ton</w:t>
            </w:r>
          </w:p>
        </w:tc>
        <w:tc>
          <w:tcPr>
            <w:tcW w:w="898" w:type="dxa"/>
            <w:tcBorders>
              <w:top w:val="single" w:sz="4" w:space="0" w:color="0070C0"/>
              <w:left w:val="nil"/>
              <w:bottom w:val="nil"/>
              <w:right w:val="nil"/>
            </w:tcBorders>
            <w:shd w:val="clear" w:color="auto" w:fill="DBEFF9" w:themeFill="background2"/>
            <w:noWrap/>
            <w:vAlign w:val="center"/>
            <w:hideMark/>
          </w:tcPr>
          <w:p w:rsidR="00A711C8" w:rsidRPr="006E3070" w:rsidRDefault="00A711C8" w:rsidP="00F21132">
            <w:pPr>
              <w:spacing w:before="0" w:line="240" w:lineRule="auto"/>
              <w:jc w:val="center"/>
              <w:rPr>
                <w:rFonts w:cs="Calibri"/>
                <w:color w:val="000000"/>
                <w:sz w:val="18"/>
                <w:szCs w:val="22"/>
                <w:lang w:val="en-GB" w:eastAsia="en-GB"/>
              </w:rPr>
            </w:pPr>
            <w:r w:rsidRPr="006E3070">
              <w:rPr>
                <w:rFonts w:cs="Calibri"/>
                <w:color w:val="000000"/>
                <w:sz w:val="18"/>
                <w:szCs w:val="22"/>
                <w:lang w:val="en-GB" w:eastAsia="en-GB"/>
              </w:rPr>
              <w:t>2,714</w:t>
            </w:r>
          </w:p>
        </w:tc>
        <w:tc>
          <w:tcPr>
            <w:tcW w:w="940" w:type="dxa"/>
            <w:tcBorders>
              <w:top w:val="single" w:sz="4" w:space="0" w:color="0070C0"/>
              <w:left w:val="nil"/>
              <w:bottom w:val="nil"/>
              <w:right w:val="nil"/>
            </w:tcBorders>
            <w:shd w:val="clear" w:color="auto" w:fill="DBEFF9" w:themeFill="background2"/>
            <w:noWrap/>
            <w:vAlign w:val="center"/>
            <w:hideMark/>
          </w:tcPr>
          <w:p w:rsidR="00A711C8" w:rsidRPr="006E3070" w:rsidRDefault="00A711C8" w:rsidP="00F21132">
            <w:pPr>
              <w:spacing w:before="0" w:line="240" w:lineRule="auto"/>
              <w:jc w:val="center"/>
              <w:rPr>
                <w:rFonts w:cs="Calibri"/>
                <w:color w:val="000000"/>
                <w:sz w:val="18"/>
                <w:szCs w:val="22"/>
                <w:lang w:val="en-GB" w:eastAsia="en-GB"/>
              </w:rPr>
            </w:pPr>
            <w:r w:rsidRPr="006E3070">
              <w:rPr>
                <w:rFonts w:cs="Calibri"/>
                <w:color w:val="000000"/>
                <w:sz w:val="18"/>
                <w:szCs w:val="22"/>
                <w:lang w:val="en-GB" w:eastAsia="en-GB"/>
              </w:rPr>
              <w:t>2,934</w:t>
            </w:r>
          </w:p>
        </w:tc>
        <w:tc>
          <w:tcPr>
            <w:tcW w:w="1318" w:type="dxa"/>
            <w:tcBorders>
              <w:top w:val="single" w:sz="4" w:space="0" w:color="0070C0"/>
              <w:left w:val="nil"/>
              <w:bottom w:val="nil"/>
              <w:right w:val="nil"/>
            </w:tcBorders>
            <w:shd w:val="clear" w:color="auto" w:fill="DBEFF9" w:themeFill="background2"/>
            <w:noWrap/>
            <w:vAlign w:val="bottom"/>
            <w:hideMark/>
          </w:tcPr>
          <w:p w:rsidR="00A711C8" w:rsidRPr="006E3070" w:rsidRDefault="00A711C8" w:rsidP="00F21132">
            <w:pPr>
              <w:spacing w:before="0" w:line="240" w:lineRule="auto"/>
              <w:jc w:val="center"/>
              <w:rPr>
                <w:rFonts w:cs="Calibri"/>
                <w:color w:val="000000"/>
                <w:sz w:val="18"/>
                <w:szCs w:val="22"/>
                <w:lang w:val="en-GB" w:eastAsia="en-GB"/>
              </w:rPr>
            </w:pPr>
            <w:r w:rsidRPr="006E3070">
              <w:rPr>
                <w:rFonts w:cs="Calibri"/>
                <w:color w:val="000000"/>
                <w:sz w:val="18"/>
                <w:szCs w:val="22"/>
                <w:lang w:val="en-GB" w:eastAsia="en-GB"/>
              </w:rPr>
              <w:t>220</w:t>
            </w:r>
          </w:p>
        </w:tc>
        <w:tc>
          <w:tcPr>
            <w:tcW w:w="1213" w:type="dxa"/>
            <w:tcBorders>
              <w:top w:val="single" w:sz="4" w:space="0" w:color="0070C0"/>
              <w:left w:val="nil"/>
              <w:bottom w:val="nil"/>
              <w:right w:val="single" w:sz="4" w:space="0" w:color="0070C0"/>
            </w:tcBorders>
            <w:shd w:val="clear" w:color="auto" w:fill="DBEFF9" w:themeFill="background2"/>
            <w:noWrap/>
            <w:vAlign w:val="bottom"/>
            <w:hideMark/>
          </w:tcPr>
          <w:p w:rsidR="00A711C8" w:rsidRPr="006E3070" w:rsidRDefault="00A711C8" w:rsidP="00F21132">
            <w:pPr>
              <w:spacing w:before="0" w:line="240" w:lineRule="auto"/>
              <w:jc w:val="center"/>
              <w:rPr>
                <w:rFonts w:cs="Calibri"/>
                <w:color w:val="000000"/>
                <w:sz w:val="18"/>
                <w:szCs w:val="22"/>
                <w:lang w:val="en-GB" w:eastAsia="en-GB"/>
              </w:rPr>
            </w:pPr>
            <w:r w:rsidRPr="006E3070">
              <w:rPr>
                <w:rFonts w:cs="Calibri"/>
                <w:color w:val="000000"/>
                <w:sz w:val="18"/>
                <w:szCs w:val="22"/>
                <w:lang w:val="en-GB" w:eastAsia="en-GB"/>
              </w:rPr>
              <w:t>8.1%</w:t>
            </w:r>
          </w:p>
        </w:tc>
      </w:tr>
      <w:tr w:rsidR="00A711C8" w:rsidRPr="006E3070" w:rsidTr="00F21132">
        <w:trPr>
          <w:trHeight w:val="300"/>
          <w:jc w:val="center"/>
        </w:trPr>
        <w:tc>
          <w:tcPr>
            <w:tcW w:w="3580" w:type="dxa"/>
            <w:tcBorders>
              <w:top w:val="nil"/>
              <w:left w:val="single" w:sz="4" w:space="0" w:color="0070C0"/>
              <w:bottom w:val="nil"/>
              <w:right w:val="nil"/>
            </w:tcBorders>
            <w:shd w:val="clear" w:color="auto" w:fill="DBEFF9" w:themeFill="background2"/>
            <w:noWrap/>
            <w:vAlign w:val="bottom"/>
            <w:hideMark/>
          </w:tcPr>
          <w:p w:rsidR="00A711C8" w:rsidRPr="006E3070" w:rsidRDefault="00A711C8" w:rsidP="00F21132">
            <w:pPr>
              <w:spacing w:before="0" w:line="240" w:lineRule="auto"/>
              <w:jc w:val="center"/>
              <w:rPr>
                <w:rFonts w:cs="Calibri"/>
                <w:b/>
                <w:color w:val="000000"/>
                <w:sz w:val="18"/>
                <w:szCs w:val="22"/>
                <w:lang w:val="en-GB" w:eastAsia="en-GB"/>
              </w:rPr>
            </w:pPr>
            <w:r w:rsidRPr="006E3070">
              <w:rPr>
                <w:rFonts w:cs="Calibri"/>
                <w:b/>
                <w:color w:val="000000"/>
                <w:sz w:val="18"/>
                <w:szCs w:val="22"/>
                <w:lang w:val="en-GB" w:eastAsia="en-GB"/>
              </w:rPr>
              <w:t>Birre (import+prodhim vendi)</w:t>
            </w:r>
          </w:p>
        </w:tc>
        <w:tc>
          <w:tcPr>
            <w:tcW w:w="1093" w:type="dxa"/>
            <w:tcBorders>
              <w:top w:val="nil"/>
              <w:left w:val="nil"/>
              <w:bottom w:val="nil"/>
              <w:right w:val="nil"/>
            </w:tcBorders>
            <w:shd w:val="clear" w:color="auto" w:fill="DBEFF9" w:themeFill="background2"/>
            <w:noWrap/>
            <w:vAlign w:val="bottom"/>
            <w:hideMark/>
          </w:tcPr>
          <w:p w:rsidR="00A711C8" w:rsidRPr="006E3070" w:rsidRDefault="00A711C8" w:rsidP="00F21132">
            <w:pPr>
              <w:spacing w:before="0" w:line="240" w:lineRule="auto"/>
              <w:jc w:val="center"/>
              <w:rPr>
                <w:rFonts w:cs="Calibri"/>
                <w:color w:val="000000"/>
                <w:sz w:val="18"/>
                <w:szCs w:val="22"/>
                <w:lang w:val="en-GB" w:eastAsia="en-GB"/>
              </w:rPr>
            </w:pPr>
            <w:r w:rsidRPr="006E3070">
              <w:rPr>
                <w:rFonts w:cs="Calibri"/>
                <w:color w:val="000000"/>
                <w:sz w:val="18"/>
                <w:szCs w:val="22"/>
                <w:lang w:val="en-GB" w:eastAsia="en-GB"/>
              </w:rPr>
              <w:t>Ton</w:t>
            </w:r>
          </w:p>
        </w:tc>
        <w:tc>
          <w:tcPr>
            <w:tcW w:w="898" w:type="dxa"/>
            <w:tcBorders>
              <w:top w:val="nil"/>
              <w:left w:val="nil"/>
              <w:bottom w:val="nil"/>
              <w:right w:val="nil"/>
            </w:tcBorders>
            <w:shd w:val="clear" w:color="auto" w:fill="DBEFF9" w:themeFill="background2"/>
            <w:noWrap/>
            <w:vAlign w:val="center"/>
            <w:hideMark/>
          </w:tcPr>
          <w:p w:rsidR="00A711C8" w:rsidRPr="006E3070" w:rsidRDefault="00A711C8" w:rsidP="00F21132">
            <w:pPr>
              <w:spacing w:before="0" w:line="240" w:lineRule="auto"/>
              <w:jc w:val="center"/>
              <w:rPr>
                <w:rFonts w:cs="Calibri"/>
                <w:color w:val="000000"/>
                <w:sz w:val="18"/>
                <w:szCs w:val="22"/>
                <w:lang w:val="en-GB" w:eastAsia="en-GB"/>
              </w:rPr>
            </w:pPr>
            <w:r w:rsidRPr="006E3070">
              <w:rPr>
                <w:rFonts w:cs="Calibri"/>
                <w:color w:val="000000"/>
                <w:sz w:val="18"/>
                <w:szCs w:val="22"/>
                <w:lang w:val="en-GB" w:eastAsia="en-GB"/>
              </w:rPr>
              <w:t>80,815</w:t>
            </w:r>
          </w:p>
        </w:tc>
        <w:tc>
          <w:tcPr>
            <w:tcW w:w="940" w:type="dxa"/>
            <w:tcBorders>
              <w:top w:val="nil"/>
              <w:left w:val="nil"/>
              <w:bottom w:val="nil"/>
              <w:right w:val="nil"/>
            </w:tcBorders>
            <w:shd w:val="clear" w:color="auto" w:fill="DBEFF9" w:themeFill="background2"/>
            <w:noWrap/>
            <w:vAlign w:val="center"/>
            <w:hideMark/>
          </w:tcPr>
          <w:p w:rsidR="00A711C8" w:rsidRPr="006E3070" w:rsidRDefault="00A711C8" w:rsidP="00F21132">
            <w:pPr>
              <w:spacing w:before="0" w:line="240" w:lineRule="auto"/>
              <w:jc w:val="center"/>
              <w:rPr>
                <w:rFonts w:cs="Calibri"/>
                <w:color w:val="000000"/>
                <w:sz w:val="18"/>
                <w:szCs w:val="22"/>
                <w:lang w:val="en-GB" w:eastAsia="en-GB"/>
              </w:rPr>
            </w:pPr>
            <w:r w:rsidRPr="006E3070">
              <w:rPr>
                <w:rFonts w:cs="Calibri"/>
                <w:color w:val="000000"/>
                <w:sz w:val="18"/>
                <w:szCs w:val="22"/>
                <w:lang w:val="en-GB" w:eastAsia="en-GB"/>
              </w:rPr>
              <w:t>89,974</w:t>
            </w:r>
          </w:p>
        </w:tc>
        <w:tc>
          <w:tcPr>
            <w:tcW w:w="1318" w:type="dxa"/>
            <w:tcBorders>
              <w:top w:val="nil"/>
              <w:left w:val="nil"/>
              <w:bottom w:val="nil"/>
              <w:right w:val="nil"/>
            </w:tcBorders>
            <w:shd w:val="clear" w:color="auto" w:fill="DBEFF9" w:themeFill="background2"/>
            <w:noWrap/>
            <w:vAlign w:val="bottom"/>
            <w:hideMark/>
          </w:tcPr>
          <w:p w:rsidR="00A711C8" w:rsidRPr="006E3070" w:rsidRDefault="00A711C8" w:rsidP="00F21132">
            <w:pPr>
              <w:spacing w:before="0" w:line="240" w:lineRule="auto"/>
              <w:jc w:val="center"/>
              <w:rPr>
                <w:rFonts w:cs="Calibri"/>
                <w:color w:val="000000"/>
                <w:sz w:val="18"/>
                <w:szCs w:val="22"/>
                <w:lang w:val="en-GB" w:eastAsia="en-GB"/>
              </w:rPr>
            </w:pPr>
            <w:r w:rsidRPr="006E3070">
              <w:rPr>
                <w:rFonts w:cs="Calibri"/>
                <w:color w:val="000000"/>
                <w:sz w:val="18"/>
                <w:szCs w:val="22"/>
                <w:lang w:val="en-GB" w:eastAsia="en-GB"/>
              </w:rPr>
              <w:t>9,159</w:t>
            </w:r>
          </w:p>
        </w:tc>
        <w:tc>
          <w:tcPr>
            <w:tcW w:w="1213" w:type="dxa"/>
            <w:tcBorders>
              <w:top w:val="nil"/>
              <w:left w:val="nil"/>
              <w:bottom w:val="nil"/>
              <w:right w:val="single" w:sz="4" w:space="0" w:color="0070C0"/>
            </w:tcBorders>
            <w:shd w:val="clear" w:color="auto" w:fill="DBEFF9" w:themeFill="background2"/>
            <w:noWrap/>
            <w:vAlign w:val="bottom"/>
            <w:hideMark/>
          </w:tcPr>
          <w:p w:rsidR="00A711C8" w:rsidRPr="006E3070" w:rsidRDefault="00A711C8" w:rsidP="00F21132">
            <w:pPr>
              <w:spacing w:before="0" w:line="240" w:lineRule="auto"/>
              <w:jc w:val="center"/>
              <w:rPr>
                <w:rFonts w:cs="Calibri"/>
                <w:color w:val="000000"/>
                <w:sz w:val="18"/>
                <w:szCs w:val="22"/>
                <w:lang w:val="en-GB" w:eastAsia="en-GB"/>
              </w:rPr>
            </w:pPr>
            <w:r w:rsidRPr="006E3070">
              <w:rPr>
                <w:rFonts w:cs="Calibri"/>
                <w:color w:val="000000"/>
                <w:sz w:val="18"/>
                <w:szCs w:val="22"/>
                <w:lang w:val="en-GB" w:eastAsia="en-GB"/>
              </w:rPr>
              <w:t>11.3%</w:t>
            </w:r>
          </w:p>
        </w:tc>
      </w:tr>
      <w:tr w:rsidR="00A711C8" w:rsidRPr="006E3070" w:rsidTr="00F21132">
        <w:trPr>
          <w:trHeight w:val="300"/>
          <w:jc w:val="center"/>
        </w:trPr>
        <w:tc>
          <w:tcPr>
            <w:tcW w:w="3580" w:type="dxa"/>
            <w:tcBorders>
              <w:top w:val="nil"/>
              <w:left w:val="single" w:sz="4" w:space="0" w:color="0070C0"/>
              <w:bottom w:val="nil"/>
              <w:right w:val="nil"/>
            </w:tcBorders>
            <w:shd w:val="clear" w:color="auto" w:fill="DBEFF9" w:themeFill="background2"/>
            <w:noWrap/>
            <w:vAlign w:val="bottom"/>
            <w:hideMark/>
          </w:tcPr>
          <w:p w:rsidR="00A711C8" w:rsidRPr="006E3070" w:rsidRDefault="00A711C8" w:rsidP="00F21132">
            <w:pPr>
              <w:spacing w:before="0" w:line="240" w:lineRule="auto"/>
              <w:jc w:val="center"/>
              <w:rPr>
                <w:rFonts w:cs="Calibri"/>
                <w:b/>
                <w:color w:val="000000"/>
                <w:sz w:val="18"/>
                <w:szCs w:val="22"/>
                <w:lang w:val="en-GB" w:eastAsia="en-GB"/>
              </w:rPr>
            </w:pPr>
            <w:r w:rsidRPr="006E3070">
              <w:rPr>
                <w:rFonts w:cs="Calibri"/>
                <w:b/>
                <w:color w:val="000000"/>
                <w:sz w:val="18"/>
                <w:szCs w:val="22"/>
                <w:lang w:val="en-GB" w:eastAsia="en-GB"/>
              </w:rPr>
              <w:t>Gaz i lenget</w:t>
            </w:r>
          </w:p>
        </w:tc>
        <w:tc>
          <w:tcPr>
            <w:tcW w:w="1093" w:type="dxa"/>
            <w:tcBorders>
              <w:top w:val="nil"/>
              <w:left w:val="nil"/>
              <w:bottom w:val="nil"/>
              <w:right w:val="nil"/>
            </w:tcBorders>
            <w:shd w:val="clear" w:color="auto" w:fill="DBEFF9" w:themeFill="background2"/>
            <w:noWrap/>
            <w:vAlign w:val="bottom"/>
            <w:hideMark/>
          </w:tcPr>
          <w:p w:rsidR="00A711C8" w:rsidRPr="006E3070" w:rsidRDefault="00A711C8" w:rsidP="00F21132">
            <w:pPr>
              <w:spacing w:before="0" w:line="240" w:lineRule="auto"/>
              <w:jc w:val="center"/>
              <w:rPr>
                <w:rFonts w:cs="Calibri"/>
                <w:color w:val="000000"/>
                <w:sz w:val="18"/>
                <w:szCs w:val="22"/>
                <w:lang w:val="en-GB" w:eastAsia="en-GB"/>
              </w:rPr>
            </w:pPr>
            <w:r w:rsidRPr="006E3070">
              <w:rPr>
                <w:rFonts w:cs="Calibri"/>
                <w:color w:val="000000"/>
                <w:sz w:val="18"/>
                <w:szCs w:val="22"/>
                <w:lang w:val="en-GB" w:eastAsia="en-GB"/>
              </w:rPr>
              <w:t>Ton</w:t>
            </w:r>
          </w:p>
        </w:tc>
        <w:tc>
          <w:tcPr>
            <w:tcW w:w="898" w:type="dxa"/>
            <w:tcBorders>
              <w:top w:val="nil"/>
              <w:left w:val="nil"/>
              <w:bottom w:val="nil"/>
              <w:right w:val="nil"/>
            </w:tcBorders>
            <w:shd w:val="clear" w:color="auto" w:fill="DBEFF9" w:themeFill="background2"/>
            <w:noWrap/>
            <w:vAlign w:val="center"/>
            <w:hideMark/>
          </w:tcPr>
          <w:p w:rsidR="00A711C8" w:rsidRPr="006E3070" w:rsidRDefault="00A711C8" w:rsidP="00F21132">
            <w:pPr>
              <w:spacing w:before="0" w:line="240" w:lineRule="auto"/>
              <w:jc w:val="center"/>
              <w:rPr>
                <w:rFonts w:cs="Calibri"/>
                <w:color w:val="000000"/>
                <w:sz w:val="18"/>
                <w:szCs w:val="22"/>
                <w:lang w:val="en-GB" w:eastAsia="en-GB"/>
              </w:rPr>
            </w:pPr>
            <w:r w:rsidRPr="006E3070">
              <w:rPr>
                <w:rFonts w:cs="Calibri"/>
                <w:color w:val="000000"/>
                <w:sz w:val="18"/>
                <w:szCs w:val="22"/>
                <w:lang w:val="en-GB" w:eastAsia="en-GB"/>
              </w:rPr>
              <w:t>151,912</w:t>
            </w:r>
          </w:p>
        </w:tc>
        <w:tc>
          <w:tcPr>
            <w:tcW w:w="940" w:type="dxa"/>
            <w:tcBorders>
              <w:top w:val="nil"/>
              <w:left w:val="nil"/>
              <w:bottom w:val="nil"/>
              <w:right w:val="nil"/>
            </w:tcBorders>
            <w:shd w:val="clear" w:color="auto" w:fill="DBEFF9" w:themeFill="background2"/>
            <w:noWrap/>
            <w:vAlign w:val="center"/>
            <w:hideMark/>
          </w:tcPr>
          <w:p w:rsidR="00A711C8" w:rsidRPr="006E3070" w:rsidRDefault="00A711C8" w:rsidP="00F21132">
            <w:pPr>
              <w:spacing w:before="0" w:line="240" w:lineRule="auto"/>
              <w:jc w:val="center"/>
              <w:rPr>
                <w:rFonts w:cs="Calibri"/>
                <w:color w:val="000000"/>
                <w:sz w:val="18"/>
                <w:szCs w:val="22"/>
                <w:lang w:val="en-GB" w:eastAsia="en-GB"/>
              </w:rPr>
            </w:pPr>
            <w:r w:rsidRPr="006E3070">
              <w:rPr>
                <w:rFonts w:cs="Calibri"/>
                <w:color w:val="000000"/>
                <w:sz w:val="18"/>
                <w:szCs w:val="22"/>
                <w:lang w:val="en-GB" w:eastAsia="en-GB"/>
              </w:rPr>
              <w:t>179,767</w:t>
            </w:r>
          </w:p>
        </w:tc>
        <w:tc>
          <w:tcPr>
            <w:tcW w:w="1318" w:type="dxa"/>
            <w:tcBorders>
              <w:top w:val="nil"/>
              <w:left w:val="nil"/>
              <w:bottom w:val="nil"/>
              <w:right w:val="nil"/>
            </w:tcBorders>
            <w:shd w:val="clear" w:color="auto" w:fill="DBEFF9" w:themeFill="background2"/>
            <w:noWrap/>
            <w:vAlign w:val="bottom"/>
            <w:hideMark/>
          </w:tcPr>
          <w:p w:rsidR="00A711C8" w:rsidRPr="006E3070" w:rsidRDefault="00A711C8" w:rsidP="00F21132">
            <w:pPr>
              <w:spacing w:before="0" w:line="240" w:lineRule="auto"/>
              <w:jc w:val="center"/>
              <w:rPr>
                <w:rFonts w:cs="Calibri"/>
                <w:color w:val="000000"/>
                <w:sz w:val="18"/>
                <w:szCs w:val="22"/>
                <w:lang w:val="en-GB" w:eastAsia="en-GB"/>
              </w:rPr>
            </w:pPr>
            <w:r w:rsidRPr="006E3070">
              <w:rPr>
                <w:rFonts w:cs="Calibri"/>
                <w:color w:val="000000"/>
                <w:sz w:val="18"/>
                <w:szCs w:val="22"/>
                <w:lang w:val="en-GB" w:eastAsia="en-GB"/>
              </w:rPr>
              <w:t>27,855</w:t>
            </w:r>
          </w:p>
        </w:tc>
        <w:tc>
          <w:tcPr>
            <w:tcW w:w="1213" w:type="dxa"/>
            <w:tcBorders>
              <w:top w:val="nil"/>
              <w:left w:val="nil"/>
              <w:bottom w:val="nil"/>
              <w:right w:val="single" w:sz="4" w:space="0" w:color="0070C0"/>
            </w:tcBorders>
            <w:shd w:val="clear" w:color="auto" w:fill="DBEFF9" w:themeFill="background2"/>
            <w:noWrap/>
            <w:vAlign w:val="bottom"/>
            <w:hideMark/>
          </w:tcPr>
          <w:p w:rsidR="00A711C8" w:rsidRPr="006E3070" w:rsidRDefault="00A711C8" w:rsidP="00F21132">
            <w:pPr>
              <w:spacing w:before="0" w:line="240" w:lineRule="auto"/>
              <w:jc w:val="center"/>
              <w:rPr>
                <w:rFonts w:cs="Calibri"/>
                <w:color w:val="000000"/>
                <w:sz w:val="18"/>
                <w:szCs w:val="22"/>
                <w:lang w:val="en-GB" w:eastAsia="en-GB"/>
              </w:rPr>
            </w:pPr>
            <w:r w:rsidRPr="006E3070">
              <w:rPr>
                <w:rFonts w:cs="Calibri"/>
                <w:color w:val="000000"/>
                <w:sz w:val="18"/>
                <w:szCs w:val="22"/>
                <w:lang w:val="en-GB" w:eastAsia="en-GB"/>
              </w:rPr>
              <w:t>18.3%</w:t>
            </w:r>
          </w:p>
        </w:tc>
      </w:tr>
      <w:tr w:rsidR="00A711C8" w:rsidRPr="006E3070" w:rsidTr="00F21132">
        <w:trPr>
          <w:trHeight w:val="300"/>
          <w:jc w:val="center"/>
        </w:trPr>
        <w:tc>
          <w:tcPr>
            <w:tcW w:w="3580" w:type="dxa"/>
            <w:tcBorders>
              <w:top w:val="nil"/>
              <w:left w:val="single" w:sz="4" w:space="0" w:color="0070C0"/>
              <w:bottom w:val="single" w:sz="4" w:space="0" w:color="0070C0"/>
              <w:right w:val="nil"/>
            </w:tcBorders>
            <w:shd w:val="clear" w:color="auto" w:fill="DBEFF9" w:themeFill="background2"/>
            <w:noWrap/>
            <w:vAlign w:val="bottom"/>
            <w:hideMark/>
          </w:tcPr>
          <w:p w:rsidR="00A711C8" w:rsidRPr="006E3070" w:rsidRDefault="00A711C8" w:rsidP="00F21132">
            <w:pPr>
              <w:spacing w:before="0" w:line="240" w:lineRule="auto"/>
              <w:jc w:val="center"/>
              <w:rPr>
                <w:rFonts w:cs="Calibri"/>
                <w:b/>
                <w:color w:val="000000"/>
                <w:sz w:val="18"/>
                <w:szCs w:val="22"/>
                <w:lang w:val="en-GB" w:eastAsia="en-GB"/>
              </w:rPr>
            </w:pPr>
            <w:r w:rsidRPr="006E3070">
              <w:rPr>
                <w:rFonts w:cs="Calibri"/>
                <w:b/>
                <w:color w:val="000000"/>
                <w:sz w:val="18"/>
                <w:szCs w:val="22"/>
                <w:lang w:val="en-GB" w:eastAsia="en-GB"/>
              </w:rPr>
              <w:t>Karburant (import+prodhim vendi)</w:t>
            </w:r>
          </w:p>
        </w:tc>
        <w:tc>
          <w:tcPr>
            <w:tcW w:w="1093" w:type="dxa"/>
            <w:tcBorders>
              <w:top w:val="nil"/>
              <w:left w:val="nil"/>
              <w:bottom w:val="single" w:sz="4" w:space="0" w:color="0070C0"/>
              <w:right w:val="nil"/>
            </w:tcBorders>
            <w:shd w:val="clear" w:color="auto" w:fill="DBEFF9" w:themeFill="background2"/>
            <w:noWrap/>
            <w:vAlign w:val="bottom"/>
            <w:hideMark/>
          </w:tcPr>
          <w:p w:rsidR="00A711C8" w:rsidRPr="006E3070" w:rsidRDefault="00A711C8" w:rsidP="00F21132">
            <w:pPr>
              <w:spacing w:before="0" w:line="240" w:lineRule="auto"/>
              <w:jc w:val="center"/>
              <w:rPr>
                <w:rFonts w:cs="Calibri"/>
                <w:color w:val="000000"/>
                <w:sz w:val="18"/>
                <w:szCs w:val="22"/>
                <w:lang w:val="en-GB" w:eastAsia="en-GB"/>
              </w:rPr>
            </w:pPr>
            <w:r w:rsidRPr="006E3070">
              <w:rPr>
                <w:rFonts w:cs="Calibri"/>
                <w:color w:val="000000"/>
                <w:sz w:val="18"/>
                <w:szCs w:val="22"/>
                <w:lang w:val="en-GB" w:eastAsia="en-GB"/>
              </w:rPr>
              <w:t>Ton</w:t>
            </w:r>
          </w:p>
        </w:tc>
        <w:tc>
          <w:tcPr>
            <w:tcW w:w="898" w:type="dxa"/>
            <w:tcBorders>
              <w:top w:val="nil"/>
              <w:left w:val="nil"/>
              <w:bottom w:val="single" w:sz="4" w:space="0" w:color="0070C0"/>
              <w:right w:val="nil"/>
            </w:tcBorders>
            <w:shd w:val="clear" w:color="auto" w:fill="DBEFF9" w:themeFill="background2"/>
            <w:noWrap/>
            <w:vAlign w:val="center"/>
            <w:hideMark/>
          </w:tcPr>
          <w:p w:rsidR="00A711C8" w:rsidRPr="006E3070" w:rsidRDefault="00A711C8" w:rsidP="00F21132">
            <w:pPr>
              <w:spacing w:before="0" w:line="240" w:lineRule="auto"/>
              <w:jc w:val="center"/>
              <w:rPr>
                <w:rFonts w:cs="Calibri"/>
                <w:color w:val="000000"/>
                <w:sz w:val="18"/>
                <w:szCs w:val="22"/>
                <w:lang w:val="en-GB" w:eastAsia="en-GB"/>
              </w:rPr>
            </w:pPr>
            <w:r w:rsidRPr="006E3070">
              <w:rPr>
                <w:rFonts w:cs="Calibri"/>
                <w:color w:val="000000"/>
                <w:sz w:val="18"/>
                <w:szCs w:val="22"/>
                <w:lang w:val="en-GB" w:eastAsia="en-GB"/>
              </w:rPr>
              <w:t>546,023</w:t>
            </w:r>
          </w:p>
        </w:tc>
        <w:tc>
          <w:tcPr>
            <w:tcW w:w="940" w:type="dxa"/>
            <w:tcBorders>
              <w:top w:val="nil"/>
              <w:left w:val="nil"/>
              <w:bottom w:val="single" w:sz="4" w:space="0" w:color="0070C0"/>
              <w:right w:val="nil"/>
            </w:tcBorders>
            <w:shd w:val="clear" w:color="auto" w:fill="DBEFF9" w:themeFill="background2"/>
            <w:noWrap/>
            <w:vAlign w:val="center"/>
            <w:hideMark/>
          </w:tcPr>
          <w:p w:rsidR="00A711C8" w:rsidRPr="006E3070" w:rsidRDefault="00A711C8" w:rsidP="00F21132">
            <w:pPr>
              <w:spacing w:before="0" w:line="240" w:lineRule="auto"/>
              <w:jc w:val="center"/>
              <w:rPr>
                <w:rFonts w:cs="Calibri"/>
                <w:color w:val="000000"/>
                <w:sz w:val="18"/>
                <w:szCs w:val="22"/>
                <w:lang w:val="en-GB" w:eastAsia="en-GB"/>
              </w:rPr>
            </w:pPr>
            <w:r w:rsidRPr="006E3070">
              <w:rPr>
                <w:rFonts w:cs="Calibri"/>
                <w:color w:val="000000"/>
                <w:sz w:val="18"/>
                <w:szCs w:val="22"/>
                <w:lang w:val="en-GB" w:eastAsia="en-GB"/>
              </w:rPr>
              <w:t>631,374</w:t>
            </w:r>
          </w:p>
        </w:tc>
        <w:tc>
          <w:tcPr>
            <w:tcW w:w="1318" w:type="dxa"/>
            <w:tcBorders>
              <w:top w:val="nil"/>
              <w:left w:val="nil"/>
              <w:bottom w:val="single" w:sz="4" w:space="0" w:color="0070C0"/>
              <w:right w:val="nil"/>
            </w:tcBorders>
            <w:shd w:val="clear" w:color="auto" w:fill="DBEFF9" w:themeFill="background2"/>
            <w:noWrap/>
            <w:vAlign w:val="bottom"/>
            <w:hideMark/>
          </w:tcPr>
          <w:p w:rsidR="00A711C8" w:rsidRPr="006E3070" w:rsidRDefault="00A711C8" w:rsidP="00F21132">
            <w:pPr>
              <w:spacing w:before="0" w:line="240" w:lineRule="auto"/>
              <w:jc w:val="center"/>
              <w:rPr>
                <w:rFonts w:cs="Calibri"/>
                <w:color w:val="000000"/>
                <w:sz w:val="18"/>
                <w:szCs w:val="22"/>
                <w:lang w:val="en-GB" w:eastAsia="en-GB"/>
              </w:rPr>
            </w:pPr>
            <w:r w:rsidRPr="006E3070">
              <w:rPr>
                <w:rFonts w:cs="Calibri"/>
                <w:color w:val="000000"/>
                <w:sz w:val="18"/>
                <w:szCs w:val="22"/>
                <w:lang w:val="en-GB" w:eastAsia="en-GB"/>
              </w:rPr>
              <w:t>85,351</w:t>
            </w:r>
          </w:p>
        </w:tc>
        <w:tc>
          <w:tcPr>
            <w:tcW w:w="1213" w:type="dxa"/>
            <w:tcBorders>
              <w:top w:val="nil"/>
              <w:left w:val="nil"/>
              <w:bottom w:val="single" w:sz="4" w:space="0" w:color="0070C0"/>
              <w:right w:val="single" w:sz="4" w:space="0" w:color="0070C0"/>
            </w:tcBorders>
            <w:shd w:val="clear" w:color="auto" w:fill="DBEFF9" w:themeFill="background2"/>
            <w:noWrap/>
            <w:vAlign w:val="bottom"/>
            <w:hideMark/>
          </w:tcPr>
          <w:p w:rsidR="00A711C8" w:rsidRPr="006E3070" w:rsidRDefault="00A711C8" w:rsidP="00F21132">
            <w:pPr>
              <w:spacing w:before="0" w:line="240" w:lineRule="auto"/>
              <w:jc w:val="center"/>
              <w:rPr>
                <w:rFonts w:cs="Calibri"/>
                <w:color w:val="000000"/>
                <w:sz w:val="18"/>
                <w:szCs w:val="22"/>
                <w:lang w:val="en-GB" w:eastAsia="en-GB"/>
              </w:rPr>
            </w:pPr>
            <w:r w:rsidRPr="006E3070">
              <w:rPr>
                <w:rFonts w:cs="Calibri"/>
                <w:color w:val="000000"/>
                <w:sz w:val="18"/>
                <w:szCs w:val="22"/>
                <w:lang w:val="en-GB" w:eastAsia="en-GB"/>
              </w:rPr>
              <w:t>15.6%</w:t>
            </w:r>
          </w:p>
        </w:tc>
      </w:tr>
    </w:tbl>
    <w:p w:rsidR="006D2CC4" w:rsidRDefault="000661E2" w:rsidP="009F5E92">
      <w:pPr>
        <w:spacing w:before="0"/>
        <w:ind w:firstLine="720"/>
        <w:rPr>
          <w:rFonts w:cs="Calibri"/>
          <w:i/>
          <w:noProof/>
          <w:sz w:val="18"/>
          <w:szCs w:val="18"/>
          <w:lang w:val="sq-AL"/>
        </w:rPr>
      </w:pPr>
      <w:r>
        <w:rPr>
          <w:rFonts w:cs="Calibri"/>
          <w:i/>
          <w:noProof/>
          <w:sz w:val="18"/>
          <w:szCs w:val="18"/>
          <w:lang w:val="sq-AL"/>
        </w:rPr>
        <w:t>Burimi: Ministria e Financave dhe Ekonomisë (2022)</w:t>
      </w:r>
    </w:p>
    <w:p w:rsidR="00F83EE8" w:rsidRPr="00981E8B" w:rsidRDefault="00F83EE8" w:rsidP="001D1FB4">
      <w:pPr>
        <w:spacing w:before="0"/>
        <w:rPr>
          <w:rFonts w:cs="Calibri"/>
          <w:i/>
          <w:noProof/>
          <w:sz w:val="8"/>
          <w:szCs w:val="18"/>
          <w:lang w:val="sq-AL"/>
        </w:rPr>
      </w:pPr>
    </w:p>
    <w:p w:rsidR="00F82F26" w:rsidRPr="00F04A00" w:rsidRDefault="00F82F26" w:rsidP="00350A9F">
      <w:pPr>
        <w:pStyle w:val="Caption"/>
        <w:keepNext/>
        <w:spacing w:after="0"/>
        <w:rPr>
          <w:rFonts w:cs="Calibri"/>
          <w:lang w:val="sq-AL"/>
        </w:rPr>
      </w:pPr>
      <w:bookmarkStart w:id="97" w:name="_Toc104984036"/>
      <w:r w:rsidRPr="00F04A00">
        <w:rPr>
          <w:rFonts w:cs="Calibri"/>
          <w:lang w:val="sq-AL"/>
        </w:rPr>
        <w:t xml:space="preserve">Grafiku </w:t>
      </w:r>
      <w:r w:rsidR="00C87F41" w:rsidRPr="00F04A00">
        <w:rPr>
          <w:rFonts w:cs="Calibri"/>
          <w:noProof/>
          <w:lang w:val="sq-AL"/>
        </w:rPr>
        <w:fldChar w:fldCharType="begin"/>
      </w:r>
      <w:r w:rsidR="00C87F41" w:rsidRPr="00F04A00">
        <w:rPr>
          <w:rFonts w:cs="Calibri"/>
          <w:noProof/>
          <w:lang w:val="sq-AL"/>
        </w:rPr>
        <w:instrText xml:space="preserve"> SEQ Grafiku \* ARABIC </w:instrText>
      </w:r>
      <w:r w:rsidR="00C87F41" w:rsidRPr="00F04A00">
        <w:rPr>
          <w:rFonts w:cs="Calibri"/>
          <w:noProof/>
          <w:lang w:val="sq-AL"/>
        </w:rPr>
        <w:fldChar w:fldCharType="separate"/>
      </w:r>
      <w:r w:rsidR="00FE66EC">
        <w:rPr>
          <w:rFonts w:cs="Calibri"/>
          <w:noProof/>
          <w:lang w:val="sq-AL"/>
        </w:rPr>
        <w:t>17</w:t>
      </w:r>
      <w:r w:rsidR="00C87F41" w:rsidRPr="00F04A00">
        <w:rPr>
          <w:rFonts w:cs="Calibri"/>
          <w:noProof/>
          <w:lang w:val="sq-AL"/>
        </w:rPr>
        <w:fldChar w:fldCharType="end"/>
      </w:r>
      <w:r w:rsidRPr="00F04A00">
        <w:rPr>
          <w:rFonts w:cs="Calibri"/>
          <w:lang w:val="sq-AL"/>
        </w:rPr>
        <w:t xml:space="preserve"> Akciza n</w:t>
      </w:r>
      <w:r w:rsidR="00C33B16" w:rsidRPr="00F04A00">
        <w:rPr>
          <w:rFonts w:cs="Calibri"/>
          <w:lang w:val="sq-AL"/>
        </w:rPr>
        <w:t>ë</w:t>
      </w:r>
      <w:r w:rsidRPr="00F04A00">
        <w:rPr>
          <w:rFonts w:cs="Calibri"/>
          <w:lang w:val="sq-AL"/>
        </w:rPr>
        <w:t xml:space="preserve"> vite (miliard lek</w:t>
      </w:r>
      <w:r w:rsidR="00C33B16" w:rsidRPr="00F04A00">
        <w:rPr>
          <w:rFonts w:cs="Calibri"/>
          <w:lang w:val="sq-AL"/>
        </w:rPr>
        <w:t>ë</w:t>
      </w:r>
      <w:r w:rsidRPr="00F04A00">
        <w:rPr>
          <w:rFonts w:cs="Calibri"/>
          <w:lang w:val="sq-AL"/>
        </w:rPr>
        <w:t>)</w:t>
      </w:r>
      <w:bookmarkEnd w:id="97"/>
      <w:r w:rsidRPr="00F04A00">
        <w:rPr>
          <w:rFonts w:cs="Calibri"/>
          <w:lang w:val="sq-AL"/>
        </w:rPr>
        <w:t xml:space="preserve"> </w:t>
      </w:r>
    </w:p>
    <w:p w:rsidR="005616CC" w:rsidRPr="00476D2E" w:rsidRDefault="00F04A00" w:rsidP="00F04A00">
      <w:pPr>
        <w:spacing w:before="0"/>
        <w:jc w:val="center"/>
        <w:rPr>
          <w:rFonts w:cs="Calibri"/>
          <w:lang w:val="sq-AL"/>
        </w:rPr>
      </w:pPr>
      <w:r>
        <w:rPr>
          <w:noProof/>
        </w:rPr>
        <w:drawing>
          <wp:inline distT="0" distB="0" distL="0" distR="0" wp14:anchorId="561501D6" wp14:editId="7EF44A14">
            <wp:extent cx="6515100" cy="1432560"/>
            <wp:effectExtent l="0" t="0" r="0" b="15240"/>
            <wp:docPr id="8" name="Chart 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8ED16BF-0EA6-4681-B939-169A255380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A3391" w:rsidRDefault="000661E2" w:rsidP="001D1FB4">
      <w:pPr>
        <w:spacing w:before="0"/>
        <w:jc w:val="left"/>
        <w:rPr>
          <w:rFonts w:cs="Calibri"/>
          <w:i/>
          <w:noProof/>
          <w:sz w:val="18"/>
          <w:szCs w:val="18"/>
          <w:lang w:val="sq-AL"/>
        </w:rPr>
      </w:pPr>
      <w:r>
        <w:rPr>
          <w:rFonts w:cs="Calibri"/>
          <w:i/>
          <w:noProof/>
          <w:sz w:val="18"/>
          <w:szCs w:val="18"/>
          <w:lang w:val="sq-AL"/>
        </w:rPr>
        <w:t>Burimi: Ministria e Financave dhe Ekonomisë (2022)</w:t>
      </w:r>
    </w:p>
    <w:p w:rsidR="00F83EE8" w:rsidRPr="001D1FB4" w:rsidRDefault="00F83EE8" w:rsidP="001D1FB4">
      <w:pPr>
        <w:spacing w:before="0"/>
        <w:jc w:val="left"/>
        <w:rPr>
          <w:rFonts w:cs="Calibri"/>
          <w:i/>
          <w:noProof/>
          <w:sz w:val="8"/>
          <w:szCs w:val="8"/>
          <w:lang w:val="sq-AL"/>
        </w:rPr>
      </w:pPr>
    </w:p>
    <w:p w:rsidR="00F82F26" w:rsidRPr="001D1FB4" w:rsidRDefault="00F82F26" w:rsidP="00350A9F">
      <w:pPr>
        <w:pStyle w:val="Caption"/>
        <w:keepNext/>
        <w:spacing w:after="0"/>
        <w:rPr>
          <w:rFonts w:cs="Calibri"/>
          <w:lang w:val="sq-AL"/>
        </w:rPr>
      </w:pPr>
      <w:bookmarkStart w:id="98" w:name="_Toc104984037"/>
      <w:r w:rsidRPr="001D1FB4">
        <w:rPr>
          <w:rFonts w:cs="Calibri"/>
          <w:lang w:val="sq-AL"/>
        </w:rPr>
        <w:t xml:space="preserve">Grafiku </w:t>
      </w:r>
      <w:r w:rsidR="00C87F41" w:rsidRPr="001D1FB4">
        <w:rPr>
          <w:rFonts w:cs="Calibri"/>
          <w:noProof/>
          <w:lang w:val="sq-AL"/>
        </w:rPr>
        <w:fldChar w:fldCharType="begin"/>
      </w:r>
      <w:r w:rsidR="00C87F41" w:rsidRPr="001D1FB4">
        <w:rPr>
          <w:rFonts w:cs="Calibri"/>
          <w:noProof/>
          <w:lang w:val="sq-AL"/>
        </w:rPr>
        <w:instrText xml:space="preserve"> SEQ Grafiku \* ARABIC </w:instrText>
      </w:r>
      <w:r w:rsidR="00C87F41" w:rsidRPr="001D1FB4">
        <w:rPr>
          <w:rFonts w:cs="Calibri"/>
          <w:noProof/>
          <w:lang w:val="sq-AL"/>
        </w:rPr>
        <w:fldChar w:fldCharType="separate"/>
      </w:r>
      <w:r w:rsidR="00FE66EC">
        <w:rPr>
          <w:rFonts w:cs="Calibri"/>
          <w:noProof/>
          <w:lang w:val="sq-AL"/>
        </w:rPr>
        <w:t>18</w:t>
      </w:r>
      <w:r w:rsidR="00C87F41" w:rsidRPr="001D1FB4">
        <w:rPr>
          <w:rFonts w:cs="Calibri"/>
          <w:noProof/>
          <w:lang w:val="sq-AL"/>
        </w:rPr>
        <w:fldChar w:fldCharType="end"/>
      </w:r>
      <w:r w:rsidRPr="001D1FB4">
        <w:rPr>
          <w:rFonts w:cs="Calibri"/>
          <w:lang w:val="sq-AL"/>
        </w:rPr>
        <w:t xml:space="preserve"> Akciza sipas natyr</w:t>
      </w:r>
      <w:r w:rsidR="00C33B16" w:rsidRPr="001D1FB4">
        <w:rPr>
          <w:rFonts w:cs="Calibri"/>
          <w:lang w:val="sq-AL"/>
        </w:rPr>
        <w:t>ë</w:t>
      </w:r>
      <w:r w:rsidRPr="001D1FB4">
        <w:rPr>
          <w:rFonts w:cs="Calibri"/>
          <w:lang w:val="sq-AL"/>
        </w:rPr>
        <w:t>s s</w:t>
      </w:r>
      <w:r w:rsidR="00C33B16" w:rsidRPr="001D1FB4">
        <w:rPr>
          <w:rFonts w:cs="Calibri"/>
          <w:lang w:val="sq-AL"/>
        </w:rPr>
        <w:t>ë</w:t>
      </w:r>
      <w:r w:rsidRPr="001D1FB4">
        <w:rPr>
          <w:rFonts w:cs="Calibri"/>
          <w:lang w:val="sq-AL"/>
        </w:rPr>
        <w:t xml:space="preserve"> mallrave (n</w:t>
      </w:r>
      <w:r w:rsidR="00C33B16" w:rsidRPr="001D1FB4">
        <w:rPr>
          <w:rFonts w:cs="Calibri"/>
          <w:lang w:val="sq-AL"/>
        </w:rPr>
        <w:t>ë</w:t>
      </w:r>
      <w:r w:rsidRPr="001D1FB4">
        <w:rPr>
          <w:rFonts w:cs="Calibri"/>
          <w:lang w:val="sq-AL"/>
        </w:rPr>
        <w:t xml:space="preserve"> %)</w:t>
      </w:r>
      <w:bookmarkEnd w:id="98"/>
    </w:p>
    <w:p w:rsidR="006D2CC4" w:rsidRPr="00476D2E" w:rsidRDefault="001D1FB4" w:rsidP="001D1FB4">
      <w:pPr>
        <w:spacing w:before="0"/>
        <w:contextualSpacing/>
        <w:jc w:val="center"/>
        <w:rPr>
          <w:rFonts w:cs="Calibri"/>
          <w:i/>
          <w:noProof/>
          <w:sz w:val="20"/>
          <w:lang w:val="sq-AL"/>
        </w:rPr>
      </w:pPr>
      <w:r w:rsidRPr="00981E8B">
        <w:rPr>
          <w:rFonts w:cs="Calibri"/>
          <w:noProof/>
          <w:highlight w:val="yellow"/>
        </w:rPr>
        <w:drawing>
          <wp:inline distT="0" distB="0" distL="0" distR="0" wp14:anchorId="7CCACB36" wp14:editId="0AE2D0AE">
            <wp:extent cx="5935980" cy="2453640"/>
            <wp:effectExtent l="0" t="0" r="7620" b="381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D2CC4" w:rsidRPr="00476D2E" w:rsidRDefault="000661E2" w:rsidP="001D1FB4">
      <w:pPr>
        <w:ind w:firstLine="720"/>
        <w:contextualSpacing/>
        <w:rPr>
          <w:rFonts w:cs="Calibri"/>
          <w:i/>
          <w:noProof/>
          <w:sz w:val="18"/>
          <w:szCs w:val="18"/>
          <w:lang w:val="sq-AL"/>
        </w:rPr>
      </w:pPr>
      <w:r>
        <w:rPr>
          <w:rFonts w:cs="Calibri"/>
          <w:i/>
          <w:noProof/>
          <w:sz w:val="18"/>
          <w:szCs w:val="18"/>
          <w:lang w:val="sq-AL"/>
        </w:rPr>
        <w:t>Burimi: Ministria e Financave dhe Ekonomisë (2022)</w:t>
      </w:r>
    </w:p>
    <w:p w:rsidR="006D2CC4" w:rsidRPr="00476D2E" w:rsidRDefault="006D2CC4" w:rsidP="00EA69A7">
      <w:pPr>
        <w:pStyle w:val="ListParagraph"/>
        <w:numPr>
          <w:ilvl w:val="0"/>
          <w:numId w:val="1"/>
        </w:numPr>
        <w:spacing w:before="0"/>
        <w:ind w:left="990" w:hanging="270"/>
        <w:rPr>
          <w:rFonts w:cs="Calibri"/>
          <w:i/>
          <w:noProof/>
          <w:u w:val="single"/>
          <w:lang w:val="sq-AL"/>
        </w:rPr>
      </w:pPr>
      <w:r w:rsidRPr="00476D2E">
        <w:rPr>
          <w:rFonts w:cs="Calibri"/>
          <w:i/>
          <w:noProof/>
          <w:u w:val="single"/>
          <w:lang w:val="sq-AL"/>
        </w:rPr>
        <w:lastRenderedPageBreak/>
        <w:t>Taksat doganore</w:t>
      </w:r>
    </w:p>
    <w:p w:rsidR="00562D7C" w:rsidRDefault="002719F2" w:rsidP="00981E8B">
      <w:pPr>
        <w:spacing w:before="0"/>
        <w:rPr>
          <w:rFonts w:cs="Calibri"/>
          <w:noProof/>
          <w:lang w:val="sq-AL"/>
        </w:rPr>
      </w:pPr>
      <w:r w:rsidRPr="00A21972">
        <w:rPr>
          <w:rFonts w:cs="Calibri"/>
          <w:noProof/>
          <w:lang w:val="sq-AL"/>
        </w:rPr>
        <w:t xml:space="preserve">Të ardhurat nga taksa doganore për periudhën Janar–Dhjetor 2021 janë rreth 7.5 miliardë lekë; krahasuar me të njëjtën periudhë të vitit 2020, të ardhurat nga kjo taksë janë rritur me 1.2 miliardë lekë ose 19.5 </w:t>
      </w:r>
      <w:r w:rsidR="008961B4">
        <w:rPr>
          <w:rFonts w:cs="Calibri"/>
          <w:noProof/>
          <w:lang w:val="sq-AL"/>
        </w:rPr>
        <w:t>përqind</w:t>
      </w:r>
      <w:r w:rsidRPr="00A21972">
        <w:rPr>
          <w:rFonts w:cs="Calibri"/>
          <w:noProof/>
          <w:lang w:val="sq-AL"/>
        </w:rPr>
        <w:t xml:space="preserve">, si dhe realizim në masën 6.5 </w:t>
      </w:r>
      <w:r w:rsidR="008961B4">
        <w:rPr>
          <w:rFonts w:cs="Calibri"/>
          <w:noProof/>
          <w:lang w:val="sq-AL"/>
        </w:rPr>
        <w:t>përqind</w:t>
      </w:r>
      <w:r w:rsidRPr="00A21972">
        <w:rPr>
          <w:rFonts w:cs="Calibri"/>
          <w:noProof/>
          <w:lang w:val="sq-AL"/>
        </w:rPr>
        <w:t xml:space="preserve"> e planit. Peshën më të madhe në taksën doganore e zënë produket si cigaret (11%), mish importi (10%), veshjet e këmbës, (9%) fruta – perime (8%).  Faktori kryesor që ka ndikuar në realizim, lidhet me rritjen e volumit te importit si rezultat i m</w:t>
      </w:r>
      <w:r w:rsidRPr="00A21972">
        <w:rPr>
          <w:rFonts w:ascii="Times New Roman" w:hAnsi="Times New Roman"/>
          <w:noProof/>
          <w:lang w:val="sq-AL"/>
        </w:rPr>
        <w:t>ëkëmbjes</w:t>
      </w:r>
      <w:r w:rsidRPr="00A21972">
        <w:rPr>
          <w:rFonts w:cs="Calibri"/>
          <w:noProof/>
          <w:lang w:val="sq-AL"/>
        </w:rPr>
        <w:t xml:space="preserve"> ekonomike nga pasojat e shkaktuara nga Covid-19</w:t>
      </w:r>
      <w:r w:rsidR="00562D7C" w:rsidRPr="00476D2E">
        <w:rPr>
          <w:rFonts w:cs="Calibri"/>
          <w:noProof/>
          <w:lang w:val="sq-AL"/>
        </w:rPr>
        <w:t>.</w:t>
      </w:r>
    </w:p>
    <w:p w:rsidR="00EA69A7" w:rsidRPr="00EA69A7" w:rsidRDefault="00EA69A7" w:rsidP="00981E8B">
      <w:pPr>
        <w:spacing w:before="0"/>
        <w:rPr>
          <w:rFonts w:cs="Calibri"/>
          <w:bCs/>
          <w:iCs/>
          <w:sz w:val="8"/>
          <w:szCs w:val="8"/>
          <w:lang w:val="sq-AL"/>
        </w:rPr>
      </w:pPr>
    </w:p>
    <w:p w:rsidR="006D2CC4" w:rsidRPr="00476D2E" w:rsidRDefault="006D2CC4" w:rsidP="00EA69A7">
      <w:pPr>
        <w:pStyle w:val="ListParagraph"/>
        <w:numPr>
          <w:ilvl w:val="0"/>
          <w:numId w:val="1"/>
        </w:numPr>
        <w:spacing w:before="0"/>
        <w:ind w:left="990" w:hanging="270"/>
        <w:rPr>
          <w:rFonts w:cs="Calibri"/>
          <w:i/>
          <w:noProof/>
          <w:u w:val="single"/>
          <w:lang w:val="sq-AL"/>
        </w:rPr>
      </w:pPr>
      <w:r w:rsidRPr="00476D2E">
        <w:rPr>
          <w:rFonts w:cs="Calibri"/>
          <w:i/>
          <w:noProof/>
          <w:u w:val="single"/>
          <w:lang w:val="sq-AL"/>
        </w:rPr>
        <w:t>Taksat nacionale</w:t>
      </w:r>
    </w:p>
    <w:p w:rsidR="00562D7C" w:rsidRPr="00476D2E" w:rsidRDefault="002719F2" w:rsidP="00981E8B">
      <w:pPr>
        <w:spacing w:before="0"/>
        <w:rPr>
          <w:rFonts w:cs="Calibri"/>
          <w:color w:val="FF0000"/>
          <w:lang w:val="sq-AL"/>
        </w:rPr>
      </w:pPr>
      <w:r w:rsidRPr="00077578">
        <w:rPr>
          <w:rFonts w:cs="Calibri"/>
          <w:lang w:val="sq-AL"/>
        </w:rPr>
        <w:t xml:space="preserve">Të ardhurat nga taksat nacionale për periudhën janë realizuar në vlerën 40.1 miliardë lekë, me realizim ndaj planit të rishikuar në masën 112.6 </w:t>
      </w:r>
      <w:r w:rsidR="008961B4">
        <w:rPr>
          <w:rFonts w:cs="Calibri"/>
          <w:lang w:val="sq-AL"/>
        </w:rPr>
        <w:t>përqind</w:t>
      </w:r>
      <w:r w:rsidRPr="00077578">
        <w:rPr>
          <w:rFonts w:cs="Calibri"/>
          <w:lang w:val="sq-AL"/>
        </w:rPr>
        <w:t xml:space="preserve"> ose 4.5 miliardë lekë më shumë. Krahasuar me vitin e kaluar, të ardhurat nga taksat nacionale kanë pësuar rritje në masën 17.8 </w:t>
      </w:r>
      <w:r w:rsidR="008961B4">
        <w:rPr>
          <w:rFonts w:cs="Calibri"/>
          <w:lang w:val="sq-AL"/>
        </w:rPr>
        <w:t>përqind</w:t>
      </w:r>
      <w:r w:rsidRPr="00077578">
        <w:rPr>
          <w:rFonts w:cs="Calibri"/>
          <w:lang w:val="sq-AL"/>
        </w:rPr>
        <w:t xml:space="preserve"> apo 6 miliardë lekë</w:t>
      </w:r>
      <w:r w:rsidR="00562D7C" w:rsidRPr="00476D2E">
        <w:rPr>
          <w:rFonts w:cs="Calibri"/>
          <w:lang w:val="sq-AL"/>
        </w:rPr>
        <w:t xml:space="preserve">. </w:t>
      </w:r>
    </w:p>
    <w:p w:rsidR="00350A9F" w:rsidRPr="00EA69A7" w:rsidRDefault="00350A9F" w:rsidP="00EA69A7">
      <w:pPr>
        <w:spacing w:before="0"/>
        <w:rPr>
          <w:rFonts w:cs="Calibri"/>
          <w:sz w:val="20"/>
          <w:lang w:val="sq-AL"/>
        </w:rPr>
      </w:pPr>
    </w:p>
    <w:p w:rsidR="006D2CC4" w:rsidRPr="00476D2E" w:rsidRDefault="006D2CC4" w:rsidP="00B77671">
      <w:pPr>
        <w:pStyle w:val="fiskale3"/>
        <w:rPr>
          <w:rFonts w:ascii="Calibri" w:hAnsi="Calibri" w:cs="Calibri"/>
        </w:rPr>
      </w:pPr>
      <w:bookmarkStart w:id="99" w:name="_Toc10033276"/>
      <w:bookmarkStart w:id="100" w:name="_Toc10721413"/>
      <w:bookmarkStart w:id="101" w:name="_Toc104980331"/>
      <w:r w:rsidRPr="00476D2E">
        <w:rPr>
          <w:rFonts w:ascii="Calibri" w:hAnsi="Calibri" w:cs="Calibri"/>
        </w:rPr>
        <w:t>Taksimi direkt</w:t>
      </w:r>
      <w:bookmarkEnd w:id="99"/>
      <w:bookmarkEnd w:id="100"/>
      <w:bookmarkEnd w:id="101"/>
    </w:p>
    <w:p w:rsidR="006D2CC4" w:rsidRPr="00476D2E" w:rsidRDefault="006D2CC4" w:rsidP="00EA69A7">
      <w:pPr>
        <w:pStyle w:val="ListParagraph"/>
        <w:numPr>
          <w:ilvl w:val="0"/>
          <w:numId w:val="1"/>
        </w:numPr>
        <w:ind w:left="990" w:hanging="270"/>
        <w:rPr>
          <w:rFonts w:cs="Calibri"/>
          <w:i/>
          <w:noProof/>
          <w:u w:val="single"/>
          <w:lang w:val="sq-AL"/>
        </w:rPr>
      </w:pPr>
      <w:r w:rsidRPr="00476D2E">
        <w:rPr>
          <w:rFonts w:cs="Calibri"/>
          <w:i/>
          <w:noProof/>
          <w:u w:val="single"/>
          <w:lang w:val="sq-AL"/>
        </w:rPr>
        <w:t>Tatimi mbi të ardhurat personale</w:t>
      </w:r>
    </w:p>
    <w:p w:rsidR="006D7370" w:rsidRDefault="002719F2" w:rsidP="00981E8B">
      <w:pPr>
        <w:spacing w:before="0"/>
        <w:rPr>
          <w:rFonts w:cs="Calibri"/>
          <w:lang w:val="sq-AL"/>
        </w:rPr>
      </w:pPr>
      <w:r w:rsidRPr="002719F2">
        <w:rPr>
          <w:rFonts w:asciiTheme="majorHAnsi" w:hAnsiTheme="majorHAnsi" w:cs="Calibri"/>
          <w:lang w:val="sq-AL"/>
        </w:rPr>
        <w:t xml:space="preserve">Të ardhurat nga Tatimi mbi të ardhurat personale arritën në 39.3 miliardë lekë për periudhën janar-dhjetor 2021, me rritje kundrejt vitit të kaluar në masën 16.8 </w:t>
      </w:r>
      <w:r w:rsidR="008961B4">
        <w:rPr>
          <w:rFonts w:asciiTheme="majorHAnsi" w:hAnsiTheme="majorHAnsi" w:cs="Calibri"/>
          <w:lang w:val="sq-AL"/>
        </w:rPr>
        <w:t>përqind</w:t>
      </w:r>
      <w:r w:rsidRPr="002719F2">
        <w:rPr>
          <w:rFonts w:asciiTheme="majorHAnsi" w:hAnsiTheme="majorHAnsi" w:cs="Calibri"/>
          <w:lang w:val="sq-AL"/>
        </w:rPr>
        <w:t xml:space="preserve"> ose 5.7 miliardë lekë dhe me realizim ndaj planit fillestar në masën 95.9 </w:t>
      </w:r>
      <w:r w:rsidR="008961B4">
        <w:rPr>
          <w:rFonts w:asciiTheme="majorHAnsi" w:hAnsiTheme="majorHAnsi" w:cs="Calibri"/>
          <w:lang w:val="sq-AL"/>
        </w:rPr>
        <w:t>përqind</w:t>
      </w:r>
      <w:r w:rsidRPr="002719F2">
        <w:rPr>
          <w:rFonts w:asciiTheme="majorHAnsi" w:hAnsiTheme="majorHAnsi" w:cs="Calibri"/>
          <w:lang w:val="sq-AL"/>
        </w:rPr>
        <w:t xml:space="preserve"> dhe ndaj planit të rishikuar 95.4 </w:t>
      </w:r>
      <w:r w:rsidR="008961B4">
        <w:rPr>
          <w:rFonts w:asciiTheme="majorHAnsi" w:hAnsiTheme="majorHAnsi" w:cs="Calibri"/>
          <w:lang w:val="sq-AL"/>
        </w:rPr>
        <w:t>përqind</w:t>
      </w:r>
      <w:r w:rsidRPr="002719F2">
        <w:rPr>
          <w:rFonts w:asciiTheme="majorHAnsi" w:hAnsiTheme="majorHAnsi" w:cs="Calibri"/>
          <w:lang w:val="sq-AL"/>
        </w:rPr>
        <w:t xml:space="preserve"> ose 1.9 miliardë lekë më pak. Ndikimin kryesor në realizimin e tatimit mbi t</w:t>
      </w:r>
      <w:r w:rsidRPr="002719F2">
        <w:rPr>
          <w:rFonts w:asciiTheme="majorHAnsi" w:hAnsiTheme="majorHAnsi"/>
          <w:lang w:val="sq-AL"/>
        </w:rPr>
        <w:t xml:space="preserve">ë ardhurat personale kundrejt vitit të mëparshëm e </w:t>
      </w:r>
      <w:r w:rsidRPr="002719F2">
        <w:rPr>
          <w:rFonts w:asciiTheme="majorHAnsi" w:hAnsiTheme="majorHAnsi" w:cs="Calibri"/>
          <w:lang w:val="sq-AL"/>
        </w:rPr>
        <w:t xml:space="preserve"> ka sjellë tatimi mbi deklaraten individuale (DIVA) me 494.7 milion</w:t>
      </w:r>
      <w:r w:rsidRPr="002719F2">
        <w:rPr>
          <w:rFonts w:asciiTheme="majorHAnsi" w:hAnsiTheme="majorHAnsi"/>
          <w:lang w:val="sq-AL"/>
        </w:rPr>
        <w:t xml:space="preserve">ë lekë ose 98.5 </w:t>
      </w:r>
      <w:r w:rsidR="008961B4">
        <w:rPr>
          <w:rFonts w:asciiTheme="majorHAnsi" w:hAnsiTheme="majorHAnsi"/>
          <w:lang w:val="sq-AL"/>
        </w:rPr>
        <w:t>përqind</w:t>
      </w:r>
      <w:r w:rsidRPr="002719F2">
        <w:rPr>
          <w:rFonts w:asciiTheme="majorHAnsi" w:hAnsiTheme="majorHAnsi"/>
          <w:lang w:val="sq-AL"/>
        </w:rPr>
        <w:t xml:space="preserve"> me shumë, tatimi mbi të ardhurat nga dividentët dhe aksionet me 1.3 miliardë lekë ose 56.8 </w:t>
      </w:r>
      <w:r w:rsidR="008961B4">
        <w:rPr>
          <w:rFonts w:asciiTheme="majorHAnsi" w:hAnsiTheme="majorHAnsi"/>
          <w:lang w:val="sq-AL"/>
        </w:rPr>
        <w:t>përqind</w:t>
      </w:r>
      <w:r w:rsidRPr="002719F2">
        <w:rPr>
          <w:rFonts w:asciiTheme="majorHAnsi" w:hAnsiTheme="majorHAnsi"/>
          <w:lang w:val="sq-AL"/>
        </w:rPr>
        <w:t xml:space="preserve"> më shumë dhe </w:t>
      </w:r>
      <w:r w:rsidRPr="002719F2">
        <w:rPr>
          <w:rFonts w:asciiTheme="majorHAnsi" w:hAnsiTheme="majorHAnsi" w:cs="Calibri"/>
          <w:lang w:val="sq-AL"/>
        </w:rPr>
        <w:t xml:space="preserve"> tatimi nga shitja e pasuris</w:t>
      </w:r>
      <w:r w:rsidRPr="002719F2">
        <w:rPr>
          <w:rFonts w:asciiTheme="majorHAnsi" w:hAnsiTheme="majorHAnsi"/>
          <w:lang w:val="sq-AL"/>
        </w:rPr>
        <w:t xml:space="preserve">ë së paluajtëshme me 951.3 milionë lekë ose 26 </w:t>
      </w:r>
      <w:r w:rsidR="008961B4">
        <w:rPr>
          <w:rFonts w:asciiTheme="majorHAnsi" w:hAnsiTheme="majorHAnsi"/>
          <w:lang w:val="sq-AL"/>
        </w:rPr>
        <w:t>përqind</w:t>
      </w:r>
      <w:r w:rsidRPr="002719F2">
        <w:rPr>
          <w:rFonts w:asciiTheme="majorHAnsi" w:hAnsiTheme="majorHAnsi"/>
          <w:lang w:val="sq-AL"/>
        </w:rPr>
        <w:t xml:space="preserve"> më shumë.</w:t>
      </w:r>
      <w:r w:rsidRPr="002719F2">
        <w:rPr>
          <w:rFonts w:asciiTheme="majorHAnsi" w:hAnsiTheme="majorHAnsi" w:cs="Calibri"/>
          <w:lang w:val="sq-AL"/>
        </w:rPr>
        <w:t>Gjithashtu, rritje kanë pësuar të ardhurat nga të punësuarit në sektorin publik me + 1.4 miliardë lekë, ndërkohë dhe të ardhurat nga sektori privat kanë pësuar rritje me 2.1 miliard lekë. Sipas burimit të të ardhurave individuale që taksohen, bazuar në të dhënat për 12-mujorin 2021, situata pasqyrohet në grafikun mëposhtë</w:t>
      </w:r>
      <w:r w:rsidR="006D7370" w:rsidRPr="00476D2E">
        <w:rPr>
          <w:rFonts w:cs="Calibri"/>
          <w:lang w:val="sq-AL"/>
        </w:rPr>
        <w:t>:</w:t>
      </w:r>
    </w:p>
    <w:p w:rsidR="00EA69A7" w:rsidRPr="00EA69A7" w:rsidRDefault="00EA69A7" w:rsidP="00981E8B">
      <w:pPr>
        <w:spacing w:before="0"/>
        <w:rPr>
          <w:rFonts w:eastAsia="SimSun" w:cs="Calibri"/>
          <w:sz w:val="8"/>
          <w:szCs w:val="8"/>
          <w:lang w:val="sq-AL"/>
        </w:rPr>
      </w:pPr>
    </w:p>
    <w:p w:rsidR="00F82F26" w:rsidRPr="00476D2E" w:rsidRDefault="00F82F26" w:rsidP="00EA69A7">
      <w:pPr>
        <w:pStyle w:val="Caption"/>
        <w:keepNext/>
        <w:spacing w:before="0" w:after="0"/>
        <w:rPr>
          <w:rFonts w:cs="Calibri"/>
          <w:lang w:val="sq-AL"/>
        </w:rPr>
      </w:pPr>
      <w:bookmarkStart w:id="102" w:name="_Toc104984038"/>
      <w:r w:rsidRPr="00476D2E">
        <w:rPr>
          <w:rFonts w:cs="Calibri"/>
          <w:lang w:val="sq-AL"/>
        </w:rPr>
        <w:t xml:space="preserve">Grafiku </w:t>
      </w:r>
      <w:r w:rsidR="00C87F41" w:rsidRPr="00476D2E">
        <w:rPr>
          <w:rFonts w:cs="Calibri"/>
          <w:noProof/>
          <w:lang w:val="sq-AL"/>
        </w:rPr>
        <w:fldChar w:fldCharType="begin"/>
      </w:r>
      <w:r w:rsidR="00C87F41" w:rsidRPr="00476D2E">
        <w:rPr>
          <w:rFonts w:cs="Calibri"/>
          <w:noProof/>
          <w:lang w:val="sq-AL"/>
        </w:rPr>
        <w:instrText xml:space="preserve"> SEQ Grafiku \* ARABIC </w:instrText>
      </w:r>
      <w:r w:rsidR="00C87F41" w:rsidRPr="00476D2E">
        <w:rPr>
          <w:rFonts w:cs="Calibri"/>
          <w:noProof/>
          <w:lang w:val="sq-AL"/>
        </w:rPr>
        <w:fldChar w:fldCharType="separate"/>
      </w:r>
      <w:r w:rsidR="00FE66EC">
        <w:rPr>
          <w:rFonts w:cs="Calibri"/>
          <w:noProof/>
          <w:lang w:val="sq-AL"/>
        </w:rPr>
        <w:t>19</w:t>
      </w:r>
      <w:r w:rsidR="00C87F41" w:rsidRPr="00476D2E">
        <w:rPr>
          <w:rFonts w:cs="Calibri"/>
          <w:noProof/>
          <w:lang w:val="sq-AL"/>
        </w:rPr>
        <w:fldChar w:fldCharType="end"/>
      </w:r>
      <w:r w:rsidRPr="00476D2E">
        <w:rPr>
          <w:rFonts w:cs="Calibri"/>
          <w:lang w:val="sq-AL"/>
        </w:rPr>
        <w:t xml:space="preserve"> TAP n</w:t>
      </w:r>
      <w:r w:rsidR="00C33B16" w:rsidRPr="00476D2E">
        <w:rPr>
          <w:rFonts w:cs="Calibri"/>
          <w:lang w:val="sq-AL"/>
        </w:rPr>
        <w:t>ë</w:t>
      </w:r>
      <w:r w:rsidRPr="00476D2E">
        <w:rPr>
          <w:rFonts w:cs="Calibri"/>
          <w:lang w:val="sq-AL"/>
        </w:rPr>
        <w:t xml:space="preserve"> vite (n</w:t>
      </w:r>
      <w:r w:rsidR="00C33B16" w:rsidRPr="00476D2E">
        <w:rPr>
          <w:rFonts w:cs="Calibri"/>
          <w:lang w:val="sq-AL"/>
        </w:rPr>
        <w:t>ë</w:t>
      </w:r>
      <w:r w:rsidRPr="00476D2E">
        <w:rPr>
          <w:rFonts w:cs="Calibri"/>
          <w:lang w:val="sq-AL"/>
        </w:rPr>
        <w:t xml:space="preserve"> miliard</w:t>
      </w:r>
      <w:r w:rsidR="00C249D3" w:rsidRPr="00476D2E">
        <w:rPr>
          <w:rFonts w:cs="Calibri"/>
          <w:lang w:val="sq-AL"/>
        </w:rPr>
        <w:t>ë</w:t>
      </w:r>
      <w:r w:rsidRPr="00476D2E">
        <w:rPr>
          <w:rFonts w:cs="Calibri"/>
          <w:lang w:val="sq-AL"/>
        </w:rPr>
        <w:t xml:space="preserve"> lek</w:t>
      </w:r>
      <w:r w:rsidR="00C33B16" w:rsidRPr="00476D2E">
        <w:rPr>
          <w:rFonts w:cs="Calibri"/>
          <w:lang w:val="sq-AL"/>
        </w:rPr>
        <w:t>ë</w:t>
      </w:r>
      <w:r w:rsidRPr="00476D2E">
        <w:rPr>
          <w:rFonts w:cs="Calibri"/>
          <w:lang w:val="sq-AL"/>
        </w:rPr>
        <w:t>)</w:t>
      </w:r>
      <w:bookmarkEnd w:id="102"/>
    </w:p>
    <w:p w:rsidR="00F82F26" w:rsidRPr="00476D2E" w:rsidRDefault="0066618F" w:rsidP="006B5C51">
      <w:pPr>
        <w:spacing w:before="0"/>
        <w:jc w:val="center"/>
        <w:rPr>
          <w:rFonts w:cs="Calibri"/>
          <w:lang w:val="sq-AL"/>
        </w:rPr>
      </w:pPr>
      <w:r>
        <w:rPr>
          <w:noProof/>
        </w:rPr>
        <w:drawing>
          <wp:inline distT="0" distB="0" distL="0" distR="0" wp14:anchorId="3A6C52A4" wp14:editId="68AB3697">
            <wp:extent cx="6429375" cy="1112520"/>
            <wp:effectExtent l="0" t="0" r="9525" b="11430"/>
            <wp:docPr id="60" name="Chart 6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arto="http://schemas.microsoft.com/office/word/2006/arto"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A3391" w:rsidRDefault="000661E2" w:rsidP="00554F56">
      <w:pPr>
        <w:spacing w:before="0"/>
        <w:ind w:firstLine="720"/>
        <w:rPr>
          <w:rFonts w:cs="Calibri"/>
          <w:i/>
          <w:noProof/>
          <w:sz w:val="18"/>
          <w:szCs w:val="18"/>
          <w:lang w:val="sq-AL"/>
        </w:rPr>
      </w:pPr>
      <w:r>
        <w:rPr>
          <w:rFonts w:cs="Calibri"/>
          <w:i/>
          <w:noProof/>
          <w:sz w:val="18"/>
          <w:szCs w:val="18"/>
          <w:lang w:val="sq-AL"/>
        </w:rPr>
        <w:t>Burimi: Ministria e Financave dhe Ekonomisë (2022)</w:t>
      </w:r>
    </w:p>
    <w:p w:rsidR="006B5C51" w:rsidRPr="006B5C51" w:rsidRDefault="006B5C51" w:rsidP="006B5C51">
      <w:pPr>
        <w:spacing w:before="0"/>
        <w:rPr>
          <w:rFonts w:cs="Calibri"/>
          <w:i/>
          <w:noProof/>
          <w:sz w:val="8"/>
          <w:szCs w:val="18"/>
          <w:lang w:val="sq-AL"/>
        </w:rPr>
      </w:pPr>
    </w:p>
    <w:p w:rsidR="00F82F26" w:rsidRPr="00476D2E" w:rsidRDefault="00F82F26" w:rsidP="00350A9F">
      <w:pPr>
        <w:pStyle w:val="Caption"/>
        <w:keepNext/>
        <w:spacing w:after="0"/>
        <w:rPr>
          <w:rFonts w:cs="Calibri"/>
          <w:lang w:val="sq-AL"/>
        </w:rPr>
      </w:pPr>
      <w:bookmarkStart w:id="103" w:name="_Toc104984039"/>
      <w:r w:rsidRPr="00476D2E">
        <w:rPr>
          <w:rFonts w:cs="Calibri"/>
          <w:lang w:val="sq-AL"/>
        </w:rPr>
        <w:t xml:space="preserve">Grafiku </w:t>
      </w:r>
      <w:r w:rsidR="00C87F41" w:rsidRPr="00476D2E">
        <w:rPr>
          <w:rFonts w:cs="Calibri"/>
          <w:noProof/>
          <w:lang w:val="sq-AL"/>
        </w:rPr>
        <w:fldChar w:fldCharType="begin"/>
      </w:r>
      <w:r w:rsidR="00C87F41" w:rsidRPr="00476D2E">
        <w:rPr>
          <w:rFonts w:cs="Calibri"/>
          <w:noProof/>
          <w:lang w:val="sq-AL"/>
        </w:rPr>
        <w:instrText xml:space="preserve"> SEQ Grafiku \* ARABIC </w:instrText>
      </w:r>
      <w:r w:rsidR="00C87F41" w:rsidRPr="00476D2E">
        <w:rPr>
          <w:rFonts w:cs="Calibri"/>
          <w:noProof/>
          <w:lang w:val="sq-AL"/>
        </w:rPr>
        <w:fldChar w:fldCharType="separate"/>
      </w:r>
      <w:r w:rsidR="00FE66EC">
        <w:rPr>
          <w:rFonts w:cs="Calibri"/>
          <w:noProof/>
          <w:lang w:val="sq-AL"/>
        </w:rPr>
        <w:t>20</w:t>
      </w:r>
      <w:r w:rsidR="00C87F41" w:rsidRPr="00476D2E">
        <w:rPr>
          <w:rFonts w:cs="Calibri"/>
          <w:noProof/>
          <w:lang w:val="sq-AL"/>
        </w:rPr>
        <w:fldChar w:fldCharType="end"/>
      </w:r>
      <w:r w:rsidRPr="00476D2E">
        <w:rPr>
          <w:rFonts w:cs="Calibri"/>
          <w:lang w:val="sq-AL"/>
        </w:rPr>
        <w:t xml:space="preserve"> </w:t>
      </w:r>
      <w:r w:rsidR="009F5E92">
        <w:rPr>
          <w:rFonts w:cs="Calibri"/>
          <w:lang w:val="sq-AL"/>
        </w:rPr>
        <w:t xml:space="preserve">  </w:t>
      </w:r>
      <w:r w:rsidRPr="00476D2E">
        <w:rPr>
          <w:rFonts w:cs="Calibri"/>
          <w:lang w:val="sq-AL"/>
        </w:rPr>
        <w:t>TAP sipas z</w:t>
      </w:r>
      <w:r w:rsidR="00C33B16" w:rsidRPr="00476D2E">
        <w:rPr>
          <w:rFonts w:cs="Calibri"/>
          <w:lang w:val="sq-AL"/>
        </w:rPr>
        <w:t>ë</w:t>
      </w:r>
      <w:r w:rsidRPr="00476D2E">
        <w:rPr>
          <w:rFonts w:cs="Calibri"/>
          <w:lang w:val="sq-AL"/>
        </w:rPr>
        <w:t>rave (n</w:t>
      </w:r>
      <w:r w:rsidR="00C33B16" w:rsidRPr="00476D2E">
        <w:rPr>
          <w:rFonts w:cs="Calibri"/>
          <w:lang w:val="sq-AL"/>
        </w:rPr>
        <w:t>ë</w:t>
      </w:r>
      <w:r w:rsidRPr="00476D2E">
        <w:rPr>
          <w:rFonts w:cs="Calibri"/>
          <w:lang w:val="sq-AL"/>
        </w:rPr>
        <w:t xml:space="preserve"> %)</w:t>
      </w:r>
      <w:bookmarkEnd w:id="103"/>
    </w:p>
    <w:p w:rsidR="006D2CC4" w:rsidRPr="00476D2E" w:rsidRDefault="006B0654" w:rsidP="006B5C51">
      <w:pPr>
        <w:spacing w:before="0" w:line="240" w:lineRule="auto"/>
        <w:jc w:val="center"/>
        <w:rPr>
          <w:rFonts w:eastAsia="SimSun" w:cs="Calibri"/>
          <w:i/>
          <w:szCs w:val="22"/>
          <w:lang w:val="sq-AL"/>
        </w:rPr>
      </w:pPr>
      <w:r>
        <w:rPr>
          <w:noProof/>
        </w:rPr>
        <w:drawing>
          <wp:inline distT="0" distB="0" distL="0" distR="0" wp14:anchorId="0B5A36F8" wp14:editId="1EFB8217">
            <wp:extent cx="6134100" cy="1744980"/>
            <wp:effectExtent l="0" t="0" r="0" b="762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D2CC4" w:rsidRPr="00476D2E" w:rsidRDefault="000661E2" w:rsidP="006B5C51">
      <w:pPr>
        <w:spacing w:before="0"/>
        <w:ind w:firstLine="720"/>
        <w:rPr>
          <w:rFonts w:cs="Calibri"/>
          <w:i/>
          <w:noProof/>
          <w:sz w:val="18"/>
          <w:szCs w:val="18"/>
          <w:lang w:val="sq-AL"/>
        </w:rPr>
      </w:pPr>
      <w:r>
        <w:rPr>
          <w:rFonts w:cs="Calibri"/>
          <w:i/>
          <w:noProof/>
          <w:sz w:val="18"/>
          <w:szCs w:val="18"/>
          <w:lang w:val="sq-AL"/>
        </w:rPr>
        <w:t>Burimi: Ministria e Financave dhe Ekonomisë (2022)</w:t>
      </w:r>
    </w:p>
    <w:p w:rsidR="006D2CC4" w:rsidRPr="00476D2E" w:rsidRDefault="006D2CC4" w:rsidP="004878D4">
      <w:pPr>
        <w:pStyle w:val="ListParagraph"/>
        <w:numPr>
          <w:ilvl w:val="0"/>
          <w:numId w:val="1"/>
        </w:numPr>
        <w:spacing w:before="240" w:line="360" w:lineRule="auto"/>
        <w:ind w:left="990" w:hanging="270"/>
        <w:rPr>
          <w:rFonts w:cs="Calibri"/>
          <w:i/>
          <w:noProof/>
          <w:u w:val="single"/>
          <w:lang w:val="sq-AL"/>
        </w:rPr>
      </w:pPr>
      <w:r w:rsidRPr="00476D2E">
        <w:rPr>
          <w:rFonts w:cs="Calibri"/>
          <w:i/>
          <w:noProof/>
          <w:u w:val="single"/>
          <w:lang w:val="sq-AL"/>
        </w:rPr>
        <w:lastRenderedPageBreak/>
        <w:t>Tatim Fitimi</w:t>
      </w:r>
    </w:p>
    <w:p w:rsidR="006A619D" w:rsidRPr="00476D2E" w:rsidRDefault="001E63C0" w:rsidP="006B5C51">
      <w:pPr>
        <w:spacing w:before="0"/>
        <w:rPr>
          <w:rFonts w:cs="Calibri"/>
        </w:rPr>
      </w:pPr>
      <w:r w:rsidRPr="00DA1CF0">
        <w:rPr>
          <w:rFonts w:cs="Calibri"/>
        </w:rPr>
        <w:t>Të ardhura</w:t>
      </w:r>
      <w:r w:rsidR="00554F56">
        <w:rPr>
          <w:rFonts w:cs="Calibri"/>
        </w:rPr>
        <w:t>t nga Tatimi mbi fitimin për 12</w:t>
      </w:r>
      <w:r w:rsidRPr="00DA1CF0">
        <w:rPr>
          <w:rFonts w:cs="Calibri"/>
        </w:rPr>
        <w:t xml:space="preserve">mujorin 2021 arritën në rreth 35.6 miliardë lekë nga 28.4 miliardë lekë të mbledhura një vit më pare. Krahasuar me planin 5.9 </w:t>
      </w:r>
      <w:r w:rsidR="008961B4">
        <w:rPr>
          <w:rFonts w:cs="Calibri"/>
        </w:rPr>
        <w:t>përqind</w:t>
      </w:r>
      <w:r w:rsidRPr="00DA1CF0">
        <w:rPr>
          <w:rFonts w:cs="Calibri"/>
        </w:rPr>
        <w:t xml:space="preserve"> ose 2 miliardë lekë më shumë. Krahasuar me vitin paraardhës, performanca e të ardhurave nga tatim fitimi ishte 25.5 </w:t>
      </w:r>
      <w:r w:rsidR="008961B4">
        <w:rPr>
          <w:rFonts w:cs="Calibri"/>
        </w:rPr>
        <w:t>përqind</w:t>
      </w:r>
      <w:r w:rsidRPr="00DA1CF0">
        <w:rPr>
          <w:rFonts w:cs="Calibri"/>
        </w:rPr>
        <w:t xml:space="preserve"> ose 7.2 miliardë lekë më shumë. Kjo rritje lidhet kryesisht me rimëkëmbjen e ekonomiisë pas situatës post-covid dhe situatës së rindërtimit pas tërmetit 2019</w:t>
      </w:r>
      <w:r w:rsidR="006A619D" w:rsidRPr="00476D2E">
        <w:rPr>
          <w:rFonts w:cs="Calibri"/>
        </w:rPr>
        <w:t>.</w:t>
      </w:r>
      <w:r w:rsidR="006B5C51">
        <w:rPr>
          <w:rFonts w:cs="Calibri"/>
        </w:rPr>
        <w:t xml:space="preserve">  </w:t>
      </w:r>
    </w:p>
    <w:p w:rsidR="00F82F26" w:rsidRPr="00476D2E" w:rsidRDefault="00F82F26" w:rsidP="00350A9F">
      <w:pPr>
        <w:pStyle w:val="Caption"/>
        <w:keepNext/>
        <w:spacing w:before="240" w:after="0"/>
        <w:rPr>
          <w:rFonts w:cs="Calibri"/>
          <w:lang w:val="sq-AL"/>
        </w:rPr>
      </w:pPr>
      <w:bookmarkStart w:id="104" w:name="_Toc104984040"/>
      <w:r w:rsidRPr="00476D2E">
        <w:rPr>
          <w:rFonts w:cs="Calibri"/>
          <w:lang w:val="sq-AL"/>
        </w:rPr>
        <w:t xml:space="preserve">Grafiku </w:t>
      </w:r>
      <w:r w:rsidR="00C87F41" w:rsidRPr="00476D2E">
        <w:rPr>
          <w:rFonts w:cs="Calibri"/>
          <w:noProof/>
          <w:lang w:val="sq-AL"/>
        </w:rPr>
        <w:fldChar w:fldCharType="begin"/>
      </w:r>
      <w:r w:rsidR="00C87F41" w:rsidRPr="00476D2E">
        <w:rPr>
          <w:rFonts w:cs="Calibri"/>
          <w:noProof/>
          <w:lang w:val="sq-AL"/>
        </w:rPr>
        <w:instrText xml:space="preserve"> SEQ Grafiku \* ARABIC </w:instrText>
      </w:r>
      <w:r w:rsidR="00C87F41" w:rsidRPr="00476D2E">
        <w:rPr>
          <w:rFonts w:cs="Calibri"/>
          <w:noProof/>
          <w:lang w:val="sq-AL"/>
        </w:rPr>
        <w:fldChar w:fldCharType="separate"/>
      </w:r>
      <w:r w:rsidR="00FE66EC">
        <w:rPr>
          <w:rFonts w:cs="Calibri"/>
          <w:noProof/>
          <w:lang w:val="sq-AL"/>
        </w:rPr>
        <w:t>21</w:t>
      </w:r>
      <w:r w:rsidR="00C87F41" w:rsidRPr="00476D2E">
        <w:rPr>
          <w:rFonts w:cs="Calibri"/>
          <w:noProof/>
          <w:lang w:val="sq-AL"/>
        </w:rPr>
        <w:fldChar w:fldCharType="end"/>
      </w:r>
      <w:r w:rsidRPr="00476D2E">
        <w:rPr>
          <w:rFonts w:cs="Calibri"/>
          <w:lang w:val="sq-AL"/>
        </w:rPr>
        <w:t xml:space="preserve"> Tatimi mbi fitimin n</w:t>
      </w:r>
      <w:r w:rsidR="00C33B16" w:rsidRPr="00476D2E">
        <w:rPr>
          <w:rFonts w:cs="Calibri"/>
          <w:lang w:val="sq-AL"/>
        </w:rPr>
        <w:t>ë</w:t>
      </w:r>
      <w:r w:rsidRPr="00476D2E">
        <w:rPr>
          <w:rFonts w:cs="Calibri"/>
          <w:lang w:val="sq-AL"/>
        </w:rPr>
        <w:t xml:space="preserve"> vite (n</w:t>
      </w:r>
      <w:r w:rsidR="00C33B16" w:rsidRPr="00476D2E">
        <w:rPr>
          <w:rFonts w:cs="Calibri"/>
          <w:lang w:val="sq-AL"/>
        </w:rPr>
        <w:t>ë</w:t>
      </w:r>
      <w:r w:rsidRPr="00476D2E">
        <w:rPr>
          <w:rFonts w:cs="Calibri"/>
          <w:lang w:val="sq-AL"/>
        </w:rPr>
        <w:t xml:space="preserve"> miliard lek</w:t>
      </w:r>
      <w:r w:rsidR="00C33B16" w:rsidRPr="00476D2E">
        <w:rPr>
          <w:rFonts w:cs="Calibri"/>
          <w:lang w:val="sq-AL"/>
        </w:rPr>
        <w:t>ë</w:t>
      </w:r>
      <w:r w:rsidRPr="00476D2E">
        <w:rPr>
          <w:rFonts w:cs="Calibri"/>
          <w:lang w:val="sq-AL"/>
        </w:rPr>
        <w:t>)</w:t>
      </w:r>
      <w:bookmarkEnd w:id="104"/>
    </w:p>
    <w:p w:rsidR="00F82F26" w:rsidRPr="00476D2E" w:rsidRDefault="001E63C0" w:rsidP="006B5C51">
      <w:pPr>
        <w:spacing w:before="0"/>
        <w:jc w:val="center"/>
        <w:rPr>
          <w:rFonts w:cs="Calibri"/>
          <w:lang w:val="sq-AL"/>
        </w:rPr>
      </w:pPr>
      <w:r>
        <w:rPr>
          <w:noProof/>
        </w:rPr>
        <w:drawing>
          <wp:inline distT="0" distB="0" distL="0" distR="0" wp14:anchorId="31BA7676" wp14:editId="595F58FE">
            <wp:extent cx="6200775" cy="1447800"/>
            <wp:effectExtent l="0" t="0" r="9525"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A3391" w:rsidRDefault="000661E2" w:rsidP="006B5C51">
      <w:pPr>
        <w:spacing w:before="0"/>
        <w:ind w:firstLine="720"/>
        <w:rPr>
          <w:rFonts w:cs="Calibri"/>
          <w:i/>
          <w:noProof/>
          <w:sz w:val="18"/>
          <w:szCs w:val="18"/>
          <w:lang w:val="sq-AL"/>
        </w:rPr>
      </w:pPr>
      <w:r>
        <w:rPr>
          <w:rFonts w:cs="Calibri"/>
          <w:i/>
          <w:noProof/>
          <w:sz w:val="18"/>
          <w:szCs w:val="18"/>
          <w:lang w:val="sq-AL"/>
        </w:rPr>
        <w:t>Burimi: Ministria e Financave dhe Ekonomisë (2022)</w:t>
      </w:r>
    </w:p>
    <w:p w:rsidR="006360DC" w:rsidRPr="00476D2E" w:rsidRDefault="006360DC" w:rsidP="006B5C51">
      <w:pPr>
        <w:spacing w:before="0"/>
        <w:ind w:firstLine="720"/>
        <w:rPr>
          <w:rFonts w:cs="Calibri"/>
          <w:i/>
          <w:noProof/>
          <w:sz w:val="18"/>
          <w:szCs w:val="18"/>
          <w:lang w:val="sq-AL"/>
        </w:rPr>
      </w:pPr>
    </w:p>
    <w:p w:rsidR="00F82F26" w:rsidRPr="00476D2E" w:rsidRDefault="00F82F26" w:rsidP="00B307A1">
      <w:pPr>
        <w:pStyle w:val="Caption"/>
        <w:keepNext/>
        <w:spacing w:after="0"/>
        <w:rPr>
          <w:rFonts w:cs="Calibri"/>
          <w:lang w:val="sq-AL"/>
        </w:rPr>
      </w:pPr>
      <w:bookmarkStart w:id="105" w:name="_Toc104984041"/>
      <w:r w:rsidRPr="00476D2E">
        <w:rPr>
          <w:rFonts w:cs="Calibri"/>
          <w:lang w:val="sq-AL"/>
        </w:rPr>
        <w:t xml:space="preserve">Grafiku </w:t>
      </w:r>
      <w:r w:rsidR="00C87F41" w:rsidRPr="00476D2E">
        <w:rPr>
          <w:rFonts w:cs="Calibri"/>
          <w:noProof/>
          <w:lang w:val="sq-AL"/>
        </w:rPr>
        <w:fldChar w:fldCharType="begin"/>
      </w:r>
      <w:r w:rsidR="00C87F41" w:rsidRPr="00476D2E">
        <w:rPr>
          <w:rFonts w:cs="Calibri"/>
          <w:noProof/>
          <w:lang w:val="sq-AL"/>
        </w:rPr>
        <w:instrText xml:space="preserve"> SEQ Grafiku \* ARABIC </w:instrText>
      </w:r>
      <w:r w:rsidR="00C87F41" w:rsidRPr="00476D2E">
        <w:rPr>
          <w:rFonts w:cs="Calibri"/>
          <w:noProof/>
          <w:lang w:val="sq-AL"/>
        </w:rPr>
        <w:fldChar w:fldCharType="separate"/>
      </w:r>
      <w:r w:rsidR="00FE66EC">
        <w:rPr>
          <w:rFonts w:cs="Calibri"/>
          <w:noProof/>
          <w:lang w:val="sq-AL"/>
        </w:rPr>
        <w:t>22</w:t>
      </w:r>
      <w:r w:rsidR="00C87F41" w:rsidRPr="00476D2E">
        <w:rPr>
          <w:rFonts w:cs="Calibri"/>
          <w:noProof/>
          <w:lang w:val="sq-AL"/>
        </w:rPr>
        <w:fldChar w:fldCharType="end"/>
      </w:r>
      <w:r w:rsidRPr="00476D2E">
        <w:rPr>
          <w:rFonts w:cs="Calibri"/>
          <w:lang w:val="sq-AL"/>
        </w:rPr>
        <w:t xml:space="preserve"> Tatimi mbi fitimin sipas sektor</w:t>
      </w:r>
      <w:r w:rsidR="00C33B16" w:rsidRPr="00476D2E">
        <w:rPr>
          <w:rFonts w:cs="Calibri"/>
          <w:lang w:val="sq-AL"/>
        </w:rPr>
        <w:t>ë</w:t>
      </w:r>
      <w:r w:rsidRPr="00476D2E">
        <w:rPr>
          <w:rFonts w:cs="Calibri"/>
          <w:lang w:val="sq-AL"/>
        </w:rPr>
        <w:t>v</w:t>
      </w:r>
      <w:r w:rsidR="00C33B16" w:rsidRPr="00476D2E">
        <w:rPr>
          <w:rFonts w:cs="Calibri"/>
          <w:lang w:val="sq-AL"/>
        </w:rPr>
        <w:t>ë</w:t>
      </w:r>
      <w:r w:rsidRPr="00476D2E">
        <w:rPr>
          <w:rFonts w:cs="Calibri"/>
          <w:lang w:val="sq-AL"/>
        </w:rPr>
        <w:t xml:space="preserve"> (n</w:t>
      </w:r>
      <w:r w:rsidR="00C33B16" w:rsidRPr="00476D2E">
        <w:rPr>
          <w:rFonts w:cs="Calibri"/>
          <w:lang w:val="sq-AL"/>
        </w:rPr>
        <w:t>ë</w:t>
      </w:r>
      <w:r w:rsidRPr="00476D2E">
        <w:rPr>
          <w:rFonts w:cs="Calibri"/>
          <w:lang w:val="sq-AL"/>
        </w:rPr>
        <w:t xml:space="preserve"> %)</w:t>
      </w:r>
      <w:bookmarkEnd w:id="105"/>
    </w:p>
    <w:p w:rsidR="006D2CC4" w:rsidRPr="00476D2E" w:rsidRDefault="001E63C0" w:rsidP="006B5C51">
      <w:pPr>
        <w:spacing w:before="0"/>
        <w:jc w:val="center"/>
        <w:rPr>
          <w:rFonts w:cs="Calibri"/>
          <w:noProof/>
          <w:lang w:val="sq-AL"/>
        </w:rPr>
      </w:pPr>
      <w:r>
        <w:rPr>
          <w:noProof/>
        </w:rPr>
        <w:drawing>
          <wp:inline distT="0" distB="0" distL="0" distR="0" wp14:anchorId="39E5F718" wp14:editId="46451FFF">
            <wp:extent cx="5554980" cy="2415540"/>
            <wp:effectExtent l="0" t="0" r="7620" b="3810"/>
            <wp:docPr id="63" name="Chart 6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xmlns:arto="http://schemas.microsoft.com/office/word/2006/arto" id="{00000000-0008-0000-00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D2CC4" w:rsidRPr="00476D2E" w:rsidRDefault="000661E2" w:rsidP="006B5C51">
      <w:pPr>
        <w:spacing w:before="0"/>
        <w:ind w:firstLine="720"/>
        <w:rPr>
          <w:rFonts w:cs="Calibri"/>
          <w:i/>
          <w:noProof/>
          <w:sz w:val="18"/>
          <w:szCs w:val="18"/>
          <w:lang w:val="sq-AL"/>
        </w:rPr>
      </w:pPr>
      <w:r>
        <w:rPr>
          <w:rFonts w:cs="Calibri"/>
          <w:i/>
          <w:noProof/>
          <w:sz w:val="18"/>
          <w:szCs w:val="18"/>
          <w:lang w:val="sq-AL"/>
        </w:rPr>
        <w:t>Burimi: Ministria e Financave dhe Ekonomisë (2022)</w:t>
      </w:r>
    </w:p>
    <w:p w:rsidR="006D2CC4" w:rsidRPr="00476D2E" w:rsidRDefault="006D2CC4" w:rsidP="004878D4">
      <w:pPr>
        <w:pStyle w:val="ListParagraph"/>
        <w:numPr>
          <w:ilvl w:val="0"/>
          <w:numId w:val="1"/>
        </w:numPr>
        <w:spacing w:before="240" w:line="360" w:lineRule="auto"/>
        <w:ind w:left="990" w:hanging="270"/>
        <w:rPr>
          <w:rFonts w:cs="Calibri"/>
          <w:i/>
          <w:noProof/>
          <w:u w:val="single"/>
          <w:lang w:val="sq-AL"/>
        </w:rPr>
      </w:pPr>
      <w:r w:rsidRPr="00476D2E">
        <w:rPr>
          <w:rFonts w:cs="Calibri"/>
          <w:i/>
          <w:noProof/>
          <w:u w:val="single"/>
          <w:lang w:val="sq-AL"/>
        </w:rPr>
        <w:t xml:space="preserve">Renta Minerare </w:t>
      </w:r>
    </w:p>
    <w:p w:rsidR="006A619D" w:rsidRDefault="001E63C0" w:rsidP="006360DC">
      <w:pPr>
        <w:spacing w:before="0"/>
        <w:rPr>
          <w:rFonts w:cs="Calibri"/>
          <w:lang w:val="sq-AL"/>
        </w:rPr>
      </w:pPr>
      <w:r w:rsidRPr="009B6ACA">
        <w:rPr>
          <w:rFonts w:cs="Calibri"/>
          <w:lang w:val="sq-AL"/>
        </w:rPr>
        <w:t xml:space="preserve">Të ardhurat nga Renta Minerare në eksport janë realizuar në vlerën 2.4 miliardë lekë nga 1.8 miliardë lekë të mbledhura një vit më parë, me rritje prej 36.2 </w:t>
      </w:r>
      <w:r w:rsidR="008961B4">
        <w:rPr>
          <w:rFonts w:cs="Calibri"/>
          <w:lang w:val="sq-AL"/>
        </w:rPr>
        <w:t>përqind</w:t>
      </w:r>
      <w:r w:rsidRPr="009B6ACA">
        <w:rPr>
          <w:rFonts w:cs="Calibri"/>
          <w:lang w:val="sq-AL"/>
        </w:rPr>
        <w:t xml:space="preserve"> ose 0.6 miliardë lekë më pak, si dhe realizim kundrejt planit vjetor të rishikuar në masën 62.7 </w:t>
      </w:r>
      <w:r w:rsidR="008961B4">
        <w:rPr>
          <w:rFonts w:cs="Calibri"/>
          <w:lang w:val="sq-AL"/>
        </w:rPr>
        <w:t>përqind</w:t>
      </w:r>
      <w:r w:rsidRPr="009B6ACA">
        <w:rPr>
          <w:rFonts w:cs="Calibri"/>
          <w:lang w:val="sq-AL"/>
        </w:rPr>
        <w:t>. Të ardhurat nga renta minerare e naftës bruto ishin 2 miliardë lekë,  628.1 milionë ose 46.8% më  shum</w:t>
      </w:r>
      <w:r w:rsidRPr="003E5F73">
        <w:rPr>
          <w:rFonts w:cs="Calibri"/>
          <w:lang w:val="sq-AL"/>
        </w:rPr>
        <w:t xml:space="preserve">ë </w:t>
      </w:r>
      <w:r w:rsidRPr="009B6ACA">
        <w:rPr>
          <w:rFonts w:cs="Calibri"/>
          <w:lang w:val="sq-AL"/>
        </w:rPr>
        <w:t>se renta e vitit 2020; rënie e cila ka ardhur kryesisht si rezultat i rritjes së çmimit të naftës bruto në tregjet ndërkombëtare, me një efekt +426.1 milionë lekë;  megjith</w:t>
      </w:r>
      <w:r w:rsidRPr="003E5F73">
        <w:rPr>
          <w:rFonts w:cs="Calibri"/>
          <w:lang w:val="sq-AL"/>
        </w:rPr>
        <w:t xml:space="preserve">ë </w:t>
      </w:r>
      <w:r w:rsidRPr="009B6ACA">
        <w:rPr>
          <w:rFonts w:cs="Calibri"/>
          <w:lang w:val="sq-AL"/>
        </w:rPr>
        <w:t>uljen e sasisë së eksportit të naftës bruto me efekt negativ prej -14.1 milionë lekë. Gjatë vitit 2021 pati rritje të rentës për njësi nga 2.28 lekë/ton në 3.19 lekë/ton naftë bruto. Ndërkohë, të ardhurat nga mineralet e eksportuara kanë pësuar rritje në masën 222.6 milionë lekë, për shkak të rritjes së çmimit të mineraleve me efekt 247.5 milionë lekë pavar</w:t>
      </w:r>
      <w:r w:rsidRPr="003E5F73">
        <w:rPr>
          <w:rFonts w:cs="Calibri"/>
          <w:lang w:val="sq-AL"/>
        </w:rPr>
        <w:t xml:space="preserve">ësisht uljes së sasisë  së eksportuar me </w:t>
      </w:r>
      <w:r w:rsidR="003E5F73">
        <w:rPr>
          <w:rFonts w:cs="Calibri"/>
          <w:lang w:val="sq-AL"/>
        </w:rPr>
        <w:t>-</w:t>
      </w:r>
      <w:r w:rsidRPr="003E5F73">
        <w:rPr>
          <w:rFonts w:cs="Calibri"/>
          <w:lang w:val="sq-AL"/>
        </w:rPr>
        <w:t xml:space="preserve">28.4 mije ton ose -1.3 </w:t>
      </w:r>
      <w:r w:rsidR="008961B4" w:rsidRPr="003E5F73">
        <w:rPr>
          <w:rFonts w:cs="Calibri"/>
          <w:lang w:val="sq-AL"/>
        </w:rPr>
        <w:t>përqind</w:t>
      </w:r>
      <w:r w:rsidR="006A619D" w:rsidRPr="00476D2E">
        <w:rPr>
          <w:rFonts w:cs="Calibri"/>
          <w:lang w:val="sq-AL"/>
        </w:rPr>
        <w:t>.</w:t>
      </w:r>
    </w:p>
    <w:p w:rsidR="006D2CC4" w:rsidRPr="006360DC" w:rsidRDefault="006D2CC4" w:rsidP="004878D4">
      <w:pPr>
        <w:pStyle w:val="ListParagraph"/>
        <w:numPr>
          <w:ilvl w:val="0"/>
          <w:numId w:val="1"/>
        </w:numPr>
        <w:spacing w:before="240" w:line="360" w:lineRule="auto"/>
        <w:ind w:left="990" w:hanging="270"/>
        <w:rPr>
          <w:rFonts w:cs="Calibri"/>
          <w:i/>
          <w:noProof/>
          <w:u w:val="single"/>
          <w:lang w:val="sq-AL"/>
        </w:rPr>
      </w:pPr>
      <w:r w:rsidRPr="006360DC">
        <w:rPr>
          <w:rFonts w:cs="Calibri"/>
          <w:i/>
          <w:noProof/>
          <w:u w:val="single"/>
          <w:lang w:val="sq-AL"/>
        </w:rPr>
        <w:lastRenderedPageBreak/>
        <w:t>Të ardhurat e fondeve speciale</w:t>
      </w:r>
    </w:p>
    <w:p w:rsidR="006A619D" w:rsidRPr="006360DC" w:rsidRDefault="00D76212" w:rsidP="006B5C51">
      <w:pPr>
        <w:spacing w:before="0"/>
        <w:rPr>
          <w:rFonts w:cs="Calibri"/>
          <w:noProof/>
          <w:color w:val="FF0000"/>
          <w:lang w:val="sq-AL"/>
        </w:rPr>
      </w:pPr>
      <w:r w:rsidRPr="006360DC">
        <w:rPr>
          <w:rFonts w:cs="Calibri"/>
          <w:noProof/>
          <w:lang w:val="sq-AL"/>
        </w:rPr>
        <w:t xml:space="preserve">Të ardhurat nga “Fondet Speciale” rezultuan 110.9 miliardë lekë, me një realizim ndaj planit të rishikuar në nivelin 102.6 </w:t>
      </w:r>
      <w:r w:rsidR="008961B4" w:rsidRPr="006360DC">
        <w:rPr>
          <w:rFonts w:cs="Calibri"/>
          <w:noProof/>
          <w:lang w:val="sq-AL"/>
        </w:rPr>
        <w:t>përqind</w:t>
      </w:r>
      <w:r w:rsidRPr="006360DC">
        <w:rPr>
          <w:rFonts w:cs="Calibri"/>
          <w:noProof/>
          <w:lang w:val="sq-AL"/>
        </w:rPr>
        <w:t xml:space="preserve"> ose 2.8 miliardë lekë më shumë. Të ardhurat nga fondet speciale shënuan  rritje në krahasim me parashikimin në buxhetin fillestar të vitit 2021 prej 6.1 </w:t>
      </w:r>
      <w:r w:rsidR="008961B4" w:rsidRPr="006360DC">
        <w:rPr>
          <w:rFonts w:cs="Calibri"/>
          <w:noProof/>
          <w:lang w:val="sq-AL"/>
        </w:rPr>
        <w:t>përqind</w:t>
      </w:r>
      <w:r w:rsidRPr="006360DC">
        <w:rPr>
          <w:rFonts w:cs="Calibri"/>
          <w:noProof/>
          <w:lang w:val="sq-AL"/>
        </w:rPr>
        <w:t>, ose 10.3 miliardë lekë më shum</w:t>
      </w:r>
      <w:r w:rsidRPr="006360DC">
        <w:rPr>
          <w:rFonts w:ascii="Times New Roman" w:hAnsi="Times New Roman"/>
          <w:noProof/>
          <w:lang w:val="sq-AL"/>
        </w:rPr>
        <w:t>ë</w:t>
      </w:r>
      <w:r w:rsidRPr="006360DC">
        <w:rPr>
          <w:rFonts w:cs="Calibri"/>
          <w:noProof/>
          <w:lang w:val="sq-AL"/>
        </w:rPr>
        <w:t xml:space="preserve"> dhe 13.2 miliardë lekë apo 13.5 </w:t>
      </w:r>
      <w:r w:rsidR="008961B4" w:rsidRPr="006360DC">
        <w:rPr>
          <w:rFonts w:cs="Calibri"/>
          <w:noProof/>
          <w:lang w:val="sq-AL"/>
        </w:rPr>
        <w:t>përqind</w:t>
      </w:r>
      <w:r w:rsidRPr="006360DC">
        <w:rPr>
          <w:rFonts w:cs="Calibri"/>
          <w:noProof/>
          <w:lang w:val="sq-AL"/>
        </w:rPr>
        <w:t xml:space="preserve"> më pak shum</w:t>
      </w:r>
      <w:r w:rsidRPr="006360DC">
        <w:rPr>
          <w:rFonts w:ascii="Times New Roman" w:hAnsi="Times New Roman"/>
          <w:noProof/>
          <w:lang w:val="sq-AL"/>
        </w:rPr>
        <w:t>ë</w:t>
      </w:r>
      <w:r w:rsidRPr="006360DC">
        <w:rPr>
          <w:rFonts w:cs="Calibri"/>
          <w:noProof/>
          <w:lang w:val="sq-AL"/>
        </w:rPr>
        <w:t xml:space="preserve"> një vit më parë. Zërat që përbëjnë të ardhurat nga “Fondet Speciale” janë: Sigurimi Shoqëror, Sigurimi Shëndetësor dhe të ardhurat për kompensimin në vlerë të pronarëve, përkatësisht në vlerën 94.9 miliardë lekë, 14.5 miliardë lekë dhe 1.4 miliardë lekë</w:t>
      </w:r>
      <w:r w:rsidR="006A619D" w:rsidRPr="006360DC">
        <w:rPr>
          <w:rFonts w:cs="Calibri"/>
          <w:lang w:val="sq-AL"/>
        </w:rPr>
        <w:t xml:space="preserve">. </w:t>
      </w:r>
    </w:p>
    <w:p w:rsidR="00F82F26" w:rsidRPr="003E5F73" w:rsidRDefault="00F82F26" w:rsidP="002B34A1">
      <w:pPr>
        <w:pStyle w:val="Caption"/>
        <w:keepNext/>
        <w:spacing w:after="0"/>
        <w:rPr>
          <w:rFonts w:cs="Calibri"/>
          <w:lang w:val="sq-AL"/>
        </w:rPr>
      </w:pPr>
      <w:bookmarkStart w:id="106" w:name="_Toc104984042"/>
      <w:r w:rsidRPr="003E5F73">
        <w:rPr>
          <w:rFonts w:cs="Calibri"/>
          <w:lang w:val="sq-AL"/>
        </w:rPr>
        <w:t xml:space="preserve">Grafiku </w:t>
      </w:r>
      <w:r w:rsidR="00C87F41" w:rsidRPr="003E5F73">
        <w:rPr>
          <w:rFonts w:cs="Calibri"/>
          <w:noProof/>
          <w:lang w:val="sq-AL"/>
        </w:rPr>
        <w:fldChar w:fldCharType="begin"/>
      </w:r>
      <w:r w:rsidR="00C87F41" w:rsidRPr="003E5F73">
        <w:rPr>
          <w:rFonts w:cs="Calibri"/>
          <w:noProof/>
          <w:lang w:val="sq-AL"/>
        </w:rPr>
        <w:instrText xml:space="preserve"> SEQ Grafiku \* ARABIC </w:instrText>
      </w:r>
      <w:r w:rsidR="00C87F41" w:rsidRPr="003E5F73">
        <w:rPr>
          <w:rFonts w:cs="Calibri"/>
          <w:noProof/>
          <w:lang w:val="sq-AL"/>
        </w:rPr>
        <w:fldChar w:fldCharType="separate"/>
      </w:r>
      <w:r w:rsidR="00FE66EC">
        <w:rPr>
          <w:rFonts w:cs="Calibri"/>
          <w:noProof/>
          <w:lang w:val="sq-AL"/>
        </w:rPr>
        <w:t>23</w:t>
      </w:r>
      <w:r w:rsidR="00C87F41" w:rsidRPr="003E5F73">
        <w:rPr>
          <w:rFonts w:cs="Calibri"/>
          <w:noProof/>
          <w:lang w:val="sq-AL"/>
        </w:rPr>
        <w:fldChar w:fldCharType="end"/>
      </w:r>
      <w:r w:rsidR="00B77671" w:rsidRPr="003E5F73">
        <w:rPr>
          <w:rFonts w:cs="Calibri"/>
          <w:lang w:val="sq-AL"/>
        </w:rPr>
        <w:t xml:space="preserve"> K</w:t>
      </w:r>
      <w:r w:rsidR="00382115" w:rsidRPr="003E5F73">
        <w:rPr>
          <w:rFonts w:cs="Calibri"/>
          <w:lang w:val="sq-AL"/>
        </w:rPr>
        <w:t>ontribu</w:t>
      </w:r>
      <w:r w:rsidRPr="003E5F73">
        <w:rPr>
          <w:rFonts w:cs="Calibri"/>
          <w:lang w:val="sq-AL"/>
        </w:rPr>
        <w:t>esit aktiv</w:t>
      </w:r>
      <w:r w:rsidR="00C33B16" w:rsidRPr="003E5F73">
        <w:rPr>
          <w:rFonts w:cs="Calibri"/>
          <w:lang w:val="sq-AL"/>
        </w:rPr>
        <w:t>ë</w:t>
      </w:r>
      <w:r w:rsidRPr="003E5F73">
        <w:rPr>
          <w:rFonts w:cs="Calibri"/>
          <w:lang w:val="sq-AL"/>
        </w:rPr>
        <w:t xml:space="preserve"> p</w:t>
      </w:r>
      <w:r w:rsidR="00C33B16" w:rsidRPr="003E5F73">
        <w:rPr>
          <w:rFonts w:cs="Calibri"/>
          <w:lang w:val="sq-AL"/>
        </w:rPr>
        <w:t>ë</w:t>
      </w:r>
      <w:r w:rsidRPr="003E5F73">
        <w:rPr>
          <w:rFonts w:cs="Calibri"/>
          <w:lang w:val="sq-AL"/>
        </w:rPr>
        <w:t>r sigurimet shoq</w:t>
      </w:r>
      <w:r w:rsidR="00C33B16" w:rsidRPr="003E5F73">
        <w:rPr>
          <w:rFonts w:cs="Calibri"/>
          <w:lang w:val="sq-AL"/>
        </w:rPr>
        <w:t>ë</w:t>
      </w:r>
      <w:r w:rsidRPr="003E5F73">
        <w:rPr>
          <w:rFonts w:cs="Calibri"/>
          <w:lang w:val="sq-AL"/>
        </w:rPr>
        <w:t>rore dhe sh</w:t>
      </w:r>
      <w:r w:rsidR="00C33B16" w:rsidRPr="003E5F73">
        <w:rPr>
          <w:rFonts w:cs="Calibri"/>
          <w:lang w:val="sq-AL"/>
        </w:rPr>
        <w:t>ë</w:t>
      </w:r>
      <w:r w:rsidRPr="003E5F73">
        <w:rPr>
          <w:rFonts w:cs="Calibri"/>
          <w:lang w:val="sq-AL"/>
        </w:rPr>
        <w:t>ndet</w:t>
      </w:r>
      <w:r w:rsidR="00C33B16" w:rsidRPr="003E5F73">
        <w:rPr>
          <w:rFonts w:cs="Calibri"/>
          <w:lang w:val="sq-AL"/>
        </w:rPr>
        <w:t>ë</w:t>
      </w:r>
      <w:r w:rsidRPr="003E5F73">
        <w:rPr>
          <w:rFonts w:cs="Calibri"/>
          <w:lang w:val="sq-AL"/>
        </w:rPr>
        <w:t>sore, sipas llojit t</w:t>
      </w:r>
      <w:r w:rsidR="00C33B16" w:rsidRPr="003E5F73">
        <w:rPr>
          <w:rFonts w:cs="Calibri"/>
          <w:lang w:val="sq-AL"/>
        </w:rPr>
        <w:t>ë</w:t>
      </w:r>
      <w:r w:rsidRPr="003E5F73">
        <w:rPr>
          <w:rFonts w:cs="Calibri"/>
          <w:lang w:val="sq-AL"/>
        </w:rPr>
        <w:t xml:space="preserve"> biznesit</w:t>
      </w:r>
      <w:bookmarkEnd w:id="106"/>
    </w:p>
    <w:p w:rsidR="00F82F26" w:rsidRPr="003E5F73" w:rsidRDefault="003E5F73" w:rsidP="006B5C51">
      <w:pPr>
        <w:spacing w:before="0"/>
        <w:jc w:val="center"/>
        <w:rPr>
          <w:rFonts w:cs="Calibri"/>
          <w:lang w:val="sq-AL"/>
        </w:rPr>
      </w:pPr>
      <w:r w:rsidRPr="003E5F73">
        <w:rPr>
          <w:noProof/>
        </w:rPr>
        <w:drawing>
          <wp:inline distT="0" distB="0" distL="0" distR="0" wp14:anchorId="64E95007" wp14:editId="65B006F0">
            <wp:extent cx="5591175" cy="2392680"/>
            <wp:effectExtent l="0" t="0" r="9525" b="7620"/>
            <wp:docPr id="13" name="Chart 13">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A06E2" w:rsidRPr="003E5F73" w:rsidRDefault="000661E2" w:rsidP="003E5F73">
      <w:pPr>
        <w:spacing w:before="0"/>
        <w:ind w:firstLine="720"/>
        <w:rPr>
          <w:rFonts w:cs="Calibri"/>
          <w:i/>
          <w:noProof/>
          <w:sz w:val="18"/>
          <w:szCs w:val="18"/>
          <w:lang w:val="sq-AL"/>
        </w:rPr>
      </w:pPr>
      <w:r w:rsidRPr="003E5F73">
        <w:rPr>
          <w:rFonts w:cs="Calibri"/>
          <w:i/>
          <w:noProof/>
          <w:sz w:val="18"/>
          <w:szCs w:val="18"/>
          <w:lang w:val="sq-AL"/>
        </w:rPr>
        <w:t>Burimi: Ministria e Financave dhe Ekonomisë (2022)</w:t>
      </w:r>
    </w:p>
    <w:p w:rsidR="00F82F26" w:rsidRPr="003E5F73" w:rsidRDefault="00F82F26" w:rsidP="002B34A1">
      <w:pPr>
        <w:pStyle w:val="Caption"/>
        <w:keepNext/>
        <w:spacing w:after="0"/>
        <w:rPr>
          <w:rFonts w:cs="Calibri"/>
          <w:lang w:val="sq-AL"/>
        </w:rPr>
      </w:pPr>
      <w:bookmarkStart w:id="107" w:name="_Toc104984043"/>
      <w:r w:rsidRPr="003E5F73">
        <w:rPr>
          <w:rFonts w:cs="Calibri"/>
          <w:lang w:val="sq-AL"/>
        </w:rPr>
        <w:t xml:space="preserve">Grafiku </w:t>
      </w:r>
      <w:r w:rsidR="00C87F41" w:rsidRPr="003E5F73">
        <w:rPr>
          <w:rFonts w:cs="Calibri"/>
          <w:noProof/>
          <w:lang w:val="sq-AL"/>
        </w:rPr>
        <w:fldChar w:fldCharType="begin"/>
      </w:r>
      <w:r w:rsidR="00C87F41" w:rsidRPr="003E5F73">
        <w:rPr>
          <w:rFonts w:cs="Calibri"/>
          <w:noProof/>
          <w:lang w:val="sq-AL"/>
        </w:rPr>
        <w:instrText xml:space="preserve"> SEQ Grafiku \* ARABIC </w:instrText>
      </w:r>
      <w:r w:rsidR="00C87F41" w:rsidRPr="003E5F73">
        <w:rPr>
          <w:rFonts w:cs="Calibri"/>
          <w:noProof/>
          <w:lang w:val="sq-AL"/>
        </w:rPr>
        <w:fldChar w:fldCharType="separate"/>
      </w:r>
      <w:r w:rsidR="00FE66EC">
        <w:rPr>
          <w:rFonts w:cs="Calibri"/>
          <w:noProof/>
          <w:lang w:val="sq-AL"/>
        </w:rPr>
        <w:t>24</w:t>
      </w:r>
      <w:r w:rsidR="00C87F41" w:rsidRPr="003E5F73">
        <w:rPr>
          <w:rFonts w:cs="Calibri"/>
          <w:noProof/>
          <w:lang w:val="sq-AL"/>
        </w:rPr>
        <w:fldChar w:fldCharType="end"/>
      </w:r>
      <w:r w:rsidR="00B77671" w:rsidRPr="003E5F73">
        <w:rPr>
          <w:rFonts w:cs="Calibri"/>
          <w:lang w:val="sq-AL"/>
        </w:rPr>
        <w:t xml:space="preserve"> Kontrib</w:t>
      </w:r>
      <w:r w:rsidRPr="003E5F73">
        <w:rPr>
          <w:rFonts w:cs="Calibri"/>
          <w:lang w:val="sq-AL"/>
        </w:rPr>
        <w:t>uesit aktiv</w:t>
      </w:r>
      <w:r w:rsidR="00C33B16" w:rsidRPr="003E5F73">
        <w:rPr>
          <w:rFonts w:cs="Calibri"/>
          <w:lang w:val="sq-AL"/>
        </w:rPr>
        <w:t>ë</w:t>
      </w:r>
      <w:r w:rsidRPr="003E5F73">
        <w:rPr>
          <w:rFonts w:cs="Calibri"/>
          <w:lang w:val="sq-AL"/>
        </w:rPr>
        <w:t xml:space="preserve"> p</w:t>
      </w:r>
      <w:r w:rsidR="00C33B16" w:rsidRPr="003E5F73">
        <w:rPr>
          <w:rFonts w:cs="Calibri"/>
          <w:lang w:val="sq-AL"/>
        </w:rPr>
        <w:t>ë</w:t>
      </w:r>
      <w:r w:rsidRPr="003E5F73">
        <w:rPr>
          <w:rFonts w:cs="Calibri"/>
          <w:lang w:val="sq-AL"/>
        </w:rPr>
        <w:t>r sigurimet shoq</w:t>
      </w:r>
      <w:r w:rsidR="00C33B16" w:rsidRPr="003E5F73">
        <w:rPr>
          <w:rFonts w:cs="Calibri"/>
          <w:lang w:val="sq-AL"/>
        </w:rPr>
        <w:t>ë</w:t>
      </w:r>
      <w:r w:rsidRPr="003E5F73">
        <w:rPr>
          <w:rFonts w:cs="Calibri"/>
          <w:lang w:val="sq-AL"/>
        </w:rPr>
        <w:t>rore dhe sh</w:t>
      </w:r>
      <w:r w:rsidR="00C33B16" w:rsidRPr="003E5F73">
        <w:rPr>
          <w:rFonts w:cs="Calibri"/>
          <w:lang w:val="sq-AL"/>
        </w:rPr>
        <w:t>ë</w:t>
      </w:r>
      <w:r w:rsidRPr="003E5F73">
        <w:rPr>
          <w:rFonts w:cs="Calibri"/>
          <w:lang w:val="sq-AL"/>
        </w:rPr>
        <w:t>ndet</w:t>
      </w:r>
      <w:r w:rsidR="00C33B16" w:rsidRPr="003E5F73">
        <w:rPr>
          <w:rFonts w:cs="Calibri"/>
          <w:lang w:val="sq-AL"/>
        </w:rPr>
        <w:t>ë</w:t>
      </w:r>
      <w:r w:rsidRPr="003E5F73">
        <w:rPr>
          <w:rFonts w:cs="Calibri"/>
          <w:lang w:val="sq-AL"/>
        </w:rPr>
        <w:t>sore, sipas sektorit (n</w:t>
      </w:r>
      <w:r w:rsidR="00C33B16" w:rsidRPr="003E5F73">
        <w:rPr>
          <w:rFonts w:cs="Calibri"/>
          <w:lang w:val="sq-AL"/>
        </w:rPr>
        <w:t>ë</w:t>
      </w:r>
      <w:r w:rsidRPr="003E5F73">
        <w:rPr>
          <w:rFonts w:cs="Calibri"/>
          <w:lang w:val="sq-AL"/>
        </w:rPr>
        <w:t xml:space="preserve"> %)</w:t>
      </w:r>
      <w:bookmarkEnd w:id="107"/>
    </w:p>
    <w:p w:rsidR="006D2CC4" w:rsidRPr="003E5F73" w:rsidRDefault="003E5F73" w:rsidP="006B5C51">
      <w:pPr>
        <w:spacing w:before="0"/>
        <w:jc w:val="center"/>
        <w:rPr>
          <w:rFonts w:cs="Calibri"/>
          <w:noProof/>
          <w:lang w:val="sq-AL"/>
        </w:rPr>
      </w:pPr>
      <w:r w:rsidRPr="003E5F73">
        <w:rPr>
          <w:rFonts w:cs="Calibri"/>
          <w:noProof/>
        </w:rPr>
        <w:drawing>
          <wp:inline distT="0" distB="0" distL="0" distR="0" wp14:anchorId="2D0722B2" wp14:editId="05CAC3A9">
            <wp:extent cx="5542915" cy="2148840"/>
            <wp:effectExtent l="0" t="0" r="635" b="381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D2CC4" w:rsidRPr="003E5F73" w:rsidRDefault="000661E2" w:rsidP="003E5F73">
      <w:pPr>
        <w:spacing w:before="0"/>
        <w:ind w:firstLine="720"/>
        <w:rPr>
          <w:rFonts w:cs="Calibri"/>
          <w:i/>
          <w:noProof/>
          <w:sz w:val="18"/>
          <w:szCs w:val="18"/>
          <w:lang w:val="sq-AL"/>
        </w:rPr>
      </w:pPr>
      <w:r w:rsidRPr="003E5F73">
        <w:rPr>
          <w:rFonts w:cs="Calibri"/>
          <w:i/>
          <w:noProof/>
          <w:sz w:val="18"/>
          <w:szCs w:val="18"/>
          <w:lang w:val="sq-AL"/>
        </w:rPr>
        <w:t>Burimi: Ministria e Financave dhe Ekonomisë (2022)</w:t>
      </w:r>
    </w:p>
    <w:p w:rsidR="00065CCC" w:rsidRPr="00476D2E" w:rsidRDefault="00F827AD" w:rsidP="00065CCC">
      <w:pPr>
        <w:pStyle w:val="Normal1"/>
        <w:spacing w:before="240"/>
        <w:rPr>
          <w:rFonts w:ascii="Calibri" w:hAnsi="Calibri" w:cs="Calibri"/>
          <w:lang w:val="sq-AL"/>
        </w:rPr>
      </w:pPr>
      <w:bookmarkStart w:id="108" w:name="_Toc10033277"/>
      <w:bookmarkStart w:id="109" w:name="_Toc10721414"/>
      <w:r w:rsidRPr="00F827AD">
        <w:rPr>
          <w:rFonts w:ascii="Calibri" w:hAnsi="Calibri" w:cs="Calibri"/>
          <w:lang w:val="sq-AL"/>
        </w:rPr>
        <w:t>Peshën më të madhe, për numër mesatar kontribuesish e zë biznesi i madh dhe ndërmarrjet shtetërore buxhetore, përkatësisht 36 përqind dhe 21 përqind. Duke e analizuar nga këndvështrimi i sektorëve të ekonomisë, peshën kryesore në kontribuesit aktivë e zënë punonjësit në sektorin e “Shërbimit” me 36%,  dhe  “Prodhimi” me 25% dhe “Tregtia” me 22%. Krahasuar me vitin e kaluar, ky tregues ka pësuar këto ndryshime: sektori i “Prodhimit” është rritur me 3 përqind, sektori i “Shërbimit” është rritur me 3 përqind, sektori i “Tregtisë” është rritur me 7 përqind si dhe sektori “Ndërtimit” është rritur me 1 përqind</w:t>
      </w:r>
      <w:r w:rsidR="00065CCC" w:rsidRPr="00F827AD">
        <w:rPr>
          <w:rFonts w:ascii="Calibri" w:hAnsi="Calibri" w:cs="Calibri"/>
          <w:lang w:val="sq-AL"/>
        </w:rPr>
        <w:t>.</w:t>
      </w:r>
      <w:r w:rsidR="00065CCC" w:rsidRPr="00476D2E">
        <w:rPr>
          <w:rFonts w:ascii="Calibri" w:hAnsi="Calibri" w:cs="Calibri"/>
          <w:lang w:val="sq-AL"/>
        </w:rPr>
        <w:t xml:space="preserve"> </w:t>
      </w:r>
    </w:p>
    <w:p w:rsidR="00A94670" w:rsidRPr="00DD139E" w:rsidRDefault="008B6B58" w:rsidP="00B77671">
      <w:pPr>
        <w:pStyle w:val="Fiskale1"/>
        <w:rPr>
          <w:rFonts w:ascii="Calibri" w:hAnsi="Calibri" w:cs="Calibri"/>
        </w:rPr>
      </w:pPr>
      <w:bookmarkStart w:id="110" w:name="_Toc104980332"/>
      <w:r w:rsidRPr="00DD139E">
        <w:rPr>
          <w:rFonts w:ascii="Calibri" w:hAnsi="Calibri" w:cs="Calibri"/>
        </w:rPr>
        <w:lastRenderedPageBreak/>
        <w:t>SHPENZIMET E PËRGJITHSHME</w:t>
      </w:r>
      <w:bookmarkEnd w:id="108"/>
      <w:bookmarkEnd w:id="109"/>
      <w:bookmarkEnd w:id="110"/>
    </w:p>
    <w:p w:rsidR="00C07CC2" w:rsidRPr="00476D2E" w:rsidRDefault="00DD139E" w:rsidP="00A52C02">
      <w:pPr>
        <w:pStyle w:val="Normal1"/>
        <w:spacing w:before="0"/>
        <w:rPr>
          <w:rFonts w:ascii="Calibri" w:hAnsi="Calibri" w:cs="Calibri"/>
          <w:lang w:val="sq-AL"/>
        </w:rPr>
      </w:pPr>
      <w:r w:rsidRPr="004E6BCB">
        <w:rPr>
          <w:rFonts w:ascii="Calibri" w:hAnsi="Calibri" w:cs="Calibri"/>
          <w:lang w:val="sq-AL"/>
        </w:rPr>
        <w:t>Shpenzimet e përgjithshme publike për vitin 2021, arritën në rreth 595.97 miliardë lekë me një realizim në masën 100.5 përqind të planit vjetor sipas Buxhetit fillestar dhe 94.9 përqind të planit vjetor sipas Aktit Normativ nr.34 datë 03.12.2021 (AN nr.34). Krahasuar me të njëjtën periudhë të vitit 2020 ky zë ka rezultuar 11.1 përqind më i lartë ose rreth 59.5 miliardë lekë më shumë</w:t>
      </w:r>
      <w:r w:rsidR="007E67EA" w:rsidRPr="00476D2E">
        <w:rPr>
          <w:rFonts w:ascii="Calibri" w:hAnsi="Calibri" w:cs="Calibri"/>
          <w:lang w:val="sq-AL"/>
        </w:rPr>
        <w:t xml:space="preserve">. </w:t>
      </w:r>
    </w:p>
    <w:p w:rsidR="00C07CC2" w:rsidRPr="00476D2E" w:rsidRDefault="00C07CC2" w:rsidP="00B9341E">
      <w:pPr>
        <w:pStyle w:val="Caption"/>
        <w:keepNext/>
        <w:spacing w:after="0"/>
        <w:rPr>
          <w:rFonts w:cs="Calibri"/>
          <w:lang w:val="sq-AL"/>
        </w:rPr>
      </w:pPr>
      <w:bookmarkStart w:id="111" w:name="_Toc104984044"/>
      <w:r w:rsidRPr="00476D2E">
        <w:rPr>
          <w:rFonts w:cs="Calibri"/>
          <w:lang w:val="sq-AL"/>
        </w:rPr>
        <w:t xml:space="preserve">Grafiku </w:t>
      </w:r>
      <w:r w:rsidRPr="00476D2E">
        <w:rPr>
          <w:rFonts w:cs="Calibri"/>
          <w:noProof/>
          <w:lang w:val="sq-AL"/>
        </w:rPr>
        <w:fldChar w:fldCharType="begin"/>
      </w:r>
      <w:r w:rsidRPr="00476D2E">
        <w:rPr>
          <w:rFonts w:cs="Calibri"/>
          <w:noProof/>
          <w:lang w:val="sq-AL"/>
        </w:rPr>
        <w:instrText xml:space="preserve"> SEQ Grafiku \* ARABIC </w:instrText>
      </w:r>
      <w:r w:rsidRPr="00476D2E">
        <w:rPr>
          <w:rFonts w:cs="Calibri"/>
          <w:noProof/>
          <w:lang w:val="sq-AL"/>
        </w:rPr>
        <w:fldChar w:fldCharType="separate"/>
      </w:r>
      <w:r w:rsidR="00FE66EC">
        <w:rPr>
          <w:rFonts w:cs="Calibri"/>
          <w:noProof/>
          <w:lang w:val="sq-AL"/>
        </w:rPr>
        <w:t>25</w:t>
      </w:r>
      <w:r w:rsidRPr="00476D2E">
        <w:rPr>
          <w:rFonts w:cs="Calibri"/>
          <w:noProof/>
          <w:lang w:val="sq-AL"/>
        </w:rPr>
        <w:fldChar w:fldCharType="end"/>
      </w:r>
      <w:r w:rsidRPr="00476D2E">
        <w:rPr>
          <w:rFonts w:cs="Calibri"/>
          <w:lang w:val="sq-AL"/>
        </w:rPr>
        <w:t xml:space="preserve"> Shpenzimet e përgjithshme korren</w:t>
      </w:r>
      <w:r w:rsidR="00F53FF5" w:rsidRPr="00476D2E">
        <w:rPr>
          <w:rFonts w:cs="Calibri"/>
          <w:lang w:val="sq-AL"/>
        </w:rPr>
        <w:t>te dhe kapitale (mld  lekë</w:t>
      </w:r>
      <w:r w:rsidR="00C73F4F" w:rsidRPr="00476D2E">
        <w:rPr>
          <w:rFonts w:cs="Calibri"/>
          <w:lang w:val="sq-AL"/>
        </w:rPr>
        <w:t xml:space="preserve">) dhe </w:t>
      </w:r>
      <w:r w:rsidRPr="00476D2E">
        <w:rPr>
          <w:rFonts w:cs="Calibri"/>
          <w:lang w:val="sq-AL"/>
        </w:rPr>
        <w:t>ritmi i rritjes vjetore (në %)</w:t>
      </w:r>
      <w:bookmarkEnd w:id="111"/>
    </w:p>
    <w:p w:rsidR="00B9341E" w:rsidRPr="00476D2E" w:rsidRDefault="00DD139E" w:rsidP="00A52C02">
      <w:pPr>
        <w:spacing w:before="0"/>
        <w:jc w:val="center"/>
        <w:rPr>
          <w:rFonts w:eastAsia="SimSun" w:cs="Calibri"/>
          <w:i/>
          <w:lang w:val="sq-AL"/>
        </w:rPr>
      </w:pPr>
      <w:r w:rsidRPr="004E6BCB">
        <w:rPr>
          <w:rFonts w:eastAsia="SimSun" w:cs="Calibri"/>
          <w:i/>
          <w:noProof/>
        </w:rPr>
        <w:drawing>
          <wp:inline distT="0" distB="0" distL="0" distR="0" wp14:anchorId="4EC0D853" wp14:editId="5737CF41">
            <wp:extent cx="6080760" cy="2430743"/>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18714" cy="2445915"/>
                    </a:xfrm>
                    <a:prstGeom prst="rect">
                      <a:avLst/>
                    </a:prstGeom>
                    <a:noFill/>
                  </pic:spPr>
                </pic:pic>
              </a:graphicData>
            </a:graphic>
          </wp:inline>
        </w:drawing>
      </w:r>
    </w:p>
    <w:p w:rsidR="00C07CC2" w:rsidRDefault="000661E2" w:rsidP="00A52C02">
      <w:pPr>
        <w:spacing w:before="0"/>
        <w:ind w:firstLine="360"/>
        <w:rPr>
          <w:rFonts w:eastAsia="SimSun" w:cs="Calibri"/>
          <w:i/>
          <w:sz w:val="18"/>
          <w:szCs w:val="18"/>
          <w:lang w:val="sq-AL"/>
        </w:rPr>
      </w:pPr>
      <w:r>
        <w:rPr>
          <w:rFonts w:eastAsia="SimSun" w:cs="Calibri"/>
          <w:i/>
          <w:sz w:val="18"/>
          <w:szCs w:val="18"/>
          <w:lang w:val="sq-AL"/>
        </w:rPr>
        <w:t>Burimi: Ministria e Financave dhe Ekonomisë (2022)</w:t>
      </w:r>
      <w:r w:rsidR="00C07CC2" w:rsidRPr="00476D2E">
        <w:rPr>
          <w:rFonts w:eastAsia="SimSun" w:cs="Calibri"/>
          <w:i/>
          <w:sz w:val="18"/>
          <w:szCs w:val="18"/>
          <w:lang w:val="sq-AL"/>
        </w:rPr>
        <w:t xml:space="preserve"> </w:t>
      </w:r>
    </w:p>
    <w:p w:rsidR="006360DC" w:rsidRPr="00476D2E" w:rsidRDefault="006360DC" w:rsidP="00A52C02">
      <w:pPr>
        <w:spacing w:before="0"/>
        <w:ind w:firstLine="360"/>
        <w:rPr>
          <w:rFonts w:eastAsia="SimSun" w:cs="Calibri"/>
          <w:i/>
          <w:sz w:val="18"/>
          <w:szCs w:val="18"/>
          <w:lang w:val="sq-AL"/>
        </w:rPr>
      </w:pPr>
    </w:p>
    <w:p w:rsidR="003E52B1" w:rsidRPr="00DD139E" w:rsidRDefault="003E52B1" w:rsidP="00854F96">
      <w:pPr>
        <w:pStyle w:val="Fiskale2"/>
        <w:rPr>
          <w:rFonts w:ascii="Calibri" w:hAnsi="Calibri" w:cs="Calibri"/>
        </w:rPr>
      </w:pPr>
      <w:bookmarkStart w:id="112" w:name="_Toc10033278"/>
      <w:bookmarkStart w:id="113" w:name="_Toc10721415"/>
      <w:bookmarkStart w:id="114" w:name="_Toc104980333"/>
      <w:bookmarkStart w:id="115" w:name="_Toc515446555"/>
      <w:r w:rsidRPr="00DD139E">
        <w:rPr>
          <w:rFonts w:ascii="Calibri" w:hAnsi="Calibri" w:cs="Calibri"/>
        </w:rPr>
        <w:t>Shpenzimet sipas natyr</w:t>
      </w:r>
      <w:r w:rsidR="00C33B16" w:rsidRPr="00DD139E">
        <w:rPr>
          <w:rFonts w:ascii="Calibri" w:hAnsi="Calibri" w:cs="Calibri"/>
        </w:rPr>
        <w:t>ë</w:t>
      </w:r>
      <w:r w:rsidRPr="00DD139E">
        <w:rPr>
          <w:rFonts w:ascii="Calibri" w:hAnsi="Calibri" w:cs="Calibri"/>
        </w:rPr>
        <w:t>s ekonomike</w:t>
      </w:r>
      <w:bookmarkEnd w:id="112"/>
      <w:bookmarkEnd w:id="113"/>
      <w:bookmarkEnd w:id="114"/>
    </w:p>
    <w:p w:rsidR="000804E3" w:rsidRPr="00476D2E" w:rsidRDefault="00DD139E" w:rsidP="000804E3">
      <w:pPr>
        <w:rPr>
          <w:rFonts w:eastAsia="SimSun" w:cs="Calibri"/>
          <w:lang w:val="sq-AL"/>
        </w:rPr>
      </w:pPr>
      <w:bookmarkStart w:id="116" w:name="_Toc8810310"/>
      <w:bookmarkEnd w:id="115"/>
      <w:r w:rsidRPr="00DD139E">
        <w:rPr>
          <w:rFonts w:eastAsia="SimSun" w:cs="Calibri"/>
          <w:lang w:val="sq-AL"/>
        </w:rPr>
        <w:t>Struktura e shpenzimeve gjatë vitit 2021 paraqet disa ndryshime në krahasim me planin fillestar, për shkak të vazhdimit të masave për përballimin e situatës së pandemisë, ecurisë së procesit të rindërtimit si dhe mbështetjes në kuadër të krizës së sektorit energjitik, të cilat sollën nevojën për disa rishikime të buxhetit</w:t>
      </w:r>
      <w:r w:rsidR="001D54B0" w:rsidRPr="00DD139E">
        <w:rPr>
          <w:rFonts w:eastAsia="SimSun" w:cs="Calibri"/>
          <w:lang w:val="sq-AL"/>
        </w:rPr>
        <w:t>.</w:t>
      </w:r>
    </w:p>
    <w:p w:rsidR="000804E3" w:rsidRPr="00476D2E" w:rsidRDefault="000804E3" w:rsidP="00EC7349">
      <w:pPr>
        <w:pStyle w:val="Caption"/>
        <w:keepNext/>
        <w:spacing w:after="0"/>
        <w:rPr>
          <w:rFonts w:cs="Calibri"/>
          <w:lang w:val="sq-AL"/>
        </w:rPr>
      </w:pPr>
      <w:bookmarkStart w:id="117" w:name="_Toc104984045"/>
      <w:r w:rsidRPr="00476D2E">
        <w:rPr>
          <w:rFonts w:cs="Calibri"/>
          <w:lang w:val="sq-AL"/>
        </w:rPr>
        <w:t xml:space="preserve">Grafiku </w:t>
      </w:r>
      <w:r w:rsidRPr="00476D2E">
        <w:rPr>
          <w:rFonts w:cs="Calibri"/>
          <w:noProof/>
          <w:lang w:val="sq-AL"/>
        </w:rPr>
        <w:fldChar w:fldCharType="begin"/>
      </w:r>
      <w:r w:rsidRPr="00476D2E">
        <w:rPr>
          <w:rFonts w:cs="Calibri"/>
          <w:noProof/>
          <w:lang w:val="sq-AL"/>
        </w:rPr>
        <w:instrText xml:space="preserve"> SEQ Grafiku \* ARABIC </w:instrText>
      </w:r>
      <w:r w:rsidRPr="00476D2E">
        <w:rPr>
          <w:rFonts w:cs="Calibri"/>
          <w:noProof/>
          <w:lang w:val="sq-AL"/>
        </w:rPr>
        <w:fldChar w:fldCharType="separate"/>
      </w:r>
      <w:r w:rsidR="00FE66EC">
        <w:rPr>
          <w:rFonts w:cs="Calibri"/>
          <w:noProof/>
          <w:lang w:val="sq-AL"/>
        </w:rPr>
        <w:t>26</w:t>
      </w:r>
      <w:r w:rsidRPr="00476D2E">
        <w:rPr>
          <w:rFonts w:cs="Calibri"/>
          <w:noProof/>
          <w:lang w:val="sq-AL"/>
        </w:rPr>
        <w:fldChar w:fldCharType="end"/>
      </w:r>
      <w:r w:rsidRPr="00476D2E">
        <w:rPr>
          <w:rFonts w:cs="Calibri"/>
          <w:lang w:val="sq-AL"/>
        </w:rPr>
        <w:t xml:space="preserve"> Shpenzimet korrente dhe kapitale plan dhe f</w:t>
      </w:r>
      <w:r w:rsidR="00FE45AE">
        <w:rPr>
          <w:rFonts w:cs="Calibri"/>
          <w:lang w:val="sq-AL"/>
        </w:rPr>
        <w:t>akt ndaj totalit të shpenzimeve</w:t>
      </w:r>
      <w:r w:rsidRPr="00476D2E">
        <w:rPr>
          <w:rFonts w:cs="Calibri"/>
          <w:lang w:val="sq-AL"/>
        </w:rPr>
        <w:t xml:space="preserve"> (mln lekë)</w:t>
      </w:r>
      <w:bookmarkEnd w:id="117"/>
    </w:p>
    <w:p w:rsidR="00EC7349" w:rsidRPr="00476D2E" w:rsidRDefault="00731151" w:rsidP="00A52C02">
      <w:pPr>
        <w:pStyle w:val="ListParagraph"/>
        <w:spacing w:before="0"/>
        <w:ind w:left="0"/>
        <w:jc w:val="center"/>
        <w:rPr>
          <w:rFonts w:eastAsia="SimSun" w:cs="Calibri"/>
          <w:i/>
          <w:sz w:val="20"/>
          <w:lang w:val="sq-AL"/>
        </w:rPr>
      </w:pPr>
      <w:r w:rsidRPr="004E6BCB">
        <w:rPr>
          <w:rFonts w:eastAsia="SimSun" w:cs="Calibri"/>
          <w:i/>
          <w:noProof/>
          <w:sz w:val="18"/>
          <w:szCs w:val="18"/>
        </w:rPr>
        <w:drawing>
          <wp:inline distT="0" distB="0" distL="0" distR="0" wp14:anchorId="1316C80F" wp14:editId="6C0599F3">
            <wp:extent cx="6195060" cy="28270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5060" cy="2827020"/>
                    </a:xfrm>
                    <a:prstGeom prst="rect">
                      <a:avLst/>
                    </a:prstGeom>
                    <a:noFill/>
                  </pic:spPr>
                </pic:pic>
              </a:graphicData>
            </a:graphic>
          </wp:inline>
        </w:drawing>
      </w:r>
    </w:p>
    <w:p w:rsidR="000804E3" w:rsidRPr="00476D2E" w:rsidRDefault="000804E3" w:rsidP="000804E3">
      <w:pPr>
        <w:pStyle w:val="ListParagraph"/>
        <w:ind w:left="0"/>
        <w:jc w:val="left"/>
        <w:rPr>
          <w:rFonts w:eastAsia="SimSun" w:cs="Calibri"/>
          <w:i/>
          <w:sz w:val="18"/>
          <w:szCs w:val="18"/>
          <w:lang w:val="sq-AL"/>
        </w:rPr>
      </w:pPr>
      <w:r w:rsidRPr="00476D2E">
        <w:rPr>
          <w:rFonts w:eastAsia="SimSun" w:cs="Calibri"/>
          <w:i/>
          <w:sz w:val="18"/>
          <w:szCs w:val="18"/>
          <w:lang w:val="sq-AL"/>
        </w:rPr>
        <w:t xml:space="preserve"> </w:t>
      </w:r>
      <w:r w:rsidR="00A52C02">
        <w:rPr>
          <w:rFonts w:eastAsia="SimSun" w:cs="Calibri"/>
          <w:i/>
          <w:sz w:val="18"/>
          <w:szCs w:val="18"/>
          <w:lang w:val="sq-AL"/>
        </w:rPr>
        <w:tab/>
      </w:r>
      <w:r w:rsidR="000661E2">
        <w:rPr>
          <w:rFonts w:eastAsia="SimSun" w:cs="Calibri"/>
          <w:i/>
          <w:sz w:val="18"/>
          <w:szCs w:val="18"/>
          <w:lang w:val="sq-AL"/>
        </w:rPr>
        <w:t>Burimi: Ministria e Financave dhe Ekonomisë (2022)</w:t>
      </w:r>
    </w:p>
    <w:p w:rsidR="001106AA" w:rsidRPr="00476D2E" w:rsidRDefault="000804E3" w:rsidP="00163A5D">
      <w:pPr>
        <w:pStyle w:val="Caption"/>
        <w:keepNext/>
        <w:spacing w:after="0"/>
        <w:rPr>
          <w:rFonts w:cs="Calibri"/>
          <w:lang w:val="sq-AL"/>
        </w:rPr>
      </w:pPr>
      <w:bookmarkStart w:id="118" w:name="_Toc104984046"/>
      <w:r w:rsidRPr="00476D2E">
        <w:rPr>
          <w:rFonts w:cs="Calibri"/>
          <w:lang w:val="sq-AL"/>
        </w:rPr>
        <w:lastRenderedPageBreak/>
        <w:t xml:space="preserve">Grafiku </w:t>
      </w:r>
      <w:r w:rsidRPr="00476D2E">
        <w:rPr>
          <w:rFonts w:cs="Calibri"/>
          <w:noProof/>
          <w:lang w:val="sq-AL"/>
        </w:rPr>
        <w:fldChar w:fldCharType="begin"/>
      </w:r>
      <w:r w:rsidRPr="00476D2E">
        <w:rPr>
          <w:rFonts w:cs="Calibri"/>
          <w:noProof/>
          <w:lang w:val="sq-AL"/>
        </w:rPr>
        <w:instrText xml:space="preserve"> SEQ Grafiku \* ARABIC </w:instrText>
      </w:r>
      <w:r w:rsidRPr="00476D2E">
        <w:rPr>
          <w:rFonts w:cs="Calibri"/>
          <w:noProof/>
          <w:lang w:val="sq-AL"/>
        </w:rPr>
        <w:fldChar w:fldCharType="separate"/>
      </w:r>
      <w:r w:rsidR="00FE66EC">
        <w:rPr>
          <w:rFonts w:cs="Calibri"/>
          <w:noProof/>
          <w:lang w:val="sq-AL"/>
        </w:rPr>
        <w:t>27</w:t>
      </w:r>
      <w:r w:rsidRPr="00476D2E">
        <w:rPr>
          <w:rFonts w:cs="Calibri"/>
          <w:noProof/>
          <w:lang w:val="sq-AL"/>
        </w:rPr>
        <w:fldChar w:fldCharType="end"/>
      </w:r>
      <w:r w:rsidRPr="00476D2E">
        <w:rPr>
          <w:rFonts w:cs="Calibri"/>
          <w:lang w:val="sq-AL"/>
        </w:rPr>
        <w:t xml:space="preserve"> Struktura e shpenzimeve </w:t>
      </w:r>
      <w:r w:rsidR="00691C1E" w:rsidRPr="00476D2E">
        <w:rPr>
          <w:rFonts w:cs="Calibri"/>
          <w:lang w:val="sq-AL"/>
        </w:rPr>
        <w:t>korente, kapitale</w:t>
      </w:r>
      <w:r w:rsidRPr="00476D2E">
        <w:rPr>
          <w:rFonts w:cs="Calibri"/>
          <w:lang w:val="sq-AL"/>
        </w:rPr>
        <w:t xml:space="preserve"> dhe raporti me PBB-në ndër vite</w:t>
      </w:r>
      <w:bookmarkEnd w:id="118"/>
    </w:p>
    <w:p w:rsidR="00163A5D" w:rsidRPr="00476D2E" w:rsidRDefault="005624B6" w:rsidP="00A52C02">
      <w:pPr>
        <w:spacing w:before="0"/>
        <w:jc w:val="center"/>
        <w:rPr>
          <w:rFonts w:eastAsia="SimSun" w:cs="Calibri"/>
          <w:lang w:val="sq-AL"/>
        </w:rPr>
      </w:pPr>
      <w:r>
        <w:rPr>
          <w:rFonts w:eastAsia="SimSun" w:cs="Calibri"/>
          <w:noProof/>
        </w:rPr>
        <w:drawing>
          <wp:inline distT="0" distB="0" distL="0" distR="0" wp14:anchorId="2DEFE974" wp14:editId="67DBC973">
            <wp:extent cx="5928360" cy="25450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0930" cy="2554769"/>
                    </a:xfrm>
                    <a:prstGeom prst="rect">
                      <a:avLst/>
                    </a:prstGeom>
                    <a:noFill/>
                  </pic:spPr>
                </pic:pic>
              </a:graphicData>
            </a:graphic>
          </wp:inline>
        </w:drawing>
      </w:r>
    </w:p>
    <w:p w:rsidR="000804E3" w:rsidRPr="00476D2E" w:rsidRDefault="000661E2" w:rsidP="00A52C02">
      <w:pPr>
        <w:spacing w:before="0"/>
        <w:ind w:firstLine="720"/>
        <w:rPr>
          <w:rFonts w:eastAsia="SimSun" w:cs="Calibri"/>
          <w:i/>
          <w:sz w:val="18"/>
          <w:szCs w:val="18"/>
          <w:lang w:val="sq-AL"/>
        </w:rPr>
      </w:pPr>
      <w:r>
        <w:rPr>
          <w:rFonts w:eastAsia="SimSun" w:cs="Calibri"/>
          <w:i/>
          <w:sz w:val="18"/>
          <w:szCs w:val="18"/>
          <w:lang w:val="sq-AL"/>
        </w:rPr>
        <w:t>Burimi: Ministria e Financave dhe Ekonomisë (2022)</w:t>
      </w:r>
    </w:p>
    <w:p w:rsidR="006F10EA" w:rsidRPr="004E6BCB" w:rsidRDefault="00C73F4F" w:rsidP="006F10EA">
      <w:pPr>
        <w:rPr>
          <w:rFonts w:cs="Calibri"/>
          <w:bCs/>
          <w:iCs/>
          <w:lang w:val="sq-AL"/>
        </w:rPr>
      </w:pPr>
      <w:r w:rsidRPr="00476D2E">
        <w:rPr>
          <w:rFonts w:eastAsia="SimSun" w:cs="Calibri"/>
          <w:b/>
          <w:lang w:val="sq-AL"/>
        </w:rPr>
        <w:t>Shpenzimet korrente</w:t>
      </w:r>
      <w:r w:rsidRPr="00476D2E">
        <w:rPr>
          <w:rFonts w:eastAsia="SimSun" w:cs="Calibri"/>
          <w:lang w:val="sq-AL"/>
        </w:rPr>
        <w:t xml:space="preserve"> </w:t>
      </w:r>
      <w:r w:rsidR="006F10EA" w:rsidRPr="004E6BCB">
        <w:rPr>
          <w:rFonts w:cs="Calibri"/>
          <w:bCs/>
          <w:iCs/>
          <w:lang w:val="sq-AL"/>
        </w:rPr>
        <w:t xml:space="preserve">për vitin 2021 rezultuan në rreth 461.1 miliardë lekë ose 98.6 përqind të planit vjetor fillestar (97.5 përqind të planit vjetor të ndryshuar me AN nr.34 dhe 95.9 përqind sipas planit vjetor me ndryshime, shpërndarje rezervash). Krahasuar </w:t>
      </w:r>
      <w:r w:rsidR="006F10EA" w:rsidRPr="004E6BCB">
        <w:rPr>
          <w:rFonts w:eastAsia="SimSun" w:cs="Calibri"/>
          <w:lang w:val="sq-AL"/>
        </w:rPr>
        <w:t>me të njëjtën periudhë të një viti më parë, shpenzimet korrente për vitin 2021</w:t>
      </w:r>
      <w:r w:rsidR="006F10EA" w:rsidRPr="004E6BCB">
        <w:rPr>
          <w:rFonts w:cs="Calibri"/>
          <w:bCs/>
          <w:iCs/>
          <w:lang w:val="sq-AL"/>
        </w:rPr>
        <w:t xml:space="preserve"> rezultuan 9.4 përqind më të larta ose rreth 39.7 miliardë lekë më shumë.</w:t>
      </w:r>
      <w:r w:rsidR="006F10EA" w:rsidRPr="004E6BCB">
        <w:rPr>
          <w:rFonts w:eastAsia="SimSun" w:cs="Calibri"/>
          <w:lang w:val="sq-AL"/>
        </w:rPr>
        <w:t xml:space="preserve"> Kategoritë kryesore që kanë ndikuar në realizimin e shpenzimeve korrente ishin kryesisht:</w:t>
      </w:r>
    </w:p>
    <w:p w:rsidR="006F10EA" w:rsidRPr="006F10EA" w:rsidRDefault="006F10EA" w:rsidP="00842F80">
      <w:pPr>
        <w:pStyle w:val="ListParagraph"/>
        <w:numPr>
          <w:ilvl w:val="0"/>
          <w:numId w:val="36"/>
        </w:numPr>
        <w:spacing w:before="0"/>
        <w:ind w:left="540"/>
        <w:rPr>
          <w:rFonts w:cs="Calibri"/>
          <w:bCs/>
          <w:i/>
          <w:iCs/>
          <w:lang w:val="sq-AL"/>
        </w:rPr>
      </w:pPr>
      <w:r w:rsidRPr="006F10EA">
        <w:rPr>
          <w:rFonts w:cs="Calibri"/>
          <w:bCs/>
          <w:i/>
          <w:iCs/>
          <w:lang w:val="sq-AL"/>
        </w:rPr>
        <w:t>Shpenzimet Operative Mirëmbajtje të cilat rezultuan 119 përqind të planit vjetor fillestar (106.4 përqind të planit vjetor të ndryshuar me AN nr.34 dhe 93.6 përqind të planit vjetor me ndryshime, shpërndarje rezervash).</w:t>
      </w:r>
    </w:p>
    <w:p w:rsidR="006F10EA" w:rsidRPr="006F10EA" w:rsidRDefault="006F10EA" w:rsidP="00842F80">
      <w:pPr>
        <w:pStyle w:val="ListParagraph"/>
        <w:numPr>
          <w:ilvl w:val="0"/>
          <w:numId w:val="36"/>
        </w:numPr>
        <w:spacing w:before="0"/>
        <w:ind w:left="540"/>
        <w:rPr>
          <w:rFonts w:cs="Calibri"/>
          <w:bCs/>
          <w:i/>
          <w:iCs/>
          <w:lang w:val="sq-AL"/>
        </w:rPr>
      </w:pPr>
      <w:r w:rsidRPr="006F10EA">
        <w:rPr>
          <w:rFonts w:cs="Calibri"/>
          <w:bCs/>
          <w:i/>
          <w:iCs/>
          <w:lang w:val="sq-AL"/>
        </w:rPr>
        <w:t>Shpenzimet për fonde speciale të cilat rezultuan 102.2 përqind të planit vjetor fillestar (100.7 përqind të planit vjetor të ndryshuar me AN nr.34 dhe 98.7 përqind të planit vjetor me ndryshime, shpërndarje rezervash).</w:t>
      </w:r>
    </w:p>
    <w:p w:rsidR="006F10EA" w:rsidRPr="006F10EA" w:rsidRDefault="006F10EA" w:rsidP="00842F80">
      <w:pPr>
        <w:pStyle w:val="ListParagraph"/>
        <w:numPr>
          <w:ilvl w:val="0"/>
          <w:numId w:val="36"/>
        </w:numPr>
        <w:spacing w:before="0"/>
        <w:ind w:left="540"/>
        <w:rPr>
          <w:rFonts w:cs="Calibri"/>
          <w:bCs/>
          <w:i/>
          <w:iCs/>
          <w:lang w:val="sq-AL"/>
        </w:rPr>
      </w:pPr>
      <w:r w:rsidRPr="006F10EA">
        <w:rPr>
          <w:rFonts w:cs="Calibri"/>
          <w:bCs/>
          <w:i/>
          <w:iCs/>
          <w:lang w:val="sq-AL"/>
        </w:rPr>
        <w:t>Shpenzimet e tjera sociale të cilat rezultuan 101.6 përqind të planit vjetor fillestar (100.5 përqind të planit vjetor të ndryshuar me AN nr.34 dhe 97 përqind të planit vjetor me ndryshime, shpërndarje rezervash).</w:t>
      </w:r>
    </w:p>
    <w:p w:rsidR="00C73F4F" w:rsidRPr="00476D2E" w:rsidRDefault="006F10EA" w:rsidP="006F10EA">
      <w:pPr>
        <w:rPr>
          <w:rFonts w:cs="Calibri"/>
          <w:b/>
          <w:bCs/>
          <w:i/>
          <w:iCs/>
          <w:lang w:val="sq-AL"/>
        </w:rPr>
      </w:pPr>
      <w:r w:rsidRPr="004E6BCB">
        <w:rPr>
          <w:rFonts w:cs="Calibri"/>
          <w:bCs/>
          <w:iCs/>
          <w:lang w:val="sq-AL"/>
        </w:rPr>
        <w:t xml:space="preserve">Shpenzimet korrente në vitin 2021 arritën në nivelin rreth 26 </w:t>
      </w:r>
      <w:r w:rsidR="0083794F">
        <w:rPr>
          <w:rFonts w:cs="Calibri"/>
          <w:bCs/>
          <w:iCs/>
          <w:lang w:val="sq-AL"/>
        </w:rPr>
        <w:t>përqind</w:t>
      </w:r>
      <w:r w:rsidRPr="004E6BCB">
        <w:rPr>
          <w:rFonts w:cs="Calibri"/>
          <w:bCs/>
          <w:iCs/>
          <w:lang w:val="sq-AL"/>
        </w:rPr>
        <w:t xml:space="preserve"> të PBB-së, duke rezultuar pothuajse në të njëjtin nivel me vitin 2020. Ndërkohë që, në vitet paraardhëse niveli mesatar i shpenzimeve korrente ndaj PBB-së rezultonte rreth 24.4%</w:t>
      </w:r>
      <w:r w:rsidR="000804E3" w:rsidRPr="00476D2E">
        <w:rPr>
          <w:rFonts w:cs="Calibri"/>
          <w:bCs/>
          <w:iCs/>
          <w:lang w:val="sq-AL"/>
        </w:rPr>
        <w:t>.</w:t>
      </w:r>
    </w:p>
    <w:p w:rsidR="00E22DED" w:rsidRPr="00476D2E" w:rsidRDefault="00E22DED" w:rsidP="00E22DED">
      <w:pPr>
        <w:pStyle w:val="Caption"/>
        <w:keepNext/>
        <w:spacing w:after="0"/>
        <w:rPr>
          <w:rFonts w:cs="Calibri"/>
          <w:lang w:val="sq-AL"/>
        </w:rPr>
      </w:pPr>
      <w:bookmarkStart w:id="119" w:name="_Toc104984047"/>
      <w:r w:rsidRPr="00476D2E">
        <w:rPr>
          <w:rFonts w:cs="Calibri"/>
          <w:lang w:val="sq-AL"/>
        </w:rPr>
        <w:t xml:space="preserve">Grafiku </w:t>
      </w:r>
      <w:r w:rsidRPr="00476D2E">
        <w:rPr>
          <w:rFonts w:cs="Calibri"/>
          <w:noProof/>
          <w:lang w:val="sq-AL"/>
        </w:rPr>
        <w:fldChar w:fldCharType="begin"/>
      </w:r>
      <w:r w:rsidRPr="00476D2E">
        <w:rPr>
          <w:rFonts w:cs="Calibri"/>
          <w:noProof/>
          <w:lang w:val="sq-AL"/>
        </w:rPr>
        <w:instrText xml:space="preserve"> SEQ Grafiku \* ARABIC </w:instrText>
      </w:r>
      <w:r w:rsidRPr="00476D2E">
        <w:rPr>
          <w:rFonts w:cs="Calibri"/>
          <w:noProof/>
          <w:lang w:val="sq-AL"/>
        </w:rPr>
        <w:fldChar w:fldCharType="separate"/>
      </w:r>
      <w:r w:rsidR="00FE66EC">
        <w:rPr>
          <w:rFonts w:cs="Calibri"/>
          <w:noProof/>
          <w:lang w:val="sq-AL"/>
        </w:rPr>
        <w:t>28</w:t>
      </w:r>
      <w:r w:rsidRPr="00476D2E">
        <w:rPr>
          <w:rFonts w:cs="Calibri"/>
          <w:noProof/>
          <w:lang w:val="sq-AL"/>
        </w:rPr>
        <w:fldChar w:fldCharType="end"/>
      </w:r>
      <w:r w:rsidRPr="00476D2E">
        <w:rPr>
          <w:rFonts w:cs="Calibri"/>
          <w:lang w:val="sq-AL"/>
        </w:rPr>
        <w:t xml:space="preserve"> Shpenzimet korente dhe ritmi i rritjes së tyre (milion lekë)</w:t>
      </w:r>
      <w:bookmarkEnd w:id="119"/>
    </w:p>
    <w:p w:rsidR="00E22DED" w:rsidRPr="00476D2E" w:rsidRDefault="006F10EA" w:rsidP="006F10EA">
      <w:pPr>
        <w:spacing w:before="0"/>
        <w:jc w:val="center"/>
        <w:rPr>
          <w:rFonts w:cs="Calibri"/>
          <w:bCs/>
          <w:i/>
          <w:iCs/>
          <w:lang w:val="sq-AL"/>
        </w:rPr>
      </w:pPr>
      <w:r w:rsidRPr="004E6BCB">
        <w:rPr>
          <w:rFonts w:cs="Calibri"/>
          <w:bCs/>
          <w:i/>
          <w:iCs/>
          <w:noProof/>
        </w:rPr>
        <w:drawing>
          <wp:inline distT="0" distB="0" distL="0" distR="0" wp14:anchorId="75CC3776" wp14:editId="36789F48">
            <wp:extent cx="5962923" cy="2087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94053" cy="2098780"/>
                    </a:xfrm>
                    <a:prstGeom prst="rect">
                      <a:avLst/>
                    </a:prstGeom>
                    <a:noFill/>
                  </pic:spPr>
                </pic:pic>
              </a:graphicData>
            </a:graphic>
          </wp:inline>
        </w:drawing>
      </w:r>
    </w:p>
    <w:p w:rsidR="00E22DED" w:rsidRPr="00476D2E" w:rsidRDefault="000661E2" w:rsidP="00A52C02">
      <w:pPr>
        <w:spacing w:before="0"/>
        <w:ind w:firstLine="720"/>
        <w:jc w:val="left"/>
        <w:rPr>
          <w:rFonts w:eastAsia="SimSun" w:cs="Calibri"/>
          <w:i/>
          <w:sz w:val="18"/>
          <w:szCs w:val="18"/>
          <w:lang w:val="sq-AL"/>
        </w:rPr>
      </w:pPr>
      <w:r>
        <w:rPr>
          <w:rFonts w:eastAsia="SimSun" w:cs="Calibri"/>
          <w:i/>
          <w:sz w:val="18"/>
          <w:szCs w:val="18"/>
          <w:lang w:val="sq-AL"/>
        </w:rPr>
        <w:t>Burimi: Ministria e Financave dhe Ekonomisë (2022)</w:t>
      </w:r>
    </w:p>
    <w:p w:rsidR="00E22DED" w:rsidRPr="00476D2E" w:rsidRDefault="00E22DED" w:rsidP="00EB0AF4">
      <w:pPr>
        <w:pStyle w:val="Caption"/>
        <w:keepNext/>
        <w:spacing w:after="0"/>
        <w:rPr>
          <w:rFonts w:cs="Calibri"/>
          <w:lang w:val="sq-AL"/>
        </w:rPr>
      </w:pPr>
      <w:bookmarkStart w:id="120" w:name="_Toc104984048"/>
      <w:r w:rsidRPr="00476D2E">
        <w:rPr>
          <w:rFonts w:cs="Calibri"/>
          <w:lang w:val="sq-AL"/>
        </w:rPr>
        <w:lastRenderedPageBreak/>
        <w:t xml:space="preserve">Grafiku </w:t>
      </w:r>
      <w:r w:rsidRPr="00476D2E">
        <w:rPr>
          <w:rFonts w:cs="Calibri"/>
          <w:noProof/>
          <w:lang w:val="sq-AL"/>
        </w:rPr>
        <w:fldChar w:fldCharType="begin"/>
      </w:r>
      <w:r w:rsidRPr="00476D2E">
        <w:rPr>
          <w:rFonts w:cs="Calibri"/>
          <w:noProof/>
          <w:lang w:val="sq-AL"/>
        </w:rPr>
        <w:instrText xml:space="preserve"> SEQ Grafiku \* ARABIC </w:instrText>
      </w:r>
      <w:r w:rsidRPr="00476D2E">
        <w:rPr>
          <w:rFonts w:cs="Calibri"/>
          <w:noProof/>
          <w:lang w:val="sq-AL"/>
        </w:rPr>
        <w:fldChar w:fldCharType="separate"/>
      </w:r>
      <w:r w:rsidR="00FE66EC">
        <w:rPr>
          <w:rFonts w:cs="Calibri"/>
          <w:noProof/>
          <w:lang w:val="sq-AL"/>
        </w:rPr>
        <w:t>29</w:t>
      </w:r>
      <w:r w:rsidRPr="00476D2E">
        <w:rPr>
          <w:rFonts w:cs="Calibri"/>
          <w:noProof/>
          <w:lang w:val="sq-AL"/>
        </w:rPr>
        <w:fldChar w:fldCharType="end"/>
      </w:r>
      <w:r w:rsidRPr="00476D2E">
        <w:rPr>
          <w:rFonts w:cs="Calibri"/>
          <w:lang w:val="sq-AL"/>
        </w:rPr>
        <w:t xml:space="preserve"> Struktura e shpenzimeve kor</w:t>
      </w:r>
      <w:r w:rsidR="00BF0575" w:rsidRPr="00476D2E">
        <w:rPr>
          <w:rFonts w:cs="Calibri"/>
          <w:lang w:val="sq-AL"/>
        </w:rPr>
        <w:t>r</w:t>
      </w:r>
      <w:r w:rsidRPr="00476D2E">
        <w:rPr>
          <w:rFonts w:cs="Calibri"/>
          <w:lang w:val="sq-AL"/>
        </w:rPr>
        <w:t>ente (milion lekë)</w:t>
      </w:r>
      <w:bookmarkEnd w:id="120"/>
    </w:p>
    <w:p w:rsidR="00EB0AF4" w:rsidRPr="00476D2E" w:rsidRDefault="006F10EA" w:rsidP="00A52C02">
      <w:pPr>
        <w:spacing w:before="0"/>
        <w:jc w:val="center"/>
        <w:rPr>
          <w:rFonts w:eastAsia="SimSun" w:cs="Calibri"/>
          <w:lang w:val="sq-AL"/>
        </w:rPr>
      </w:pPr>
      <w:r w:rsidRPr="004E6BCB">
        <w:rPr>
          <w:rFonts w:eastAsia="SimSun" w:cs="Calibri"/>
          <w:noProof/>
        </w:rPr>
        <w:drawing>
          <wp:inline distT="0" distB="0" distL="0" distR="0" wp14:anchorId="4C8358E9" wp14:editId="65F6AE9F">
            <wp:extent cx="5036820" cy="31165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7377" cy="3123112"/>
                    </a:xfrm>
                    <a:prstGeom prst="rect">
                      <a:avLst/>
                    </a:prstGeom>
                    <a:noFill/>
                  </pic:spPr>
                </pic:pic>
              </a:graphicData>
            </a:graphic>
          </wp:inline>
        </w:drawing>
      </w:r>
    </w:p>
    <w:p w:rsidR="00E22DED" w:rsidRPr="00476D2E" w:rsidRDefault="000661E2" w:rsidP="00A52C02">
      <w:pPr>
        <w:spacing w:before="0"/>
        <w:ind w:left="720" w:firstLine="720"/>
        <w:rPr>
          <w:rFonts w:eastAsia="SimSun" w:cs="Calibri"/>
          <w:i/>
          <w:sz w:val="18"/>
          <w:szCs w:val="18"/>
          <w:lang w:val="sq-AL"/>
        </w:rPr>
      </w:pPr>
      <w:r>
        <w:rPr>
          <w:rFonts w:eastAsia="SimSun" w:cs="Calibri"/>
          <w:i/>
          <w:sz w:val="18"/>
          <w:szCs w:val="18"/>
          <w:lang w:val="sq-AL"/>
        </w:rPr>
        <w:t>Burimi: Ministria e Financave dhe Ekonomisë (2022)</w:t>
      </w:r>
    </w:p>
    <w:p w:rsidR="00E22DED" w:rsidRPr="00476D2E" w:rsidRDefault="00E22DED" w:rsidP="00E22DED">
      <w:pPr>
        <w:spacing w:before="240"/>
        <w:rPr>
          <w:rFonts w:eastAsia="SimSun" w:cs="Calibri"/>
          <w:lang w:val="sq-AL"/>
        </w:rPr>
      </w:pPr>
      <w:r w:rsidRPr="00476D2E">
        <w:rPr>
          <w:rFonts w:eastAsia="SimSun" w:cs="Calibri"/>
          <w:lang w:val="sq-AL"/>
        </w:rPr>
        <w:t xml:space="preserve">Shpenzimet e </w:t>
      </w:r>
      <w:r w:rsidR="00925174" w:rsidRPr="00476D2E">
        <w:rPr>
          <w:rFonts w:eastAsia="SimSun" w:cs="Calibri"/>
          <w:lang w:val="sq-AL"/>
        </w:rPr>
        <w:t>p</w:t>
      </w:r>
      <w:r w:rsidRPr="00476D2E">
        <w:rPr>
          <w:rFonts w:eastAsia="SimSun" w:cs="Calibri"/>
          <w:lang w:val="sq-AL"/>
        </w:rPr>
        <w:t xml:space="preserve">ersonelit </w:t>
      </w:r>
      <w:r w:rsidR="006F10EA" w:rsidRPr="004E6BCB">
        <w:rPr>
          <w:rFonts w:eastAsia="SimSun" w:cs="Calibri"/>
          <w:lang w:val="sq-AL"/>
        </w:rPr>
        <w:t>për vitin 2021, përfaqësuan 18.1 përqind të totalit të shpenzimeve korente. Niveli i shpenzimeve faktike të personelit prej rreth 83.3 miliardë lekë, realizon nivelin e parashikuar për këtë zë në masën 90.7 përqind të planit vjetor sipas buxhetit fillestar (92.6 përqind të planit vjetor të ndryshuar me AN nr.34 dhe 98.3 përqind të planit vjetor me ndryshime, shpërndarje rezervash). Krahasuar me të njëjtën periudhë të vitit 2020, ky zë është 8.3 përqind më i lartë ose rreth 6.4 miliardë lekë më shumë</w:t>
      </w:r>
      <w:r w:rsidRPr="00476D2E">
        <w:rPr>
          <w:rFonts w:eastAsia="SimSun" w:cs="Calibri"/>
          <w:lang w:val="sq-AL"/>
        </w:rPr>
        <w:t>.</w:t>
      </w:r>
    </w:p>
    <w:p w:rsidR="00C07CC2" w:rsidRPr="00476D2E" w:rsidRDefault="00C07CC2" w:rsidP="00C07CC2">
      <w:pPr>
        <w:pStyle w:val="Caption"/>
        <w:keepNext/>
        <w:spacing w:after="0"/>
        <w:rPr>
          <w:rFonts w:cs="Calibri"/>
          <w:lang w:val="sq-AL"/>
        </w:rPr>
      </w:pPr>
      <w:bookmarkStart w:id="121" w:name="_Toc104984049"/>
      <w:r w:rsidRPr="00476D2E">
        <w:rPr>
          <w:rFonts w:cs="Calibri"/>
          <w:lang w:val="sq-AL"/>
        </w:rPr>
        <w:t xml:space="preserve">Grafiku </w:t>
      </w:r>
      <w:r w:rsidRPr="00476D2E">
        <w:rPr>
          <w:rFonts w:cs="Calibri"/>
          <w:noProof/>
          <w:lang w:val="sq-AL"/>
        </w:rPr>
        <w:fldChar w:fldCharType="begin"/>
      </w:r>
      <w:r w:rsidRPr="00476D2E">
        <w:rPr>
          <w:rFonts w:cs="Calibri"/>
          <w:noProof/>
          <w:lang w:val="sq-AL"/>
        </w:rPr>
        <w:instrText xml:space="preserve"> SEQ Grafiku \* ARABIC </w:instrText>
      </w:r>
      <w:r w:rsidRPr="00476D2E">
        <w:rPr>
          <w:rFonts w:cs="Calibri"/>
          <w:noProof/>
          <w:lang w:val="sq-AL"/>
        </w:rPr>
        <w:fldChar w:fldCharType="separate"/>
      </w:r>
      <w:r w:rsidR="00FE66EC">
        <w:rPr>
          <w:rFonts w:cs="Calibri"/>
          <w:noProof/>
          <w:lang w:val="sq-AL"/>
        </w:rPr>
        <w:t>30</w:t>
      </w:r>
      <w:r w:rsidRPr="00476D2E">
        <w:rPr>
          <w:rFonts w:cs="Calibri"/>
          <w:noProof/>
          <w:lang w:val="sq-AL"/>
        </w:rPr>
        <w:fldChar w:fldCharType="end"/>
      </w:r>
      <w:r w:rsidRPr="00476D2E">
        <w:rPr>
          <w:rFonts w:cs="Calibri"/>
          <w:lang w:val="sq-AL"/>
        </w:rPr>
        <w:t xml:space="preserve"> Shpenzimet e personelit në vite dhe ritmi i rritjes (miliardë lekë)</w:t>
      </w:r>
      <w:bookmarkEnd w:id="121"/>
      <w:r w:rsidRPr="00476D2E">
        <w:rPr>
          <w:rFonts w:cs="Calibri"/>
          <w:lang w:val="sq-AL"/>
        </w:rPr>
        <w:t xml:space="preserve"> </w:t>
      </w:r>
    </w:p>
    <w:p w:rsidR="00C07CC2" w:rsidRPr="00476D2E" w:rsidRDefault="006F10EA" w:rsidP="00A52C02">
      <w:pPr>
        <w:spacing w:before="0"/>
        <w:jc w:val="center"/>
        <w:rPr>
          <w:rFonts w:eastAsia="SimSun" w:cs="Calibri"/>
          <w:i/>
          <w:lang w:val="sq-AL"/>
        </w:rPr>
      </w:pPr>
      <w:r w:rsidRPr="004E6BCB">
        <w:rPr>
          <w:rFonts w:eastAsia="SimSun" w:cs="Calibri"/>
          <w:i/>
          <w:noProof/>
        </w:rPr>
        <w:drawing>
          <wp:inline distT="0" distB="0" distL="0" distR="0" wp14:anchorId="4395EAA5" wp14:editId="69579075">
            <wp:extent cx="5172075" cy="227076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72075" cy="2270760"/>
                    </a:xfrm>
                    <a:prstGeom prst="rect">
                      <a:avLst/>
                    </a:prstGeom>
                    <a:noFill/>
                  </pic:spPr>
                </pic:pic>
              </a:graphicData>
            </a:graphic>
          </wp:inline>
        </w:drawing>
      </w:r>
    </w:p>
    <w:p w:rsidR="00C07CC2" w:rsidRPr="00476D2E" w:rsidRDefault="000661E2" w:rsidP="00A52C02">
      <w:pPr>
        <w:spacing w:before="0"/>
        <w:ind w:left="720" w:firstLine="720"/>
        <w:rPr>
          <w:rFonts w:eastAsia="SimSun" w:cs="Calibri"/>
          <w:i/>
          <w:sz w:val="18"/>
          <w:szCs w:val="18"/>
          <w:lang w:val="sq-AL"/>
        </w:rPr>
      </w:pPr>
      <w:r>
        <w:rPr>
          <w:rFonts w:eastAsia="SimSun" w:cs="Calibri"/>
          <w:i/>
          <w:sz w:val="18"/>
          <w:szCs w:val="18"/>
          <w:lang w:val="sq-AL"/>
        </w:rPr>
        <w:t>Burimi: Ministria e Financave dhe Ekonomisë (2022)</w:t>
      </w:r>
    </w:p>
    <w:p w:rsidR="00E22DED" w:rsidRPr="00476D2E" w:rsidRDefault="00E22DED" w:rsidP="00E22DED">
      <w:pPr>
        <w:spacing w:before="240"/>
        <w:rPr>
          <w:rFonts w:eastAsia="SimSun" w:cs="Calibri"/>
          <w:lang w:val="sq-AL"/>
        </w:rPr>
      </w:pPr>
      <w:r w:rsidRPr="00476D2E">
        <w:rPr>
          <w:rFonts w:eastAsia="SimSun" w:cs="Calibri"/>
          <w:i/>
          <w:lang w:val="sq-AL"/>
        </w:rPr>
        <w:t>Shpenzimet për Interesa</w:t>
      </w:r>
      <w:r w:rsidRPr="00476D2E">
        <w:rPr>
          <w:rFonts w:eastAsia="SimSun" w:cs="Calibri"/>
          <w:lang w:val="sq-AL"/>
        </w:rPr>
        <w:t xml:space="preserve"> </w:t>
      </w:r>
      <w:r w:rsidR="006F10EA" w:rsidRPr="004E6BCB">
        <w:rPr>
          <w:rFonts w:eastAsia="SimSun" w:cs="Calibri"/>
          <w:lang w:val="sq-AL"/>
        </w:rPr>
        <w:t>për vitin 2021 kanë arritur në masën rreth 35.8 miliardë lekë duke përfaqësuar 7.8 përqind të shpenzimeve korrente. Niveli faktik i tyre ka rezultuar në masën 81.8 përqind të planit vjetor fillestar, 87.8 përqind të planit vjetor të ndryshuar sipas AN nr.34</w:t>
      </w:r>
      <w:r w:rsidR="006F10EA" w:rsidRPr="004E6BCB">
        <w:t xml:space="preserve"> dhe </w:t>
      </w:r>
      <w:r w:rsidR="006F10EA" w:rsidRPr="004E6BCB">
        <w:rPr>
          <w:rFonts w:eastAsia="SimSun" w:cs="Calibri"/>
          <w:lang w:val="sq-AL"/>
        </w:rPr>
        <w:t>të planit vjetor me ndryshime, shpërndarje rezervash. Krahasuar me të njëjtën periudhë të vitit 2020, ky zë ka rezultuar 4.2 përqind më i lartë ose rreth 1.4 miliardë lekë më shumë</w:t>
      </w:r>
      <w:r w:rsidRPr="00476D2E">
        <w:rPr>
          <w:rFonts w:eastAsia="SimSun" w:cs="Calibri"/>
          <w:lang w:val="sq-AL"/>
        </w:rPr>
        <w:t>.</w:t>
      </w:r>
    </w:p>
    <w:p w:rsidR="00C07CC2" w:rsidRPr="00476D2E" w:rsidRDefault="00C07CC2" w:rsidP="00C07CC2">
      <w:pPr>
        <w:pStyle w:val="Caption"/>
        <w:keepNext/>
        <w:spacing w:after="0"/>
        <w:rPr>
          <w:rFonts w:cs="Calibri"/>
          <w:lang w:val="sq-AL"/>
        </w:rPr>
      </w:pPr>
      <w:bookmarkStart w:id="122" w:name="_Toc104984050"/>
      <w:r w:rsidRPr="00476D2E">
        <w:rPr>
          <w:rFonts w:cs="Calibri"/>
          <w:lang w:val="sq-AL"/>
        </w:rPr>
        <w:lastRenderedPageBreak/>
        <w:t xml:space="preserve">Grafiku </w:t>
      </w:r>
      <w:r w:rsidRPr="00476D2E">
        <w:rPr>
          <w:rFonts w:cs="Calibri"/>
          <w:noProof/>
          <w:lang w:val="sq-AL"/>
        </w:rPr>
        <w:fldChar w:fldCharType="begin"/>
      </w:r>
      <w:r w:rsidRPr="00476D2E">
        <w:rPr>
          <w:rFonts w:cs="Calibri"/>
          <w:noProof/>
          <w:lang w:val="sq-AL"/>
        </w:rPr>
        <w:instrText xml:space="preserve"> SEQ Grafiku \* ARABIC </w:instrText>
      </w:r>
      <w:r w:rsidRPr="00476D2E">
        <w:rPr>
          <w:rFonts w:cs="Calibri"/>
          <w:noProof/>
          <w:lang w:val="sq-AL"/>
        </w:rPr>
        <w:fldChar w:fldCharType="separate"/>
      </w:r>
      <w:r w:rsidR="00FE66EC">
        <w:rPr>
          <w:rFonts w:cs="Calibri"/>
          <w:noProof/>
          <w:lang w:val="sq-AL"/>
        </w:rPr>
        <w:t>31</w:t>
      </w:r>
      <w:r w:rsidRPr="00476D2E">
        <w:rPr>
          <w:rFonts w:cs="Calibri"/>
          <w:noProof/>
          <w:lang w:val="sq-AL"/>
        </w:rPr>
        <w:fldChar w:fldCharType="end"/>
      </w:r>
      <w:r w:rsidRPr="00476D2E">
        <w:rPr>
          <w:rFonts w:cs="Calibri"/>
          <w:lang w:val="sq-AL"/>
        </w:rPr>
        <w:t xml:space="preserve"> Shpenzimet për interesa në vite dhe ritmi i rritjes (miliardë lekë)</w:t>
      </w:r>
      <w:bookmarkEnd w:id="122"/>
    </w:p>
    <w:p w:rsidR="00C07CC2" w:rsidRPr="00476D2E" w:rsidRDefault="007F2203" w:rsidP="0024447E">
      <w:pPr>
        <w:spacing w:before="0"/>
        <w:jc w:val="center"/>
        <w:rPr>
          <w:rFonts w:eastAsia="SimSun" w:cs="Calibri"/>
          <w:lang w:val="sq-AL"/>
        </w:rPr>
      </w:pPr>
      <w:r w:rsidRPr="004E6BCB">
        <w:rPr>
          <w:rFonts w:eastAsia="SimSun" w:cs="Calibri"/>
          <w:noProof/>
        </w:rPr>
        <w:drawing>
          <wp:inline distT="0" distB="0" distL="0" distR="0" wp14:anchorId="5F4DD482" wp14:editId="47DE70AB">
            <wp:extent cx="5168265" cy="11582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70594" cy="1158762"/>
                    </a:xfrm>
                    <a:prstGeom prst="rect">
                      <a:avLst/>
                    </a:prstGeom>
                    <a:noFill/>
                  </pic:spPr>
                </pic:pic>
              </a:graphicData>
            </a:graphic>
          </wp:inline>
        </w:drawing>
      </w:r>
    </w:p>
    <w:p w:rsidR="00C07CC2" w:rsidRPr="0024447E" w:rsidRDefault="000661E2" w:rsidP="0024447E">
      <w:pPr>
        <w:spacing w:before="0"/>
        <w:ind w:firstLine="720"/>
        <w:rPr>
          <w:rFonts w:eastAsia="SimSun" w:cs="Calibri"/>
          <w:i/>
          <w:sz w:val="18"/>
          <w:lang w:val="sq-AL"/>
        </w:rPr>
      </w:pPr>
      <w:r w:rsidRPr="0024447E">
        <w:rPr>
          <w:rFonts w:eastAsia="SimSun" w:cs="Calibri"/>
          <w:i/>
          <w:sz w:val="18"/>
          <w:lang w:val="sq-AL"/>
        </w:rPr>
        <w:t>Burimi: Ministria e Financave dhe Ekonomisë (2022)</w:t>
      </w:r>
    </w:p>
    <w:p w:rsidR="00E22DED" w:rsidRPr="00476D2E" w:rsidRDefault="00E22DED" w:rsidP="00E22DED">
      <w:pPr>
        <w:spacing w:before="240"/>
        <w:rPr>
          <w:rFonts w:eastAsia="SimSun" w:cs="Calibri"/>
          <w:lang w:val="sq-AL"/>
        </w:rPr>
      </w:pPr>
      <w:r w:rsidRPr="00476D2E">
        <w:rPr>
          <w:rFonts w:eastAsia="SimSun" w:cs="Calibri"/>
          <w:i/>
          <w:lang w:val="sq-AL"/>
        </w:rPr>
        <w:t xml:space="preserve">Shpenzimet </w:t>
      </w:r>
      <w:r w:rsidR="00925174" w:rsidRPr="00476D2E">
        <w:rPr>
          <w:rFonts w:eastAsia="SimSun" w:cs="Calibri"/>
          <w:i/>
          <w:lang w:val="sq-AL"/>
        </w:rPr>
        <w:t>o</w:t>
      </w:r>
      <w:r w:rsidRPr="00476D2E">
        <w:rPr>
          <w:rFonts w:eastAsia="SimSun" w:cs="Calibri"/>
          <w:i/>
          <w:lang w:val="sq-AL"/>
        </w:rPr>
        <w:t xml:space="preserve">perative &amp; </w:t>
      </w:r>
      <w:r w:rsidR="00925174" w:rsidRPr="00476D2E">
        <w:rPr>
          <w:rFonts w:eastAsia="SimSun" w:cs="Calibri"/>
          <w:i/>
          <w:lang w:val="sq-AL"/>
        </w:rPr>
        <w:t>m</w:t>
      </w:r>
      <w:r w:rsidRPr="00476D2E">
        <w:rPr>
          <w:rFonts w:eastAsia="SimSun" w:cs="Calibri"/>
          <w:i/>
          <w:lang w:val="sq-AL"/>
        </w:rPr>
        <w:t xml:space="preserve">irëmbajtje </w:t>
      </w:r>
      <w:r w:rsidR="007F2203" w:rsidRPr="004E6BCB">
        <w:rPr>
          <w:rFonts w:eastAsia="SimSun" w:cs="Calibri"/>
          <w:lang w:val="sq-AL"/>
        </w:rPr>
        <w:t>për vitin 2021, kanë shënuar një realizim në masën rreth 59.4 miliardë lekë ose 119 përqind të planit vjetor fillestar, 106.4 përqind të planit vjetor të ndryshuar sipas AN nr.34 dhe 93.6 përqind të planit vjetor me ndryshime, shpërndarje rezervash . Krahasuar me të njëjtën periudhë të vitit 2020, ky zë ka rezultuar 21.4 përqind më i lartë, ose rreth 10.5 miliardë lekë më shumë</w:t>
      </w:r>
      <w:r w:rsidRPr="00476D2E">
        <w:rPr>
          <w:rFonts w:eastAsia="SimSun" w:cs="Calibri"/>
          <w:lang w:val="sq-AL"/>
        </w:rPr>
        <w:t>.</w:t>
      </w:r>
    </w:p>
    <w:p w:rsidR="00C07CC2" w:rsidRPr="00476D2E" w:rsidRDefault="00C07CC2" w:rsidP="00C07CC2">
      <w:pPr>
        <w:pStyle w:val="Caption"/>
        <w:keepNext/>
        <w:spacing w:after="0"/>
        <w:rPr>
          <w:rFonts w:cs="Calibri"/>
          <w:lang w:val="sq-AL"/>
        </w:rPr>
      </w:pPr>
      <w:bookmarkStart w:id="123" w:name="_Toc104984051"/>
      <w:r w:rsidRPr="00476D2E">
        <w:rPr>
          <w:rFonts w:cs="Calibri"/>
          <w:lang w:val="sq-AL"/>
        </w:rPr>
        <w:t xml:space="preserve">Grafiku </w:t>
      </w:r>
      <w:r w:rsidRPr="00476D2E">
        <w:rPr>
          <w:rFonts w:cs="Calibri"/>
          <w:noProof/>
          <w:lang w:val="sq-AL"/>
        </w:rPr>
        <w:fldChar w:fldCharType="begin"/>
      </w:r>
      <w:r w:rsidRPr="00476D2E">
        <w:rPr>
          <w:rFonts w:cs="Calibri"/>
          <w:noProof/>
          <w:lang w:val="sq-AL"/>
        </w:rPr>
        <w:instrText xml:space="preserve"> SEQ Grafiku \* ARABIC </w:instrText>
      </w:r>
      <w:r w:rsidRPr="00476D2E">
        <w:rPr>
          <w:rFonts w:cs="Calibri"/>
          <w:noProof/>
          <w:lang w:val="sq-AL"/>
        </w:rPr>
        <w:fldChar w:fldCharType="separate"/>
      </w:r>
      <w:r w:rsidR="00FE66EC">
        <w:rPr>
          <w:rFonts w:cs="Calibri"/>
          <w:noProof/>
          <w:lang w:val="sq-AL"/>
        </w:rPr>
        <w:t>32</w:t>
      </w:r>
      <w:r w:rsidRPr="00476D2E">
        <w:rPr>
          <w:rFonts w:cs="Calibri"/>
          <w:noProof/>
          <w:lang w:val="sq-AL"/>
        </w:rPr>
        <w:fldChar w:fldCharType="end"/>
      </w:r>
      <w:r w:rsidRPr="00476D2E">
        <w:rPr>
          <w:rFonts w:cs="Calibri"/>
          <w:lang w:val="sq-AL"/>
        </w:rPr>
        <w:t xml:space="preserve"> Shpenzimet operative e të mirëmbajtjes dhe ritmi i rritjes vjetore (miliardë lekë)</w:t>
      </w:r>
      <w:bookmarkEnd w:id="123"/>
    </w:p>
    <w:p w:rsidR="00C07CC2" w:rsidRPr="00476D2E" w:rsidRDefault="007F2203" w:rsidP="0024447E">
      <w:pPr>
        <w:spacing w:before="0"/>
        <w:jc w:val="center"/>
        <w:rPr>
          <w:rFonts w:eastAsia="SimSun" w:cs="Calibri"/>
          <w:lang w:val="sq-AL"/>
        </w:rPr>
      </w:pPr>
      <w:r w:rsidRPr="004E6BCB">
        <w:rPr>
          <w:rFonts w:eastAsia="SimSun" w:cs="Calibri"/>
          <w:noProof/>
        </w:rPr>
        <w:drawing>
          <wp:inline distT="0" distB="0" distL="0" distR="0" wp14:anchorId="3B952A1C" wp14:editId="647D53C7">
            <wp:extent cx="5457825" cy="118872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57825" cy="1188720"/>
                    </a:xfrm>
                    <a:prstGeom prst="rect">
                      <a:avLst/>
                    </a:prstGeom>
                    <a:noFill/>
                  </pic:spPr>
                </pic:pic>
              </a:graphicData>
            </a:graphic>
          </wp:inline>
        </w:drawing>
      </w:r>
    </w:p>
    <w:p w:rsidR="00C07CC2" w:rsidRPr="0024447E" w:rsidRDefault="000661E2" w:rsidP="0024447E">
      <w:pPr>
        <w:spacing w:before="0"/>
        <w:ind w:firstLine="720"/>
        <w:rPr>
          <w:rFonts w:eastAsia="SimSun" w:cs="Calibri"/>
          <w:i/>
          <w:sz w:val="18"/>
          <w:lang w:val="sq-AL"/>
        </w:rPr>
      </w:pPr>
      <w:r w:rsidRPr="0024447E">
        <w:rPr>
          <w:rFonts w:eastAsia="SimSun" w:cs="Calibri"/>
          <w:i/>
          <w:sz w:val="18"/>
          <w:lang w:val="sq-AL"/>
        </w:rPr>
        <w:t>Burimi: Ministria e Financave dhe Ekonomisë (2022)</w:t>
      </w:r>
    </w:p>
    <w:p w:rsidR="00E22DED" w:rsidRPr="00476D2E" w:rsidRDefault="00E22DED" w:rsidP="00E22DED">
      <w:pPr>
        <w:spacing w:before="240"/>
        <w:rPr>
          <w:rFonts w:eastAsia="SimSun" w:cs="Calibri"/>
          <w:lang w:val="sq-AL"/>
        </w:rPr>
      </w:pPr>
      <w:r w:rsidRPr="00476D2E">
        <w:rPr>
          <w:rFonts w:eastAsia="SimSun" w:cs="Calibri"/>
          <w:i/>
          <w:lang w:val="sq-AL"/>
        </w:rPr>
        <w:t xml:space="preserve">Shpenzimet për </w:t>
      </w:r>
      <w:r w:rsidR="00325806" w:rsidRPr="00476D2E">
        <w:rPr>
          <w:rFonts w:eastAsia="SimSun" w:cs="Calibri"/>
          <w:i/>
          <w:lang w:val="sq-AL"/>
        </w:rPr>
        <w:t>s</w:t>
      </w:r>
      <w:r w:rsidRPr="00476D2E">
        <w:rPr>
          <w:rFonts w:eastAsia="SimSun" w:cs="Calibri"/>
          <w:i/>
          <w:lang w:val="sq-AL"/>
        </w:rPr>
        <w:t>ubvencione,</w:t>
      </w:r>
      <w:r w:rsidRPr="00476D2E">
        <w:rPr>
          <w:rFonts w:eastAsia="SimSun" w:cs="Calibri"/>
          <w:lang w:val="sq-AL"/>
        </w:rPr>
        <w:t xml:space="preserve"> </w:t>
      </w:r>
      <w:r w:rsidR="007F2203" w:rsidRPr="004E6BCB">
        <w:rPr>
          <w:rFonts w:eastAsia="SimSun" w:cs="Calibri"/>
          <w:lang w:val="sq-AL"/>
        </w:rPr>
        <w:t>në fund të vitit 2021 arritën nivelin rreth 1.4 miliardë lekë, me një realizim në masën 91.7 përqind të planit vjetor fillestar, 88.9 përqind të planit vjetor sipas AN nr.34 dhe 90.4 përqind të planit vjetor me ndryshime, shpërndarje rezervash. Kundrejt të njëjtës periudhë të vitit 2020 shpenzimet për subvencione rezultojnë 3.8 përqind më të ulëta ose 57 milionë lekë më pak</w:t>
      </w:r>
      <w:r w:rsidRPr="00476D2E">
        <w:rPr>
          <w:rFonts w:eastAsia="SimSun" w:cs="Calibri"/>
          <w:lang w:val="sq-AL"/>
        </w:rPr>
        <w:t>.</w:t>
      </w:r>
    </w:p>
    <w:p w:rsidR="00C07CC2" w:rsidRPr="00476D2E" w:rsidRDefault="00C07CC2" w:rsidP="00C07CC2">
      <w:pPr>
        <w:pStyle w:val="Caption"/>
        <w:keepNext/>
        <w:spacing w:after="0"/>
        <w:rPr>
          <w:rFonts w:cs="Calibri"/>
          <w:lang w:val="sq-AL"/>
        </w:rPr>
      </w:pPr>
      <w:bookmarkStart w:id="124" w:name="_Toc104984052"/>
      <w:r w:rsidRPr="00476D2E">
        <w:rPr>
          <w:rFonts w:cs="Calibri"/>
          <w:lang w:val="sq-AL"/>
        </w:rPr>
        <w:t xml:space="preserve">Grafiku </w:t>
      </w:r>
      <w:r w:rsidRPr="00476D2E">
        <w:rPr>
          <w:rFonts w:cs="Calibri"/>
          <w:noProof/>
          <w:lang w:val="sq-AL"/>
        </w:rPr>
        <w:fldChar w:fldCharType="begin"/>
      </w:r>
      <w:r w:rsidRPr="00476D2E">
        <w:rPr>
          <w:rFonts w:cs="Calibri"/>
          <w:noProof/>
          <w:lang w:val="sq-AL"/>
        </w:rPr>
        <w:instrText xml:space="preserve"> SEQ Grafiku \* ARABIC </w:instrText>
      </w:r>
      <w:r w:rsidRPr="00476D2E">
        <w:rPr>
          <w:rFonts w:cs="Calibri"/>
          <w:noProof/>
          <w:lang w:val="sq-AL"/>
        </w:rPr>
        <w:fldChar w:fldCharType="separate"/>
      </w:r>
      <w:r w:rsidR="00FE66EC">
        <w:rPr>
          <w:rFonts w:cs="Calibri"/>
          <w:noProof/>
          <w:lang w:val="sq-AL"/>
        </w:rPr>
        <w:t>33</w:t>
      </w:r>
      <w:r w:rsidRPr="00476D2E">
        <w:rPr>
          <w:rFonts w:cs="Calibri"/>
          <w:noProof/>
          <w:lang w:val="sq-AL"/>
        </w:rPr>
        <w:fldChar w:fldCharType="end"/>
      </w:r>
      <w:r w:rsidRPr="00476D2E">
        <w:rPr>
          <w:rFonts w:cs="Calibri"/>
          <w:lang w:val="sq-AL"/>
        </w:rPr>
        <w:t xml:space="preserve"> Shpenzimet per subvencione dhe ritmi i rritjes (miliardë lekë)</w:t>
      </w:r>
      <w:bookmarkEnd w:id="124"/>
    </w:p>
    <w:p w:rsidR="00C07CC2" w:rsidRPr="00476D2E" w:rsidRDefault="007F2203" w:rsidP="0024447E">
      <w:pPr>
        <w:spacing w:before="0"/>
        <w:jc w:val="center"/>
        <w:rPr>
          <w:rFonts w:eastAsia="SimSun" w:cs="Calibri"/>
          <w:lang w:val="sq-AL"/>
        </w:rPr>
      </w:pPr>
      <w:r w:rsidRPr="004E6BCB">
        <w:rPr>
          <w:rFonts w:eastAsia="SimSun" w:cs="Calibri"/>
          <w:noProof/>
        </w:rPr>
        <w:drawing>
          <wp:inline distT="0" distB="0" distL="0" distR="0" wp14:anchorId="3703F0CE" wp14:editId="2D39DDD0">
            <wp:extent cx="5267325" cy="124206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67325" cy="1242060"/>
                    </a:xfrm>
                    <a:prstGeom prst="rect">
                      <a:avLst/>
                    </a:prstGeom>
                    <a:noFill/>
                  </pic:spPr>
                </pic:pic>
              </a:graphicData>
            </a:graphic>
          </wp:inline>
        </w:drawing>
      </w:r>
    </w:p>
    <w:p w:rsidR="00C07CC2" w:rsidRPr="00476D2E" w:rsidRDefault="000661E2" w:rsidP="0024447E">
      <w:pPr>
        <w:spacing w:before="0"/>
        <w:ind w:firstLine="720"/>
        <w:rPr>
          <w:rFonts w:eastAsia="SimSun" w:cs="Calibri"/>
          <w:i/>
          <w:sz w:val="18"/>
          <w:szCs w:val="18"/>
          <w:lang w:val="sq-AL"/>
        </w:rPr>
      </w:pPr>
      <w:r>
        <w:rPr>
          <w:rFonts w:eastAsia="SimSun" w:cs="Calibri"/>
          <w:i/>
          <w:sz w:val="18"/>
          <w:szCs w:val="18"/>
          <w:lang w:val="sq-AL"/>
        </w:rPr>
        <w:t>Burimi: Ministria e Financave dhe Ekonomisë (2022)</w:t>
      </w:r>
    </w:p>
    <w:p w:rsidR="007F2203" w:rsidRPr="004E6BCB" w:rsidRDefault="00E22DED" w:rsidP="007F2203">
      <w:pPr>
        <w:rPr>
          <w:rFonts w:cs="Calibri"/>
          <w:lang w:val="sq-AL"/>
        </w:rPr>
      </w:pPr>
      <w:r w:rsidRPr="00476D2E">
        <w:rPr>
          <w:rFonts w:cs="Calibri"/>
          <w:i/>
          <w:lang w:val="sq-AL"/>
        </w:rPr>
        <w:t>Shpenzimet për Fondet Speciale,</w:t>
      </w:r>
      <w:r w:rsidRPr="00476D2E">
        <w:rPr>
          <w:rFonts w:cs="Calibri"/>
          <w:lang w:val="sq-AL"/>
        </w:rPr>
        <w:t xml:space="preserve"> </w:t>
      </w:r>
      <w:r w:rsidR="007F2203" w:rsidRPr="004E6BCB">
        <w:rPr>
          <w:rFonts w:cs="Calibri"/>
          <w:lang w:val="sq-AL"/>
        </w:rPr>
        <w:t xml:space="preserve">për vitin 2021, rezultuan në nivelin rreth 199.5 miliardë </w:t>
      </w:r>
      <w:r w:rsidR="007F2203" w:rsidRPr="004E6BCB">
        <w:rPr>
          <w:rFonts w:eastAsia="SimSun" w:cs="Calibri"/>
          <w:lang w:val="sq-AL"/>
        </w:rPr>
        <w:t>lekë</w:t>
      </w:r>
      <w:r w:rsidR="007F2203" w:rsidRPr="004E6BCB">
        <w:rPr>
          <w:rFonts w:cs="Calibri"/>
          <w:lang w:val="sq-AL"/>
        </w:rPr>
        <w:t>, me një realizim prej 102.2 përqind të planit vjetor fillestar, 100.7 përqind të planit vjetor të ndryshuar sipas AN nr.34 dhe 98.7 përqind të planit vjetor me ndryshime, shpërndarje rezervash. Përkatësisht:</w:t>
      </w:r>
    </w:p>
    <w:p w:rsidR="007F2203" w:rsidRPr="004E6BCB" w:rsidRDefault="007F2203" w:rsidP="007F2203">
      <w:pPr>
        <w:numPr>
          <w:ilvl w:val="0"/>
          <w:numId w:val="2"/>
        </w:numPr>
        <w:spacing w:before="0" w:line="240" w:lineRule="auto"/>
        <w:rPr>
          <w:rFonts w:cs="Calibri"/>
          <w:bCs/>
          <w:i/>
          <w:iCs/>
          <w:lang w:val="sq-AL"/>
        </w:rPr>
      </w:pPr>
      <w:r w:rsidRPr="004E6BCB">
        <w:rPr>
          <w:rFonts w:cs="Calibri"/>
          <w:bCs/>
          <w:i/>
          <w:iCs/>
          <w:lang w:val="sq-AL"/>
        </w:rPr>
        <w:t>Shpenzimet për sigurime shoqërore u realizuan në masën 148.03 miliard</w:t>
      </w:r>
      <w:r w:rsidRPr="004E6BCB">
        <w:rPr>
          <w:rFonts w:cs="Calibri"/>
          <w:bCs/>
          <w:iCs/>
          <w:lang w:val="sq-AL"/>
        </w:rPr>
        <w:t xml:space="preserve">ë </w:t>
      </w:r>
      <w:r w:rsidRPr="004E6BCB">
        <w:rPr>
          <w:rFonts w:eastAsia="SimSun" w:cs="Calibri"/>
          <w:i/>
          <w:lang w:val="sq-AL"/>
        </w:rPr>
        <w:t>lekë</w:t>
      </w:r>
      <w:r w:rsidRPr="004E6BCB">
        <w:rPr>
          <w:rFonts w:cs="Calibri"/>
          <w:bCs/>
          <w:i/>
          <w:iCs/>
          <w:lang w:val="sq-AL"/>
        </w:rPr>
        <w:t xml:space="preserve">, duke rezultuar me një realizim 104.1 </w:t>
      </w:r>
      <w:r w:rsidR="0083794F">
        <w:rPr>
          <w:rFonts w:cs="Calibri"/>
          <w:bCs/>
          <w:i/>
          <w:iCs/>
          <w:lang w:val="sq-AL"/>
        </w:rPr>
        <w:t>përqind</w:t>
      </w:r>
      <w:r w:rsidRPr="004E6BCB">
        <w:rPr>
          <w:rFonts w:cs="Calibri"/>
          <w:bCs/>
          <w:i/>
          <w:iCs/>
          <w:lang w:val="sq-AL"/>
        </w:rPr>
        <w:t xml:space="preserve"> të planit vjetor fillestar, 100.9 përqind të planit vjetor të ndryshuar sipas AN nr.34 dhe 99.2 përqind të planit vjetor me ndryshime, shpërndarje rezervash,</w:t>
      </w:r>
    </w:p>
    <w:p w:rsidR="007F2203" w:rsidRPr="004E6BCB" w:rsidRDefault="007F2203" w:rsidP="007F2203">
      <w:pPr>
        <w:numPr>
          <w:ilvl w:val="0"/>
          <w:numId w:val="2"/>
        </w:numPr>
        <w:spacing w:before="0" w:line="240" w:lineRule="auto"/>
        <w:rPr>
          <w:rFonts w:cs="Calibri"/>
          <w:bCs/>
          <w:i/>
          <w:iCs/>
          <w:lang w:val="sq-AL"/>
        </w:rPr>
      </w:pPr>
      <w:r w:rsidRPr="004E6BCB">
        <w:rPr>
          <w:rFonts w:cs="Calibri"/>
          <w:bCs/>
          <w:i/>
          <w:iCs/>
          <w:lang w:val="sq-AL"/>
        </w:rPr>
        <w:t>Shpenzimet për sigurime shëndetësore</w:t>
      </w:r>
      <w:r>
        <w:rPr>
          <w:rFonts w:cs="Calibri"/>
          <w:bCs/>
          <w:i/>
          <w:iCs/>
          <w:lang w:val="sq-AL"/>
        </w:rPr>
        <w:t xml:space="preserve"> u realizuan</w:t>
      </w:r>
      <w:r w:rsidRPr="004E6BCB">
        <w:rPr>
          <w:rFonts w:cs="Calibri"/>
          <w:bCs/>
          <w:i/>
          <w:iCs/>
          <w:lang w:val="sq-AL"/>
        </w:rPr>
        <w:t xml:space="preserve"> në </w:t>
      </w:r>
      <w:r>
        <w:rPr>
          <w:rFonts w:cs="Calibri"/>
          <w:bCs/>
          <w:i/>
          <w:iCs/>
          <w:lang w:val="sq-AL"/>
        </w:rPr>
        <w:t xml:space="preserve">masën </w:t>
      </w:r>
      <w:r w:rsidRPr="004E6BCB">
        <w:rPr>
          <w:rFonts w:cs="Calibri"/>
          <w:bCs/>
          <w:i/>
          <w:iCs/>
          <w:lang w:val="sq-AL"/>
        </w:rPr>
        <w:t>rreth 49.1 miliard</w:t>
      </w:r>
      <w:r w:rsidRPr="004E6BCB">
        <w:rPr>
          <w:rFonts w:cs="Calibri"/>
          <w:bCs/>
          <w:iCs/>
          <w:lang w:val="sq-AL"/>
        </w:rPr>
        <w:t xml:space="preserve">ë </w:t>
      </w:r>
      <w:r w:rsidRPr="004E6BCB">
        <w:rPr>
          <w:rFonts w:eastAsia="SimSun" w:cs="Calibri"/>
          <w:i/>
          <w:lang w:val="sq-AL"/>
        </w:rPr>
        <w:t>lekë</w:t>
      </w:r>
      <w:r w:rsidRPr="004E6BCB">
        <w:rPr>
          <w:rFonts w:cs="Calibri"/>
          <w:bCs/>
          <w:i/>
          <w:iCs/>
          <w:lang w:val="sq-AL"/>
        </w:rPr>
        <w:t xml:space="preserve">, duke rezultuar 103.4 përqind të planit vjetor sipas buxhetit fillestar, 106.5 përqind të planit vjetor të ndryshuar sipas AN nr.34 dhe 97.7 përqind të planit vjetor me ndryshime, shpërndarje rezervash, </w:t>
      </w:r>
    </w:p>
    <w:p w:rsidR="007F2203" w:rsidRPr="004E6BCB" w:rsidRDefault="007F2203" w:rsidP="007F2203">
      <w:pPr>
        <w:numPr>
          <w:ilvl w:val="0"/>
          <w:numId w:val="2"/>
        </w:numPr>
        <w:spacing w:before="0" w:line="240" w:lineRule="auto"/>
        <w:rPr>
          <w:rFonts w:cs="Calibri"/>
          <w:bCs/>
          <w:i/>
          <w:iCs/>
          <w:lang w:val="sq-AL"/>
        </w:rPr>
      </w:pPr>
      <w:r w:rsidRPr="004E6BCB">
        <w:rPr>
          <w:rFonts w:cs="Calibri"/>
          <w:bCs/>
          <w:i/>
          <w:iCs/>
          <w:lang w:val="sq-AL"/>
        </w:rPr>
        <w:lastRenderedPageBreak/>
        <w:t xml:space="preserve">Shpenzimet për kompensimin e pronarëve </w:t>
      </w:r>
      <w:r>
        <w:rPr>
          <w:rFonts w:cs="Calibri"/>
          <w:bCs/>
          <w:i/>
          <w:iCs/>
          <w:lang w:val="sq-AL"/>
        </w:rPr>
        <w:t>u realizuan</w:t>
      </w:r>
      <w:r w:rsidRPr="004E6BCB">
        <w:rPr>
          <w:rFonts w:cs="Calibri"/>
          <w:bCs/>
          <w:i/>
          <w:iCs/>
          <w:lang w:val="sq-AL"/>
        </w:rPr>
        <w:t xml:space="preserve"> në </w:t>
      </w:r>
      <w:r>
        <w:rPr>
          <w:rFonts w:cs="Calibri"/>
          <w:bCs/>
          <w:i/>
          <w:iCs/>
          <w:lang w:val="sq-AL"/>
        </w:rPr>
        <w:t xml:space="preserve">masën </w:t>
      </w:r>
      <w:r w:rsidRPr="004E6BCB">
        <w:rPr>
          <w:rFonts w:cs="Calibri"/>
          <w:bCs/>
          <w:i/>
          <w:iCs/>
          <w:lang w:val="sq-AL"/>
        </w:rPr>
        <w:t xml:space="preserve">në rreth 2.3 miliardë </w:t>
      </w:r>
      <w:r w:rsidRPr="004E6BCB">
        <w:rPr>
          <w:rFonts w:eastAsia="SimSun" w:cs="Calibri"/>
          <w:i/>
          <w:lang w:val="sq-AL"/>
        </w:rPr>
        <w:t>lekë</w:t>
      </w:r>
      <w:r w:rsidRPr="004E6BCB">
        <w:rPr>
          <w:rFonts w:cs="Calibri"/>
          <w:bCs/>
          <w:i/>
          <w:iCs/>
          <w:lang w:val="sq-AL"/>
        </w:rPr>
        <w:t xml:space="preserve">, duke rezultuar 76.6 përqind të planit vjetor fillestar ose 85.1 </w:t>
      </w:r>
      <w:r w:rsidR="0083794F">
        <w:rPr>
          <w:rFonts w:cs="Calibri"/>
          <w:bCs/>
          <w:i/>
          <w:iCs/>
          <w:lang w:val="sq-AL"/>
        </w:rPr>
        <w:t>përqind</w:t>
      </w:r>
      <w:r w:rsidRPr="004E6BCB">
        <w:rPr>
          <w:rFonts w:cs="Calibri"/>
          <w:bCs/>
          <w:i/>
          <w:iCs/>
          <w:lang w:val="sq-AL"/>
        </w:rPr>
        <w:t xml:space="preserve"> të planit vjetor të ndryshuar sipas AN nr.34</w:t>
      </w:r>
      <w:r w:rsidRPr="004E6BCB">
        <w:t xml:space="preserve"> </w:t>
      </w:r>
      <w:r w:rsidRPr="004E6BCB">
        <w:rPr>
          <w:rFonts w:cs="Calibri"/>
          <w:bCs/>
          <w:i/>
          <w:iCs/>
          <w:lang w:val="sq-AL"/>
        </w:rPr>
        <w:t xml:space="preserve">dhe planit vjetor me ndryshime, shpërndarje rezervash. </w:t>
      </w:r>
    </w:p>
    <w:p w:rsidR="00E22DED" w:rsidRPr="00476D2E" w:rsidRDefault="007F2203" w:rsidP="007F2203">
      <w:pPr>
        <w:rPr>
          <w:rFonts w:cs="Calibri"/>
          <w:lang w:val="sq-AL"/>
        </w:rPr>
      </w:pPr>
      <w:r w:rsidRPr="004E6BCB">
        <w:rPr>
          <w:rFonts w:cs="Calibri"/>
          <w:lang w:val="sq-AL"/>
        </w:rPr>
        <w:t>Kundrejt vitit 2020, shpenzimet për sigurime shoqërore janë rreth 13.9 miliardë lekë më të larta, shpenzimet për sigurime shëndetësore janë rreth 5.8 miliardë lekë më të larta dhe shpenzimet për kompensimin e pronarëve 373 milionë lekë më të larta</w:t>
      </w:r>
      <w:r w:rsidR="00E22DED" w:rsidRPr="00476D2E">
        <w:rPr>
          <w:rFonts w:cs="Calibri"/>
          <w:lang w:val="sq-AL"/>
        </w:rPr>
        <w:t>.</w:t>
      </w:r>
    </w:p>
    <w:p w:rsidR="00C07CC2" w:rsidRPr="00476D2E" w:rsidRDefault="00C07CC2" w:rsidP="00C07CC2">
      <w:pPr>
        <w:pStyle w:val="Caption"/>
        <w:keepNext/>
        <w:spacing w:after="0"/>
        <w:rPr>
          <w:rFonts w:cs="Calibri"/>
          <w:lang w:val="sq-AL"/>
        </w:rPr>
      </w:pPr>
      <w:bookmarkStart w:id="125" w:name="_Toc104984053"/>
      <w:r w:rsidRPr="00476D2E">
        <w:rPr>
          <w:rFonts w:cs="Calibri"/>
          <w:lang w:val="sq-AL"/>
        </w:rPr>
        <w:t xml:space="preserve">Grafiku </w:t>
      </w:r>
      <w:r w:rsidRPr="00476D2E">
        <w:rPr>
          <w:rFonts w:cs="Calibri"/>
          <w:noProof/>
          <w:lang w:val="sq-AL"/>
        </w:rPr>
        <w:fldChar w:fldCharType="begin"/>
      </w:r>
      <w:r w:rsidRPr="00476D2E">
        <w:rPr>
          <w:rFonts w:cs="Calibri"/>
          <w:noProof/>
          <w:lang w:val="sq-AL"/>
        </w:rPr>
        <w:instrText xml:space="preserve"> SEQ Grafiku \* ARABIC </w:instrText>
      </w:r>
      <w:r w:rsidRPr="00476D2E">
        <w:rPr>
          <w:rFonts w:cs="Calibri"/>
          <w:noProof/>
          <w:lang w:val="sq-AL"/>
        </w:rPr>
        <w:fldChar w:fldCharType="separate"/>
      </w:r>
      <w:r w:rsidR="00FE66EC">
        <w:rPr>
          <w:rFonts w:cs="Calibri"/>
          <w:noProof/>
          <w:lang w:val="sq-AL"/>
        </w:rPr>
        <w:t>34</w:t>
      </w:r>
      <w:r w:rsidRPr="00476D2E">
        <w:rPr>
          <w:rFonts w:cs="Calibri"/>
          <w:noProof/>
          <w:lang w:val="sq-AL"/>
        </w:rPr>
        <w:fldChar w:fldCharType="end"/>
      </w:r>
      <w:r w:rsidRPr="00476D2E">
        <w:rPr>
          <w:rFonts w:cs="Calibri"/>
          <w:lang w:val="sq-AL"/>
        </w:rPr>
        <w:t xml:space="preserve"> Shpenzimet per sigurimet shoqërore dhe shëndetësore (miliardë lekë)</w:t>
      </w:r>
      <w:bookmarkEnd w:id="125"/>
    </w:p>
    <w:p w:rsidR="00C07CC2" w:rsidRPr="00476D2E" w:rsidRDefault="007F2203" w:rsidP="00FB4015">
      <w:pPr>
        <w:spacing w:before="0"/>
        <w:jc w:val="center"/>
        <w:rPr>
          <w:rFonts w:eastAsia="SimSun" w:cs="Calibri"/>
          <w:lang w:val="sq-AL"/>
        </w:rPr>
      </w:pPr>
      <w:r w:rsidRPr="004E6BCB">
        <w:rPr>
          <w:rFonts w:eastAsia="SimSun" w:cs="Calibri"/>
          <w:noProof/>
        </w:rPr>
        <w:drawing>
          <wp:inline distT="0" distB="0" distL="0" distR="0" wp14:anchorId="1FFF3946" wp14:editId="1D44FB90">
            <wp:extent cx="5436870" cy="1295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36870" cy="1295400"/>
                    </a:xfrm>
                    <a:prstGeom prst="rect">
                      <a:avLst/>
                    </a:prstGeom>
                    <a:noFill/>
                  </pic:spPr>
                </pic:pic>
              </a:graphicData>
            </a:graphic>
          </wp:inline>
        </w:drawing>
      </w:r>
    </w:p>
    <w:p w:rsidR="00C07CC2" w:rsidRPr="00FB4015" w:rsidRDefault="000661E2" w:rsidP="00FB4015">
      <w:pPr>
        <w:spacing w:before="0"/>
        <w:ind w:firstLine="720"/>
        <w:rPr>
          <w:rFonts w:eastAsia="SimSun" w:cs="Calibri"/>
          <w:i/>
          <w:sz w:val="18"/>
          <w:lang w:val="sq-AL"/>
        </w:rPr>
      </w:pPr>
      <w:r w:rsidRPr="00FB4015">
        <w:rPr>
          <w:rFonts w:eastAsia="SimSun" w:cs="Calibri"/>
          <w:i/>
          <w:sz w:val="18"/>
          <w:lang w:val="sq-AL"/>
        </w:rPr>
        <w:t>Burimi: Ministria e Financave dhe Ekonomisë (2022)</w:t>
      </w:r>
    </w:p>
    <w:p w:rsidR="007F2203" w:rsidRPr="004E6BCB" w:rsidRDefault="00E22DED" w:rsidP="007F2203">
      <w:pPr>
        <w:spacing w:before="240"/>
        <w:rPr>
          <w:rFonts w:eastAsia="SimSun" w:cs="Calibri"/>
          <w:lang w:val="sq-AL"/>
        </w:rPr>
      </w:pPr>
      <w:r w:rsidRPr="00476D2E">
        <w:rPr>
          <w:rFonts w:eastAsia="SimSun" w:cs="Calibri"/>
          <w:i/>
          <w:lang w:val="sq-AL"/>
        </w:rPr>
        <w:t>Shpenzimet për Papunësinë</w:t>
      </w:r>
      <w:r w:rsidRPr="00476D2E">
        <w:rPr>
          <w:rFonts w:eastAsia="SimSun" w:cs="Calibri"/>
          <w:lang w:val="sq-AL"/>
        </w:rPr>
        <w:t xml:space="preserve"> </w:t>
      </w:r>
      <w:r w:rsidR="007F2203" w:rsidRPr="004E6BCB">
        <w:rPr>
          <w:rFonts w:eastAsia="SimSun" w:cs="Calibri"/>
          <w:lang w:val="sq-AL"/>
        </w:rPr>
        <w:t>për vitin 2021 janë realizuar në masën 952 milionë lekë ose 119 përqind e planit vjetor sipas buxhetit fillestar dhe AN nr.34 dhe 65.8 përqind e planit vjetor me ndryshime, shpërndarje rezervash. Kundrejt vitit 2020, shpenzimet për këtë zë rezultojnë me një rritje në masën 7.3 përqind ose 64 milionë lekë më shumë në terma nominalë.</w:t>
      </w:r>
    </w:p>
    <w:p w:rsidR="007F2203" w:rsidRPr="004E6BCB" w:rsidRDefault="007F2203" w:rsidP="007F2203">
      <w:pPr>
        <w:rPr>
          <w:rFonts w:eastAsia="SimSun" w:cs="Calibri"/>
          <w:lang w:val="sq-AL"/>
        </w:rPr>
      </w:pPr>
      <w:r w:rsidRPr="004E6BCB">
        <w:rPr>
          <w:rFonts w:eastAsia="SimSun" w:cs="Calibri"/>
          <w:i/>
          <w:lang w:val="sq-AL"/>
        </w:rPr>
        <w:t>Shpenzimet për Ndihmën Ekonomike dhe Pagesën e Paaftësisë (PAK)</w:t>
      </w:r>
      <w:r w:rsidRPr="004E6BCB">
        <w:rPr>
          <w:rFonts w:ascii="Times New Roman" w:eastAsia="SimSun" w:hAnsi="Times New Roman"/>
          <w:sz w:val="24"/>
          <w:lang w:val="sq-AL"/>
        </w:rPr>
        <w:t xml:space="preserve"> </w:t>
      </w:r>
      <w:r w:rsidRPr="004E6BCB">
        <w:rPr>
          <w:rFonts w:eastAsia="SimSun" w:cs="Calibri"/>
          <w:lang w:val="sq-AL"/>
        </w:rPr>
        <w:t>për vitin 2021 u realizuan në masën rreth 24 miliardë lekë duke rezultuar 97.1 përqind e planit vjetor sipas buxhetit fillestar, 95.9 përqind e planit vjetor të ndryshuar sipas AN nr.34 dhe 98.6 përqind e planit vjetor me ndryshime, shpërndarje rezervash. Kundrejt vitit 2020, shpenzimet për këtë zë rezultojnë 0.1 përqind më të ulëta ose 15 milionë lekë më pak.</w:t>
      </w:r>
    </w:p>
    <w:p w:rsidR="007F2203" w:rsidRPr="004E6BCB" w:rsidRDefault="007F2203" w:rsidP="007F2203">
      <w:pPr>
        <w:rPr>
          <w:rFonts w:eastAsia="SimSun" w:cs="Calibri"/>
          <w:lang w:val="sq-AL"/>
        </w:rPr>
      </w:pPr>
      <w:r w:rsidRPr="004E6BCB">
        <w:rPr>
          <w:rFonts w:eastAsia="SimSun" w:cs="Calibri"/>
          <w:i/>
          <w:lang w:val="sq-AL"/>
        </w:rPr>
        <w:t>Shpenzimet për kompensimin e ish-të përndjekurve politikë</w:t>
      </w:r>
      <w:r w:rsidRPr="004E6BCB">
        <w:rPr>
          <w:rFonts w:eastAsia="SimSun" w:cs="Calibri"/>
          <w:lang w:val="sq-AL"/>
        </w:rPr>
        <w:t xml:space="preserve"> për vitin 2021 u realizuan në masën 913 milionë lekë ose 91.3 përqind e planit vjetor sipas buxhetit fillestar dhe të ndryshuar (sipas AN nr.34 dhe planit vjetor me ndryshime, shpërndarje rezervash). Krahasuar me vitin 2020, shpenzimet për këtë zë rezultojnë me një ulje në masën 8.6 përqind ose 86 milionë lekë më pak.</w:t>
      </w:r>
    </w:p>
    <w:p w:rsidR="00E22DED" w:rsidRPr="00476D2E" w:rsidRDefault="007F2203" w:rsidP="007F2203">
      <w:pPr>
        <w:spacing w:before="240"/>
        <w:rPr>
          <w:rFonts w:eastAsia="SimSun" w:cs="Calibri"/>
          <w:lang w:val="sq-AL"/>
        </w:rPr>
      </w:pPr>
      <w:r w:rsidRPr="004E6BCB">
        <w:rPr>
          <w:rFonts w:eastAsia="SimSun" w:cs="Calibri"/>
          <w:i/>
          <w:lang w:val="sq-AL"/>
        </w:rPr>
        <w:t>Shpenzimet për bonusin e lindjeve</w:t>
      </w:r>
      <w:r w:rsidRPr="004E6BCB">
        <w:rPr>
          <w:rFonts w:eastAsia="SimSun" w:cs="Calibri"/>
          <w:lang w:val="sq-AL"/>
        </w:rPr>
        <w:t xml:space="preserve"> për vitin 2021 u realizuan në masën rreth 3.3 miliardë lekë duke rezultuar 150.1 përqind e planit vjetor sipas buxhetit fillestar dhe AN nr.34 dhe 100 përqind e planit vjetor me ndryshime, shpërndarje rezervash. Kundrejt vitit 2020, shpenzimet për këtë zë rezultojnë me një rritje prej 17.1 përqind ose 483 milionë lekë më shumë</w:t>
      </w:r>
      <w:r w:rsidR="00E22DED" w:rsidRPr="00476D2E">
        <w:rPr>
          <w:rFonts w:eastAsia="SimSun" w:cs="Calibri"/>
          <w:lang w:val="sq-AL"/>
        </w:rPr>
        <w:t xml:space="preserve">. </w:t>
      </w:r>
    </w:p>
    <w:p w:rsidR="00C07CC2" w:rsidRPr="00476D2E" w:rsidRDefault="00C07CC2" w:rsidP="00C07CC2">
      <w:pPr>
        <w:pStyle w:val="Caption"/>
        <w:keepNext/>
        <w:spacing w:after="0"/>
        <w:rPr>
          <w:rFonts w:cs="Calibri"/>
          <w:lang w:val="sq-AL"/>
        </w:rPr>
      </w:pPr>
      <w:bookmarkStart w:id="126" w:name="_Toc104984054"/>
      <w:r w:rsidRPr="00476D2E">
        <w:rPr>
          <w:rFonts w:cs="Calibri"/>
          <w:lang w:val="sq-AL"/>
        </w:rPr>
        <w:t xml:space="preserve">Grafiku </w:t>
      </w:r>
      <w:r w:rsidRPr="00476D2E">
        <w:rPr>
          <w:rFonts w:cs="Calibri"/>
          <w:noProof/>
          <w:lang w:val="sq-AL"/>
        </w:rPr>
        <w:fldChar w:fldCharType="begin"/>
      </w:r>
      <w:r w:rsidRPr="00476D2E">
        <w:rPr>
          <w:rFonts w:cs="Calibri"/>
          <w:noProof/>
          <w:lang w:val="sq-AL"/>
        </w:rPr>
        <w:instrText xml:space="preserve"> SEQ Grafiku \* ARABIC </w:instrText>
      </w:r>
      <w:r w:rsidRPr="00476D2E">
        <w:rPr>
          <w:rFonts w:cs="Calibri"/>
          <w:noProof/>
          <w:lang w:val="sq-AL"/>
        </w:rPr>
        <w:fldChar w:fldCharType="separate"/>
      </w:r>
      <w:r w:rsidR="00FE66EC">
        <w:rPr>
          <w:rFonts w:cs="Calibri"/>
          <w:noProof/>
          <w:lang w:val="sq-AL"/>
        </w:rPr>
        <w:t>35</w:t>
      </w:r>
      <w:r w:rsidRPr="00476D2E">
        <w:rPr>
          <w:rFonts w:cs="Calibri"/>
          <w:noProof/>
          <w:lang w:val="sq-AL"/>
        </w:rPr>
        <w:fldChar w:fldCharType="end"/>
      </w:r>
      <w:r w:rsidRPr="00476D2E">
        <w:rPr>
          <w:rFonts w:cs="Calibri"/>
          <w:lang w:val="sq-AL"/>
        </w:rPr>
        <w:t xml:space="preserve"> Shpenzimet per ndihmën ekonomike, PAK dhe papunësinë (miliardë lekë)</w:t>
      </w:r>
      <w:bookmarkEnd w:id="126"/>
    </w:p>
    <w:p w:rsidR="00C07CC2" w:rsidRPr="00476D2E" w:rsidRDefault="007F2203" w:rsidP="00012DFB">
      <w:pPr>
        <w:spacing w:before="0"/>
        <w:jc w:val="center"/>
        <w:rPr>
          <w:rFonts w:eastAsia="SimSun" w:cs="Calibri"/>
          <w:sz w:val="20"/>
          <w:lang w:val="sq-AL"/>
        </w:rPr>
      </w:pPr>
      <w:r w:rsidRPr="004E6BCB">
        <w:rPr>
          <w:rFonts w:eastAsia="SimSun" w:cs="Calibri"/>
          <w:noProof/>
          <w:sz w:val="20"/>
        </w:rPr>
        <w:drawing>
          <wp:inline distT="0" distB="0" distL="0" distR="0" wp14:anchorId="7A738193" wp14:editId="3C3EE26F">
            <wp:extent cx="5414010" cy="128778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14010" cy="1287780"/>
                    </a:xfrm>
                    <a:prstGeom prst="rect">
                      <a:avLst/>
                    </a:prstGeom>
                    <a:noFill/>
                  </pic:spPr>
                </pic:pic>
              </a:graphicData>
            </a:graphic>
          </wp:inline>
        </w:drawing>
      </w:r>
    </w:p>
    <w:p w:rsidR="00C07CC2" w:rsidRPr="00476D2E" w:rsidRDefault="000661E2" w:rsidP="007F2203">
      <w:pPr>
        <w:spacing w:before="0"/>
        <w:ind w:left="720" w:firstLine="720"/>
        <w:rPr>
          <w:rFonts w:eastAsia="SimSun" w:cs="Calibri"/>
          <w:i/>
          <w:sz w:val="18"/>
          <w:szCs w:val="18"/>
          <w:lang w:val="sq-AL"/>
        </w:rPr>
      </w:pPr>
      <w:r>
        <w:rPr>
          <w:rFonts w:eastAsia="SimSun" w:cs="Calibri"/>
          <w:i/>
          <w:sz w:val="18"/>
          <w:szCs w:val="18"/>
          <w:lang w:val="sq-AL"/>
        </w:rPr>
        <w:t>Burimi: Ministria e Financave dhe Ekonomisë (2022)</w:t>
      </w:r>
    </w:p>
    <w:p w:rsidR="00E22DED" w:rsidRPr="00476D2E" w:rsidRDefault="001D54B0" w:rsidP="00CF1DAE">
      <w:pPr>
        <w:rPr>
          <w:rFonts w:cs="Calibri"/>
          <w:bCs/>
          <w:iCs/>
          <w:lang w:val="sq-AL"/>
        </w:rPr>
      </w:pPr>
      <w:r w:rsidRPr="009A26AF">
        <w:rPr>
          <w:rFonts w:cs="Calibri"/>
          <w:b/>
          <w:bCs/>
          <w:iCs/>
          <w:lang w:val="sq-AL"/>
        </w:rPr>
        <w:lastRenderedPageBreak/>
        <w:t>Shpenzimet kapitale</w:t>
      </w:r>
      <w:r w:rsidRPr="009A26AF">
        <w:rPr>
          <w:rFonts w:cs="Calibri"/>
          <w:bCs/>
          <w:iCs/>
          <w:lang w:val="sq-AL"/>
        </w:rPr>
        <w:t xml:space="preserve"> </w:t>
      </w:r>
      <w:r w:rsidR="009A26AF" w:rsidRPr="009A26AF">
        <w:rPr>
          <w:rFonts w:cs="Calibri"/>
          <w:bCs/>
          <w:iCs/>
          <w:lang w:val="sq-AL"/>
        </w:rPr>
        <w:t xml:space="preserve">për vitin 2021 </w:t>
      </w:r>
      <w:r w:rsidR="009A26AF">
        <w:rPr>
          <w:rFonts w:cs="Calibri"/>
          <w:bCs/>
          <w:iCs/>
          <w:lang w:val="sq-AL"/>
        </w:rPr>
        <w:t>(pa p</w:t>
      </w:r>
      <w:r w:rsidR="002111DF">
        <w:rPr>
          <w:rFonts w:cs="Calibri"/>
          <w:bCs/>
          <w:iCs/>
          <w:lang w:val="sq-AL"/>
        </w:rPr>
        <w:t>ë</w:t>
      </w:r>
      <w:r w:rsidR="009A26AF">
        <w:rPr>
          <w:rFonts w:cs="Calibri"/>
          <w:bCs/>
          <w:iCs/>
          <w:lang w:val="sq-AL"/>
        </w:rPr>
        <w:t>rfshir</w:t>
      </w:r>
      <w:r w:rsidR="002111DF">
        <w:rPr>
          <w:rFonts w:cs="Calibri"/>
          <w:bCs/>
          <w:iCs/>
          <w:lang w:val="sq-AL"/>
        </w:rPr>
        <w:t>ë</w:t>
      </w:r>
      <w:r w:rsidR="009A26AF">
        <w:rPr>
          <w:rFonts w:cs="Calibri"/>
          <w:bCs/>
          <w:iCs/>
          <w:lang w:val="sq-AL"/>
        </w:rPr>
        <w:t xml:space="preserve"> Fondin e Rind</w:t>
      </w:r>
      <w:r w:rsidR="002111DF">
        <w:rPr>
          <w:rFonts w:cs="Calibri"/>
          <w:bCs/>
          <w:iCs/>
          <w:lang w:val="sq-AL"/>
        </w:rPr>
        <w:t>ë</w:t>
      </w:r>
      <w:r w:rsidR="009A26AF">
        <w:rPr>
          <w:rFonts w:cs="Calibri"/>
          <w:bCs/>
          <w:iCs/>
          <w:lang w:val="sq-AL"/>
        </w:rPr>
        <w:t xml:space="preserve">rtimit) </w:t>
      </w:r>
      <w:r w:rsidR="009A26AF" w:rsidRPr="009A26AF">
        <w:rPr>
          <w:rFonts w:cs="Calibri"/>
          <w:bCs/>
          <w:iCs/>
          <w:lang w:val="sq-AL"/>
        </w:rPr>
        <w:t>rezultuan në rreth 98.2 miliardë lekë, ose 105.6 përqind të planit vjetor fillestar</w:t>
      </w:r>
      <w:r w:rsidR="009A26AF" w:rsidRPr="004E6BCB">
        <w:rPr>
          <w:rFonts w:cs="Calibri"/>
          <w:bCs/>
          <w:iCs/>
          <w:lang w:val="sq-AL"/>
        </w:rPr>
        <w:t xml:space="preserve"> (88.3 përqind të planit vjetor të ndryshuar me AN nr.34 dhe 87.7 përqind të planit vjetor  me ndryshime, shpërndarje rezervash). </w:t>
      </w:r>
      <w:r w:rsidR="009A26AF" w:rsidRPr="004E6BCB">
        <w:rPr>
          <w:rFonts w:eastAsia="SimSun" w:cs="Calibri"/>
          <w:lang w:val="sq-AL"/>
        </w:rPr>
        <w:t xml:space="preserve">Krahasuar me të njëjtën periudhë të vitit 2020, ky zë është 15.1 </w:t>
      </w:r>
      <w:r w:rsidR="0083794F">
        <w:rPr>
          <w:rFonts w:eastAsia="SimSun" w:cs="Calibri"/>
          <w:lang w:val="sq-AL"/>
        </w:rPr>
        <w:t>përqind</w:t>
      </w:r>
      <w:r w:rsidR="009A26AF" w:rsidRPr="004E6BCB">
        <w:rPr>
          <w:rFonts w:eastAsia="SimSun" w:cs="Calibri"/>
          <w:lang w:val="sq-AL"/>
        </w:rPr>
        <w:t xml:space="preserve"> më i lartë ose rreth 12.9 miliardë lekë më shumë. Ky realizim erdhi si pasojë e ecurisë pozitive të p</w:t>
      </w:r>
      <w:r w:rsidR="009A26AF" w:rsidRPr="004E6BCB">
        <w:rPr>
          <w:rFonts w:cs="Calibri"/>
          <w:bCs/>
          <w:iCs/>
          <w:lang w:val="sq-AL"/>
        </w:rPr>
        <w:t xml:space="preserve">rojekteve të investimeve me financim të brendshëm, të cilat shënuan një realizim në masën rreth 72.1 miliardë lekë ose 125.2 përqind të planit vjetor fillestar (90.8 përqind të planit vjetor të ndryshuar me AN nr.34 dhe 90 </w:t>
      </w:r>
      <w:r w:rsidR="009A26AF">
        <w:rPr>
          <w:rFonts w:eastAsia="SimSun" w:cs="Calibri"/>
          <w:lang w:val="sq-AL"/>
        </w:rPr>
        <w:t xml:space="preserve">përqind të planit vjetor </w:t>
      </w:r>
      <w:r w:rsidR="009A26AF" w:rsidRPr="004E6BCB">
        <w:rPr>
          <w:rFonts w:eastAsia="SimSun" w:cs="Calibri"/>
          <w:lang w:val="sq-AL"/>
        </w:rPr>
        <w:t xml:space="preserve">me ndryshime, shpërndarje rezervash). </w:t>
      </w:r>
      <w:r w:rsidR="009A26AF">
        <w:rPr>
          <w:rFonts w:eastAsia="SimSun" w:cs="Calibri"/>
          <w:lang w:val="sq-AL"/>
        </w:rPr>
        <w:t>I</w:t>
      </w:r>
      <w:r w:rsidR="009A26AF" w:rsidRPr="004E6BCB">
        <w:rPr>
          <w:rFonts w:eastAsia="SimSun" w:cs="Calibri"/>
          <w:lang w:val="sq-AL"/>
        </w:rPr>
        <w:t>nvestimet nga të ardhurat e arsimit të lartë shënuan një realizim në masën</w:t>
      </w:r>
      <w:r w:rsidR="009A26AF" w:rsidRPr="004E6BCB">
        <w:rPr>
          <w:rFonts w:cs="Calibri"/>
          <w:bCs/>
          <w:iCs/>
          <w:lang w:val="sq-AL"/>
        </w:rPr>
        <w:t xml:space="preserve"> 708 milionë lekë ose 70.8 përqind në raport me planin vjetor fillestar (88.5 përqind të planit të ndryshuar); ndërsa financimi i huaj u realizua në masën rreth 25.4 miliardë lekë ose 73.7 </w:t>
      </w:r>
      <w:r w:rsidR="0083794F">
        <w:rPr>
          <w:rFonts w:cs="Calibri"/>
          <w:bCs/>
          <w:iCs/>
          <w:lang w:val="sq-AL"/>
        </w:rPr>
        <w:t>përqind</w:t>
      </w:r>
      <w:r w:rsidR="009A26AF" w:rsidRPr="004E6BCB">
        <w:rPr>
          <w:rFonts w:cs="Calibri"/>
          <w:bCs/>
          <w:iCs/>
          <w:lang w:val="sq-AL"/>
        </w:rPr>
        <w:t xml:space="preserve"> të planit vjetor fillestar (81.8 </w:t>
      </w:r>
      <w:r w:rsidR="0083794F">
        <w:rPr>
          <w:rFonts w:cs="Calibri"/>
          <w:bCs/>
          <w:iCs/>
          <w:lang w:val="sq-AL"/>
        </w:rPr>
        <w:t>përqind</w:t>
      </w:r>
      <w:r w:rsidR="009A26AF" w:rsidRPr="004E6BCB">
        <w:rPr>
          <w:rFonts w:cs="Calibri"/>
          <w:bCs/>
          <w:iCs/>
          <w:lang w:val="sq-AL"/>
        </w:rPr>
        <w:t xml:space="preserve"> të planit vjetor të ndryshuar)</w:t>
      </w:r>
      <w:r w:rsidRPr="00476D2E">
        <w:rPr>
          <w:rFonts w:cs="Calibri"/>
          <w:bCs/>
          <w:iCs/>
          <w:lang w:val="sq-AL"/>
        </w:rPr>
        <w:t>.</w:t>
      </w:r>
    </w:p>
    <w:p w:rsidR="00C07CC2" w:rsidRPr="00476D2E" w:rsidRDefault="00C07CC2" w:rsidP="00B7482B">
      <w:pPr>
        <w:pStyle w:val="Caption"/>
        <w:keepNext/>
        <w:spacing w:after="0"/>
        <w:rPr>
          <w:rFonts w:cs="Calibri"/>
          <w:lang w:val="sq-AL"/>
        </w:rPr>
      </w:pPr>
      <w:bookmarkStart w:id="127" w:name="_Toc104984055"/>
      <w:r w:rsidRPr="00476D2E">
        <w:rPr>
          <w:rFonts w:cs="Calibri"/>
          <w:lang w:val="sq-AL"/>
        </w:rPr>
        <w:t xml:space="preserve">Grafiku </w:t>
      </w:r>
      <w:r w:rsidRPr="00476D2E">
        <w:rPr>
          <w:rFonts w:cs="Calibri"/>
          <w:noProof/>
          <w:lang w:val="sq-AL"/>
        </w:rPr>
        <w:fldChar w:fldCharType="begin"/>
      </w:r>
      <w:r w:rsidRPr="00476D2E">
        <w:rPr>
          <w:rFonts w:cs="Calibri"/>
          <w:noProof/>
          <w:lang w:val="sq-AL"/>
        </w:rPr>
        <w:instrText xml:space="preserve"> SEQ Grafiku \* ARABIC </w:instrText>
      </w:r>
      <w:r w:rsidRPr="00476D2E">
        <w:rPr>
          <w:rFonts w:cs="Calibri"/>
          <w:noProof/>
          <w:lang w:val="sq-AL"/>
        </w:rPr>
        <w:fldChar w:fldCharType="separate"/>
      </w:r>
      <w:r w:rsidR="00FE66EC">
        <w:rPr>
          <w:rFonts w:cs="Calibri"/>
          <w:noProof/>
          <w:lang w:val="sq-AL"/>
        </w:rPr>
        <w:t>36</w:t>
      </w:r>
      <w:r w:rsidRPr="00476D2E">
        <w:rPr>
          <w:rFonts w:cs="Calibri"/>
          <w:noProof/>
          <w:lang w:val="sq-AL"/>
        </w:rPr>
        <w:fldChar w:fldCharType="end"/>
      </w:r>
      <w:r w:rsidRPr="00476D2E">
        <w:rPr>
          <w:rFonts w:cs="Calibri"/>
          <w:lang w:val="sq-AL"/>
        </w:rPr>
        <w:t xml:space="preserve"> S</w:t>
      </w:r>
      <w:r w:rsidRPr="00476D2E">
        <w:rPr>
          <w:rFonts w:eastAsia="SimSun" w:cs="Calibri"/>
          <w:i w:val="0"/>
          <w:lang w:val="sq-AL"/>
        </w:rPr>
        <w:t>hpenzimet Kapitale dhe burimi i financimit të tyre (në miliardë lekë)</w:t>
      </w:r>
      <w:bookmarkEnd w:id="127"/>
    </w:p>
    <w:p w:rsidR="00B7482B" w:rsidRPr="00476D2E" w:rsidRDefault="009A26AF" w:rsidP="002A27D5">
      <w:pPr>
        <w:spacing w:before="0"/>
        <w:jc w:val="center"/>
        <w:rPr>
          <w:rFonts w:eastAsia="SimSun" w:cs="Calibri"/>
          <w:b/>
          <w:lang w:val="sq-AL"/>
        </w:rPr>
      </w:pPr>
      <w:r w:rsidRPr="004E6BCB">
        <w:rPr>
          <w:rFonts w:eastAsia="SimSun" w:cs="Calibri"/>
          <w:b/>
          <w:noProof/>
        </w:rPr>
        <w:drawing>
          <wp:inline distT="0" distB="0" distL="0" distR="0" wp14:anchorId="538183BB" wp14:editId="2AA77ABF">
            <wp:extent cx="5821680" cy="145542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21680" cy="1455420"/>
                    </a:xfrm>
                    <a:prstGeom prst="rect">
                      <a:avLst/>
                    </a:prstGeom>
                    <a:noFill/>
                  </pic:spPr>
                </pic:pic>
              </a:graphicData>
            </a:graphic>
          </wp:inline>
        </w:drawing>
      </w:r>
    </w:p>
    <w:p w:rsidR="00C07CC2" w:rsidRPr="00476D2E" w:rsidRDefault="000661E2" w:rsidP="002A27D5">
      <w:pPr>
        <w:spacing w:before="0"/>
        <w:ind w:left="720" w:firstLine="720"/>
        <w:rPr>
          <w:rFonts w:eastAsia="SimSun" w:cs="Calibri"/>
          <w:i/>
          <w:sz w:val="18"/>
          <w:szCs w:val="18"/>
          <w:lang w:val="sq-AL"/>
        </w:rPr>
      </w:pPr>
      <w:r>
        <w:rPr>
          <w:rFonts w:eastAsia="SimSun" w:cs="Calibri"/>
          <w:i/>
          <w:sz w:val="18"/>
          <w:szCs w:val="18"/>
          <w:lang w:val="sq-AL"/>
        </w:rPr>
        <w:t>Burimi: Ministria e Financave dhe Ekonomisë (2022)</w:t>
      </w:r>
    </w:p>
    <w:p w:rsidR="00635D0E" w:rsidRPr="00513D2E" w:rsidRDefault="00635D0E" w:rsidP="00C9116F">
      <w:pPr>
        <w:spacing w:before="0"/>
        <w:rPr>
          <w:rFonts w:eastAsia="SimSun" w:cs="Calibri"/>
          <w:sz w:val="12"/>
          <w:highlight w:val="yellow"/>
          <w:lang w:val="sq-AL"/>
        </w:rPr>
      </w:pPr>
    </w:p>
    <w:p w:rsidR="002F6176" w:rsidRPr="00476D2E" w:rsidRDefault="00626069" w:rsidP="00C9116F">
      <w:pPr>
        <w:spacing w:before="0"/>
        <w:rPr>
          <w:rFonts w:eastAsia="SimSun" w:cs="Calibri"/>
          <w:lang w:val="sq-AL"/>
        </w:rPr>
      </w:pPr>
      <w:r w:rsidRPr="00626069">
        <w:rPr>
          <w:rFonts w:eastAsia="SimSun" w:cs="Calibri"/>
          <w:lang w:val="sq-AL"/>
        </w:rPr>
        <w:t>Fondet buxhetore të alokuara për investime kanë prekur fusha të rëndësishme të ekonomisë. Një prej prioriteteve të buxhetit 2021 për shpenzimet kapitale ishte rindërtimi i infrastrukturës së dëmtuar nga tërmeti i nëntorit të vitit 2019, kryesisht në fushën e arsimit, infrastrukturës publike dhe strehimit. Sektorë të tjerë prioritarë ishin edhe infrastruktura e ujësjellës kanalizimeve; transporti rrugor, shëndetësia, mbrojtja, etj. Realizimi i investimeve në total ka qenë në nivele të larta, veçanërisht për financimin e brendshëm. Pavarësisht realizimit më të lartë se plani fillestar, i cili lidhet ngushtë me procesin e rindërtimit, përbërja e shpenzimeve kapitale faktike paraqet diferenca në lidhje me planin fillestar, të shkaktuara kryesisht nga disa vonesa të procedurave të prokurimit, pavarësisht angazhimit nga institucionet buxhetore</w:t>
      </w:r>
      <w:r w:rsidR="002F6176" w:rsidRPr="00626069">
        <w:rPr>
          <w:rFonts w:eastAsia="SimSun" w:cs="Calibri"/>
          <w:lang w:val="sq-AL"/>
        </w:rPr>
        <w:t>.</w:t>
      </w:r>
      <w:r w:rsidR="002F6176" w:rsidRPr="00476D2E">
        <w:rPr>
          <w:rFonts w:eastAsia="SimSun" w:cs="Calibri"/>
          <w:lang w:val="sq-AL"/>
        </w:rPr>
        <w:t xml:space="preserve"> </w:t>
      </w:r>
    </w:p>
    <w:p w:rsidR="000124AC" w:rsidRPr="001A1EF0" w:rsidRDefault="000124AC" w:rsidP="000124AC">
      <w:pPr>
        <w:rPr>
          <w:rFonts w:asciiTheme="majorHAnsi" w:eastAsia="SimSun" w:hAnsiTheme="majorHAnsi" w:cs="Calibri Light"/>
          <w:szCs w:val="22"/>
          <w:lang w:val="sq-AL"/>
        </w:rPr>
      </w:pPr>
      <w:r w:rsidRPr="001A1EF0">
        <w:rPr>
          <w:rFonts w:asciiTheme="majorHAnsi" w:eastAsia="SimSun" w:hAnsiTheme="majorHAnsi" w:cs="Calibri Light"/>
          <w:szCs w:val="22"/>
          <w:lang w:val="sq-AL"/>
        </w:rPr>
        <w:t xml:space="preserve">Me buxhetin e vitit 2021 në ministritë e linjës janë </w:t>
      </w:r>
      <w:r w:rsidRPr="001A1EF0">
        <w:rPr>
          <w:rFonts w:asciiTheme="majorHAnsi" w:eastAsia="SimSun" w:hAnsiTheme="majorHAnsi" w:cs="Calibri Light"/>
          <w:b/>
          <w:szCs w:val="22"/>
          <w:lang w:val="sq-AL"/>
        </w:rPr>
        <w:t>financuar dhe mbyllur rreth 138 kontrata të rëndësishme investimesh me financim të brendshëm me vlerë të plotë projektesh me rreth 31 miliardë lekë</w:t>
      </w:r>
      <w:r w:rsidRPr="001A1EF0">
        <w:rPr>
          <w:rFonts w:asciiTheme="majorHAnsi" w:eastAsia="SimSun" w:hAnsiTheme="majorHAnsi" w:cs="Calibri Light"/>
          <w:szCs w:val="22"/>
          <w:lang w:val="sq-AL"/>
        </w:rPr>
        <w:t xml:space="preserve">. Konkretisht: </w:t>
      </w:r>
    </w:p>
    <w:p w:rsidR="000124AC" w:rsidRPr="001A1EF0" w:rsidRDefault="000124AC" w:rsidP="00012DFB">
      <w:pPr>
        <w:numPr>
          <w:ilvl w:val="0"/>
          <w:numId w:val="2"/>
        </w:numPr>
        <w:spacing w:before="0" w:line="240" w:lineRule="auto"/>
        <w:ind w:left="630"/>
        <w:rPr>
          <w:rFonts w:asciiTheme="majorHAnsi" w:hAnsiTheme="majorHAnsi" w:cs="Calibri Light"/>
          <w:bCs/>
          <w:i/>
          <w:iCs/>
          <w:szCs w:val="22"/>
          <w:lang w:val="sq-AL"/>
        </w:rPr>
      </w:pPr>
      <w:r w:rsidRPr="001A1EF0">
        <w:rPr>
          <w:rFonts w:asciiTheme="majorHAnsi" w:hAnsiTheme="majorHAnsi" w:cs="Calibri Light"/>
          <w:bCs/>
          <w:i/>
          <w:iCs/>
          <w:szCs w:val="22"/>
          <w:lang w:val="sq-AL"/>
        </w:rPr>
        <w:t>Janë mbyllur 16 kontrata investimi të transportit rrugor me vlerë totale rreth 14.2 miliardë lekë.</w:t>
      </w:r>
    </w:p>
    <w:p w:rsidR="000124AC" w:rsidRPr="001A1EF0" w:rsidRDefault="000124AC" w:rsidP="00012DFB">
      <w:pPr>
        <w:numPr>
          <w:ilvl w:val="0"/>
          <w:numId w:val="2"/>
        </w:numPr>
        <w:spacing w:before="0" w:line="240" w:lineRule="auto"/>
        <w:ind w:left="630"/>
        <w:rPr>
          <w:rFonts w:asciiTheme="majorHAnsi" w:hAnsiTheme="majorHAnsi" w:cs="Calibri Light"/>
          <w:bCs/>
          <w:i/>
          <w:iCs/>
          <w:szCs w:val="22"/>
          <w:lang w:val="sq-AL"/>
        </w:rPr>
      </w:pPr>
      <w:r w:rsidRPr="001A1EF0">
        <w:rPr>
          <w:rFonts w:asciiTheme="majorHAnsi" w:hAnsiTheme="majorHAnsi" w:cs="Calibri Light"/>
          <w:bCs/>
          <w:i/>
          <w:iCs/>
          <w:szCs w:val="22"/>
          <w:lang w:val="sq-AL"/>
        </w:rPr>
        <w:t>Janë mbyllur 23 kontrata investimi për ujësjellësa dhe kanalizime me vlerë totale 5.3 miliardë lekë.</w:t>
      </w:r>
    </w:p>
    <w:p w:rsidR="000124AC" w:rsidRPr="001A1EF0" w:rsidRDefault="000124AC" w:rsidP="00012DFB">
      <w:pPr>
        <w:numPr>
          <w:ilvl w:val="0"/>
          <w:numId w:val="2"/>
        </w:numPr>
        <w:spacing w:before="0" w:line="240" w:lineRule="auto"/>
        <w:ind w:left="630"/>
        <w:rPr>
          <w:rFonts w:asciiTheme="majorHAnsi" w:hAnsiTheme="majorHAnsi" w:cs="Calibri Light"/>
          <w:bCs/>
          <w:i/>
          <w:iCs/>
          <w:szCs w:val="22"/>
          <w:lang w:val="sq-AL"/>
        </w:rPr>
      </w:pPr>
      <w:r w:rsidRPr="001A1EF0">
        <w:rPr>
          <w:rFonts w:asciiTheme="majorHAnsi" w:hAnsiTheme="majorHAnsi" w:cs="Calibri Light"/>
          <w:bCs/>
          <w:i/>
          <w:iCs/>
          <w:szCs w:val="22"/>
          <w:lang w:val="sq-AL"/>
        </w:rPr>
        <w:t>Në fushën e menaxhimit të mbetjeve janë mbyllur pagesat për inceneratorin e Elbasanit me vlerë të plotë prej 2.89 miliardë lekë.</w:t>
      </w:r>
    </w:p>
    <w:p w:rsidR="002A27D5" w:rsidRPr="001A1EF0" w:rsidRDefault="002A27D5" w:rsidP="00012DFB">
      <w:pPr>
        <w:numPr>
          <w:ilvl w:val="0"/>
          <w:numId w:val="2"/>
        </w:numPr>
        <w:spacing w:before="0" w:line="240" w:lineRule="auto"/>
        <w:ind w:left="630"/>
        <w:rPr>
          <w:rFonts w:asciiTheme="majorHAnsi" w:hAnsiTheme="majorHAnsi" w:cs="Calibri Light"/>
          <w:bCs/>
          <w:i/>
          <w:iCs/>
          <w:szCs w:val="22"/>
          <w:lang w:val="sq-AL"/>
        </w:rPr>
      </w:pPr>
      <w:r w:rsidRPr="001A1EF0">
        <w:rPr>
          <w:rFonts w:asciiTheme="majorHAnsi" w:hAnsiTheme="majorHAnsi" w:cs="Calibri Light"/>
          <w:bCs/>
          <w:i/>
          <w:iCs/>
          <w:szCs w:val="22"/>
          <w:lang w:val="sq-AL"/>
        </w:rPr>
        <w:t>Janë mbyllur 27 kontrata për rikonstruksione të ambieneteve në disa spitale dhe poliklinika, qendra shëndetësore, furnizim dhe vendosje pajisjesh spitalore etj me vlerë totële projektesh prej 2.1 miliardë lekë.</w:t>
      </w:r>
    </w:p>
    <w:p w:rsidR="000124AC" w:rsidRPr="001A1EF0" w:rsidRDefault="000124AC" w:rsidP="00012DFB">
      <w:pPr>
        <w:numPr>
          <w:ilvl w:val="0"/>
          <w:numId w:val="2"/>
        </w:numPr>
        <w:spacing w:before="0" w:line="240" w:lineRule="auto"/>
        <w:ind w:left="630"/>
        <w:rPr>
          <w:rFonts w:asciiTheme="majorHAnsi" w:hAnsiTheme="majorHAnsi" w:cs="Calibri Light"/>
          <w:bCs/>
          <w:i/>
          <w:iCs/>
          <w:szCs w:val="22"/>
          <w:lang w:val="sq-AL"/>
        </w:rPr>
      </w:pPr>
      <w:r w:rsidRPr="001A1EF0">
        <w:rPr>
          <w:rFonts w:asciiTheme="majorHAnsi" w:hAnsiTheme="majorHAnsi" w:cs="Calibri Light"/>
          <w:bCs/>
          <w:i/>
          <w:iCs/>
          <w:szCs w:val="22"/>
          <w:lang w:val="sq-AL"/>
        </w:rPr>
        <w:t>Janë mbyllur 41 kontrata investimi për përmirësimin e kanaleve ujitëse në disa zona, ndërtimi i argjinaturave të lumenjve dhe mbrojtja prej tyre, përmirësimi i sistemit VMS, skema e naftës rikonstruksione etj  me vlerë totale  rreth 2 miliardë lekë.</w:t>
      </w:r>
    </w:p>
    <w:p w:rsidR="002A27D5" w:rsidRPr="001A1EF0" w:rsidRDefault="002A27D5" w:rsidP="00012DFB">
      <w:pPr>
        <w:numPr>
          <w:ilvl w:val="0"/>
          <w:numId w:val="2"/>
        </w:numPr>
        <w:spacing w:before="0" w:line="240" w:lineRule="auto"/>
        <w:ind w:left="630"/>
        <w:rPr>
          <w:rFonts w:asciiTheme="majorHAnsi" w:hAnsiTheme="majorHAnsi" w:cs="Calibri Light"/>
          <w:bCs/>
          <w:i/>
          <w:iCs/>
          <w:szCs w:val="22"/>
          <w:lang w:val="sq-AL"/>
        </w:rPr>
      </w:pPr>
      <w:r w:rsidRPr="001A1EF0">
        <w:rPr>
          <w:rFonts w:asciiTheme="majorHAnsi" w:hAnsiTheme="majorHAnsi" w:cs="Calibri Light"/>
          <w:bCs/>
          <w:i/>
          <w:iCs/>
          <w:szCs w:val="22"/>
          <w:lang w:val="sq-AL"/>
        </w:rPr>
        <w:t>Janë mbyllur 8 kontrata investimi për sisteme armatimi, paisje individuale  ushtarake, sisteme kompjuterike etj me vlerë totale rreth 2 miliardë lekë.</w:t>
      </w:r>
    </w:p>
    <w:p w:rsidR="002A27D5" w:rsidRPr="001A1EF0" w:rsidRDefault="002A27D5" w:rsidP="00012DFB">
      <w:pPr>
        <w:numPr>
          <w:ilvl w:val="0"/>
          <w:numId w:val="2"/>
        </w:numPr>
        <w:spacing w:before="0" w:line="240" w:lineRule="auto"/>
        <w:ind w:left="630"/>
        <w:rPr>
          <w:rFonts w:asciiTheme="majorHAnsi" w:hAnsiTheme="majorHAnsi" w:cs="Calibri Light"/>
          <w:bCs/>
          <w:i/>
          <w:iCs/>
          <w:szCs w:val="22"/>
          <w:lang w:val="sq-AL"/>
        </w:rPr>
      </w:pPr>
      <w:r w:rsidRPr="001A1EF0">
        <w:rPr>
          <w:rFonts w:asciiTheme="majorHAnsi" w:hAnsiTheme="majorHAnsi" w:cs="Calibri Light"/>
          <w:bCs/>
          <w:i/>
          <w:iCs/>
          <w:szCs w:val="22"/>
          <w:lang w:val="sq-AL"/>
        </w:rPr>
        <w:t>Janë mbyllur 6 kontrata për përshtatje mjedisesh pune për SPAK, Drejtoritë vendore të Policisë, janë blerë paisje për Policinë Rrugore, ndërtuar datacenter për Policinë e Shtetit etj me vlerë totale projektesh prej 1.8 miliardë lekë.</w:t>
      </w:r>
    </w:p>
    <w:p w:rsidR="000124AC" w:rsidRPr="001A1EF0" w:rsidRDefault="000124AC" w:rsidP="00012DFB">
      <w:pPr>
        <w:numPr>
          <w:ilvl w:val="0"/>
          <w:numId w:val="2"/>
        </w:numPr>
        <w:spacing w:before="0" w:line="240" w:lineRule="auto"/>
        <w:ind w:left="630"/>
        <w:rPr>
          <w:rFonts w:asciiTheme="majorHAnsi" w:hAnsiTheme="majorHAnsi" w:cs="Calibri Light"/>
          <w:bCs/>
          <w:i/>
          <w:iCs/>
          <w:szCs w:val="22"/>
          <w:lang w:val="sq-AL"/>
        </w:rPr>
      </w:pPr>
      <w:r w:rsidRPr="001A1EF0">
        <w:rPr>
          <w:rFonts w:asciiTheme="majorHAnsi" w:hAnsiTheme="majorHAnsi" w:cs="Calibri Light"/>
          <w:bCs/>
          <w:i/>
          <w:iCs/>
          <w:szCs w:val="22"/>
          <w:lang w:val="sq-AL"/>
        </w:rPr>
        <w:lastRenderedPageBreak/>
        <w:t>Janë mbyllur 5 kontrata të rëndësishme për rikonstruksione/ndërtime në mjedise zyrash, kopshte, shkolla, universitete dhe ambientesh sportive me vlerë totale projektesh prej 565 milionë lekë.</w:t>
      </w:r>
    </w:p>
    <w:p w:rsidR="002A27D5" w:rsidRPr="000124AC" w:rsidRDefault="002A27D5" w:rsidP="00012DFB">
      <w:pPr>
        <w:numPr>
          <w:ilvl w:val="0"/>
          <w:numId w:val="2"/>
        </w:numPr>
        <w:spacing w:before="0" w:line="240" w:lineRule="auto"/>
        <w:ind w:left="630"/>
        <w:rPr>
          <w:rFonts w:asciiTheme="majorHAnsi" w:hAnsiTheme="majorHAnsi" w:cs="Calibri Light"/>
          <w:bCs/>
          <w:i/>
          <w:iCs/>
          <w:szCs w:val="22"/>
          <w:lang w:val="sq-AL"/>
        </w:rPr>
      </w:pPr>
      <w:r w:rsidRPr="001A1EF0">
        <w:rPr>
          <w:rFonts w:asciiTheme="majorHAnsi" w:hAnsiTheme="majorHAnsi" w:cs="Calibri Light"/>
          <w:bCs/>
          <w:i/>
          <w:iCs/>
          <w:szCs w:val="22"/>
          <w:lang w:val="sq-AL"/>
        </w:rPr>
        <w:t>Janë mbyllur 3 kontrata kryesore për rehabilitime dhe pyllëzime, bova ankoruese, përmirë</w:t>
      </w:r>
      <w:r>
        <w:rPr>
          <w:rFonts w:asciiTheme="majorHAnsi" w:hAnsiTheme="majorHAnsi" w:cs="Calibri Light"/>
          <w:bCs/>
          <w:i/>
          <w:iCs/>
          <w:szCs w:val="22"/>
          <w:lang w:val="sq-AL"/>
        </w:rPr>
        <w:t>sim situatash mjedisore</w:t>
      </w:r>
      <w:r w:rsidRPr="001A1EF0">
        <w:rPr>
          <w:rFonts w:asciiTheme="majorHAnsi" w:hAnsiTheme="majorHAnsi" w:cs="Calibri Light"/>
          <w:bCs/>
          <w:i/>
          <w:iCs/>
          <w:szCs w:val="22"/>
          <w:lang w:val="sq-AL"/>
        </w:rPr>
        <w:t>, me vlerë totale 130 milionë lekë</w:t>
      </w:r>
    </w:p>
    <w:p w:rsidR="002A27D5" w:rsidRPr="006D2F9F" w:rsidRDefault="002A27D5" w:rsidP="00012DFB">
      <w:pPr>
        <w:pStyle w:val="ListParagraph"/>
        <w:numPr>
          <w:ilvl w:val="0"/>
          <w:numId w:val="2"/>
        </w:numPr>
        <w:spacing w:before="0" w:line="240" w:lineRule="auto"/>
        <w:ind w:left="630"/>
        <w:rPr>
          <w:rFonts w:asciiTheme="majorHAnsi" w:eastAsia="Calibri" w:hAnsiTheme="majorHAnsi" w:cs="Calibri Light"/>
          <w:i/>
          <w:color w:val="000000" w:themeColor="text1"/>
          <w:szCs w:val="22"/>
          <w:lang w:val="sq-AL"/>
        </w:rPr>
      </w:pPr>
      <w:r w:rsidRPr="006D2F9F">
        <w:rPr>
          <w:rFonts w:asciiTheme="majorHAnsi" w:eastAsia="Calibri" w:hAnsiTheme="majorHAnsi" w:cs="Calibri Light"/>
          <w:i/>
          <w:color w:val="000000" w:themeColor="text1"/>
          <w:szCs w:val="22"/>
          <w:lang w:val="sq-AL"/>
        </w:rPr>
        <w:t>Dy kontrata  projekt pilot për përmirësimin e eficencës së energjisë në impiantet e trajtimit të ujërave të zeza dhe furnizimit me ujë me vlerë  rreth 117 milionë lekë.</w:t>
      </w:r>
    </w:p>
    <w:p w:rsidR="000124AC" w:rsidRPr="006D2F9F" w:rsidRDefault="000124AC" w:rsidP="00012DFB">
      <w:pPr>
        <w:numPr>
          <w:ilvl w:val="0"/>
          <w:numId w:val="2"/>
        </w:numPr>
        <w:spacing w:before="0" w:line="240" w:lineRule="auto"/>
        <w:ind w:left="630"/>
        <w:rPr>
          <w:rFonts w:asciiTheme="majorHAnsi" w:hAnsiTheme="majorHAnsi" w:cs="Calibri Light"/>
          <w:bCs/>
          <w:i/>
          <w:iCs/>
          <w:szCs w:val="22"/>
          <w:lang w:val="sq-AL"/>
        </w:rPr>
      </w:pPr>
      <w:r w:rsidRPr="006D2F9F">
        <w:rPr>
          <w:rFonts w:asciiTheme="majorHAnsi" w:hAnsiTheme="majorHAnsi" w:cs="Calibri Light"/>
          <w:bCs/>
          <w:i/>
          <w:iCs/>
          <w:szCs w:val="22"/>
          <w:lang w:val="sq-AL"/>
        </w:rPr>
        <w:t>Kanë përfunduar 6 kontrata në fushën kulturore  për rikonstruksione blerje paisjesh, restaurime etj me vlerë totale 100 milionë lekë.</w:t>
      </w:r>
    </w:p>
    <w:p w:rsidR="00C9116F" w:rsidRPr="00476D2E" w:rsidRDefault="00C9116F" w:rsidP="00207711">
      <w:pPr>
        <w:rPr>
          <w:rFonts w:eastAsia="SimSun"/>
          <w:lang w:val="sq-AL"/>
        </w:rPr>
      </w:pPr>
    </w:p>
    <w:p w:rsidR="00AC045F" w:rsidRPr="002A593E" w:rsidRDefault="006E4EB6" w:rsidP="00854F96">
      <w:pPr>
        <w:pStyle w:val="Fiskale2"/>
        <w:rPr>
          <w:rFonts w:ascii="Calibri" w:hAnsi="Calibri" w:cs="Calibri"/>
        </w:rPr>
      </w:pPr>
      <w:bookmarkStart w:id="128" w:name="_Toc74679447"/>
      <w:bookmarkStart w:id="129" w:name="_Toc74725219"/>
      <w:bookmarkStart w:id="130" w:name="_Toc74725280"/>
      <w:bookmarkStart w:id="131" w:name="_Toc74679448"/>
      <w:bookmarkStart w:id="132" w:name="_Toc74725220"/>
      <w:bookmarkStart w:id="133" w:name="_Toc74725281"/>
      <w:bookmarkStart w:id="134" w:name="_Toc10033279"/>
      <w:bookmarkStart w:id="135" w:name="_Toc10721416"/>
      <w:bookmarkStart w:id="136" w:name="_Toc104980334"/>
      <w:bookmarkEnd w:id="116"/>
      <w:bookmarkEnd w:id="128"/>
      <w:bookmarkEnd w:id="129"/>
      <w:bookmarkEnd w:id="130"/>
      <w:bookmarkEnd w:id="131"/>
      <w:bookmarkEnd w:id="132"/>
      <w:bookmarkEnd w:id="133"/>
      <w:r w:rsidRPr="002A593E">
        <w:rPr>
          <w:rFonts w:ascii="Calibri" w:hAnsi="Calibri" w:cs="Calibri"/>
        </w:rPr>
        <w:t>Shp</w:t>
      </w:r>
      <w:r w:rsidR="005C6E2E" w:rsidRPr="002A593E">
        <w:rPr>
          <w:rFonts w:ascii="Calibri" w:hAnsi="Calibri" w:cs="Calibri"/>
        </w:rPr>
        <w:t>e</w:t>
      </w:r>
      <w:r w:rsidRPr="002A593E">
        <w:rPr>
          <w:rFonts w:ascii="Calibri" w:hAnsi="Calibri" w:cs="Calibri"/>
        </w:rPr>
        <w:t>nzimet sipas natyr</w:t>
      </w:r>
      <w:r w:rsidR="00C33B16" w:rsidRPr="002A593E">
        <w:rPr>
          <w:rFonts w:ascii="Calibri" w:hAnsi="Calibri" w:cs="Calibri"/>
        </w:rPr>
        <w:t>ë</w:t>
      </w:r>
      <w:r w:rsidRPr="002A593E">
        <w:rPr>
          <w:rFonts w:ascii="Calibri" w:hAnsi="Calibri" w:cs="Calibri"/>
        </w:rPr>
        <w:t>s funksionale</w:t>
      </w:r>
      <w:bookmarkEnd w:id="134"/>
      <w:bookmarkEnd w:id="135"/>
      <w:bookmarkEnd w:id="136"/>
      <w:r w:rsidR="00A11F89" w:rsidRPr="002A593E">
        <w:rPr>
          <w:rFonts w:ascii="Calibri" w:hAnsi="Calibri" w:cs="Calibri"/>
        </w:rPr>
        <w:t xml:space="preserve"> </w:t>
      </w:r>
    </w:p>
    <w:p w:rsidR="00CC1DAE" w:rsidRPr="00476D2E" w:rsidRDefault="002A593E" w:rsidP="00CC1DAE">
      <w:pPr>
        <w:rPr>
          <w:rFonts w:eastAsia="SimSun"/>
          <w:lang w:val="sq-AL"/>
        </w:rPr>
      </w:pPr>
      <w:r w:rsidRPr="00D556AA">
        <w:rPr>
          <w:rFonts w:eastAsia="SimSun"/>
          <w:lang w:val="sq-AL"/>
        </w:rPr>
        <w:t>Sektori me peshën më të lartë në shpenzimet buxhetore është mbrojtja sociale, me 30 për qind të shpenzimeve të përgjithshme publike në vitin 2021, e dominuar nga shpenzimet për fondin e pensioneve si edhe programet në mbështetje të familjeve dhe individëve në nevojë (ndihma ekonomike dhe aftësia e kufizuar). Shëndetësia dhe strehimi përbëjnë 11 për qind të shpenzimeve të përgjithshme publike në vitin 2021. Çështjet ekonomike dhe Arsimi përbëjnë përkatësishit 12 përqind dhe 10 për qind të shpenzimeve të përgjithshme publike në vitin 2021. Shpenzimet e përgjithshme publike përbëjnë 15% të buxhetit për vitin 2021, përfshirë edhe pagesat e borxhit</w:t>
      </w:r>
      <w:r w:rsidR="00CC1DAE" w:rsidRPr="00476D2E">
        <w:rPr>
          <w:rFonts w:eastAsia="SimSun"/>
          <w:lang w:val="sq-AL"/>
        </w:rPr>
        <w:t xml:space="preserve">. </w:t>
      </w:r>
    </w:p>
    <w:p w:rsidR="00207711" w:rsidRPr="00476D2E" w:rsidRDefault="00207711" w:rsidP="00C9116F">
      <w:pPr>
        <w:pStyle w:val="Caption"/>
        <w:keepNext/>
        <w:spacing w:after="0"/>
        <w:jc w:val="left"/>
      </w:pPr>
      <w:bookmarkStart w:id="137" w:name="_Toc104984082"/>
      <w:r w:rsidRPr="00476D2E">
        <w:t xml:space="preserve">Tabela </w:t>
      </w:r>
      <w:r w:rsidR="00EA28E4">
        <w:fldChar w:fldCharType="begin"/>
      </w:r>
      <w:r w:rsidR="00EA28E4">
        <w:instrText xml:space="preserve"> SEQ Tabela \* ARABIC </w:instrText>
      </w:r>
      <w:r w:rsidR="00EA28E4">
        <w:fldChar w:fldCharType="separate"/>
      </w:r>
      <w:r w:rsidR="00276062">
        <w:rPr>
          <w:noProof/>
        </w:rPr>
        <w:t>10</w:t>
      </w:r>
      <w:r w:rsidR="00EA28E4">
        <w:rPr>
          <w:noProof/>
        </w:rPr>
        <w:fldChar w:fldCharType="end"/>
      </w:r>
      <w:r w:rsidRPr="00476D2E">
        <w:rPr>
          <w:rFonts w:eastAsia="SimSun"/>
          <w:i w:val="0"/>
          <w:iCs w:val="0"/>
          <w:color w:val="17406D"/>
          <w:lang w:val="sq-AL"/>
        </w:rPr>
        <w:t xml:space="preserve"> Shpenzimet sipas funksionit (në milionë lekë)</w:t>
      </w:r>
      <w:bookmarkEnd w:id="137"/>
    </w:p>
    <w:p w:rsidR="00CC1DAE" w:rsidRPr="00476D2E" w:rsidRDefault="002A593E" w:rsidP="00012DFB">
      <w:pPr>
        <w:keepNext/>
        <w:spacing w:before="0"/>
        <w:jc w:val="center"/>
        <w:rPr>
          <w:rFonts w:eastAsia="SimSun"/>
          <w:i/>
          <w:iCs/>
          <w:color w:val="17406D"/>
          <w:sz w:val="18"/>
          <w:szCs w:val="18"/>
          <w:lang w:val="sq-AL"/>
        </w:rPr>
      </w:pPr>
      <w:r w:rsidRPr="00D556AA">
        <w:rPr>
          <w:noProof/>
        </w:rPr>
        <w:drawing>
          <wp:inline distT="0" distB="0" distL="0" distR="0" wp14:anchorId="761CB4BF" wp14:editId="464EE88A">
            <wp:extent cx="6309360" cy="3019425"/>
            <wp:effectExtent l="0" t="0" r="0" b="9525"/>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59333" cy="3043340"/>
                    </a:xfrm>
                    <a:prstGeom prst="rect">
                      <a:avLst/>
                    </a:prstGeom>
                    <a:noFill/>
                    <a:ln>
                      <a:noFill/>
                    </a:ln>
                  </pic:spPr>
                </pic:pic>
              </a:graphicData>
            </a:graphic>
          </wp:inline>
        </w:drawing>
      </w:r>
    </w:p>
    <w:p w:rsidR="002A593E" w:rsidRPr="002A593E" w:rsidRDefault="002A593E" w:rsidP="002A593E">
      <w:pPr>
        <w:spacing w:before="0" w:line="240" w:lineRule="auto"/>
        <w:rPr>
          <w:i/>
          <w:sz w:val="16"/>
          <w:szCs w:val="20"/>
          <w:lang w:val="sq-AL"/>
        </w:rPr>
      </w:pPr>
      <w:r w:rsidRPr="002A593E">
        <w:rPr>
          <w:i/>
          <w:sz w:val="16"/>
          <w:szCs w:val="20"/>
          <w:lang w:val="sq-AL"/>
        </w:rPr>
        <w:t xml:space="preserve">* Ne zerin "Shpenzime te tjera te paklasifikuara" (Totali) jane perfshire: (i) </w:t>
      </w:r>
      <w:r w:rsidRPr="002A593E">
        <w:rPr>
          <w:rFonts w:eastAsia="SimSun"/>
          <w:i/>
          <w:sz w:val="16"/>
          <w:szCs w:val="20"/>
          <w:lang w:val="sq-AL"/>
        </w:rPr>
        <w:t>pagesat</w:t>
      </w:r>
      <w:r w:rsidRPr="002A593E">
        <w:rPr>
          <w:i/>
          <w:sz w:val="16"/>
          <w:szCs w:val="20"/>
          <w:lang w:val="sq-AL"/>
        </w:rPr>
        <w:t xml:space="preserve"> per sherbimin e borxhit, (ii) kontigjenca per politika pagash dhe pensionesh, (iii) fondi rezerve,  (iv) shpenzimet e pushtetit vendor</w:t>
      </w:r>
      <w:r w:rsidRPr="002A593E">
        <w:rPr>
          <w:sz w:val="20"/>
          <w:lang w:val="sq-AL"/>
        </w:rPr>
        <w:t xml:space="preserve"> </w:t>
      </w:r>
      <w:r w:rsidRPr="002A593E">
        <w:rPr>
          <w:i/>
          <w:sz w:val="16"/>
          <w:szCs w:val="20"/>
          <w:lang w:val="sq-AL"/>
        </w:rPr>
        <w:t>dhe (v) fondi i rindertimit</w:t>
      </w:r>
    </w:p>
    <w:p w:rsidR="00CC1DAE" w:rsidRPr="002A593E" w:rsidRDefault="002A593E" w:rsidP="002A593E">
      <w:pPr>
        <w:spacing w:before="0" w:line="240" w:lineRule="auto"/>
        <w:rPr>
          <w:i/>
          <w:sz w:val="14"/>
          <w:szCs w:val="20"/>
          <w:lang w:val="sq-AL"/>
        </w:rPr>
      </w:pPr>
      <w:r w:rsidRPr="002A593E">
        <w:rPr>
          <w:i/>
          <w:sz w:val="16"/>
          <w:szCs w:val="20"/>
          <w:lang w:val="sq-AL"/>
        </w:rPr>
        <w:t>** Vlerësim i përafërt, korrigjuar për interesat, shpenzimet e buxhetit vendor, fondi rezervë, fondi i rindërtimit dhe kontigjenca per politika pagash dhe pensionesh.</w:t>
      </w:r>
    </w:p>
    <w:p w:rsidR="00CC1DAE" w:rsidRPr="00476D2E" w:rsidRDefault="002A593E" w:rsidP="00CC1DAE">
      <w:pPr>
        <w:rPr>
          <w:rFonts w:eastAsia="SimSun"/>
          <w:lang w:val="sq-AL"/>
        </w:rPr>
      </w:pPr>
      <w:r w:rsidRPr="00D556AA">
        <w:rPr>
          <w:rFonts w:eastAsia="SimSun"/>
          <w:lang w:val="sq-AL"/>
        </w:rPr>
        <w:t xml:space="preserve">Plani fillestar i vitit 2021 kishte parashikuar po këto nivele, pak a shumë të ngjashme, të peshave relative të shpenzimeve sipas klasifikimit funksional, kundrejt një viti më parë. Në shmangien e vërejtur kundrejt rezultatit faktik 2021, ka ndikuar shpërndarja gjatë vitit 2021 e atyre shpenzime të paklasifikuara, të lidhura respektivisht me shërbimin e borxhit, shpenzimet e pushtetit vendor me fondin rezervë dhe fondin e rindërtimit. Këtu, një vend të konsiderueshëm zënë edhe rishpërndarjet dhe alokimet e fondeve në kuadër të financimit të masave anti-COVID19, të cilat kanë qenë në fokus të të gjashtë Akteve Normative të buxhetit 2021. Në çdo rast, rezultati faktik i korrigjuar tregon nivele </w:t>
      </w:r>
      <w:r>
        <w:rPr>
          <w:rFonts w:eastAsia="SimSun"/>
          <w:lang w:val="sq-AL"/>
        </w:rPr>
        <w:t>optimale</w:t>
      </w:r>
      <w:r w:rsidRPr="00D556AA">
        <w:rPr>
          <w:rFonts w:eastAsia="SimSun"/>
          <w:lang w:val="sq-AL"/>
        </w:rPr>
        <w:t xml:space="preserve"> të realizimit të planit sipas funksioneve për vitin 2021</w:t>
      </w:r>
      <w:r w:rsidR="00CC1DAE" w:rsidRPr="00476D2E">
        <w:rPr>
          <w:rFonts w:eastAsia="SimSun"/>
          <w:lang w:val="sq-AL"/>
        </w:rPr>
        <w:t xml:space="preserve">. </w:t>
      </w:r>
    </w:p>
    <w:p w:rsidR="006D089B" w:rsidRPr="00EF7C8D" w:rsidRDefault="006D089B" w:rsidP="00854F96">
      <w:pPr>
        <w:pStyle w:val="Fiskale2"/>
        <w:rPr>
          <w:rFonts w:ascii="Calibri" w:hAnsi="Calibri" w:cs="Calibri"/>
        </w:rPr>
      </w:pPr>
      <w:bookmarkStart w:id="138" w:name="_Toc74679450"/>
      <w:bookmarkStart w:id="139" w:name="_Toc74725222"/>
      <w:bookmarkStart w:id="140" w:name="_Toc74725283"/>
      <w:bookmarkStart w:id="141" w:name="_Toc74679451"/>
      <w:bookmarkStart w:id="142" w:name="_Toc74725223"/>
      <w:bookmarkStart w:id="143" w:name="_Toc74725284"/>
      <w:bookmarkStart w:id="144" w:name="_Toc104980335"/>
      <w:bookmarkStart w:id="145" w:name="_Toc10033293"/>
      <w:bookmarkStart w:id="146" w:name="_Ref10193976"/>
      <w:bookmarkStart w:id="147" w:name="_Toc10721430"/>
      <w:bookmarkStart w:id="148" w:name="_Toc10033280"/>
      <w:bookmarkStart w:id="149" w:name="_Toc10721417"/>
      <w:bookmarkEnd w:id="138"/>
      <w:bookmarkEnd w:id="139"/>
      <w:bookmarkEnd w:id="140"/>
      <w:bookmarkEnd w:id="141"/>
      <w:bookmarkEnd w:id="142"/>
      <w:bookmarkEnd w:id="143"/>
      <w:r w:rsidRPr="00EF7C8D">
        <w:rPr>
          <w:rFonts w:ascii="Calibri" w:hAnsi="Calibri" w:cs="Calibri"/>
        </w:rPr>
        <w:lastRenderedPageBreak/>
        <w:t xml:space="preserve">Ndryshimet në </w:t>
      </w:r>
      <w:r w:rsidR="00AC7CD6" w:rsidRPr="00EF7C8D">
        <w:rPr>
          <w:rFonts w:ascii="Calibri" w:hAnsi="Calibri" w:cs="Calibri"/>
        </w:rPr>
        <w:t xml:space="preserve">ligjin e </w:t>
      </w:r>
      <w:r w:rsidRPr="00EF7C8D">
        <w:rPr>
          <w:rFonts w:ascii="Calibri" w:hAnsi="Calibri" w:cs="Calibri"/>
        </w:rPr>
        <w:t>buxheti</w:t>
      </w:r>
      <w:r w:rsidR="00AC7CD6" w:rsidRPr="00EF7C8D">
        <w:rPr>
          <w:rFonts w:ascii="Calibri" w:hAnsi="Calibri" w:cs="Calibri"/>
        </w:rPr>
        <w:t>t</w:t>
      </w:r>
      <w:r w:rsidRPr="00EF7C8D">
        <w:rPr>
          <w:rFonts w:ascii="Calibri" w:hAnsi="Calibri" w:cs="Calibri"/>
        </w:rPr>
        <w:t xml:space="preserve"> 20</w:t>
      </w:r>
      <w:r w:rsidR="00393657" w:rsidRPr="00EF7C8D">
        <w:rPr>
          <w:rFonts w:ascii="Calibri" w:hAnsi="Calibri" w:cs="Calibri"/>
        </w:rPr>
        <w:t>2</w:t>
      </w:r>
      <w:r w:rsidR="00513D2E" w:rsidRPr="00EF7C8D">
        <w:rPr>
          <w:rFonts w:ascii="Calibri" w:hAnsi="Calibri" w:cs="Calibri"/>
        </w:rPr>
        <w:t>1</w:t>
      </w:r>
      <w:bookmarkEnd w:id="144"/>
    </w:p>
    <w:p w:rsidR="006D089B" w:rsidRPr="00476D2E" w:rsidRDefault="006D089B" w:rsidP="00631B41">
      <w:pPr>
        <w:rPr>
          <w:rFonts w:cs="Calibri"/>
          <w:lang w:val="sq-AL"/>
        </w:rPr>
      </w:pPr>
      <w:r w:rsidRPr="00476D2E">
        <w:rPr>
          <w:rFonts w:cs="Calibri"/>
          <w:lang w:val="sq-AL"/>
        </w:rPr>
        <w:t>Gjatë vitit 20</w:t>
      </w:r>
      <w:r w:rsidR="00393657" w:rsidRPr="00476D2E">
        <w:rPr>
          <w:rFonts w:cs="Calibri"/>
          <w:lang w:val="sq-AL"/>
        </w:rPr>
        <w:t>2</w:t>
      </w:r>
      <w:r w:rsidR="00012DFB">
        <w:rPr>
          <w:rFonts w:cs="Calibri"/>
          <w:lang w:val="sq-AL"/>
        </w:rPr>
        <w:t>1</w:t>
      </w:r>
      <w:r w:rsidRPr="00476D2E">
        <w:rPr>
          <w:rFonts w:cs="Calibri"/>
          <w:lang w:val="sq-AL"/>
        </w:rPr>
        <w:t xml:space="preserve">, buxheti i shtetit u ndryshua me </w:t>
      </w:r>
      <w:r w:rsidR="00012DFB">
        <w:rPr>
          <w:rFonts w:cs="Calibri"/>
          <w:lang w:val="sq-AL"/>
        </w:rPr>
        <w:t>gjasht</w:t>
      </w:r>
      <w:r w:rsidR="002111DF">
        <w:rPr>
          <w:rFonts w:cs="Calibri"/>
          <w:lang w:val="sq-AL"/>
        </w:rPr>
        <w:t>ë</w:t>
      </w:r>
      <w:r w:rsidRPr="00476D2E">
        <w:rPr>
          <w:rFonts w:cs="Calibri"/>
          <w:lang w:val="sq-AL"/>
        </w:rPr>
        <w:t xml:space="preserve"> Akte Normative dhe më specifikisht:</w:t>
      </w:r>
    </w:p>
    <w:p w:rsidR="006D089B" w:rsidRPr="00476D2E" w:rsidRDefault="006D089B" w:rsidP="00842F80">
      <w:pPr>
        <w:pStyle w:val="ListParagraph"/>
        <w:numPr>
          <w:ilvl w:val="0"/>
          <w:numId w:val="52"/>
        </w:numPr>
        <w:ind w:left="360"/>
        <w:rPr>
          <w:rFonts w:cs="Calibri"/>
          <w:i/>
          <w:u w:val="single"/>
          <w:lang w:val="sq-AL"/>
        </w:rPr>
      </w:pPr>
      <w:r w:rsidRPr="00476D2E">
        <w:rPr>
          <w:rFonts w:cs="Calibri"/>
          <w:b/>
          <w:u w:val="single"/>
          <w:lang w:val="sq-AL"/>
        </w:rPr>
        <w:t>Akti Normativ Nr.</w:t>
      </w:r>
      <w:r w:rsidR="00393657" w:rsidRPr="00476D2E">
        <w:rPr>
          <w:rFonts w:cs="Calibri"/>
          <w:b/>
          <w:u w:val="single"/>
          <w:lang w:val="sq-AL"/>
        </w:rPr>
        <w:t>6</w:t>
      </w:r>
      <w:r w:rsidRPr="00476D2E">
        <w:rPr>
          <w:rFonts w:cs="Calibri"/>
          <w:b/>
          <w:u w:val="single"/>
          <w:lang w:val="sq-AL"/>
        </w:rPr>
        <w:t xml:space="preserve"> </w:t>
      </w:r>
      <w:r w:rsidRPr="00476D2E">
        <w:rPr>
          <w:rFonts w:cs="Calibri"/>
          <w:b/>
          <w:spacing w:val="-1"/>
          <w:u w:val="single"/>
          <w:lang w:val="sq-AL"/>
        </w:rPr>
        <w:t xml:space="preserve">datë </w:t>
      </w:r>
      <w:r w:rsidR="00F14D33">
        <w:rPr>
          <w:rFonts w:cs="Calibri"/>
          <w:b/>
          <w:spacing w:val="-1"/>
          <w:u w:val="single"/>
          <w:lang w:val="sq-AL"/>
        </w:rPr>
        <w:t>05</w:t>
      </w:r>
      <w:r w:rsidR="00E8360D" w:rsidRPr="00476D2E">
        <w:rPr>
          <w:rFonts w:cs="Calibri"/>
          <w:b/>
          <w:spacing w:val="-1"/>
          <w:u w:val="single"/>
          <w:lang w:val="sq-AL"/>
        </w:rPr>
        <w:t>.0</w:t>
      </w:r>
      <w:r w:rsidR="00F14D33">
        <w:rPr>
          <w:rFonts w:cs="Calibri"/>
          <w:b/>
          <w:spacing w:val="-1"/>
          <w:u w:val="single"/>
          <w:lang w:val="sq-AL"/>
        </w:rPr>
        <w:t>2</w:t>
      </w:r>
      <w:r w:rsidR="00E8360D" w:rsidRPr="00476D2E">
        <w:rPr>
          <w:rFonts w:cs="Calibri"/>
          <w:b/>
          <w:spacing w:val="-1"/>
          <w:u w:val="single"/>
          <w:lang w:val="sq-AL"/>
        </w:rPr>
        <w:t>.202</w:t>
      </w:r>
      <w:r w:rsidR="00F14D33">
        <w:rPr>
          <w:rFonts w:cs="Calibri"/>
          <w:b/>
          <w:spacing w:val="-1"/>
          <w:u w:val="single"/>
          <w:lang w:val="sq-AL"/>
        </w:rPr>
        <w:t>1</w:t>
      </w:r>
      <w:r w:rsidRPr="00476D2E">
        <w:rPr>
          <w:rFonts w:cs="Calibri"/>
          <w:spacing w:val="-1"/>
          <w:u w:val="single"/>
          <w:lang w:val="sq-AL"/>
        </w:rPr>
        <w:t xml:space="preserve"> </w:t>
      </w:r>
      <w:r w:rsidRPr="00476D2E">
        <w:rPr>
          <w:rFonts w:cs="Calibri"/>
          <w:i/>
          <w:spacing w:val="-1"/>
          <w:u w:val="single"/>
          <w:lang w:val="sq-AL"/>
        </w:rPr>
        <w:t>“Për disa ndryshime në Ligjin nr.</w:t>
      </w:r>
      <w:r w:rsidR="00F14D33">
        <w:rPr>
          <w:rFonts w:cs="Calibri"/>
          <w:i/>
          <w:spacing w:val="-1"/>
          <w:u w:val="single"/>
          <w:lang w:val="sq-AL"/>
        </w:rPr>
        <w:t>137</w:t>
      </w:r>
      <w:r w:rsidRPr="00476D2E">
        <w:rPr>
          <w:rFonts w:cs="Calibri"/>
          <w:i/>
          <w:spacing w:val="-1"/>
          <w:u w:val="single"/>
          <w:lang w:val="sq-AL"/>
        </w:rPr>
        <w:t>/20</w:t>
      </w:r>
      <w:r w:rsidR="00F14D33">
        <w:rPr>
          <w:rFonts w:cs="Calibri"/>
          <w:i/>
          <w:spacing w:val="-1"/>
          <w:u w:val="single"/>
          <w:lang w:val="sq-AL"/>
        </w:rPr>
        <w:t>20</w:t>
      </w:r>
      <w:r w:rsidRPr="00476D2E">
        <w:rPr>
          <w:rFonts w:cs="Calibri"/>
          <w:i/>
          <w:spacing w:val="-1"/>
          <w:u w:val="single"/>
          <w:lang w:val="sq-AL"/>
        </w:rPr>
        <w:t xml:space="preserve"> “Për buxhetin e vitit 20</w:t>
      </w:r>
      <w:r w:rsidR="00393657" w:rsidRPr="00476D2E">
        <w:rPr>
          <w:rFonts w:cs="Calibri"/>
          <w:i/>
          <w:spacing w:val="-1"/>
          <w:u w:val="single"/>
          <w:lang w:val="sq-AL"/>
        </w:rPr>
        <w:t>2</w:t>
      </w:r>
      <w:r w:rsidR="00F14D33">
        <w:rPr>
          <w:rFonts w:cs="Calibri"/>
          <w:i/>
          <w:spacing w:val="-1"/>
          <w:u w:val="single"/>
          <w:lang w:val="sq-AL"/>
        </w:rPr>
        <w:t>1</w:t>
      </w:r>
      <w:r w:rsidRPr="00476D2E">
        <w:rPr>
          <w:rFonts w:cs="Calibri"/>
          <w:i/>
          <w:spacing w:val="-1"/>
          <w:u w:val="single"/>
          <w:lang w:val="sq-AL"/>
        </w:rPr>
        <w:t>”</w:t>
      </w:r>
      <w:r w:rsidRPr="00476D2E">
        <w:rPr>
          <w:rFonts w:cs="Calibri"/>
          <w:i/>
          <w:u w:val="single"/>
          <w:lang w:val="sq-AL"/>
        </w:rPr>
        <w:t>:</w:t>
      </w:r>
    </w:p>
    <w:p w:rsidR="00F14D33" w:rsidRPr="00F14D33" w:rsidRDefault="00393657" w:rsidP="00F14D33">
      <w:pPr>
        <w:rPr>
          <w:lang w:val="sq-AL" w:eastAsia="ja-JP"/>
        </w:rPr>
      </w:pPr>
      <w:r w:rsidRPr="00476D2E">
        <w:rPr>
          <w:rFonts w:cs="Calibri"/>
          <w:lang w:val="sq-AL"/>
        </w:rPr>
        <w:t>Aspekti i nevojës dhe urgjencës së këtij akti normativ lidhej t</w:t>
      </w:r>
      <w:r w:rsidR="000279F1" w:rsidRPr="00476D2E">
        <w:rPr>
          <w:rFonts w:cs="Calibri"/>
          <w:lang w:val="sq-AL"/>
        </w:rPr>
        <w:t>ë</w:t>
      </w:r>
      <w:r w:rsidRPr="00476D2E">
        <w:rPr>
          <w:rFonts w:cs="Calibri"/>
          <w:lang w:val="sq-AL"/>
        </w:rPr>
        <w:t>r</w:t>
      </w:r>
      <w:r w:rsidR="000279F1" w:rsidRPr="00476D2E">
        <w:rPr>
          <w:rFonts w:cs="Calibri"/>
          <w:lang w:val="sq-AL"/>
        </w:rPr>
        <w:t>ë</w:t>
      </w:r>
      <w:r w:rsidRPr="00476D2E">
        <w:rPr>
          <w:rFonts w:cs="Calibri"/>
          <w:lang w:val="sq-AL"/>
        </w:rPr>
        <w:t xml:space="preserve">sisht me alokimin e fondeve të nevojshme buxhetore për </w:t>
      </w:r>
      <w:r w:rsidR="00F14D33" w:rsidRPr="00F14D33">
        <w:rPr>
          <w:rFonts w:cs="Calibri"/>
          <w:lang w:val="sq-AL"/>
        </w:rPr>
        <w:t>lidhe</w:t>
      </w:r>
      <w:r w:rsidR="00F14D33">
        <w:rPr>
          <w:rFonts w:cs="Calibri"/>
          <w:lang w:val="sq-AL"/>
        </w:rPr>
        <w:t>j</w:t>
      </w:r>
      <w:r w:rsidR="00F14D33" w:rsidRPr="00F14D33">
        <w:rPr>
          <w:rFonts w:cs="Calibri"/>
          <w:lang w:val="sq-AL"/>
        </w:rPr>
        <w:t xml:space="preserve"> </w:t>
      </w:r>
      <w:r w:rsidR="00F14D33">
        <w:rPr>
          <w:rFonts w:cs="Calibri"/>
          <w:lang w:val="sq-AL"/>
        </w:rPr>
        <w:t>t</w:t>
      </w:r>
      <w:r w:rsidR="00EA7019">
        <w:rPr>
          <w:rFonts w:cs="Calibri"/>
          <w:lang w:val="sq-AL"/>
        </w:rPr>
        <w:t>ë</w:t>
      </w:r>
      <w:r w:rsidR="00F14D33">
        <w:rPr>
          <w:rFonts w:cs="Calibri"/>
          <w:lang w:val="sq-AL"/>
        </w:rPr>
        <w:t>r</w:t>
      </w:r>
      <w:r w:rsidR="00EA7019">
        <w:rPr>
          <w:rFonts w:cs="Calibri"/>
          <w:lang w:val="sq-AL"/>
        </w:rPr>
        <w:t>ë</w:t>
      </w:r>
      <w:r w:rsidR="00F14D33">
        <w:rPr>
          <w:rFonts w:cs="Calibri"/>
          <w:lang w:val="sq-AL"/>
        </w:rPr>
        <w:t xml:space="preserve">sisht </w:t>
      </w:r>
      <w:r w:rsidR="00F14D33" w:rsidRPr="00F14D33">
        <w:rPr>
          <w:rFonts w:cs="Calibri"/>
          <w:lang w:val="sq-AL"/>
        </w:rPr>
        <w:t>me nevojën imediate për financimin e projektit madhor të KQZ-së “</w:t>
      </w:r>
      <w:r w:rsidR="00F14D33" w:rsidRPr="00F14D33">
        <w:rPr>
          <w:rFonts w:cs="Calibri"/>
          <w:i/>
          <w:lang w:val="sq-AL"/>
        </w:rPr>
        <w:t>Identifikimi elektronik i zgjedhësve</w:t>
      </w:r>
      <w:r w:rsidR="00F14D33" w:rsidRPr="00F14D33">
        <w:rPr>
          <w:rFonts w:cs="Calibri"/>
          <w:lang w:val="sq-AL"/>
        </w:rPr>
        <w:t>”, në kuadër të angazhimit të ndërmarrë nga qeveria për implementimin e tij në zgjedhjet për Kuvend të datës 25 prill 2021</w:t>
      </w:r>
      <w:r w:rsidR="00F14D33">
        <w:rPr>
          <w:lang w:val="sq-AL" w:eastAsia="ja-JP"/>
        </w:rPr>
        <w:t>. Ai miratoi k</w:t>
      </w:r>
      <w:r w:rsidR="00EA7019">
        <w:rPr>
          <w:lang w:val="sq-AL" w:eastAsia="ja-JP"/>
        </w:rPr>
        <w:t>ë</w:t>
      </w:r>
      <w:r w:rsidR="00F14D33">
        <w:rPr>
          <w:lang w:val="sq-AL" w:eastAsia="ja-JP"/>
        </w:rPr>
        <w:t xml:space="preserve">to </w:t>
      </w:r>
      <w:r w:rsidR="00F14D33" w:rsidRPr="00F14D33">
        <w:rPr>
          <w:lang w:val="sq-AL" w:eastAsia="ja-JP"/>
        </w:rPr>
        <w:t>ndryshime pa kosto shtesë:</w:t>
      </w:r>
    </w:p>
    <w:p w:rsidR="00F14D33" w:rsidRPr="00F14D33" w:rsidRDefault="00F14D33" w:rsidP="00842F80">
      <w:pPr>
        <w:numPr>
          <w:ilvl w:val="0"/>
          <w:numId w:val="11"/>
        </w:numPr>
        <w:spacing w:before="0"/>
        <w:contextualSpacing/>
        <w:rPr>
          <w:i/>
          <w:lang w:val="sq-AL"/>
        </w:rPr>
      </w:pPr>
      <w:r w:rsidRPr="00F14D33">
        <w:rPr>
          <w:i/>
          <w:lang w:val="sq-AL"/>
        </w:rPr>
        <w:t xml:space="preserve">Shpenzimet kapitale me financim të brendshëm </w:t>
      </w:r>
      <w:r>
        <w:rPr>
          <w:i/>
          <w:lang w:val="sq-AL"/>
        </w:rPr>
        <w:t>u rrit</w:t>
      </w:r>
      <w:r w:rsidR="00EA7019">
        <w:rPr>
          <w:i/>
          <w:lang w:val="sq-AL"/>
        </w:rPr>
        <w:t>ë</w:t>
      </w:r>
      <w:r>
        <w:rPr>
          <w:i/>
          <w:lang w:val="sq-AL"/>
        </w:rPr>
        <w:t>n me</w:t>
      </w:r>
      <w:r w:rsidRPr="00F14D33">
        <w:rPr>
          <w:i/>
          <w:lang w:val="sq-AL"/>
        </w:rPr>
        <w:t xml:space="preserve"> 2.42 miliardë lek</w:t>
      </w:r>
      <w:r w:rsidR="00EA7019">
        <w:rPr>
          <w:i/>
          <w:lang w:val="sq-AL"/>
        </w:rPr>
        <w:t>ë</w:t>
      </w:r>
      <w:r w:rsidRPr="00F14D33">
        <w:rPr>
          <w:i/>
          <w:lang w:val="sq-AL"/>
        </w:rPr>
        <w:t>, për financimin e projektit madhor të KQZ-së “Identifikimi elektronik i zgjedhësve”, në kuadër të angazhimit të ndërmarrë për implementimin e tij në zgjedhjet për Kuvend të datës 25 prill 2021.</w:t>
      </w:r>
    </w:p>
    <w:p w:rsidR="00F14D33" w:rsidRPr="00F14D33" w:rsidRDefault="00F14D33" w:rsidP="00842F80">
      <w:pPr>
        <w:numPr>
          <w:ilvl w:val="0"/>
          <w:numId w:val="11"/>
        </w:numPr>
        <w:spacing w:before="0"/>
        <w:contextualSpacing/>
        <w:rPr>
          <w:i/>
          <w:lang w:val="sq-AL"/>
        </w:rPr>
      </w:pPr>
      <w:r w:rsidRPr="00F14D33">
        <w:rPr>
          <w:i/>
          <w:lang w:val="sq-AL"/>
        </w:rPr>
        <w:t xml:space="preserve">Fondi </w:t>
      </w:r>
      <w:r>
        <w:rPr>
          <w:i/>
          <w:lang w:val="sq-AL"/>
        </w:rPr>
        <w:t>R</w:t>
      </w:r>
      <w:r w:rsidRPr="00F14D33">
        <w:rPr>
          <w:i/>
          <w:lang w:val="sq-AL"/>
        </w:rPr>
        <w:t xml:space="preserve">ezervë </w:t>
      </w:r>
      <w:r>
        <w:rPr>
          <w:i/>
          <w:lang w:val="sq-AL"/>
        </w:rPr>
        <w:t>i</w:t>
      </w:r>
      <w:r w:rsidRPr="00F14D33">
        <w:rPr>
          <w:i/>
          <w:lang w:val="sq-AL"/>
        </w:rPr>
        <w:t xml:space="preserve"> Këshillit të Ministrave </w:t>
      </w:r>
      <w:r>
        <w:rPr>
          <w:i/>
          <w:lang w:val="sq-AL"/>
        </w:rPr>
        <w:t>u rrit</w:t>
      </w:r>
      <w:r w:rsidRPr="00F14D33">
        <w:rPr>
          <w:i/>
          <w:lang w:val="sq-AL"/>
        </w:rPr>
        <w:t xml:space="preserve"> me 1 000 milionë lekë, në kuadër të shpenzimeve eventuale shtesë që mund të burojnë nga implementimi i përcaktimeve të Kodit të Ri Zgjedhor, lidhur me zgjedhjet për Kuvend të datës 25.4.2021, si edhe për përballimin e shpenzimeve të tjera eventuale të qeverisë;</w:t>
      </w:r>
    </w:p>
    <w:p w:rsidR="00393657" w:rsidRPr="00F14D33" w:rsidRDefault="00F14D33" w:rsidP="00842F80">
      <w:pPr>
        <w:numPr>
          <w:ilvl w:val="0"/>
          <w:numId w:val="11"/>
        </w:numPr>
        <w:spacing w:before="0"/>
        <w:contextualSpacing/>
        <w:rPr>
          <w:i/>
          <w:lang w:val="sq-AL"/>
        </w:rPr>
      </w:pPr>
      <w:r w:rsidRPr="00F14D33">
        <w:rPr>
          <w:i/>
          <w:lang w:val="sq-AL"/>
        </w:rPr>
        <w:t xml:space="preserve">Të ardhurat tatimore </w:t>
      </w:r>
      <w:r>
        <w:rPr>
          <w:i/>
          <w:lang w:val="sq-AL"/>
        </w:rPr>
        <w:t>u rrit</w:t>
      </w:r>
      <w:r w:rsidR="00EA7019">
        <w:rPr>
          <w:i/>
          <w:lang w:val="sq-AL"/>
        </w:rPr>
        <w:t>ë</w:t>
      </w:r>
      <w:r>
        <w:rPr>
          <w:i/>
          <w:lang w:val="sq-AL"/>
        </w:rPr>
        <w:t>n</w:t>
      </w:r>
      <w:r w:rsidRPr="00F14D33">
        <w:rPr>
          <w:i/>
          <w:lang w:val="sq-AL"/>
        </w:rPr>
        <w:t xml:space="preserve"> në të njëjtën vlerë</w:t>
      </w:r>
      <w:r>
        <w:rPr>
          <w:i/>
          <w:lang w:val="sq-AL"/>
        </w:rPr>
        <w:t xml:space="preserve"> totale me shpenzimet</w:t>
      </w:r>
      <w:r w:rsidRPr="00F14D33">
        <w:rPr>
          <w:i/>
          <w:lang w:val="sq-AL"/>
        </w:rPr>
        <w:t xml:space="preserve">, pra 3.42 miliardë lekë, </w:t>
      </w:r>
      <w:r>
        <w:rPr>
          <w:i/>
          <w:lang w:val="sq-AL"/>
        </w:rPr>
        <w:t>n</w:t>
      </w:r>
      <w:r w:rsidR="00EA7019">
        <w:rPr>
          <w:i/>
          <w:lang w:val="sq-AL"/>
        </w:rPr>
        <w:t>ë</w:t>
      </w:r>
      <w:r>
        <w:rPr>
          <w:i/>
          <w:lang w:val="sq-AL"/>
        </w:rPr>
        <w:t xml:space="preserve"> z</w:t>
      </w:r>
      <w:r w:rsidR="00EA7019">
        <w:rPr>
          <w:i/>
          <w:lang w:val="sq-AL"/>
        </w:rPr>
        <w:t>ë</w:t>
      </w:r>
      <w:r>
        <w:rPr>
          <w:i/>
          <w:lang w:val="sq-AL"/>
        </w:rPr>
        <w:t>rin</w:t>
      </w:r>
      <w:r w:rsidRPr="00F14D33">
        <w:rPr>
          <w:i/>
          <w:lang w:val="sq-AL"/>
        </w:rPr>
        <w:t xml:space="preserve"> tatimi mbi vlerën e shtuar (TVSH).</w:t>
      </w:r>
    </w:p>
    <w:p w:rsidR="00393657" w:rsidRPr="00476D2E" w:rsidRDefault="00C9116F" w:rsidP="00EF7C8D">
      <w:pPr>
        <w:tabs>
          <w:tab w:val="left" w:pos="709"/>
        </w:tabs>
        <w:spacing w:before="0"/>
        <w:rPr>
          <w:b/>
          <w:sz w:val="26"/>
          <w:szCs w:val="26"/>
          <w:lang w:val="sq-AL"/>
        </w:rPr>
      </w:pPr>
      <w:r w:rsidRPr="00476D2E">
        <w:rPr>
          <w:noProof/>
          <w:lang w:val="sq-AL"/>
        </w:rPr>
        <w:t>Ë</w:t>
      </w:r>
      <w:r w:rsidR="00393657" w:rsidRPr="00476D2E">
        <w:rPr>
          <w:noProof/>
          <w:lang w:val="sq-AL"/>
        </w:rPr>
        <w:t xml:space="preserve">shtë me rëndësi të theksohet që pavaresisht se ndryshimet e propozuara </w:t>
      </w:r>
      <w:r w:rsidR="00F14D33">
        <w:rPr>
          <w:noProof/>
          <w:lang w:val="sq-AL"/>
        </w:rPr>
        <w:t xml:space="preserve">nuk </w:t>
      </w:r>
      <w:r w:rsidR="00393657" w:rsidRPr="00476D2E">
        <w:rPr>
          <w:noProof/>
          <w:lang w:val="sq-AL"/>
        </w:rPr>
        <w:t>prek</w:t>
      </w:r>
      <w:r w:rsidR="000279F1" w:rsidRPr="00476D2E">
        <w:rPr>
          <w:noProof/>
          <w:lang w:val="sq-AL"/>
        </w:rPr>
        <w:t>ë</w:t>
      </w:r>
      <w:r w:rsidR="004D6548" w:rsidRPr="00476D2E">
        <w:rPr>
          <w:noProof/>
          <w:lang w:val="sq-AL"/>
        </w:rPr>
        <w:t>n</w:t>
      </w:r>
      <w:r w:rsidR="00393657" w:rsidRPr="00476D2E">
        <w:rPr>
          <w:noProof/>
          <w:lang w:val="sq-AL"/>
        </w:rPr>
        <w:t xml:space="preserve"> </w:t>
      </w:r>
      <w:r w:rsidR="00F14D33" w:rsidRPr="00F14D33">
        <w:rPr>
          <w:noProof/>
          <w:lang w:val="sq-AL"/>
        </w:rPr>
        <w:t>parametrat kyç makro-fiskal, siç janë deficiti buxhetor dhe borxhi publik, të cilët mbeten të pandryshuar</w:t>
      </w:r>
      <w:r w:rsidR="00393657" w:rsidRPr="00476D2E">
        <w:rPr>
          <w:noProof/>
          <w:lang w:val="sq-AL"/>
        </w:rPr>
        <w:t>.</w:t>
      </w:r>
    </w:p>
    <w:p w:rsidR="00393657" w:rsidRPr="00476D2E" w:rsidRDefault="00393657" w:rsidP="00393657">
      <w:pPr>
        <w:pStyle w:val="ListParagraph"/>
        <w:rPr>
          <w:rFonts w:cs="Calibri"/>
          <w:i/>
          <w:noProof/>
          <w:szCs w:val="26"/>
          <w:lang w:val="sq-AL"/>
        </w:rPr>
      </w:pPr>
    </w:p>
    <w:p w:rsidR="006D089B" w:rsidRPr="00EF7C8D" w:rsidRDefault="006D089B" w:rsidP="00842F80">
      <w:pPr>
        <w:pStyle w:val="ListParagraph"/>
        <w:numPr>
          <w:ilvl w:val="0"/>
          <w:numId w:val="52"/>
        </w:numPr>
        <w:ind w:left="360"/>
        <w:rPr>
          <w:rFonts w:cs="Calibri"/>
          <w:u w:val="single"/>
          <w:lang w:val="sq-AL"/>
        </w:rPr>
      </w:pPr>
      <w:r w:rsidRPr="00476D2E">
        <w:rPr>
          <w:rFonts w:cs="Calibri"/>
          <w:b/>
          <w:u w:val="single"/>
          <w:lang w:val="sq-AL"/>
        </w:rPr>
        <w:t>Akti Normativ Nr.</w:t>
      </w:r>
      <w:r w:rsidR="00996D95" w:rsidRPr="00EF7C8D">
        <w:rPr>
          <w:rFonts w:cs="Calibri"/>
          <w:b/>
          <w:u w:val="single"/>
          <w:lang w:val="sq-AL"/>
        </w:rPr>
        <w:t>8</w:t>
      </w:r>
      <w:r w:rsidRPr="00EF7C8D">
        <w:rPr>
          <w:rFonts w:cs="Calibri"/>
          <w:b/>
          <w:u w:val="single"/>
          <w:lang w:val="sq-AL"/>
        </w:rPr>
        <w:t xml:space="preserve"> datë </w:t>
      </w:r>
      <w:r w:rsidR="00996D95" w:rsidRPr="00EF7C8D">
        <w:rPr>
          <w:rFonts w:cs="Calibri"/>
          <w:b/>
          <w:u w:val="single"/>
          <w:lang w:val="sq-AL"/>
        </w:rPr>
        <w:t>22</w:t>
      </w:r>
      <w:r w:rsidRPr="00EF7C8D">
        <w:rPr>
          <w:rFonts w:cs="Calibri"/>
          <w:b/>
          <w:u w:val="single"/>
          <w:lang w:val="sq-AL"/>
        </w:rPr>
        <w:t>.</w:t>
      </w:r>
      <w:r w:rsidR="00AD5BF5" w:rsidRPr="00EF7C8D">
        <w:rPr>
          <w:rFonts w:cs="Calibri"/>
          <w:b/>
          <w:u w:val="single"/>
          <w:lang w:val="sq-AL"/>
        </w:rPr>
        <w:t>0</w:t>
      </w:r>
      <w:r w:rsidR="00996D95" w:rsidRPr="00EF7C8D">
        <w:rPr>
          <w:rFonts w:cs="Calibri"/>
          <w:b/>
          <w:u w:val="single"/>
          <w:lang w:val="sq-AL"/>
        </w:rPr>
        <w:t>3</w:t>
      </w:r>
      <w:r w:rsidRPr="00EF7C8D">
        <w:rPr>
          <w:rFonts w:cs="Calibri"/>
          <w:b/>
          <w:u w:val="single"/>
          <w:lang w:val="sq-AL"/>
        </w:rPr>
        <w:t>.20</w:t>
      </w:r>
      <w:r w:rsidR="00AD5BF5" w:rsidRPr="00EF7C8D">
        <w:rPr>
          <w:rFonts w:cs="Calibri"/>
          <w:b/>
          <w:u w:val="single"/>
          <w:lang w:val="sq-AL"/>
        </w:rPr>
        <w:t>2</w:t>
      </w:r>
      <w:r w:rsidR="00996D95" w:rsidRPr="00EF7C8D">
        <w:rPr>
          <w:rFonts w:cs="Calibri"/>
          <w:b/>
          <w:u w:val="single"/>
          <w:lang w:val="sq-AL"/>
        </w:rPr>
        <w:t>1</w:t>
      </w:r>
      <w:r w:rsidRPr="00EF7C8D">
        <w:rPr>
          <w:rFonts w:cs="Calibri"/>
          <w:b/>
          <w:u w:val="single"/>
          <w:lang w:val="sq-AL"/>
        </w:rPr>
        <w:t xml:space="preserve"> </w:t>
      </w:r>
      <w:r w:rsidRPr="00EF7C8D">
        <w:rPr>
          <w:rFonts w:cs="Calibri"/>
          <w:u w:val="single"/>
          <w:lang w:val="sq-AL"/>
        </w:rPr>
        <w:t>“</w:t>
      </w:r>
      <w:r w:rsidR="00F6501B" w:rsidRPr="00EF7C8D">
        <w:rPr>
          <w:rFonts w:cs="Calibri"/>
          <w:u w:val="single"/>
          <w:lang w:val="sq-AL"/>
        </w:rPr>
        <w:t xml:space="preserve">Për disa ndryshime në </w:t>
      </w:r>
      <w:r w:rsidR="00996D95" w:rsidRPr="00EF7C8D">
        <w:rPr>
          <w:rFonts w:cs="Calibri"/>
          <w:u w:val="single"/>
          <w:lang w:val="sq-AL"/>
        </w:rPr>
        <w:t xml:space="preserve">Ligjin nr.137/2020 “Për buxhetin e vitit 2021, </w:t>
      </w:r>
      <w:r w:rsidR="00F6501B" w:rsidRPr="00EF7C8D">
        <w:rPr>
          <w:rFonts w:cs="Calibri"/>
          <w:u w:val="single"/>
          <w:lang w:val="sq-AL"/>
        </w:rPr>
        <w:t>i</w:t>
      </w:r>
      <w:r w:rsidRPr="00EF7C8D">
        <w:rPr>
          <w:rFonts w:cs="Calibri"/>
          <w:u w:val="single"/>
          <w:lang w:val="sq-AL"/>
        </w:rPr>
        <w:t xml:space="preserve"> ndryshuar”:</w:t>
      </w:r>
    </w:p>
    <w:p w:rsidR="00441FF6" w:rsidRPr="00441FF6" w:rsidRDefault="00AD5BF5" w:rsidP="00441FF6">
      <w:pPr>
        <w:rPr>
          <w:color w:val="000000"/>
          <w:lang w:val="sq-AL"/>
        </w:rPr>
      </w:pPr>
      <w:r w:rsidRPr="00476D2E">
        <w:rPr>
          <w:color w:val="000000"/>
          <w:lang w:val="sq-AL"/>
        </w:rPr>
        <w:t>Aspekti i nevojës dhe emergjencës së k</w:t>
      </w:r>
      <w:r w:rsidR="000279F1" w:rsidRPr="00476D2E">
        <w:rPr>
          <w:color w:val="000000"/>
          <w:lang w:val="sq-AL"/>
        </w:rPr>
        <w:t>ë</w:t>
      </w:r>
      <w:r w:rsidRPr="00476D2E">
        <w:rPr>
          <w:color w:val="000000"/>
          <w:lang w:val="sq-AL"/>
        </w:rPr>
        <w:t xml:space="preserve">tij AN, </w:t>
      </w:r>
      <w:r w:rsidR="00441FF6">
        <w:rPr>
          <w:color w:val="000000"/>
          <w:lang w:val="sq-AL"/>
        </w:rPr>
        <w:t>lidhet me</w:t>
      </w:r>
      <w:r w:rsidR="00441FF6" w:rsidRPr="00441FF6">
        <w:rPr>
          <w:color w:val="000000"/>
          <w:lang w:val="sq-AL"/>
        </w:rPr>
        <w:t xml:space="preserve"> kërkesën e Ministrisë së Shëndetësisë dhe Mbrojtjes Sociale për fonde shtesë në masën rreth 1.1 miliardë lekë, me qëllim financimin e kryerjes së pagesave për sigurimin e vaksinave të nevojshme për përballimin e situatës pandemike. Kjo, bazuar në:</w:t>
      </w:r>
    </w:p>
    <w:p w:rsidR="00441FF6" w:rsidRPr="00441FF6" w:rsidRDefault="00441FF6" w:rsidP="00842F80">
      <w:pPr>
        <w:numPr>
          <w:ilvl w:val="0"/>
          <w:numId w:val="49"/>
        </w:numPr>
        <w:spacing w:before="0"/>
        <w:contextualSpacing/>
        <w:rPr>
          <w:i/>
          <w:sz w:val="20"/>
          <w:lang w:val="sq-AL"/>
        </w:rPr>
      </w:pPr>
      <w:r w:rsidRPr="00441FF6">
        <w:rPr>
          <w:i/>
          <w:sz w:val="20"/>
          <w:lang w:val="sq-AL"/>
        </w:rPr>
        <w:t>Aktin normativ “Për miratimin e tekstit të marrëveshjes ndërmjet distributorit “Keymen Ilaç Sanayi Ve Ticaret” A.Ş dhe Ministrit të Shëndetësisë dhe Mbrojtjes Sociale, Ministrit të Shtetit për Rindërtimin dhe Institutit të Shëndetit Publik për furnizimin e Republikës së Shqipërisë me vaksinën e inaktivizuar kundër Covid-19 (Vero Cell) Coronavac, të krijuar nga Sinovac Life Science Co, ltd. dhe të prodhuar në Republikën Popullore të Kinës”;</w:t>
      </w:r>
    </w:p>
    <w:p w:rsidR="00441FF6" w:rsidRPr="00441FF6" w:rsidRDefault="00441FF6" w:rsidP="00842F80">
      <w:pPr>
        <w:numPr>
          <w:ilvl w:val="0"/>
          <w:numId w:val="49"/>
        </w:numPr>
        <w:spacing w:before="0"/>
        <w:contextualSpacing/>
        <w:rPr>
          <w:i/>
          <w:sz w:val="20"/>
          <w:lang w:val="sq-AL"/>
        </w:rPr>
      </w:pPr>
      <w:r w:rsidRPr="00441FF6">
        <w:rPr>
          <w:i/>
          <w:sz w:val="20"/>
          <w:lang w:val="sq-AL"/>
        </w:rPr>
        <w:t>Projektvendimin “Për kryerjen e pagesës së dozave të vaksinave që rrjedh nga marrëveshja ndërmjet distributorit “Keymen Ilaç Sanayi ve Ticaret” a.ş dhe  Ministrit të Shëndetësisë dhe Mbrojtjes Sociale, Ministrit të Shtetit për Rindërtimin dhe Institutit të Shëndetit Publik për furnizimin e Republikës së Shqipërisë me vaksinën e inaktivizuar kundër Covid-19 (vero cell) Coronavac, të krijuar nga Sinovac Life Science Co, ltd. dhe të prodhuar në Republikën Popullore të Kinës”.</w:t>
      </w:r>
    </w:p>
    <w:p w:rsidR="00441FF6" w:rsidRPr="00441FF6" w:rsidRDefault="00441FF6" w:rsidP="00441FF6">
      <w:pPr>
        <w:spacing w:before="0"/>
        <w:contextualSpacing/>
        <w:rPr>
          <w:lang w:val="sq-AL"/>
        </w:rPr>
      </w:pPr>
      <w:r>
        <w:rPr>
          <w:lang w:val="sq-AL"/>
        </w:rPr>
        <w:t>Ky AN përcaktoi</w:t>
      </w:r>
      <w:r w:rsidRPr="00441FF6">
        <w:rPr>
          <w:lang w:val="sq-AL"/>
        </w:rPr>
        <w:t xml:space="preserve"> vetëm një ndryshim në shpenzimet buxhetore, nje rialokim midis dy elementeve te Fondit Rezervë, dhe përkatësisht:</w:t>
      </w:r>
    </w:p>
    <w:p w:rsidR="00441FF6" w:rsidRPr="00441FF6" w:rsidRDefault="00441FF6" w:rsidP="00842F80">
      <w:pPr>
        <w:numPr>
          <w:ilvl w:val="0"/>
          <w:numId w:val="49"/>
        </w:numPr>
        <w:spacing w:before="0"/>
        <w:contextualSpacing/>
        <w:rPr>
          <w:i/>
          <w:lang w:val="sq-AL"/>
        </w:rPr>
      </w:pPr>
      <w:r w:rsidRPr="00441FF6">
        <w:rPr>
          <w:i/>
          <w:lang w:val="sq-AL"/>
        </w:rPr>
        <w:t>Shtesën me 1 miliardë lekë në Fondin Reze</w:t>
      </w:r>
      <w:r>
        <w:rPr>
          <w:i/>
          <w:lang w:val="sq-AL"/>
        </w:rPr>
        <w:t>rvë të Këshillit të Ministrave, m</w:t>
      </w:r>
      <w:r w:rsidRPr="00441FF6">
        <w:rPr>
          <w:i/>
          <w:lang w:val="sq-AL"/>
        </w:rPr>
        <w:t>e qëllim përballimin e shpenzimeve të blerjes së vaksinave gjatë vitit 2021, si edhe të shpenzimeve të tjera eventuale të qeverisë qe lidhen me pandemine Covid19;</w:t>
      </w:r>
    </w:p>
    <w:p w:rsidR="00441FF6" w:rsidRPr="00441FF6" w:rsidRDefault="00441FF6" w:rsidP="00842F80">
      <w:pPr>
        <w:numPr>
          <w:ilvl w:val="0"/>
          <w:numId w:val="49"/>
        </w:numPr>
        <w:spacing w:before="0"/>
        <w:contextualSpacing/>
        <w:rPr>
          <w:i/>
          <w:lang w:val="sq-AL"/>
        </w:rPr>
      </w:pPr>
      <w:r w:rsidRPr="00441FF6">
        <w:rPr>
          <w:i/>
          <w:lang w:val="sq-AL"/>
        </w:rPr>
        <w:t>Pakësimin me 1 miliardë lekë të rezervës për Studime e Projektime në kuadër të riorientimit të prioriteteve të Qeverisë gjatë situatës pan</w:t>
      </w:r>
      <w:r>
        <w:rPr>
          <w:i/>
          <w:lang w:val="sq-AL"/>
        </w:rPr>
        <w:t>demike Covid-19, për vitin 2021</w:t>
      </w:r>
      <w:r w:rsidRPr="00441FF6">
        <w:rPr>
          <w:i/>
          <w:lang w:val="sq-AL"/>
        </w:rPr>
        <w:t>.</w:t>
      </w:r>
    </w:p>
    <w:p w:rsidR="009B07E1" w:rsidRPr="00476D2E" w:rsidRDefault="00441FF6" w:rsidP="00441FF6">
      <w:pPr>
        <w:rPr>
          <w:noProof/>
          <w:lang w:val="sq-AL"/>
        </w:rPr>
      </w:pPr>
      <w:r w:rsidRPr="00441FF6">
        <w:rPr>
          <w:noProof/>
          <w:lang w:val="sq-AL"/>
        </w:rPr>
        <w:t>Është me rëndësi të theksohet se ky akt normativ nuk prek</w:t>
      </w:r>
      <w:r>
        <w:rPr>
          <w:noProof/>
          <w:lang w:val="sq-AL"/>
        </w:rPr>
        <w:t>u</w:t>
      </w:r>
      <w:r w:rsidRPr="00441FF6">
        <w:rPr>
          <w:noProof/>
          <w:lang w:val="sq-AL"/>
        </w:rPr>
        <w:t xml:space="preserve"> parametrat kyç makro-fiskal, siç janë: të ardhurat dhe shpenzimet e përgjithshme, deficiti buxhetor dhe borxhi publik, të cilët mbeten të pandryshuar</w:t>
      </w:r>
      <w:r w:rsidR="009B07E1" w:rsidRPr="00476D2E">
        <w:rPr>
          <w:noProof/>
          <w:lang w:val="sq-AL"/>
        </w:rPr>
        <w:t>.</w:t>
      </w:r>
    </w:p>
    <w:p w:rsidR="009B07E1" w:rsidRPr="00EF7C8D" w:rsidRDefault="009B07E1" w:rsidP="00842F80">
      <w:pPr>
        <w:pStyle w:val="ListParagraph"/>
        <w:numPr>
          <w:ilvl w:val="0"/>
          <w:numId w:val="52"/>
        </w:numPr>
        <w:ind w:left="360"/>
        <w:rPr>
          <w:rFonts w:cs="Calibri"/>
          <w:u w:val="single"/>
          <w:lang w:val="sq-AL"/>
        </w:rPr>
      </w:pPr>
      <w:r w:rsidRPr="00476D2E">
        <w:rPr>
          <w:rFonts w:cs="Calibri"/>
          <w:b/>
          <w:u w:val="single"/>
          <w:lang w:val="sq-AL"/>
        </w:rPr>
        <w:lastRenderedPageBreak/>
        <w:t>Akti Normativ Nr.</w:t>
      </w:r>
      <w:r w:rsidR="00441FF6">
        <w:rPr>
          <w:rFonts w:cs="Calibri"/>
          <w:b/>
          <w:u w:val="single"/>
          <w:lang w:val="sq-AL"/>
        </w:rPr>
        <w:t>1</w:t>
      </w:r>
      <w:r w:rsidR="00151804" w:rsidRPr="00476D2E">
        <w:rPr>
          <w:rFonts w:cs="Calibri"/>
          <w:b/>
          <w:u w:val="single"/>
          <w:lang w:val="sq-AL"/>
        </w:rPr>
        <w:t>8</w:t>
      </w:r>
      <w:r w:rsidRPr="00EF7C8D">
        <w:rPr>
          <w:rFonts w:cs="Calibri"/>
          <w:b/>
          <w:u w:val="single"/>
          <w:lang w:val="sq-AL"/>
        </w:rPr>
        <w:t xml:space="preserve"> datë </w:t>
      </w:r>
      <w:r w:rsidR="00441FF6" w:rsidRPr="00EF7C8D">
        <w:rPr>
          <w:rFonts w:cs="Calibri"/>
          <w:b/>
          <w:u w:val="single"/>
          <w:lang w:val="sq-AL"/>
        </w:rPr>
        <w:t>1</w:t>
      </w:r>
      <w:r w:rsidR="00151804" w:rsidRPr="00EF7C8D">
        <w:rPr>
          <w:rFonts w:cs="Calibri"/>
          <w:b/>
          <w:u w:val="single"/>
          <w:lang w:val="sq-AL"/>
        </w:rPr>
        <w:t>2</w:t>
      </w:r>
      <w:r w:rsidRPr="00EF7C8D">
        <w:rPr>
          <w:rFonts w:cs="Calibri"/>
          <w:b/>
          <w:u w:val="single"/>
          <w:lang w:val="sq-AL"/>
        </w:rPr>
        <w:t>.0</w:t>
      </w:r>
      <w:r w:rsidR="00441FF6" w:rsidRPr="00EF7C8D">
        <w:rPr>
          <w:rFonts w:cs="Calibri"/>
          <w:b/>
          <w:u w:val="single"/>
          <w:lang w:val="sq-AL"/>
        </w:rPr>
        <w:t>4</w:t>
      </w:r>
      <w:r w:rsidRPr="00EF7C8D">
        <w:rPr>
          <w:rFonts w:cs="Calibri"/>
          <w:b/>
          <w:u w:val="single"/>
          <w:lang w:val="sq-AL"/>
        </w:rPr>
        <w:t>.202</w:t>
      </w:r>
      <w:r w:rsidR="00441FF6" w:rsidRPr="00EF7C8D">
        <w:rPr>
          <w:rFonts w:cs="Calibri"/>
          <w:b/>
          <w:u w:val="single"/>
          <w:lang w:val="sq-AL"/>
        </w:rPr>
        <w:t>1</w:t>
      </w:r>
      <w:r w:rsidRPr="00EF7C8D">
        <w:rPr>
          <w:rFonts w:cs="Calibri"/>
          <w:b/>
          <w:u w:val="single"/>
          <w:lang w:val="sq-AL"/>
        </w:rPr>
        <w:t xml:space="preserve"> </w:t>
      </w:r>
      <w:r w:rsidR="00441FF6" w:rsidRPr="00EF7C8D">
        <w:rPr>
          <w:rFonts w:cs="Calibri"/>
          <w:u w:val="single"/>
          <w:lang w:val="sq-AL"/>
        </w:rPr>
        <w:t>“Për disa ndryshime në Ligjin nr.137/2020 “Për buxhetin e vitit 2021, i ndryshuar”</w:t>
      </w:r>
      <w:r w:rsidRPr="00EF7C8D">
        <w:rPr>
          <w:rFonts w:cs="Calibri"/>
          <w:u w:val="single"/>
          <w:lang w:val="sq-AL"/>
        </w:rPr>
        <w:t>:</w:t>
      </w:r>
    </w:p>
    <w:p w:rsidR="00EA7019" w:rsidRPr="00441FF6" w:rsidRDefault="00441FF6" w:rsidP="00EA7019">
      <w:pPr>
        <w:spacing w:before="0"/>
        <w:contextualSpacing/>
        <w:rPr>
          <w:lang w:val="sq-AL"/>
        </w:rPr>
      </w:pPr>
      <w:r w:rsidRPr="00476D2E">
        <w:rPr>
          <w:color w:val="000000"/>
          <w:lang w:val="sq-AL"/>
        </w:rPr>
        <w:t xml:space="preserve">Aspekti i nevojës dhe emergjencës së këtij AN, </w:t>
      </w:r>
      <w:r>
        <w:rPr>
          <w:color w:val="000000"/>
          <w:lang w:val="sq-AL"/>
        </w:rPr>
        <w:t>lidhet</w:t>
      </w:r>
      <w:r w:rsidRPr="00441FF6">
        <w:rPr>
          <w:rFonts w:asciiTheme="majorHAnsi" w:hAnsiTheme="majorHAnsi"/>
          <w:noProof/>
          <w:lang w:val="sq-AL"/>
        </w:rPr>
        <w:t xml:space="preserve"> me kërkesën e Ministrisë së Shëndetësisë dhe Mbrojtjes Sociale për fonde shtesë në masën rreth 2.4 miliardë lekë, me qëllim financimin e kryerjes së pagesave për sigurimin e vaksinave të nevojshme për përballimin e situatës pandemike</w:t>
      </w:r>
      <w:r w:rsidR="00EA7019">
        <w:rPr>
          <w:rFonts w:asciiTheme="majorHAnsi" w:hAnsiTheme="majorHAnsi"/>
          <w:noProof/>
          <w:lang w:val="sq-AL"/>
        </w:rPr>
        <w:t xml:space="preserve">. </w:t>
      </w:r>
      <w:r w:rsidR="00EA7019">
        <w:rPr>
          <w:lang w:val="sq-AL"/>
        </w:rPr>
        <w:t>AN përcaktoi</w:t>
      </w:r>
      <w:r w:rsidR="00EA7019" w:rsidRPr="00441FF6">
        <w:rPr>
          <w:lang w:val="sq-AL"/>
        </w:rPr>
        <w:t xml:space="preserve"> vetëm një ndryshim </w:t>
      </w:r>
      <w:r w:rsidR="00EA7019">
        <w:rPr>
          <w:lang w:val="sq-AL"/>
        </w:rPr>
        <w:t>që konsiston në</w:t>
      </w:r>
      <w:r w:rsidR="00EA7019" w:rsidRPr="00441FF6">
        <w:rPr>
          <w:lang w:val="sq-AL"/>
        </w:rPr>
        <w:t>:</w:t>
      </w:r>
    </w:p>
    <w:p w:rsidR="00EA7019" w:rsidRPr="00EA7019" w:rsidRDefault="00EA7019" w:rsidP="00842F80">
      <w:pPr>
        <w:numPr>
          <w:ilvl w:val="0"/>
          <w:numId w:val="49"/>
        </w:numPr>
        <w:spacing w:before="0"/>
        <w:contextualSpacing/>
        <w:rPr>
          <w:i/>
          <w:lang w:val="sq-AL"/>
        </w:rPr>
      </w:pPr>
      <w:r w:rsidRPr="00EA7019">
        <w:rPr>
          <w:i/>
          <w:lang w:val="sq-AL"/>
        </w:rPr>
        <w:t>Shtesën me 2 miliardë lekë në Fondin Rezervë të Këshillit të Ministrave</w:t>
      </w:r>
      <w:r>
        <w:rPr>
          <w:i/>
          <w:lang w:val="sq-AL"/>
        </w:rPr>
        <w:t>,</w:t>
      </w:r>
      <w:r w:rsidRPr="00EA7019">
        <w:rPr>
          <w:i/>
          <w:lang w:val="sq-AL"/>
        </w:rPr>
        <w:t xml:space="preserve"> </w:t>
      </w:r>
      <w:r>
        <w:rPr>
          <w:i/>
          <w:lang w:val="sq-AL"/>
        </w:rPr>
        <w:t>m</w:t>
      </w:r>
      <w:r w:rsidRPr="00EA7019">
        <w:rPr>
          <w:i/>
          <w:lang w:val="sq-AL"/>
        </w:rPr>
        <w:t>e qëllim përballimin e shpenzimeve të blerjes së vaksinave gjatë vitit 2021, si edhe të shpenzimeve të tjera eventuale të qeverisë qe lidhen me pandemine Covid19;</w:t>
      </w:r>
    </w:p>
    <w:p w:rsidR="00EA7019" w:rsidRPr="00EA7019" w:rsidRDefault="00EA7019" w:rsidP="00842F80">
      <w:pPr>
        <w:numPr>
          <w:ilvl w:val="0"/>
          <w:numId w:val="49"/>
        </w:numPr>
        <w:spacing w:before="0"/>
        <w:contextualSpacing/>
        <w:rPr>
          <w:i/>
          <w:lang w:val="sq-AL"/>
        </w:rPr>
      </w:pPr>
      <w:r w:rsidRPr="00EA7019">
        <w:rPr>
          <w:i/>
          <w:lang w:val="sq-AL"/>
        </w:rPr>
        <w:t xml:space="preserve">Shtesën në të njëjtën masë, pra 2 miliardë lekë të të ardhurave tatimore – Pas analizës dhe vlerësimeve të MFE lidhur me ecurinë e të ardhurave buxhetore, si edhe pritshmërinë e performancës së tyre deri në fund të vitit 2021, kjo rritje </w:t>
      </w:r>
      <w:r>
        <w:rPr>
          <w:i/>
          <w:lang w:val="sq-AL"/>
        </w:rPr>
        <w:t xml:space="preserve">u </w:t>
      </w:r>
      <w:r w:rsidRPr="00EA7019">
        <w:rPr>
          <w:i/>
          <w:lang w:val="sq-AL"/>
        </w:rPr>
        <w:t>propoz</w:t>
      </w:r>
      <w:r>
        <w:rPr>
          <w:i/>
          <w:lang w:val="sq-AL"/>
        </w:rPr>
        <w:t>ua</w:t>
      </w:r>
      <w:r w:rsidRPr="00EA7019">
        <w:rPr>
          <w:i/>
          <w:lang w:val="sq-AL"/>
        </w:rPr>
        <w:t xml:space="preserve"> të behet ne ato zera që </w:t>
      </w:r>
      <w:r>
        <w:rPr>
          <w:i/>
          <w:lang w:val="sq-AL"/>
        </w:rPr>
        <w:t>kishin</w:t>
      </w:r>
      <w:r w:rsidRPr="00EA7019">
        <w:rPr>
          <w:i/>
          <w:lang w:val="sq-AL"/>
        </w:rPr>
        <w:t xml:space="preserve"> shënuar një realizim apo tejkalim të planit të tyre fillestar, përgjatë tre muajve te pare te vitit, dhe konkretisht:</w:t>
      </w:r>
    </w:p>
    <w:p w:rsidR="00EA7019" w:rsidRPr="00EA7019" w:rsidRDefault="00EA7019" w:rsidP="00842F80">
      <w:pPr>
        <w:numPr>
          <w:ilvl w:val="0"/>
          <w:numId w:val="50"/>
        </w:numPr>
        <w:spacing w:before="0" w:line="240" w:lineRule="auto"/>
        <w:ind w:left="1440"/>
        <w:rPr>
          <w:rFonts w:cs="Calibri"/>
          <w:i/>
          <w:lang w:val="sq-AL"/>
        </w:rPr>
      </w:pPr>
      <w:r w:rsidRPr="00EA7019">
        <w:rPr>
          <w:rFonts w:cs="Calibri"/>
          <w:i/>
          <w:lang w:val="sq-AL"/>
        </w:rPr>
        <w:t>Kontributet (fondet speciale)</w:t>
      </w:r>
      <w:r w:rsidRPr="00EA7019">
        <w:rPr>
          <w:rFonts w:cs="Calibri"/>
          <w:i/>
          <w:lang w:val="sq-AL"/>
        </w:rPr>
        <w:tab/>
        <w:t>+800 milionë leke</w:t>
      </w:r>
    </w:p>
    <w:p w:rsidR="00EA7019" w:rsidRPr="00EA7019" w:rsidRDefault="00EA7019" w:rsidP="00842F80">
      <w:pPr>
        <w:numPr>
          <w:ilvl w:val="0"/>
          <w:numId w:val="50"/>
        </w:numPr>
        <w:spacing w:before="0" w:line="240" w:lineRule="auto"/>
        <w:ind w:left="1440"/>
        <w:rPr>
          <w:rFonts w:cs="Calibri"/>
          <w:i/>
          <w:lang w:val="sq-AL"/>
        </w:rPr>
      </w:pPr>
      <w:r w:rsidRPr="00EA7019">
        <w:rPr>
          <w:rFonts w:cs="Calibri"/>
          <w:i/>
          <w:lang w:val="sq-AL"/>
        </w:rPr>
        <w:t xml:space="preserve">Tatimi mbi Fitimin            </w:t>
      </w:r>
      <w:r w:rsidRPr="00EA7019">
        <w:rPr>
          <w:rFonts w:cs="Calibri"/>
          <w:i/>
          <w:lang w:val="sq-AL"/>
        </w:rPr>
        <w:tab/>
        <w:t>+600 milionë leke</w:t>
      </w:r>
    </w:p>
    <w:p w:rsidR="00EA7019" w:rsidRPr="00EA7019" w:rsidRDefault="00EA7019" w:rsidP="00842F80">
      <w:pPr>
        <w:numPr>
          <w:ilvl w:val="0"/>
          <w:numId w:val="50"/>
        </w:numPr>
        <w:spacing w:before="0" w:line="240" w:lineRule="auto"/>
        <w:ind w:left="1440"/>
        <w:rPr>
          <w:rFonts w:cs="Calibri"/>
          <w:i/>
          <w:lang w:val="sq-AL"/>
        </w:rPr>
      </w:pPr>
      <w:r w:rsidRPr="00EA7019">
        <w:rPr>
          <w:rFonts w:cs="Calibri"/>
          <w:i/>
          <w:lang w:val="sq-AL"/>
        </w:rPr>
        <w:t xml:space="preserve">Akciza                               </w:t>
      </w:r>
      <w:r w:rsidR="00C358E8">
        <w:rPr>
          <w:rFonts w:cs="Calibri"/>
          <w:i/>
          <w:lang w:val="sq-AL"/>
        </w:rPr>
        <w:tab/>
      </w:r>
      <w:r w:rsidRPr="00EA7019">
        <w:rPr>
          <w:rFonts w:cs="Calibri"/>
          <w:i/>
          <w:lang w:val="sq-AL"/>
        </w:rPr>
        <w:tab/>
        <w:t>+400 milionë leke</w:t>
      </w:r>
    </w:p>
    <w:p w:rsidR="00EA7019" w:rsidRPr="00EA7019" w:rsidRDefault="00EA7019" w:rsidP="00842F80">
      <w:pPr>
        <w:numPr>
          <w:ilvl w:val="0"/>
          <w:numId w:val="50"/>
        </w:numPr>
        <w:spacing w:before="0" w:line="240" w:lineRule="auto"/>
        <w:ind w:left="1440"/>
        <w:rPr>
          <w:rFonts w:cs="Calibri"/>
          <w:i/>
          <w:lang w:val="sq-AL"/>
        </w:rPr>
      </w:pPr>
      <w:r w:rsidRPr="00EA7019">
        <w:rPr>
          <w:rFonts w:cs="Calibri"/>
          <w:i/>
          <w:lang w:val="sq-AL"/>
        </w:rPr>
        <w:t>TAP                                   </w:t>
      </w:r>
      <w:r w:rsidR="00C358E8">
        <w:rPr>
          <w:rFonts w:cs="Calibri"/>
          <w:i/>
          <w:lang w:val="sq-AL"/>
        </w:rPr>
        <w:tab/>
      </w:r>
      <w:r w:rsidRPr="00EA7019">
        <w:rPr>
          <w:rFonts w:cs="Calibri"/>
          <w:i/>
          <w:lang w:val="sq-AL"/>
        </w:rPr>
        <w:tab/>
        <w:t>+200 milionë leke</w:t>
      </w:r>
    </w:p>
    <w:p w:rsidR="00441FF6" w:rsidRDefault="00C358E8" w:rsidP="00EF7C8D">
      <w:pPr>
        <w:spacing w:before="0"/>
        <w:rPr>
          <w:rFonts w:cs="Calibri"/>
          <w:lang w:val="sq-AL"/>
        </w:rPr>
      </w:pPr>
      <w:r>
        <w:rPr>
          <w:rFonts w:cs="Calibri"/>
          <w:lang w:val="sq-AL"/>
        </w:rPr>
        <w:t>Edhe</w:t>
      </w:r>
      <w:r w:rsidRPr="00C358E8">
        <w:rPr>
          <w:rFonts w:cs="Calibri"/>
          <w:lang w:val="sq-AL"/>
        </w:rPr>
        <w:t xml:space="preserve"> ky akt normativ nuk prek</w:t>
      </w:r>
      <w:r>
        <w:rPr>
          <w:rFonts w:cs="Calibri"/>
          <w:lang w:val="sq-AL"/>
        </w:rPr>
        <w:t>u</w:t>
      </w:r>
      <w:r w:rsidRPr="00C358E8">
        <w:rPr>
          <w:rFonts w:cs="Calibri"/>
          <w:lang w:val="sq-AL"/>
        </w:rPr>
        <w:t xml:space="preserve"> parametrat kyç makro-fiskal, siç janë: deficiti buxhetor dhe borxhi publik, të cilët mbeten të pandryshuar</w:t>
      </w:r>
      <w:r w:rsidR="00A11249">
        <w:rPr>
          <w:rFonts w:cs="Calibri"/>
          <w:lang w:val="sq-AL"/>
        </w:rPr>
        <w:t>.</w:t>
      </w:r>
    </w:p>
    <w:p w:rsidR="00A11249" w:rsidRDefault="00A11249" w:rsidP="00C358E8">
      <w:pPr>
        <w:rPr>
          <w:rFonts w:cs="Calibri"/>
          <w:sz w:val="12"/>
          <w:lang w:val="sq-AL"/>
        </w:rPr>
      </w:pPr>
    </w:p>
    <w:p w:rsidR="00554F56" w:rsidRPr="00EF7C8D" w:rsidRDefault="00554F56" w:rsidP="00C358E8">
      <w:pPr>
        <w:rPr>
          <w:rFonts w:cs="Calibri"/>
          <w:sz w:val="12"/>
          <w:lang w:val="sq-AL"/>
        </w:rPr>
      </w:pPr>
    </w:p>
    <w:p w:rsidR="00A11249" w:rsidRPr="00EF7C8D" w:rsidRDefault="00A11249" w:rsidP="00842F80">
      <w:pPr>
        <w:pStyle w:val="ListParagraph"/>
        <w:numPr>
          <w:ilvl w:val="0"/>
          <w:numId w:val="52"/>
        </w:numPr>
        <w:ind w:left="360"/>
        <w:rPr>
          <w:rFonts w:cs="Calibri"/>
          <w:u w:val="single"/>
          <w:lang w:val="sq-AL"/>
        </w:rPr>
      </w:pPr>
      <w:r w:rsidRPr="00476D2E">
        <w:rPr>
          <w:rFonts w:cs="Calibri"/>
          <w:b/>
          <w:u w:val="single"/>
          <w:lang w:val="sq-AL"/>
        </w:rPr>
        <w:t>Akti Normativ Nr.</w:t>
      </w:r>
      <w:r>
        <w:rPr>
          <w:rFonts w:cs="Calibri"/>
          <w:b/>
          <w:u w:val="single"/>
          <w:lang w:val="sq-AL"/>
        </w:rPr>
        <w:t>26</w:t>
      </w:r>
      <w:r w:rsidRPr="00EF7C8D">
        <w:rPr>
          <w:rFonts w:cs="Calibri"/>
          <w:b/>
          <w:u w:val="single"/>
          <w:lang w:val="sq-AL"/>
        </w:rPr>
        <w:t xml:space="preserve"> datë 22.06.2021 </w:t>
      </w:r>
      <w:r w:rsidRPr="00EF7C8D">
        <w:rPr>
          <w:rFonts w:cs="Calibri"/>
          <w:u w:val="single"/>
          <w:lang w:val="sq-AL"/>
        </w:rPr>
        <w:t>“Për disa ndryshime në Ligjin nr.137/2020 “Për buxhetin e vitit 2021, i ndryshuar”:</w:t>
      </w:r>
    </w:p>
    <w:p w:rsidR="00A11249" w:rsidRPr="00A11249" w:rsidRDefault="00A11249" w:rsidP="00554F56">
      <w:pPr>
        <w:spacing w:before="0" w:line="240" w:lineRule="auto"/>
        <w:contextualSpacing/>
        <w:rPr>
          <w:rFonts w:asciiTheme="majorHAnsi" w:hAnsiTheme="majorHAnsi"/>
          <w:noProof/>
          <w:lang w:val="sq-AL"/>
        </w:rPr>
      </w:pPr>
      <w:r w:rsidRPr="00476D2E">
        <w:rPr>
          <w:color w:val="000000"/>
          <w:lang w:val="sq-AL"/>
        </w:rPr>
        <w:t xml:space="preserve">Aspekti i nevojës dhe emergjencës së këtij AN, </w:t>
      </w:r>
      <w:r>
        <w:rPr>
          <w:color w:val="000000"/>
          <w:lang w:val="sq-AL"/>
        </w:rPr>
        <w:t>lidhet</w:t>
      </w:r>
      <w:r w:rsidRPr="00441FF6">
        <w:rPr>
          <w:rFonts w:asciiTheme="majorHAnsi" w:hAnsiTheme="majorHAnsi"/>
          <w:noProof/>
          <w:lang w:val="sq-AL"/>
        </w:rPr>
        <w:t xml:space="preserve"> </w:t>
      </w:r>
      <w:r w:rsidRPr="00A11249">
        <w:rPr>
          <w:rFonts w:asciiTheme="majorHAnsi" w:hAnsiTheme="majorHAnsi"/>
          <w:noProof/>
          <w:lang w:val="sq-AL"/>
        </w:rPr>
        <w:t>me financimin e disa politikave prioritare, ndër të cilat vend kryesor zë garantimi i përmbushjes me s</w:t>
      </w:r>
      <w:r>
        <w:rPr>
          <w:rFonts w:asciiTheme="majorHAnsi" w:hAnsiTheme="majorHAnsi"/>
          <w:noProof/>
          <w:lang w:val="sq-AL"/>
        </w:rPr>
        <w:t xml:space="preserve">ukses së fushatës së vaksinimit </w:t>
      </w:r>
      <w:r w:rsidRPr="00A11249">
        <w:rPr>
          <w:rFonts w:asciiTheme="majorHAnsi" w:hAnsiTheme="majorHAnsi"/>
          <w:noProof/>
          <w:lang w:val="sq-AL"/>
        </w:rPr>
        <w:t>anti-COVID19. Kjo, sa kohë që risktrukturimi i kabinetit të ri qeveritar prite</w:t>
      </w:r>
      <w:r>
        <w:rPr>
          <w:rFonts w:asciiTheme="majorHAnsi" w:hAnsiTheme="majorHAnsi"/>
          <w:noProof/>
          <w:lang w:val="sq-AL"/>
        </w:rPr>
        <w:t>j</w:t>
      </w:r>
      <w:r w:rsidRPr="00A11249">
        <w:rPr>
          <w:rFonts w:asciiTheme="majorHAnsi" w:hAnsiTheme="majorHAnsi"/>
          <w:noProof/>
          <w:lang w:val="sq-AL"/>
        </w:rPr>
        <w:t xml:space="preserve"> të ndodh</w:t>
      </w:r>
      <w:r>
        <w:rPr>
          <w:rFonts w:asciiTheme="majorHAnsi" w:hAnsiTheme="majorHAnsi"/>
          <w:noProof/>
          <w:lang w:val="sq-AL"/>
        </w:rPr>
        <w:t>te</w:t>
      </w:r>
      <w:r w:rsidRPr="00A11249">
        <w:rPr>
          <w:rFonts w:asciiTheme="majorHAnsi" w:hAnsiTheme="majorHAnsi"/>
          <w:noProof/>
          <w:lang w:val="sq-AL"/>
        </w:rPr>
        <w:t xml:space="preserve"> jo më herët se muaji </w:t>
      </w:r>
      <w:r>
        <w:rPr>
          <w:rFonts w:asciiTheme="majorHAnsi" w:hAnsiTheme="majorHAnsi"/>
          <w:noProof/>
          <w:lang w:val="sq-AL"/>
        </w:rPr>
        <w:t>S</w:t>
      </w:r>
      <w:r w:rsidRPr="00A11249">
        <w:rPr>
          <w:rFonts w:asciiTheme="majorHAnsi" w:hAnsiTheme="majorHAnsi"/>
          <w:noProof/>
          <w:lang w:val="sq-AL"/>
        </w:rPr>
        <w:t xml:space="preserve">htator 2021, dhe rrjedhimisht </w:t>
      </w:r>
      <w:r>
        <w:rPr>
          <w:rFonts w:asciiTheme="majorHAnsi" w:hAnsiTheme="majorHAnsi"/>
          <w:noProof/>
          <w:lang w:val="sq-AL"/>
        </w:rPr>
        <w:t>ishte</w:t>
      </w:r>
      <w:r w:rsidRPr="00A11249">
        <w:rPr>
          <w:rFonts w:asciiTheme="majorHAnsi" w:hAnsiTheme="majorHAnsi"/>
          <w:noProof/>
          <w:lang w:val="sq-AL"/>
        </w:rPr>
        <w:t xml:space="preserve"> e nevojshme të krijohe</w:t>
      </w:r>
      <w:r>
        <w:rPr>
          <w:rFonts w:asciiTheme="majorHAnsi" w:hAnsiTheme="majorHAnsi"/>
          <w:noProof/>
          <w:lang w:val="sq-AL"/>
        </w:rPr>
        <w:t>shin</w:t>
      </w:r>
      <w:r w:rsidRPr="00A11249">
        <w:rPr>
          <w:rFonts w:asciiTheme="majorHAnsi" w:hAnsiTheme="majorHAnsi"/>
          <w:noProof/>
          <w:lang w:val="sq-AL"/>
        </w:rPr>
        <w:t xml:space="preserve"> parakushtet për përballimin nga Qeveria të nevojave eventuale për financim buxhetor, gjatë këtij intervali kohor</w:t>
      </w:r>
      <w:r>
        <w:rPr>
          <w:rFonts w:asciiTheme="majorHAnsi" w:hAnsiTheme="majorHAnsi"/>
          <w:noProof/>
          <w:lang w:val="sq-AL"/>
        </w:rPr>
        <w:t xml:space="preserve">. Ky AN </w:t>
      </w:r>
      <w:r w:rsidRPr="00A11249">
        <w:rPr>
          <w:rFonts w:asciiTheme="majorHAnsi" w:hAnsiTheme="majorHAnsi"/>
          <w:noProof/>
          <w:lang w:val="sq-AL"/>
        </w:rPr>
        <w:t>përcakto</w:t>
      </w:r>
      <w:r>
        <w:rPr>
          <w:rFonts w:asciiTheme="majorHAnsi" w:hAnsiTheme="majorHAnsi"/>
          <w:noProof/>
          <w:lang w:val="sq-AL"/>
        </w:rPr>
        <w:t>i</w:t>
      </w:r>
      <w:r w:rsidRPr="00A11249">
        <w:rPr>
          <w:rFonts w:asciiTheme="majorHAnsi" w:hAnsiTheme="majorHAnsi"/>
          <w:noProof/>
          <w:lang w:val="sq-AL"/>
        </w:rPr>
        <w:t xml:space="preserve"> disa shtesa dhe ndryshime, </w:t>
      </w:r>
      <w:r>
        <w:rPr>
          <w:rFonts w:asciiTheme="majorHAnsi" w:hAnsiTheme="majorHAnsi"/>
          <w:noProof/>
          <w:lang w:val="sq-AL"/>
        </w:rPr>
        <w:t>nd</w:t>
      </w:r>
      <w:r w:rsidR="00EF7C8D">
        <w:rPr>
          <w:rFonts w:asciiTheme="majorHAnsi" w:hAnsiTheme="majorHAnsi"/>
          <w:noProof/>
          <w:lang w:val="sq-AL"/>
        </w:rPr>
        <w:t>ë</w:t>
      </w:r>
      <w:r>
        <w:rPr>
          <w:rFonts w:asciiTheme="majorHAnsi" w:hAnsiTheme="majorHAnsi"/>
          <w:noProof/>
          <w:lang w:val="sq-AL"/>
        </w:rPr>
        <w:t>r m</w:t>
      </w:r>
      <w:r w:rsidR="00EF7C8D">
        <w:rPr>
          <w:rFonts w:asciiTheme="majorHAnsi" w:hAnsiTheme="majorHAnsi"/>
          <w:noProof/>
          <w:lang w:val="sq-AL"/>
        </w:rPr>
        <w:t>ë</w:t>
      </w:r>
      <w:r>
        <w:rPr>
          <w:rFonts w:asciiTheme="majorHAnsi" w:hAnsiTheme="majorHAnsi"/>
          <w:noProof/>
          <w:lang w:val="sq-AL"/>
        </w:rPr>
        <w:t xml:space="preserve"> kryesoret veçojm</w:t>
      </w:r>
      <w:r w:rsidR="00EF7C8D">
        <w:rPr>
          <w:rFonts w:asciiTheme="majorHAnsi" w:hAnsiTheme="majorHAnsi"/>
          <w:noProof/>
          <w:lang w:val="sq-AL"/>
        </w:rPr>
        <w:t>ë</w:t>
      </w:r>
      <w:r>
        <w:rPr>
          <w:rFonts w:asciiTheme="majorHAnsi" w:hAnsiTheme="majorHAnsi"/>
          <w:noProof/>
          <w:lang w:val="sq-AL"/>
        </w:rPr>
        <w:t>:</w:t>
      </w:r>
    </w:p>
    <w:p w:rsidR="00A11249" w:rsidRPr="00A11249" w:rsidRDefault="00A11249" w:rsidP="00842F80">
      <w:pPr>
        <w:numPr>
          <w:ilvl w:val="0"/>
          <w:numId w:val="49"/>
        </w:numPr>
        <w:spacing w:before="0" w:line="240" w:lineRule="auto"/>
        <w:contextualSpacing/>
        <w:rPr>
          <w:i/>
          <w:lang w:val="sq-AL"/>
        </w:rPr>
      </w:pPr>
      <w:r w:rsidRPr="00A11249">
        <w:rPr>
          <w:i/>
          <w:lang w:val="sq-AL"/>
        </w:rPr>
        <w:t>Shtesën në masën 2 miliardë lekë për Fondin Rezervë të buxhetit të shtetit, me qëllim financimin e:</w:t>
      </w:r>
    </w:p>
    <w:p w:rsidR="00A11249" w:rsidRPr="00EF7C8D" w:rsidRDefault="00A11249" w:rsidP="00842F80">
      <w:pPr>
        <w:numPr>
          <w:ilvl w:val="0"/>
          <w:numId w:val="50"/>
        </w:numPr>
        <w:spacing w:before="0" w:line="240" w:lineRule="auto"/>
        <w:ind w:left="1260"/>
        <w:rPr>
          <w:rFonts w:cs="Calibri"/>
          <w:lang w:val="sq-AL"/>
        </w:rPr>
      </w:pPr>
      <w:r w:rsidRPr="00EF7C8D">
        <w:rPr>
          <w:rFonts w:cs="Calibri"/>
          <w:lang w:val="sq-AL"/>
        </w:rPr>
        <w:t>Fushatës së vaksinimit anti-COVID19, në masën 1 miliardë lekë. Ky fond është siguruar nga rialokimi i fondit në të njëjtën masë por të papërdorur, që ishte planifikuar për skemën e rimbursimit në shtëpi të kurimit për COVID19.</w:t>
      </w:r>
    </w:p>
    <w:p w:rsidR="00A11249" w:rsidRPr="00EF7C8D" w:rsidRDefault="00A11249" w:rsidP="00842F80">
      <w:pPr>
        <w:numPr>
          <w:ilvl w:val="0"/>
          <w:numId w:val="50"/>
        </w:numPr>
        <w:spacing w:before="0" w:line="240" w:lineRule="auto"/>
        <w:ind w:left="1260"/>
        <w:rPr>
          <w:rFonts w:cs="Calibri"/>
          <w:lang w:val="sq-AL"/>
        </w:rPr>
      </w:pPr>
      <w:r w:rsidRPr="00EF7C8D">
        <w:rPr>
          <w:rFonts w:cs="Calibri"/>
          <w:lang w:val="sq-AL"/>
        </w:rPr>
        <w:t>Projektit prioritar të Ministrisë së Mbrojtjes për pajisjen me drone në vlerë 1 miliardë lekë, në kuadër të marrëveshjes me Turqinë dhe masave për rritjen e kontrollit të territorit dhe sigurisë kombëtare.</w:t>
      </w:r>
    </w:p>
    <w:p w:rsidR="00A11249" w:rsidRPr="00A11249" w:rsidRDefault="00A11249" w:rsidP="00842F80">
      <w:pPr>
        <w:numPr>
          <w:ilvl w:val="0"/>
          <w:numId w:val="49"/>
        </w:numPr>
        <w:spacing w:before="0" w:line="240" w:lineRule="auto"/>
        <w:contextualSpacing/>
        <w:rPr>
          <w:i/>
          <w:lang w:val="sq-AL"/>
        </w:rPr>
      </w:pPr>
      <w:r w:rsidRPr="00A11249">
        <w:rPr>
          <w:i/>
          <w:lang w:val="sq-AL"/>
        </w:rPr>
        <w:t xml:space="preserve">Shtesën në masën 1 </w:t>
      </w:r>
      <w:r>
        <w:rPr>
          <w:i/>
          <w:lang w:val="sq-AL"/>
        </w:rPr>
        <w:t xml:space="preserve">mld </w:t>
      </w:r>
      <w:r w:rsidRPr="00A11249">
        <w:rPr>
          <w:i/>
          <w:lang w:val="sq-AL"/>
        </w:rPr>
        <w:t>lekë për AKSHI-n, me qëllim financimin e nevojave për mirëmbajtjen e sistemeve IT.</w:t>
      </w:r>
    </w:p>
    <w:p w:rsidR="00A11249" w:rsidRPr="00A11249" w:rsidRDefault="00A11249" w:rsidP="00842F80">
      <w:pPr>
        <w:numPr>
          <w:ilvl w:val="0"/>
          <w:numId w:val="49"/>
        </w:numPr>
        <w:spacing w:before="0" w:line="240" w:lineRule="auto"/>
        <w:contextualSpacing/>
        <w:rPr>
          <w:i/>
          <w:lang w:val="sq-AL"/>
        </w:rPr>
      </w:pPr>
      <w:r w:rsidRPr="00A11249">
        <w:rPr>
          <w:i/>
          <w:lang w:val="sq-AL"/>
        </w:rPr>
        <w:t>Shtesën në masën 900 milionë lekë si transfertë specifike për Bashkinë Tiranë, për ndërtimin e godinës së re të Teatrit Kombëtar.</w:t>
      </w:r>
    </w:p>
    <w:p w:rsidR="00A11249" w:rsidRPr="00A11249" w:rsidRDefault="00A11249" w:rsidP="00842F80">
      <w:pPr>
        <w:numPr>
          <w:ilvl w:val="0"/>
          <w:numId w:val="49"/>
        </w:numPr>
        <w:spacing w:before="0" w:line="240" w:lineRule="auto"/>
        <w:contextualSpacing/>
        <w:rPr>
          <w:i/>
          <w:lang w:val="sq-AL"/>
        </w:rPr>
      </w:pPr>
      <w:r w:rsidRPr="00A11249">
        <w:rPr>
          <w:i/>
          <w:lang w:val="sq-AL"/>
        </w:rPr>
        <w:t>Shtesën në masën 500 milionë lekë për financimin shtesë të nevojave të qerave të strehimit social.</w:t>
      </w:r>
    </w:p>
    <w:p w:rsidR="00A11249" w:rsidRPr="00A11249" w:rsidRDefault="00A11249" w:rsidP="00842F80">
      <w:pPr>
        <w:numPr>
          <w:ilvl w:val="0"/>
          <w:numId w:val="49"/>
        </w:numPr>
        <w:spacing w:before="0" w:line="240" w:lineRule="auto"/>
        <w:contextualSpacing/>
        <w:rPr>
          <w:i/>
          <w:lang w:val="sq-AL"/>
        </w:rPr>
      </w:pPr>
      <w:r w:rsidRPr="00A11249">
        <w:rPr>
          <w:i/>
          <w:lang w:val="sq-AL"/>
        </w:rPr>
        <w:t>Shtesën në masën 200 milionë lekë për mbulimin e shpenzimeve të ngritjes dhe funksionimit të grupit të përfaqësuesve në Këshillin e Sigurimit në OKB.</w:t>
      </w:r>
    </w:p>
    <w:p w:rsidR="00A11249" w:rsidRPr="00A11249" w:rsidRDefault="00A11249" w:rsidP="00842F80">
      <w:pPr>
        <w:numPr>
          <w:ilvl w:val="0"/>
          <w:numId w:val="49"/>
        </w:numPr>
        <w:spacing w:before="0" w:line="240" w:lineRule="auto"/>
        <w:contextualSpacing/>
        <w:rPr>
          <w:i/>
          <w:lang w:val="sq-AL"/>
        </w:rPr>
      </w:pPr>
      <w:r w:rsidRPr="00A11249">
        <w:rPr>
          <w:i/>
          <w:lang w:val="sq-AL"/>
        </w:rPr>
        <w:t>Financimin shtesë prej 4.8 miliardë lekë për projektet në Infrastrukturë në programin “Transporti Rrugor” ku përfshihen hapja e loteve të reja për “Ndërtimin e segmentit rrugor Unaza Veriore Tiranë”, “Ndërtimi i segmentit rrugor Sheshi Shqiponja-Bulevardi i ri” dhe projektet aktuale Unazës së Tiranës, të cilat kanë avancuar me punimet mbi planin buxhetor të miratuar për vitin buxhetor 2021.</w:t>
      </w:r>
    </w:p>
    <w:p w:rsidR="00A11249" w:rsidRPr="00A11249" w:rsidRDefault="00A11249" w:rsidP="00842F80">
      <w:pPr>
        <w:numPr>
          <w:ilvl w:val="0"/>
          <w:numId w:val="49"/>
        </w:numPr>
        <w:spacing w:before="0" w:line="240" w:lineRule="auto"/>
        <w:contextualSpacing/>
        <w:rPr>
          <w:i/>
          <w:lang w:val="sq-AL"/>
        </w:rPr>
      </w:pPr>
      <w:r w:rsidRPr="00A11249">
        <w:rPr>
          <w:i/>
          <w:lang w:val="sq-AL"/>
        </w:rPr>
        <w:t>Financimin shtësë prej 3 miliardë lekë për projektet në vazhdim, të programeve të zhvillimit.</w:t>
      </w:r>
    </w:p>
    <w:p w:rsidR="00A11249" w:rsidRPr="00A11249" w:rsidRDefault="00A11249" w:rsidP="00842F80">
      <w:pPr>
        <w:numPr>
          <w:ilvl w:val="0"/>
          <w:numId w:val="49"/>
        </w:numPr>
        <w:spacing w:before="0" w:line="240" w:lineRule="auto"/>
        <w:contextualSpacing/>
        <w:rPr>
          <w:i/>
          <w:lang w:val="sq-AL"/>
        </w:rPr>
      </w:pPr>
      <w:r w:rsidRPr="00A11249">
        <w:rPr>
          <w:i/>
          <w:lang w:val="sq-AL"/>
        </w:rPr>
        <w:t>Financimin shtesë prej 2.5 miliardë lekë për projektet në vazhdim për sektorin e ujësjellës-kanalizimeve në shkallë vendi, për përmiresimin e furnizimit me uje të popullsisë.</w:t>
      </w:r>
    </w:p>
    <w:p w:rsidR="00A11249" w:rsidRPr="00A11249" w:rsidRDefault="00A11249" w:rsidP="00842F80">
      <w:pPr>
        <w:numPr>
          <w:ilvl w:val="0"/>
          <w:numId w:val="49"/>
        </w:numPr>
        <w:spacing w:before="0" w:line="240" w:lineRule="auto"/>
        <w:contextualSpacing/>
        <w:rPr>
          <w:i/>
          <w:lang w:val="sq-AL"/>
        </w:rPr>
      </w:pPr>
      <w:r w:rsidRPr="00A11249">
        <w:rPr>
          <w:i/>
          <w:lang w:val="sq-AL"/>
        </w:rPr>
        <w:lastRenderedPageBreak/>
        <w:t>Financimin shtesë prej 1 miliardë lekë për projektin në vazhdim me financim të huaj “Ndërtim By-Pass i Vlorës” i cili ka ecuri të mirë dhe pritet të tejkalojë realizimin e miratuar për këtë vit.</w:t>
      </w:r>
    </w:p>
    <w:p w:rsidR="00A11249" w:rsidRPr="00A11249" w:rsidRDefault="00A11249" w:rsidP="00842F80">
      <w:pPr>
        <w:numPr>
          <w:ilvl w:val="0"/>
          <w:numId w:val="49"/>
        </w:numPr>
        <w:spacing w:before="0" w:line="240" w:lineRule="auto"/>
        <w:contextualSpacing/>
        <w:rPr>
          <w:i/>
          <w:lang w:val="sq-AL"/>
        </w:rPr>
      </w:pPr>
      <w:r w:rsidRPr="00A11249">
        <w:rPr>
          <w:i/>
          <w:lang w:val="sq-AL"/>
        </w:rPr>
        <w:t>Financimin shtesë prej 1 miliardë lekë për projektin në vazhdim me financim të huaj “IPARD II”, bazuar në ecurinë e mirë dhe pritshmëritë për realizimin e tij.</w:t>
      </w:r>
    </w:p>
    <w:p w:rsidR="00A11249" w:rsidRPr="00A11249" w:rsidRDefault="00A11249" w:rsidP="00842F80">
      <w:pPr>
        <w:numPr>
          <w:ilvl w:val="0"/>
          <w:numId w:val="49"/>
        </w:numPr>
        <w:spacing w:before="0" w:line="240" w:lineRule="auto"/>
        <w:contextualSpacing/>
        <w:rPr>
          <w:i/>
          <w:lang w:val="sq-AL"/>
        </w:rPr>
      </w:pPr>
      <w:r w:rsidRPr="00A11249">
        <w:rPr>
          <w:i/>
          <w:lang w:val="sq-AL"/>
        </w:rPr>
        <w:t>Financimin shtesë në masën 200 milionë lekë për godinën e Polit të Drejtësisë, bazuar në këstet e përcaktuara në kontratën përkatëse.</w:t>
      </w:r>
    </w:p>
    <w:p w:rsidR="00554F56" w:rsidRPr="00554F56" w:rsidRDefault="00554F56" w:rsidP="00554F56">
      <w:pPr>
        <w:spacing w:before="0" w:line="240" w:lineRule="auto"/>
        <w:contextualSpacing/>
        <w:rPr>
          <w:rFonts w:asciiTheme="majorHAnsi" w:hAnsiTheme="majorHAnsi"/>
          <w:noProof/>
          <w:sz w:val="8"/>
          <w:lang w:val="sq-AL"/>
        </w:rPr>
      </w:pPr>
    </w:p>
    <w:p w:rsidR="00A11249" w:rsidRPr="00A11249" w:rsidRDefault="00A11249" w:rsidP="00554F56">
      <w:pPr>
        <w:spacing w:before="0" w:line="240" w:lineRule="auto"/>
        <w:contextualSpacing/>
        <w:rPr>
          <w:rFonts w:asciiTheme="majorHAnsi" w:hAnsiTheme="majorHAnsi"/>
          <w:noProof/>
          <w:lang w:val="sq-AL"/>
        </w:rPr>
      </w:pPr>
      <w:r w:rsidRPr="00A11249">
        <w:rPr>
          <w:rFonts w:asciiTheme="majorHAnsi" w:hAnsiTheme="majorHAnsi"/>
          <w:noProof/>
          <w:lang w:val="sq-AL"/>
        </w:rPr>
        <w:t>Ndryshimet e propozuara përmes këtij akti normativ nuk prek</w:t>
      </w:r>
      <w:r w:rsidR="00EF7C8D">
        <w:rPr>
          <w:rFonts w:asciiTheme="majorHAnsi" w:hAnsiTheme="majorHAnsi"/>
          <w:noProof/>
          <w:lang w:val="sq-AL"/>
        </w:rPr>
        <w:t>ë</w:t>
      </w:r>
      <w:r>
        <w:rPr>
          <w:rFonts w:asciiTheme="majorHAnsi" w:hAnsiTheme="majorHAnsi"/>
          <w:noProof/>
          <w:lang w:val="sq-AL"/>
        </w:rPr>
        <w:t>n</w:t>
      </w:r>
      <w:r w:rsidRPr="00A11249">
        <w:rPr>
          <w:rFonts w:asciiTheme="majorHAnsi" w:hAnsiTheme="majorHAnsi"/>
          <w:noProof/>
          <w:lang w:val="sq-AL"/>
        </w:rPr>
        <w:t xml:space="preserve"> treguesit e të ardhurave buxhetore të cilët nuk pësua</w:t>
      </w:r>
      <w:r>
        <w:rPr>
          <w:rFonts w:asciiTheme="majorHAnsi" w:hAnsiTheme="majorHAnsi"/>
          <w:noProof/>
          <w:lang w:val="sq-AL"/>
        </w:rPr>
        <w:t>n</w:t>
      </w:r>
      <w:r w:rsidRPr="00A11249">
        <w:rPr>
          <w:rFonts w:asciiTheme="majorHAnsi" w:hAnsiTheme="majorHAnsi"/>
          <w:noProof/>
          <w:lang w:val="sq-AL"/>
        </w:rPr>
        <w:t xml:space="preserve"> ndryshime. Kjo, nisur nga ecuria pozitive e të ardhurave buxhetore për 6 mujorin e parë 2021 dhe pritshmëria gjithashtu pozitive e realizimit të tyre në nivel vjetor. Rrjedhimisht, rritja e shpenzimeve të përgjithshme buxhetore në masën 11.8 miliardë lekë, rrit</w:t>
      </w:r>
      <w:r>
        <w:rPr>
          <w:rFonts w:asciiTheme="majorHAnsi" w:hAnsiTheme="majorHAnsi"/>
          <w:noProof/>
          <w:lang w:val="sq-AL"/>
        </w:rPr>
        <w:t xml:space="preserve">i </w:t>
      </w:r>
      <w:r w:rsidRPr="00A11249">
        <w:rPr>
          <w:rFonts w:asciiTheme="majorHAnsi" w:hAnsiTheme="majorHAnsi"/>
          <w:noProof/>
          <w:lang w:val="sq-AL"/>
        </w:rPr>
        <w:t xml:space="preserve">në të njëjtën masë edhe defiçitin buxhetor 2021. </w:t>
      </w:r>
    </w:p>
    <w:p w:rsidR="00A11249" w:rsidRDefault="00A11249" w:rsidP="00C358E8">
      <w:pPr>
        <w:rPr>
          <w:rFonts w:cs="Calibri"/>
          <w:sz w:val="8"/>
          <w:lang w:val="sq-AL"/>
        </w:rPr>
      </w:pPr>
    </w:p>
    <w:p w:rsidR="00554F56" w:rsidRPr="00554F56" w:rsidRDefault="00554F56" w:rsidP="00C358E8">
      <w:pPr>
        <w:rPr>
          <w:rFonts w:cs="Calibri"/>
          <w:sz w:val="8"/>
          <w:lang w:val="sq-AL"/>
        </w:rPr>
      </w:pPr>
    </w:p>
    <w:p w:rsidR="00A11249" w:rsidRPr="00EF7C8D" w:rsidRDefault="00A11249" w:rsidP="00842F80">
      <w:pPr>
        <w:pStyle w:val="ListParagraph"/>
        <w:numPr>
          <w:ilvl w:val="0"/>
          <w:numId w:val="52"/>
        </w:numPr>
        <w:ind w:left="360"/>
        <w:rPr>
          <w:rFonts w:cs="Calibri"/>
          <w:u w:val="single"/>
          <w:lang w:val="sq-AL"/>
        </w:rPr>
      </w:pPr>
      <w:r w:rsidRPr="00476D2E">
        <w:rPr>
          <w:rFonts w:cs="Calibri"/>
          <w:b/>
          <w:u w:val="single"/>
          <w:lang w:val="sq-AL"/>
        </w:rPr>
        <w:t>Akti Normativ Nr.</w:t>
      </w:r>
      <w:r>
        <w:rPr>
          <w:rFonts w:cs="Calibri"/>
          <w:b/>
          <w:u w:val="single"/>
          <w:lang w:val="sq-AL"/>
        </w:rPr>
        <w:t>31</w:t>
      </w:r>
      <w:r w:rsidRPr="00EF7C8D">
        <w:rPr>
          <w:rFonts w:cs="Calibri"/>
          <w:b/>
          <w:u w:val="single"/>
          <w:lang w:val="sq-AL"/>
        </w:rPr>
        <w:t xml:space="preserve"> datë 27.10.2021 </w:t>
      </w:r>
      <w:r w:rsidRPr="00EF7C8D">
        <w:rPr>
          <w:rFonts w:cs="Calibri"/>
          <w:u w:val="single"/>
          <w:lang w:val="sq-AL"/>
        </w:rPr>
        <w:t>“Për disa ndryshime në Ligjin nr.137/2020 “Për buxhetin e vitit 2021, i ndryshuar”:</w:t>
      </w:r>
    </w:p>
    <w:p w:rsidR="00A11249" w:rsidRDefault="00A11249" w:rsidP="00A11249">
      <w:pPr>
        <w:spacing w:before="0"/>
        <w:contextualSpacing/>
        <w:rPr>
          <w:rFonts w:asciiTheme="majorHAnsi" w:hAnsiTheme="majorHAnsi"/>
          <w:noProof/>
          <w:lang w:val="sq-AL"/>
        </w:rPr>
      </w:pPr>
      <w:r w:rsidRPr="00476D2E">
        <w:rPr>
          <w:color w:val="000000"/>
          <w:lang w:val="sq-AL"/>
        </w:rPr>
        <w:t xml:space="preserve">Aspekti i nevojës dhe emergjencës së këtij AN, </w:t>
      </w:r>
      <w:r>
        <w:rPr>
          <w:color w:val="000000"/>
          <w:lang w:val="sq-AL"/>
        </w:rPr>
        <w:t>lidhet</w:t>
      </w:r>
      <w:r w:rsidRPr="00441FF6">
        <w:rPr>
          <w:rFonts w:asciiTheme="majorHAnsi" w:hAnsiTheme="majorHAnsi"/>
          <w:noProof/>
          <w:lang w:val="sq-AL"/>
        </w:rPr>
        <w:t xml:space="preserve"> </w:t>
      </w:r>
      <w:r w:rsidRPr="00A11249">
        <w:rPr>
          <w:rFonts w:asciiTheme="majorHAnsi" w:hAnsiTheme="majorHAnsi"/>
          <w:noProof/>
          <w:lang w:val="sq-AL"/>
        </w:rPr>
        <w:t xml:space="preserve">me </w:t>
      </w:r>
      <w:r>
        <w:rPr>
          <w:rFonts w:asciiTheme="majorHAnsi" w:hAnsiTheme="majorHAnsi"/>
          <w:noProof/>
          <w:lang w:val="sq-AL"/>
        </w:rPr>
        <w:t>dy ç</w:t>
      </w:r>
      <w:r w:rsidR="00EF7C8D">
        <w:rPr>
          <w:rFonts w:asciiTheme="majorHAnsi" w:hAnsiTheme="majorHAnsi"/>
          <w:noProof/>
          <w:lang w:val="sq-AL"/>
        </w:rPr>
        <w:t>ë</w:t>
      </w:r>
      <w:r>
        <w:rPr>
          <w:rFonts w:asciiTheme="majorHAnsi" w:hAnsiTheme="majorHAnsi"/>
          <w:noProof/>
          <w:lang w:val="sq-AL"/>
        </w:rPr>
        <w:t>shtje kryesore:</w:t>
      </w:r>
    </w:p>
    <w:p w:rsidR="00A11249" w:rsidRPr="00DF2457" w:rsidRDefault="00A11249" w:rsidP="00842F80">
      <w:pPr>
        <w:pStyle w:val="ListParagraph"/>
        <w:numPr>
          <w:ilvl w:val="0"/>
          <w:numId w:val="51"/>
        </w:numPr>
        <w:spacing w:before="0" w:line="240" w:lineRule="auto"/>
        <w:rPr>
          <w:rFonts w:cs="Calibri"/>
          <w:i/>
          <w:lang w:val="sq-AL"/>
        </w:rPr>
      </w:pPr>
      <w:r w:rsidRPr="00A11249">
        <w:rPr>
          <w:rFonts w:cs="Calibri"/>
          <w:i/>
          <w:lang w:val="sq-AL"/>
        </w:rPr>
        <w:t>Akordimin e mbështetjes financiare për OSHEE sh.a, në formën e instrumentit të garancisë sovrane, me një vlerë 10 miliardë LEK për vitin 2021.</w:t>
      </w:r>
      <w:r w:rsidR="00DF2457" w:rsidRPr="00DF2457">
        <w:rPr>
          <w:rFonts w:cs="Calibri"/>
          <w:lang w:val="sq-AL"/>
        </w:rPr>
        <w:t xml:space="preserve"> në vijim edhe të miratimit të VKM nr.584 datë 08.10.2021 “Për shpalljen e gjendjes së emergjencës në furnizimin me energji elektrike”. </w:t>
      </w:r>
      <w:r w:rsidR="00DF2457" w:rsidRPr="00DF2457">
        <w:rPr>
          <w:rFonts w:cs="Calibri"/>
          <w:i/>
          <w:lang w:val="sq-AL"/>
        </w:rPr>
        <w:t>Kjo, bazuar në argumentimet e dhëna nga Ministria e Infrastrukturës dhe Energjisë dhe kërkesës respektive për mbështetje financiare</w:t>
      </w:r>
      <w:r w:rsidR="00DF2457">
        <w:rPr>
          <w:rFonts w:cs="Calibri"/>
          <w:i/>
          <w:lang w:val="sq-AL"/>
        </w:rPr>
        <w:t>.</w:t>
      </w:r>
    </w:p>
    <w:p w:rsidR="00A11249" w:rsidRPr="00DF2457" w:rsidRDefault="00A11249" w:rsidP="00842F80">
      <w:pPr>
        <w:pStyle w:val="ListParagraph"/>
        <w:numPr>
          <w:ilvl w:val="0"/>
          <w:numId w:val="51"/>
        </w:numPr>
        <w:spacing w:before="0" w:line="240" w:lineRule="auto"/>
        <w:rPr>
          <w:rFonts w:cs="Calibri"/>
          <w:i/>
          <w:lang w:val="sq-AL"/>
        </w:rPr>
      </w:pPr>
      <w:r w:rsidRPr="00A11249">
        <w:rPr>
          <w:rFonts w:cs="Calibri"/>
          <w:i/>
          <w:lang w:val="sq-AL"/>
        </w:rPr>
        <w:t>Rritjen e kufirit të huamarrjes neto vjetore për të akomoduar daljen me eurobond në tregjet ndërkombëtare me një vlerë më të lartë se ajo e parashikuar fillimisht, pra nga 500 milionë EUR në 700 milionë EUR</w:t>
      </w:r>
      <w:r w:rsidR="00DF2457">
        <w:rPr>
          <w:rFonts w:cs="Calibri"/>
          <w:i/>
          <w:lang w:val="sq-AL"/>
        </w:rPr>
        <w:t xml:space="preserve">. </w:t>
      </w:r>
      <w:r w:rsidR="00DF2457" w:rsidRPr="00DF2457">
        <w:rPr>
          <w:rFonts w:cs="Calibri"/>
          <w:i/>
          <w:lang w:val="sq-AL"/>
        </w:rPr>
        <w:t>Ky Akt Normativ kishte për qëllim akomodimin e daljes me Eurobond në tregjet ndërkombëtare me një vlerë më të lartë se ajo e parashikuar fillimisht, pra nga 500 milionë EUR në 700 milionë EUR, përmes rritjes për këtë qëllim të kufirit të huamarrjes neto vjetore. Njëkohësisht u rishikuan dhe zërat e tjerë të financimit për të reflektuar situatën më reale referuar këtyre treguesve, konkretisht mbështetjeve buxhetore të pritshme, financimin e projekteve dhe zërin e ripagesave të borxhit.</w:t>
      </w:r>
    </w:p>
    <w:p w:rsidR="00DF2457" w:rsidRPr="00DF2457" w:rsidRDefault="00DF2457" w:rsidP="00554F56">
      <w:pPr>
        <w:spacing w:before="0" w:line="240" w:lineRule="auto"/>
        <w:rPr>
          <w:rFonts w:cs="Calibri"/>
          <w:lang w:val="sq-AL"/>
        </w:rPr>
      </w:pPr>
      <w:r>
        <w:rPr>
          <w:rFonts w:cs="Calibri"/>
          <w:lang w:val="sq-AL"/>
        </w:rPr>
        <w:t>M</w:t>
      </w:r>
      <w:r w:rsidRPr="00DF2457">
        <w:rPr>
          <w:rFonts w:cs="Calibri"/>
          <w:lang w:val="sq-AL"/>
        </w:rPr>
        <w:t>iratimi i garancisë së sipërcituar në vlerën 10 miliardë LEK për vitin 2021, rritja e vlerës së Eurobondit si dhe ndryshime të tjera të mundësuara, implik</w:t>
      </w:r>
      <w:r>
        <w:rPr>
          <w:rFonts w:cs="Calibri"/>
          <w:lang w:val="sq-AL"/>
        </w:rPr>
        <w:t>uan</w:t>
      </w:r>
      <w:r w:rsidRPr="00DF2457">
        <w:rPr>
          <w:rFonts w:cs="Calibri"/>
          <w:lang w:val="sq-AL"/>
        </w:rPr>
        <w:t xml:space="preserve"> një rritje në nivelin e borxhit publik me 38.9 miliardë LEK.</w:t>
      </w:r>
    </w:p>
    <w:p w:rsidR="00A11249" w:rsidRDefault="00DF2457" w:rsidP="00554F56">
      <w:pPr>
        <w:spacing w:before="0" w:line="240" w:lineRule="auto"/>
        <w:rPr>
          <w:rFonts w:cs="Calibri"/>
          <w:lang w:val="sq-AL"/>
        </w:rPr>
      </w:pPr>
      <w:r w:rsidRPr="00DF2457">
        <w:rPr>
          <w:rFonts w:cs="Calibri"/>
          <w:lang w:val="sq-AL"/>
        </w:rPr>
        <w:t>Ndryshimet e propozuara përmes këtij akti normativ nuk prek</w:t>
      </w:r>
      <w:r w:rsidR="00EF7C8D">
        <w:rPr>
          <w:rFonts w:cs="Calibri"/>
          <w:lang w:val="sq-AL"/>
        </w:rPr>
        <w:t>ë</w:t>
      </w:r>
      <w:r>
        <w:rPr>
          <w:rFonts w:cs="Calibri"/>
          <w:lang w:val="sq-AL"/>
        </w:rPr>
        <w:t>n</w:t>
      </w:r>
      <w:r w:rsidRPr="00DF2457">
        <w:rPr>
          <w:rFonts w:cs="Calibri"/>
          <w:lang w:val="sq-AL"/>
        </w:rPr>
        <w:t xml:space="preserve"> treguesit e të ardhurave dhe shpenzimeve buxhetore të cilët nuk pësua</w:t>
      </w:r>
      <w:r>
        <w:rPr>
          <w:rFonts w:cs="Calibri"/>
          <w:lang w:val="sq-AL"/>
        </w:rPr>
        <w:t>n</w:t>
      </w:r>
      <w:r w:rsidRPr="00DF2457">
        <w:rPr>
          <w:rFonts w:cs="Calibri"/>
          <w:lang w:val="sq-AL"/>
        </w:rPr>
        <w:t xml:space="preserve"> ndryshime. Rrjedhimisht, niveli i defiçitit buxhetor mbet</w:t>
      </w:r>
      <w:r>
        <w:rPr>
          <w:rFonts w:cs="Calibri"/>
          <w:lang w:val="sq-AL"/>
        </w:rPr>
        <w:t>i</w:t>
      </w:r>
      <w:r w:rsidRPr="00DF2457">
        <w:rPr>
          <w:rFonts w:cs="Calibri"/>
          <w:lang w:val="sq-AL"/>
        </w:rPr>
        <w:t xml:space="preserve"> i pandryshuar.</w:t>
      </w:r>
    </w:p>
    <w:p w:rsidR="00441FF6" w:rsidRDefault="00441FF6" w:rsidP="00441FF6">
      <w:pPr>
        <w:pStyle w:val="ListParagraph"/>
        <w:spacing w:after="240"/>
        <w:rPr>
          <w:rFonts w:cs="Calibri"/>
          <w:sz w:val="16"/>
          <w:lang w:val="sq-AL"/>
        </w:rPr>
      </w:pPr>
    </w:p>
    <w:p w:rsidR="00554F56" w:rsidRDefault="00554F56" w:rsidP="00441FF6">
      <w:pPr>
        <w:pStyle w:val="ListParagraph"/>
        <w:spacing w:after="240"/>
        <w:rPr>
          <w:rFonts w:cs="Calibri"/>
          <w:sz w:val="16"/>
          <w:lang w:val="sq-AL"/>
        </w:rPr>
      </w:pPr>
    </w:p>
    <w:p w:rsidR="00554F56" w:rsidRPr="00554F56" w:rsidRDefault="00554F56" w:rsidP="00441FF6">
      <w:pPr>
        <w:pStyle w:val="ListParagraph"/>
        <w:spacing w:after="240"/>
        <w:rPr>
          <w:rFonts w:cs="Calibri"/>
          <w:sz w:val="16"/>
          <w:lang w:val="sq-AL"/>
        </w:rPr>
      </w:pPr>
    </w:p>
    <w:p w:rsidR="00B863AA" w:rsidRPr="00EF7C8D" w:rsidRDefault="00B863AA" w:rsidP="00842F80">
      <w:pPr>
        <w:pStyle w:val="ListParagraph"/>
        <w:numPr>
          <w:ilvl w:val="0"/>
          <w:numId w:val="52"/>
        </w:numPr>
        <w:ind w:left="360"/>
        <w:rPr>
          <w:rFonts w:cs="Calibri"/>
          <w:u w:val="single"/>
          <w:lang w:val="sq-AL"/>
        </w:rPr>
      </w:pPr>
      <w:r w:rsidRPr="00441FF6">
        <w:rPr>
          <w:rFonts w:cs="Calibri"/>
          <w:b/>
          <w:u w:val="single"/>
          <w:lang w:val="sq-AL"/>
        </w:rPr>
        <w:t>Akti Normativ Nr.34</w:t>
      </w:r>
      <w:r w:rsidRPr="00EF7C8D">
        <w:rPr>
          <w:rFonts w:cs="Calibri"/>
          <w:b/>
          <w:u w:val="single"/>
          <w:lang w:val="sq-AL"/>
        </w:rPr>
        <w:t xml:space="preserve"> datë </w:t>
      </w:r>
      <w:r w:rsidR="00DF2457" w:rsidRPr="00EF7C8D">
        <w:rPr>
          <w:rFonts w:cs="Calibri"/>
          <w:b/>
          <w:u w:val="single"/>
          <w:lang w:val="sq-AL"/>
        </w:rPr>
        <w:t>03</w:t>
      </w:r>
      <w:r w:rsidRPr="00EF7C8D">
        <w:rPr>
          <w:rFonts w:cs="Calibri"/>
          <w:b/>
          <w:u w:val="single"/>
          <w:lang w:val="sq-AL"/>
        </w:rPr>
        <w:t>.12.202</w:t>
      </w:r>
      <w:r w:rsidR="00DF2457" w:rsidRPr="00EF7C8D">
        <w:rPr>
          <w:rFonts w:cs="Calibri"/>
          <w:b/>
          <w:u w:val="single"/>
          <w:lang w:val="sq-AL"/>
        </w:rPr>
        <w:t>1</w:t>
      </w:r>
      <w:r w:rsidRPr="00EF7C8D">
        <w:rPr>
          <w:rFonts w:cs="Calibri"/>
          <w:b/>
          <w:u w:val="single"/>
          <w:lang w:val="sq-AL"/>
        </w:rPr>
        <w:t xml:space="preserve"> </w:t>
      </w:r>
      <w:r w:rsidR="00DF2457" w:rsidRPr="00EF7C8D">
        <w:rPr>
          <w:rFonts w:cs="Calibri"/>
          <w:u w:val="single"/>
          <w:lang w:val="sq-AL"/>
        </w:rPr>
        <w:t>“Për disa ndryshime në Ligjin nr.137/2020 “Për buxhetin e vitit 2021, i ndryshuar”</w:t>
      </w:r>
      <w:r w:rsidRPr="00EF7C8D">
        <w:rPr>
          <w:rFonts w:cs="Calibri"/>
          <w:u w:val="single"/>
          <w:lang w:val="sq-AL"/>
        </w:rPr>
        <w:t>:</w:t>
      </w:r>
    </w:p>
    <w:p w:rsidR="00B863AA" w:rsidRPr="00476D2E" w:rsidRDefault="00B863AA" w:rsidP="00B863AA">
      <w:pPr>
        <w:rPr>
          <w:rFonts w:asciiTheme="majorHAnsi" w:hAnsiTheme="majorHAnsi"/>
          <w:color w:val="000000"/>
          <w:szCs w:val="22"/>
          <w:lang w:val="sq-AL"/>
        </w:rPr>
      </w:pPr>
      <w:r w:rsidRPr="00476D2E">
        <w:rPr>
          <w:rFonts w:asciiTheme="majorHAnsi" w:hAnsiTheme="majorHAnsi"/>
          <w:noProof/>
          <w:szCs w:val="22"/>
          <w:lang w:val="sq-AL"/>
        </w:rPr>
        <w:t xml:space="preserve">Mbështetur në </w:t>
      </w:r>
      <w:r w:rsidRPr="00476D2E">
        <w:rPr>
          <w:rFonts w:asciiTheme="majorHAnsi" w:hAnsiTheme="majorHAnsi"/>
          <w:color w:val="000000"/>
          <w:szCs w:val="22"/>
          <w:lang w:val="sq-AL"/>
        </w:rPr>
        <w:t>vlerësimet me të fundit të situatës makro-fiskale p</w:t>
      </w:r>
      <w:r w:rsidR="000279F1" w:rsidRPr="00476D2E">
        <w:rPr>
          <w:rFonts w:asciiTheme="majorHAnsi" w:hAnsiTheme="majorHAnsi"/>
          <w:color w:val="000000"/>
          <w:szCs w:val="22"/>
          <w:lang w:val="sq-AL"/>
        </w:rPr>
        <w:t>ë</w:t>
      </w:r>
      <w:r w:rsidRPr="00476D2E">
        <w:rPr>
          <w:rFonts w:asciiTheme="majorHAnsi" w:hAnsiTheme="majorHAnsi"/>
          <w:color w:val="000000"/>
          <w:szCs w:val="22"/>
          <w:lang w:val="sq-AL"/>
        </w:rPr>
        <w:t>r 11M, Qeveria nd</w:t>
      </w:r>
      <w:r w:rsidR="000279F1" w:rsidRPr="00476D2E">
        <w:rPr>
          <w:rFonts w:asciiTheme="majorHAnsi" w:hAnsiTheme="majorHAnsi"/>
          <w:color w:val="000000"/>
          <w:szCs w:val="22"/>
          <w:lang w:val="sq-AL"/>
        </w:rPr>
        <w:t>ë</w:t>
      </w:r>
      <w:r w:rsidRPr="00476D2E">
        <w:rPr>
          <w:rFonts w:asciiTheme="majorHAnsi" w:hAnsiTheme="majorHAnsi"/>
          <w:color w:val="000000"/>
          <w:szCs w:val="22"/>
          <w:lang w:val="sq-AL"/>
        </w:rPr>
        <w:t>rmori pro</w:t>
      </w:r>
      <w:r w:rsidR="00281910" w:rsidRPr="00476D2E">
        <w:rPr>
          <w:rFonts w:asciiTheme="majorHAnsi" w:hAnsiTheme="majorHAnsi"/>
          <w:color w:val="000000"/>
          <w:szCs w:val="22"/>
          <w:lang w:val="sq-AL"/>
        </w:rPr>
        <w:t>c</w:t>
      </w:r>
      <w:r w:rsidRPr="00476D2E">
        <w:rPr>
          <w:rFonts w:asciiTheme="majorHAnsi" w:hAnsiTheme="majorHAnsi"/>
          <w:color w:val="000000"/>
          <w:szCs w:val="22"/>
          <w:lang w:val="sq-AL"/>
        </w:rPr>
        <w:t>esin e rishikimit të fundit t</w:t>
      </w:r>
      <w:r w:rsidR="000279F1" w:rsidRPr="00476D2E">
        <w:rPr>
          <w:rFonts w:asciiTheme="majorHAnsi" w:hAnsiTheme="majorHAnsi"/>
          <w:color w:val="000000"/>
          <w:szCs w:val="22"/>
          <w:lang w:val="sq-AL"/>
        </w:rPr>
        <w:t>ë</w:t>
      </w:r>
      <w:r w:rsidRPr="00476D2E">
        <w:rPr>
          <w:rFonts w:asciiTheme="majorHAnsi" w:hAnsiTheme="majorHAnsi"/>
          <w:color w:val="000000"/>
          <w:szCs w:val="22"/>
          <w:lang w:val="sq-AL"/>
        </w:rPr>
        <w:t xml:space="preserve"> buxhetit 2020. Aspekti i nevojës dhe emergjencës s</w:t>
      </w:r>
      <w:r w:rsidR="000279F1" w:rsidRPr="00476D2E">
        <w:rPr>
          <w:rFonts w:asciiTheme="majorHAnsi" w:hAnsiTheme="majorHAnsi"/>
          <w:color w:val="000000"/>
          <w:szCs w:val="22"/>
          <w:lang w:val="sq-AL"/>
        </w:rPr>
        <w:t>ë</w:t>
      </w:r>
      <w:r w:rsidRPr="00476D2E">
        <w:rPr>
          <w:rFonts w:asciiTheme="majorHAnsi" w:hAnsiTheme="majorHAnsi"/>
          <w:color w:val="000000"/>
          <w:szCs w:val="22"/>
          <w:lang w:val="sq-AL"/>
        </w:rPr>
        <w:t xml:space="preserve"> k</w:t>
      </w:r>
      <w:r w:rsidR="000279F1" w:rsidRPr="00476D2E">
        <w:rPr>
          <w:rFonts w:asciiTheme="majorHAnsi" w:hAnsiTheme="majorHAnsi"/>
          <w:color w:val="000000"/>
          <w:szCs w:val="22"/>
          <w:lang w:val="sq-AL"/>
        </w:rPr>
        <w:t>ë</w:t>
      </w:r>
      <w:r w:rsidRPr="00476D2E">
        <w:rPr>
          <w:rFonts w:asciiTheme="majorHAnsi" w:hAnsiTheme="majorHAnsi"/>
          <w:color w:val="000000"/>
          <w:szCs w:val="22"/>
          <w:lang w:val="sq-AL"/>
        </w:rPr>
        <w:t>tij AN, lidhej kryesisht me:</w:t>
      </w:r>
    </w:p>
    <w:p w:rsidR="00B863AA" w:rsidRDefault="00E6747D" w:rsidP="00554F56">
      <w:pPr>
        <w:numPr>
          <w:ilvl w:val="0"/>
          <w:numId w:val="15"/>
        </w:numPr>
        <w:spacing w:before="0" w:line="240" w:lineRule="auto"/>
        <w:contextualSpacing/>
        <w:rPr>
          <w:rFonts w:asciiTheme="majorHAnsi" w:hAnsiTheme="majorHAnsi"/>
          <w:lang w:val="sq-AL"/>
        </w:rPr>
      </w:pPr>
      <w:r w:rsidRPr="00E6747D">
        <w:rPr>
          <w:rFonts w:asciiTheme="majorHAnsi" w:hAnsiTheme="majorHAnsi"/>
          <w:lang w:val="sq-AL"/>
        </w:rPr>
        <w:t>Shtesën në masën 4.5 miliardë lekë për ISSH, nga të cilat 3.5 miliardë lekë për financimin e shpërblimit të fundvitit për rreth 670.000 pensionistë</w:t>
      </w:r>
      <w:r w:rsidR="00B863AA" w:rsidRPr="00E6747D">
        <w:rPr>
          <w:rFonts w:asciiTheme="majorHAnsi" w:hAnsiTheme="majorHAnsi"/>
          <w:lang w:val="sq-AL"/>
        </w:rPr>
        <w:t>.</w:t>
      </w:r>
    </w:p>
    <w:p w:rsidR="00E6747D" w:rsidRPr="00E6747D" w:rsidRDefault="00E6747D" w:rsidP="00554F56">
      <w:pPr>
        <w:pStyle w:val="ListParagraph"/>
        <w:numPr>
          <w:ilvl w:val="0"/>
          <w:numId w:val="15"/>
        </w:numPr>
        <w:spacing w:before="0" w:line="240" w:lineRule="auto"/>
        <w:rPr>
          <w:rFonts w:asciiTheme="majorHAnsi" w:hAnsiTheme="majorHAnsi"/>
          <w:lang w:val="sq-AL"/>
        </w:rPr>
      </w:pPr>
      <w:r w:rsidRPr="00E6747D">
        <w:rPr>
          <w:rFonts w:asciiTheme="majorHAnsi" w:hAnsiTheme="majorHAnsi"/>
          <w:lang w:val="sq-AL"/>
        </w:rPr>
        <w:t>Shtesën në masën 7 miliardë lekë për Fondin e Rindërtimit, me qëllim plotësimin e nevojave për financimin e projekteve në vazhdim.</w:t>
      </w:r>
    </w:p>
    <w:p w:rsidR="00DF2457" w:rsidRPr="00E6747D" w:rsidRDefault="00DF2457" w:rsidP="00554F56">
      <w:pPr>
        <w:numPr>
          <w:ilvl w:val="0"/>
          <w:numId w:val="15"/>
        </w:numPr>
        <w:spacing w:before="0" w:line="240" w:lineRule="auto"/>
        <w:contextualSpacing/>
        <w:rPr>
          <w:rFonts w:asciiTheme="majorHAnsi" w:hAnsiTheme="majorHAnsi"/>
          <w:lang w:val="sq-AL"/>
        </w:rPr>
      </w:pPr>
      <w:r w:rsidRPr="00E6747D">
        <w:rPr>
          <w:rFonts w:asciiTheme="majorHAnsi" w:hAnsiTheme="majorHAnsi"/>
          <w:lang w:val="sq-AL"/>
        </w:rPr>
        <w:t>Axhustimet mes zërave të shpenzimeve buxhetore, korente e kapitale, me synimin e optimizimit të realizimit të tyre për pjesën e mbetur të vitit 2021.</w:t>
      </w:r>
    </w:p>
    <w:p w:rsidR="00DF2457" w:rsidRPr="00E6747D" w:rsidRDefault="00DF2457" w:rsidP="00554F56">
      <w:pPr>
        <w:numPr>
          <w:ilvl w:val="0"/>
          <w:numId w:val="15"/>
        </w:numPr>
        <w:spacing w:before="0" w:line="240" w:lineRule="auto"/>
        <w:contextualSpacing/>
        <w:rPr>
          <w:rFonts w:asciiTheme="majorHAnsi" w:hAnsiTheme="majorHAnsi"/>
          <w:lang w:val="sq-AL"/>
        </w:rPr>
      </w:pPr>
      <w:r w:rsidRPr="00E6747D">
        <w:rPr>
          <w:rFonts w:asciiTheme="majorHAnsi" w:hAnsiTheme="majorHAnsi"/>
          <w:lang w:val="sq-AL"/>
        </w:rPr>
        <w:t xml:space="preserve">Reflektimin në kahun e të ardhurave të një rritje në masën 18.2 miliardë lekë, si rezultat i performancës së kënaqshme të realizimit të zërave të tyre për 10 mujorin 2021. Nga të cilat, rritja e të ardhurave tatimore </w:t>
      </w:r>
      <w:r w:rsidR="00E6747D">
        <w:rPr>
          <w:rFonts w:asciiTheme="majorHAnsi" w:hAnsiTheme="majorHAnsi"/>
          <w:lang w:val="sq-AL"/>
        </w:rPr>
        <w:t xml:space="preserve">u </w:t>
      </w:r>
      <w:r w:rsidRPr="00E6747D">
        <w:rPr>
          <w:rFonts w:asciiTheme="majorHAnsi" w:hAnsiTheme="majorHAnsi"/>
          <w:lang w:val="sq-AL"/>
        </w:rPr>
        <w:t>propoz</w:t>
      </w:r>
      <w:r w:rsidR="00E6747D">
        <w:rPr>
          <w:rFonts w:asciiTheme="majorHAnsi" w:hAnsiTheme="majorHAnsi"/>
          <w:lang w:val="sq-AL"/>
        </w:rPr>
        <w:t>ua</w:t>
      </w:r>
      <w:r w:rsidRPr="00E6747D">
        <w:rPr>
          <w:rFonts w:asciiTheme="majorHAnsi" w:hAnsiTheme="majorHAnsi"/>
          <w:lang w:val="sq-AL"/>
        </w:rPr>
        <w:t xml:space="preserve"> në masën 18 miliardë lekë. </w:t>
      </w:r>
    </w:p>
    <w:p w:rsidR="00DF2457" w:rsidRPr="00DF2457" w:rsidRDefault="00DF2457" w:rsidP="00842F80">
      <w:pPr>
        <w:numPr>
          <w:ilvl w:val="0"/>
          <w:numId w:val="49"/>
        </w:numPr>
        <w:spacing w:before="0" w:line="240" w:lineRule="auto"/>
        <w:ind w:left="1080" w:hanging="270"/>
        <w:contextualSpacing/>
        <w:rPr>
          <w:i/>
          <w:lang w:val="sq-AL"/>
        </w:rPr>
      </w:pPr>
      <w:r w:rsidRPr="00DF2457">
        <w:rPr>
          <w:i/>
          <w:lang w:val="sq-AL"/>
        </w:rPr>
        <w:lastRenderedPageBreak/>
        <w:t xml:space="preserve">Kjo rritje </w:t>
      </w:r>
      <w:r w:rsidR="00E6747D">
        <w:rPr>
          <w:i/>
          <w:lang w:val="sq-AL"/>
        </w:rPr>
        <w:t>erdhi</w:t>
      </w:r>
      <w:r w:rsidRPr="00DF2457">
        <w:rPr>
          <w:i/>
          <w:lang w:val="sq-AL"/>
        </w:rPr>
        <w:t xml:space="preserve"> si rezultat i performancës pozitive në arkëtimin e detyrimeve doganore dhe tatimore nga administrate fiskale. Rritja e të ardhurave doganore dhe tatimore tej parametrave të planifikuar  pasqyro</w:t>
      </w:r>
      <w:r w:rsidR="00E6747D">
        <w:rPr>
          <w:i/>
          <w:lang w:val="sq-AL"/>
        </w:rPr>
        <w:t>i</w:t>
      </w:r>
      <w:r w:rsidRPr="00DF2457">
        <w:rPr>
          <w:i/>
          <w:lang w:val="sq-AL"/>
        </w:rPr>
        <w:t xml:space="preserve"> rimëkëmbjen e ekonomisë së vendit pas krizës dhe pasojave që shkaktuan tërmeti i vitit 2019 dhe pandemia Covid-19. Në programimin e të ardhurave të vitit 2021 në fund të vitit 2020, por edhe në prill 2021 kur u përgatit Akti Normativ i ndryshimit të buxhetit, Ministria e Financave dhe Ekonomisë u tregua e kujdesshme me qëllim parashikimin afatgjatë të pasojave të pandemisë dhe efektin negativ që mund të shkaktonte në ekonomi dhe në buxhetin e shtetit  kohëzgjatja e kësaj pandemie. Por faktorë të tillë si vaksinimi me ritme të shpejta i popullsisë, hapja shkallë shkallë e ekonomisë dhe sezoni i verës, i cili rigjallëroi turizmin dhe të gjithë sektorët e tjerë të ekonomisë të lidhur direkt apo indirect me turizmin, ndikua</w:t>
      </w:r>
      <w:r w:rsidR="00E6747D">
        <w:rPr>
          <w:i/>
          <w:lang w:val="sq-AL"/>
        </w:rPr>
        <w:t>n</w:t>
      </w:r>
      <w:r w:rsidRPr="00DF2457">
        <w:rPr>
          <w:i/>
          <w:lang w:val="sq-AL"/>
        </w:rPr>
        <w:t xml:space="preserve"> pozitivisht në rritjen ekonomike dhe të ardhurave që ekonomia gjener</w:t>
      </w:r>
      <w:r w:rsidR="00E6747D">
        <w:rPr>
          <w:i/>
          <w:lang w:val="sq-AL"/>
        </w:rPr>
        <w:t>oi</w:t>
      </w:r>
      <w:r w:rsidRPr="00DF2457">
        <w:rPr>
          <w:i/>
          <w:lang w:val="sq-AL"/>
        </w:rPr>
        <w:t>.</w:t>
      </w:r>
    </w:p>
    <w:p w:rsidR="00DF2457" w:rsidRPr="00DF2457" w:rsidRDefault="00DF2457" w:rsidP="00842F80">
      <w:pPr>
        <w:numPr>
          <w:ilvl w:val="0"/>
          <w:numId w:val="49"/>
        </w:numPr>
        <w:spacing w:before="0" w:line="240" w:lineRule="auto"/>
        <w:ind w:left="1080" w:hanging="270"/>
        <w:contextualSpacing/>
        <w:rPr>
          <w:i/>
          <w:lang w:val="sq-AL"/>
        </w:rPr>
      </w:pPr>
      <w:r w:rsidRPr="00DF2457">
        <w:rPr>
          <w:i/>
          <w:lang w:val="sq-AL"/>
        </w:rPr>
        <w:t>Njëkohësisht sektorë të tillë si ndërtimi, përfshirë edhe rindërtimin për shkak të pasojave të  tërmetit, ndikua</w:t>
      </w:r>
      <w:r w:rsidR="00E6747D">
        <w:rPr>
          <w:i/>
          <w:lang w:val="sq-AL"/>
        </w:rPr>
        <w:t>n në rritjen e qarkullimit, të</w:t>
      </w:r>
      <w:r w:rsidRPr="00DF2457">
        <w:rPr>
          <w:i/>
          <w:lang w:val="sq-AL"/>
        </w:rPr>
        <w:t xml:space="preserve"> importeve, prodhimit të brendshëm si dhe të ardhurave të buxhetit. </w:t>
      </w:r>
    </w:p>
    <w:p w:rsidR="00DF2457" w:rsidRPr="00DF2457" w:rsidRDefault="00DF2457" w:rsidP="00842F80">
      <w:pPr>
        <w:numPr>
          <w:ilvl w:val="0"/>
          <w:numId w:val="49"/>
        </w:numPr>
        <w:spacing w:before="0" w:line="240" w:lineRule="auto"/>
        <w:ind w:left="1080" w:hanging="270"/>
        <w:contextualSpacing/>
        <w:rPr>
          <w:i/>
          <w:lang w:val="sq-AL"/>
        </w:rPr>
      </w:pPr>
      <w:r w:rsidRPr="00DF2457">
        <w:rPr>
          <w:i/>
          <w:lang w:val="sq-AL"/>
        </w:rPr>
        <w:t>Rritje pa</w:t>
      </w:r>
      <w:r w:rsidR="00E6747D">
        <w:rPr>
          <w:i/>
          <w:lang w:val="sq-AL"/>
        </w:rPr>
        <w:t>t</w:t>
      </w:r>
      <w:r w:rsidR="00EF7C8D">
        <w:rPr>
          <w:i/>
          <w:lang w:val="sq-AL"/>
        </w:rPr>
        <w:t>ë</w:t>
      </w:r>
      <w:r w:rsidR="00E6747D">
        <w:rPr>
          <w:i/>
          <w:lang w:val="sq-AL"/>
        </w:rPr>
        <w:t>n</w:t>
      </w:r>
      <w:r w:rsidRPr="00DF2457">
        <w:rPr>
          <w:i/>
          <w:lang w:val="sq-AL"/>
        </w:rPr>
        <w:t xml:space="preserve"> </w:t>
      </w:r>
      <w:r w:rsidR="00E6747D">
        <w:rPr>
          <w:i/>
          <w:lang w:val="sq-AL"/>
        </w:rPr>
        <w:t>dhe</w:t>
      </w:r>
      <w:r w:rsidRPr="00DF2457">
        <w:rPr>
          <w:i/>
          <w:lang w:val="sq-AL"/>
        </w:rPr>
        <w:t xml:space="preserve"> të ardhurat doganore,  k</w:t>
      </w:r>
      <w:r w:rsidR="00E6747D">
        <w:rPr>
          <w:i/>
          <w:lang w:val="sq-AL"/>
        </w:rPr>
        <w:t>u vlen të theksojmë se rreth 80</w:t>
      </w:r>
      <w:r w:rsidRPr="00DF2457">
        <w:rPr>
          <w:i/>
          <w:lang w:val="sq-AL"/>
        </w:rPr>
        <w:t xml:space="preserve">% e rritjes krahasuar me </w:t>
      </w:r>
      <w:r w:rsidR="00E6747D">
        <w:rPr>
          <w:i/>
          <w:lang w:val="sq-AL"/>
        </w:rPr>
        <w:t>2020</w:t>
      </w:r>
      <w:r w:rsidRPr="00DF2457">
        <w:rPr>
          <w:i/>
          <w:lang w:val="sq-AL"/>
        </w:rPr>
        <w:t xml:space="preserve"> i</w:t>
      </w:r>
      <w:r w:rsidR="00E6747D">
        <w:rPr>
          <w:i/>
          <w:lang w:val="sq-AL"/>
        </w:rPr>
        <w:t>u</w:t>
      </w:r>
      <w:r w:rsidRPr="00DF2457">
        <w:rPr>
          <w:i/>
          <w:lang w:val="sq-AL"/>
        </w:rPr>
        <w:t xml:space="preserve"> </w:t>
      </w:r>
      <w:r w:rsidR="00E6747D">
        <w:rPr>
          <w:i/>
          <w:lang w:val="sq-AL"/>
        </w:rPr>
        <w:t>dedikua</w:t>
      </w:r>
      <w:r w:rsidRPr="00DF2457">
        <w:rPr>
          <w:i/>
          <w:lang w:val="sq-AL"/>
        </w:rPr>
        <w:t xml:space="preserve"> rritjes ekon</w:t>
      </w:r>
      <w:r w:rsidR="00E6747D">
        <w:rPr>
          <w:i/>
          <w:lang w:val="sq-AL"/>
        </w:rPr>
        <w:t>omike, pra volumit te importeve.</w:t>
      </w:r>
      <w:r w:rsidRPr="00DF2457">
        <w:rPr>
          <w:i/>
          <w:lang w:val="sq-AL"/>
        </w:rPr>
        <w:t xml:space="preserve"> </w:t>
      </w:r>
      <w:r w:rsidR="00E6747D">
        <w:rPr>
          <w:i/>
          <w:lang w:val="sq-AL"/>
        </w:rPr>
        <w:t>Ndërsa vetëm rreth 20% e shtesës së të ardhurave i referohej</w:t>
      </w:r>
      <w:r w:rsidRPr="00DF2457">
        <w:rPr>
          <w:i/>
          <w:lang w:val="sq-AL"/>
        </w:rPr>
        <w:t xml:space="preserve">  efektit të rritjes së cmimeve të mallrave në tregjet ndërkombetare. </w:t>
      </w:r>
    </w:p>
    <w:p w:rsidR="00F6501B" w:rsidRPr="00FE66EC" w:rsidRDefault="00E6747D" w:rsidP="00FE66EC">
      <w:pPr>
        <w:spacing w:before="0"/>
        <w:rPr>
          <w:rFonts w:asciiTheme="majorHAnsi" w:hAnsiTheme="majorHAnsi"/>
          <w:noProof/>
          <w:szCs w:val="22"/>
          <w:lang w:val="sq-AL"/>
        </w:rPr>
      </w:pPr>
      <w:r>
        <w:rPr>
          <w:rFonts w:asciiTheme="majorHAnsi" w:hAnsiTheme="majorHAnsi"/>
          <w:noProof/>
          <w:szCs w:val="22"/>
          <w:lang w:val="sq-AL"/>
        </w:rPr>
        <w:t>N</w:t>
      </w:r>
      <w:r w:rsidRPr="00E6747D">
        <w:rPr>
          <w:rFonts w:asciiTheme="majorHAnsi" w:hAnsiTheme="majorHAnsi"/>
          <w:noProof/>
          <w:szCs w:val="22"/>
          <w:lang w:val="sq-AL"/>
        </w:rPr>
        <w:t>dryshimet e propozuara nuk prek</w:t>
      </w:r>
      <w:r w:rsidR="00EF7C8D">
        <w:rPr>
          <w:rFonts w:asciiTheme="majorHAnsi" w:hAnsiTheme="majorHAnsi"/>
          <w:noProof/>
          <w:szCs w:val="22"/>
          <w:lang w:val="sq-AL"/>
        </w:rPr>
        <w:t>ë</w:t>
      </w:r>
      <w:r>
        <w:rPr>
          <w:rFonts w:asciiTheme="majorHAnsi" w:hAnsiTheme="majorHAnsi"/>
          <w:noProof/>
          <w:szCs w:val="22"/>
          <w:lang w:val="sq-AL"/>
        </w:rPr>
        <w:t>n</w:t>
      </w:r>
      <w:r w:rsidRPr="00E6747D">
        <w:rPr>
          <w:rFonts w:asciiTheme="majorHAnsi" w:hAnsiTheme="majorHAnsi"/>
          <w:noProof/>
          <w:szCs w:val="22"/>
          <w:lang w:val="sq-AL"/>
        </w:rPr>
        <w:t xml:space="preserve"> deficitin buxhetor, i cili nuk pës</w:t>
      </w:r>
      <w:r>
        <w:rPr>
          <w:rFonts w:asciiTheme="majorHAnsi" w:hAnsiTheme="majorHAnsi"/>
          <w:noProof/>
          <w:szCs w:val="22"/>
          <w:lang w:val="sq-AL"/>
        </w:rPr>
        <w:t>oi</w:t>
      </w:r>
      <w:r w:rsidRPr="00E6747D">
        <w:rPr>
          <w:rFonts w:asciiTheme="majorHAnsi" w:hAnsiTheme="majorHAnsi"/>
          <w:noProof/>
          <w:szCs w:val="22"/>
          <w:lang w:val="sq-AL"/>
        </w:rPr>
        <w:t xml:space="preserve"> ndryshime në këtë akt normativ. Kjo, nisur nga ecuria pozitive e të ardhurave buxhetore që </w:t>
      </w:r>
      <w:r>
        <w:rPr>
          <w:rFonts w:asciiTheme="majorHAnsi" w:hAnsiTheme="majorHAnsi"/>
          <w:noProof/>
          <w:szCs w:val="22"/>
          <w:lang w:val="sq-AL"/>
        </w:rPr>
        <w:t>solli</w:t>
      </w:r>
      <w:r w:rsidRPr="00E6747D">
        <w:rPr>
          <w:rFonts w:asciiTheme="majorHAnsi" w:hAnsiTheme="majorHAnsi"/>
          <w:noProof/>
          <w:szCs w:val="22"/>
          <w:lang w:val="sq-AL"/>
        </w:rPr>
        <w:t xml:space="preserve"> edhe mbulimin e plotë të të gjitha nevojave për financim në kahun e shpenzimeve, të akomoduara përmes këtij akti normativ për vitin 2021</w:t>
      </w:r>
      <w:r w:rsidR="000279F1" w:rsidRPr="00476D2E">
        <w:rPr>
          <w:rFonts w:asciiTheme="majorHAnsi" w:hAnsiTheme="majorHAnsi"/>
          <w:noProof/>
          <w:szCs w:val="22"/>
          <w:lang w:val="sq-AL"/>
        </w:rPr>
        <w:t xml:space="preserve">. </w:t>
      </w:r>
    </w:p>
    <w:p w:rsidR="009B5CB0" w:rsidRDefault="009B5CB0" w:rsidP="00B863AA">
      <w:pPr>
        <w:tabs>
          <w:tab w:val="left" w:pos="709"/>
        </w:tabs>
        <w:rPr>
          <w:rFonts w:cs="Calibri"/>
          <w:lang w:val="sq-AL"/>
        </w:rPr>
      </w:pPr>
    </w:p>
    <w:p w:rsidR="00554F56" w:rsidRPr="00476D2E" w:rsidRDefault="00554F56" w:rsidP="00B863AA">
      <w:pPr>
        <w:tabs>
          <w:tab w:val="left" w:pos="709"/>
        </w:tabs>
        <w:rPr>
          <w:rFonts w:cs="Calibri"/>
          <w:lang w:val="sq-AL"/>
        </w:rPr>
      </w:pPr>
    </w:p>
    <w:p w:rsidR="008134E0" w:rsidRPr="00F74CA9" w:rsidRDefault="008134E0" w:rsidP="008134E0">
      <w:pPr>
        <w:pStyle w:val="Fiskale2"/>
        <w:rPr>
          <w:rFonts w:ascii="Calibri" w:hAnsi="Calibri" w:cs="Calibri"/>
        </w:rPr>
      </w:pPr>
      <w:bookmarkStart w:id="150" w:name="_Toc104980336"/>
      <w:bookmarkEnd w:id="145"/>
      <w:bookmarkEnd w:id="146"/>
      <w:bookmarkEnd w:id="147"/>
      <w:bookmarkEnd w:id="148"/>
      <w:bookmarkEnd w:id="149"/>
      <w:r w:rsidRPr="00F74CA9">
        <w:rPr>
          <w:rFonts w:ascii="Calibri" w:hAnsi="Calibri" w:cs="Calibri"/>
        </w:rPr>
        <w:t>Fondi Rezervë dhe Kontigjenca</w:t>
      </w:r>
      <w:bookmarkEnd w:id="150"/>
    </w:p>
    <w:p w:rsidR="006D2F9F" w:rsidRDefault="006D5155" w:rsidP="006D2F9F">
      <w:pPr>
        <w:spacing w:before="240"/>
        <w:rPr>
          <w:rFonts w:eastAsia="SimSun" w:cs="Calibri"/>
          <w:lang w:val="sq-AL"/>
        </w:rPr>
      </w:pPr>
      <w:r w:rsidRPr="00476D2E">
        <w:rPr>
          <w:rFonts w:eastAsia="SimSun" w:cs="Calibri"/>
          <w:i/>
          <w:u w:val="single"/>
          <w:lang w:val="sq-AL"/>
        </w:rPr>
        <w:t>Fondi Rezervë i buxhetit të shtetit 202</w:t>
      </w:r>
      <w:r w:rsidR="00F74CA9">
        <w:rPr>
          <w:rFonts w:eastAsia="SimSun" w:cs="Calibri"/>
          <w:i/>
          <w:u w:val="single"/>
          <w:lang w:val="sq-AL"/>
        </w:rPr>
        <w:t>1</w:t>
      </w:r>
      <w:r w:rsidRPr="00476D2E">
        <w:rPr>
          <w:rFonts w:eastAsia="SimSun" w:cs="Calibri"/>
          <w:lang w:val="sq-AL"/>
        </w:rPr>
        <w:t xml:space="preserve"> i </w:t>
      </w:r>
      <w:r w:rsidR="006D2F9F" w:rsidRPr="00476D2E">
        <w:rPr>
          <w:rFonts w:eastAsia="SimSun" w:cs="Calibri"/>
          <w:lang w:val="sq-AL"/>
        </w:rPr>
        <w:t xml:space="preserve">planifikuar për </w:t>
      </w:r>
      <w:r w:rsidR="006D2F9F">
        <w:rPr>
          <w:rFonts w:eastAsia="SimSun" w:cs="Calibri"/>
          <w:lang w:val="sq-AL"/>
        </w:rPr>
        <w:t>4</w:t>
      </w:r>
      <w:r w:rsidR="006D2F9F" w:rsidRPr="00476D2E">
        <w:rPr>
          <w:rFonts w:eastAsia="SimSun" w:cs="Calibri"/>
          <w:lang w:val="sq-AL"/>
        </w:rPr>
        <w:t xml:space="preserve"> miliardë lekë në buxhetin fillestar u rishikua </w:t>
      </w:r>
      <w:r w:rsidR="006D2F9F">
        <w:rPr>
          <w:rFonts w:eastAsia="SimSun" w:cs="Calibri"/>
          <w:lang w:val="sq-AL"/>
        </w:rPr>
        <w:t xml:space="preserve">4 </w:t>
      </w:r>
      <w:r w:rsidR="006D2F9F" w:rsidRPr="00476D2E">
        <w:rPr>
          <w:rFonts w:eastAsia="SimSun" w:cs="Calibri"/>
          <w:lang w:val="sq-AL"/>
        </w:rPr>
        <w:t>herë gjatë vitit 202</w:t>
      </w:r>
      <w:r w:rsidR="006D2F9F">
        <w:rPr>
          <w:rFonts w:eastAsia="SimSun" w:cs="Calibri"/>
          <w:lang w:val="sq-AL"/>
        </w:rPr>
        <w:t>1</w:t>
      </w:r>
      <w:r w:rsidR="006D2F9F" w:rsidRPr="00476D2E">
        <w:rPr>
          <w:rFonts w:eastAsia="SimSun" w:cs="Calibri"/>
          <w:lang w:val="sq-AL"/>
        </w:rPr>
        <w:t xml:space="preserve"> në kuadër të </w:t>
      </w:r>
      <w:r w:rsidR="006D2F9F">
        <w:rPr>
          <w:rFonts w:eastAsia="SimSun" w:cs="Calibri"/>
          <w:lang w:val="sq-AL"/>
        </w:rPr>
        <w:t xml:space="preserve"> fondeve shtesë për masat anti Covid19 si edhe nevojave për fonde shtesë për disa projekte kapitale</w:t>
      </w:r>
      <w:r w:rsidR="006D2F9F" w:rsidRPr="00476D2E">
        <w:rPr>
          <w:rFonts w:eastAsia="SimSun" w:cs="Calibri"/>
          <w:lang w:val="sq-AL"/>
        </w:rPr>
        <w:t>. Përkatësisht</w:t>
      </w:r>
      <w:r w:rsidR="006D2F9F">
        <w:rPr>
          <w:rFonts w:eastAsia="SimSun" w:cs="Calibri"/>
          <w:lang w:val="sq-AL"/>
        </w:rPr>
        <w:t>:0</w:t>
      </w:r>
    </w:p>
    <w:p w:rsidR="006D2F9F" w:rsidRPr="006D2F9F" w:rsidRDefault="006D2F9F" w:rsidP="00842F80">
      <w:pPr>
        <w:pStyle w:val="ListParagraph"/>
        <w:numPr>
          <w:ilvl w:val="0"/>
          <w:numId w:val="44"/>
        </w:numPr>
        <w:spacing w:before="0"/>
        <w:ind w:left="360"/>
        <w:rPr>
          <w:rFonts w:eastAsia="SimSun" w:cs="Calibri"/>
          <w:i/>
          <w:lang w:val="sq-AL"/>
        </w:rPr>
      </w:pPr>
      <w:r w:rsidRPr="006D2F9F">
        <w:rPr>
          <w:rFonts w:eastAsia="SimSun" w:cs="Calibri"/>
          <w:i/>
          <w:lang w:val="sq-AL"/>
        </w:rPr>
        <w:t xml:space="preserve">Akti Normativ nr.4 datë 5.02.2021 e rriti fondin rezervë në 5 miliardë lekë,  </w:t>
      </w:r>
    </w:p>
    <w:p w:rsidR="006D2F9F" w:rsidRPr="006D2F9F" w:rsidRDefault="006D2F9F" w:rsidP="00842F80">
      <w:pPr>
        <w:pStyle w:val="ListParagraph"/>
        <w:numPr>
          <w:ilvl w:val="0"/>
          <w:numId w:val="44"/>
        </w:numPr>
        <w:spacing w:before="240"/>
        <w:ind w:left="360"/>
        <w:rPr>
          <w:rFonts w:eastAsia="SimSun" w:cs="Calibri"/>
          <w:i/>
          <w:lang w:val="sq-AL"/>
        </w:rPr>
      </w:pPr>
      <w:r w:rsidRPr="006D2F9F">
        <w:rPr>
          <w:rFonts w:eastAsia="SimSun" w:cs="Calibri"/>
          <w:i/>
          <w:lang w:val="sq-AL"/>
        </w:rPr>
        <w:t xml:space="preserve">Akti Normativ nr.8 datë 22.03.2021 ndryshoi masën e përdorimit të tij sipas strukturës së parashikuar, </w:t>
      </w:r>
    </w:p>
    <w:p w:rsidR="006D2F9F" w:rsidRPr="006D2F9F" w:rsidRDefault="006D2F9F" w:rsidP="00842F80">
      <w:pPr>
        <w:pStyle w:val="ListParagraph"/>
        <w:numPr>
          <w:ilvl w:val="0"/>
          <w:numId w:val="44"/>
        </w:numPr>
        <w:spacing w:before="240"/>
        <w:ind w:left="360"/>
        <w:rPr>
          <w:rFonts w:eastAsia="SimSun" w:cs="Calibri"/>
          <w:i/>
          <w:lang w:val="sq-AL"/>
        </w:rPr>
      </w:pPr>
      <w:r w:rsidRPr="006D2F9F">
        <w:rPr>
          <w:rFonts w:eastAsia="SimSun" w:cs="Calibri"/>
          <w:i/>
          <w:lang w:val="sq-AL"/>
        </w:rPr>
        <w:t xml:space="preserve">Akti Normativ nr.18, datë 14.04.2021 e rriti fondin rezervë në 7 miliardë lekë, dhe </w:t>
      </w:r>
    </w:p>
    <w:p w:rsidR="006D2F9F" w:rsidRPr="006D2F9F" w:rsidRDefault="006D2F9F" w:rsidP="00842F80">
      <w:pPr>
        <w:pStyle w:val="ListParagraph"/>
        <w:numPr>
          <w:ilvl w:val="0"/>
          <w:numId w:val="44"/>
        </w:numPr>
        <w:spacing w:before="240"/>
        <w:ind w:left="360"/>
        <w:rPr>
          <w:rFonts w:eastAsia="SimSun" w:cs="Calibri"/>
          <w:i/>
          <w:lang w:val="sq-AL"/>
        </w:rPr>
      </w:pPr>
      <w:r w:rsidRPr="006D2F9F">
        <w:rPr>
          <w:rFonts w:eastAsia="SimSun" w:cs="Calibri"/>
          <w:i/>
          <w:lang w:val="sq-AL"/>
        </w:rPr>
        <w:t xml:space="preserve">Akti Normativ nr 26, datë 22.06.2021 e rriti fondin rezervë në 9 miliardë lekë, ndër të cilat, 8 miliardë lekë për raste të paparashikuara të njësive të qeverisjes së përgjithshme dhe 1 miliardë lekë për përballimin e kostos së zgjedhjeve për Kuvendin e vitit 2021. </w:t>
      </w:r>
    </w:p>
    <w:p w:rsidR="006D2F9F" w:rsidRPr="006D2F9F" w:rsidRDefault="006D2F9F" w:rsidP="006D2F9F">
      <w:pPr>
        <w:spacing w:before="0"/>
        <w:rPr>
          <w:rFonts w:eastAsia="SimSun" w:cs="Calibri"/>
          <w:sz w:val="8"/>
          <w:szCs w:val="8"/>
          <w:lang w:val="sq-AL"/>
        </w:rPr>
      </w:pPr>
    </w:p>
    <w:p w:rsidR="006D2F9F" w:rsidRPr="006D2F9F" w:rsidRDefault="006D2F9F" w:rsidP="006D2F9F">
      <w:pPr>
        <w:spacing w:before="0"/>
        <w:rPr>
          <w:rFonts w:eastAsia="SimSun" w:cs="Calibri"/>
          <w:lang w:val="sq-AL"/>
        </w:rPr>
      </w:pPr>
      <w:r w:rsidRPr="006D2F9F">
        <w:rPr>
          <w:rFonts w:eastAsia="SimSun" w:cs="Calibri"/>
          <w:lang w:val="sq-AL"/>
        </w:rPr>
        <w:t>Gjatë vitit 2021 fondi rezervë u përdor si më poshtë:</w:t>
      </w:r>
    </w:p>
    <w:p w:rsidR="006D2F9F" w:rsidRPr="006D2F9F" w:rsidRDefault="006D2F9F" w:rsidP="00842F80">
      <w:pPr>
        <w:pStyle w:val="ListParagraph"/>
        <w:numPr>
          <w:ilvl w:val="0"/>
          <w:numId w:val="44"/>
        </w:numPr>
        <w:spacing w:before="0"/>
        <w:ind w:left="360"/>
        <w:rPr>
          <w:rFonts w:eastAsia="SimSun" w:cs="Calibri"/>
          <w:lang w:val="sq-AL"/>
        </w:rPr>
      </w:pPr>
      <w:r w:rsidRPr="006D2F9F">
        <w:rPr>
          <w:rFonts w:eastAsia="SimSun" w:cs="Calibri"/>
          <w:i/>
          <w:lang w:val="sq-AL"/>
        </w:rPr>
        <w:t xml:space="preserve">Fondi Rezervë për raste të paparashikuara të njësive të qeverisjes së përgjithshme, </w:t>
      </w:r>
      <w:r w:rsidRPr="006D2F9F">
        <w:rPr>
          <w:rFonts w:eastAsia="SimSun" w:cs="Calibri"/>
          <w:lang w:val="sq-AL"/>
        </w:rPr>
        <w:t xml:space="preserve">prej 8 miliardë lekë, është përdorur për shpenzime të tjera korrente (shpenzime operative dhe transferta rreth 84 për qind, nga te cilat rreth 3.4 miliard lekë janë përdorur për blerjen e vaksinave, 596 milion lekë shpenzime për masa të tjera anti Covid dhe 2.6 miliardë lekë për shpenzime të tjera korrente); për investime publike (rreth 9 për qind) dhe për shpenzime personeli (rreth 4 për qind). </w:t>
      </w:r>
    </w:p>
    <w:p w:rsidR="006D2F9F" w:rsidRDefault="006D2F9F" w:rsidP="00842F80">
      <w:pPr>
        <w:pStyle w:val="ListParagraph"/>
        <w:numPr>
          <w:ilvl w:val="0"/>
          <w:numId w:val="44"/>
        </w:numPr>
        <w:spacing w:before="0"/>
        <w:ind w:left="360"/>
        <w:rPr>
          <w:rFonts w:eastAsia="SimSun" w:cs="Calibri"/>
          <w:lang w:val="sq-AL"/>
        </w:rPr>
      </w:pPr>
      <w:r w:rsidRPr="006D2F9F">
        <w:rPr>
          <w:rFonts w:eastAsia="SimSun" w:cs="Calibri"/>
          <w:i/>
          <w:lang w:val="sq-AL"/>
        </w:rPr>
        <w:t xml:space="preserve">Fondi Rezervë prej 1 miliardë lekë për përballimin e kostos së zgjedhjeve për Kuvendin e vitit 2021, </w:t>
      </w:r>
      <w:r w:rsidRPr="006D2F9F">
        <w:rPr>
          <w:rFonts w:eastAsia="SimSun" w:cs="Calibri"/>
          <w:lang w:val="sq-AL"/>
        </w:rPr>
        <w:t xml:space="preserve">është përdorur plotësisht. </w:t>
      </w:r>
    </w:p>
    <w:p w:rsidR="009B5CB0" w:rsidRPr="00FE66EC" w:rsidRDefault="006D2F9F" w:rsidP="00FE66EC">
      <w:pPr>
        <w:spacing w:before="0" w:line="240" w:lineRule="auto"/>
        <w:rPr>
          <w:rFonts w:eastAsia="SimSun" w:cs="Calibri"/>
          <w:lang w:val="sq-AL"/>
        </w:rPr>
      </w:pPr>
      <w:r w:rsidRPr="006D2F9F">
        <w:rPr>
          <w:rFonts w:eastAsia="SimSun" w:cs="Calibri"/>
          <w:lang w:val="sq-AL"/>
        </w:rPr>
        <w:t xml:space="preserve">Në mënyrë të detajuar fondet e akorduara sipas VKM-ve, paraqiten në </w:t>
      </w:r>
      <w:r w:rsidRPr="006D2F9F">
        <w:rPr>
          <w:rFonts w:eastAsia="SimSun" w:cs="Calibri"/>
          <w:b/>
          <w:lang w:val="sq-AL"/>
        </w:rPr>
        <w:t>Aneksin ç “Tabela analitike e përdorimit të Fondit Rezervë 2021”</w:t>
      </w:r>
      <w:r w:rsidR="006D5155" w:rsidRPr="006D2F9F">
        <w:rPr>
          <w:rFonts w:eastAsia="SimSun" w:cs="Calibri"/>
          <w:lang w:val="sq-AL"/>
        </w:rPr>
        <w:t>.</w:t>
      </w:r>
    </w:p>
    <w:p w:rsidR="009B5CB0" w:rsidRDefault="009B5CB0" w:rsidP="00EA65E0">
      <w:pPr>
        <w:rPr>
          <w:rFonts w:cs="Calibri"/>
          <w:bCs/>
          <w:i/>
          <w:u w:val="single"/>
          <w:lang w:val="sq-AL"/>
        </w:rPr>
      </w:pPr>
    </w:p>
    <w:p w:rsidR="00EA65E0" w:rsidRDefault="006D5155" w:rsidP="00EA65E0">
      <w:pPr>
        <w:rPr>
          <w:rFonts w:cs="Calibri"/>
          <w:bCs/>
          <w:lang w:val="sq-AL"/>
        </w:rPr>
      </w:pPr>
      <w:r w:rsidRPr="00EA65E0">
        <w:rPr>
          <w:rFonts w:cs="Calibri"/>
          <w:bCs/>
          <w:i/>
          <w:u w:val="single"/>
          <w:lang w:val="sq-AL"/>
        </w:rPr>
        <w:lastRenderedPageBreak/>
        <w:t>Fondet buxhetore të akorduara për masat anti-COVID19</w:t>
      </w:r>
      <w:r w:rsidRPr="00EA65E0">
        <w:rPr>
          <w:rFonts w:cs="Calibri"/>
          <w:bCs/>
          <w:lang w:val="sq-AL"/>
        </w:rPr>
        <w:t xml:space="preserve"> – Me </w:t>
      </w:r>
      <w:r w:rsidR="00EA65E0">
        <w:rPr>
          <w:rFonts w:cs="Calibri"/>
          <w:bCs/>
          <w:lang w:val="sq-AL"/>
        </w:rPr>
        <w:t>L</w:t>
      </w:r>
      <w:r w:rsidR="00EA65E0" w:rsidRPr="00476D2E">
        <w:rPr>
          <w:rFonts w:cs="Calibri"/>
          <w:bCs/>
          <w:lang w:val="sq-AL"/>
        </w:rPr>
        <w:t xml:space="preserve">igjin </w:t>
      </w:r>
      <w:r w:rsidR="00EA65E0" w:rsidRPr="00EA65E0">
        <w:rPr>
          <w:rFonts w:cs="Calibri"/>
          <w:bCs/>
          <w:lang w:val="sq-AL"/>
        </w:rPr>
        <w:t>nr.137/2020 “</w:t>
      </w:r>
      <w:r w:rsidR="00EA65E0" w:rsidRPr="00EA65E0">
        <w:rPr>
          <w:rFonts w:cs="Calibri"/>
          <w:bCs/>
          <w:i/>
          <w:lang w:val="sq-AL"/>
        </w:rPr>
        <w:t>Për buxhetin e vitit 2021, i ndryshuar</w:t>
      </w:r>
      <w:r w:rsidR="00EA65E0" w:rsidRPr="00EA65E0">
        <w:rPr>
          <w:rFonts w:cs="Calibri"/>
          <w:bCs/>
          <w:lang w:val="sq-AL"/>
        </w:rPr>
        <w:t>”</w:t>
      </w:r>
      <w:r w:rsidR="00EA65E0" w:rsidRPr="00476D2E">
        <w:rPr>
          <w:rFonts w:cs="Calibri"/>
          <w:bCs/>
          <w:lang w:val="sq-AL"/>
        </w:rPr>
        <w:t>, në zërin e Fondit Rezervë të buxhetit të shtetit</w:t>
      </w:r>
      <w:r w:rsidR="00EA65E0" w:rsidRPr="00EA65E0">
        <w:rPr>
          <w:rFonts w:cs="Calibri"/>
          <w:bCs/>
          <w:lang w:val="sq-AL"/>
        </w:rPr>
        <w:t xml:space="preserve"> </w:t>
      </w:r>
      <w:r w:rsidR="00EA65E0">
        <w:rPr>
          <w:rFonts w:cs="Calibri"/>
          <w:bCs/>
          <w:lang w:val="sq-AL"/>
        </w:rPr>
        <w:t xml:space="preserve">si edhe me </w:t>
      </w:r>
      <w:r w:rsidRPr="00EA65E0">
        <w:rPr>
          <w:rFonts w:cs="Calibri"/>
          <w:bCs/>
          <w:lang w:val="sq-AL"/>
        </w:rPr>
        <w:t>Aktet Normative të miratuara gjatë vitit 202</w:t>
      </w:r>
      <w:r w:rsidR="00EA65E0">
        <w:rPr>
          <w:rFonts w:cs="Calibri"/>
          <w:bCs/>
          <w:lang w:val="sq-AL"/>
        </w:rPr>
        <w:t>1</w:t>
      </w:r>
      <w:r w:rsidRPr="00EA65E0">
        <w:rPr>
          <w:rFonts w:cs="Calibri"/>
          <w:bCs/>
          <w:lang w:val="sq-AL"/>
        </w:rPr>
        <w:t>, janë</w:t>
      </w:r>
      <w:r w:rsidRPr="00476D2E">
        <w:rPr>
          <w:rFonts w:cs="Calibri"/>
          <w:bCs/>
          <w:lang w:val="sq-AL"/>
        </w:rPr>
        <w:t xml:space="preserve"> </w:t>
      </w:r>
      <w:r w:rsidR="00EA65E0">
        <w:rPr>
          <w:rFonts w:cs="Calibri"/>
          <w:bCs/>
          <w:lang w:val="sq-AL"/>
        </w:rPr>
        <w:t>siguruar financimet e nevojshme për</w:t>
      </w:r>
      <w:r w:rsidRPr="00476D2E">
        <w:rPr>
          <w:rFonts w:cs="Calibri"/>
          <w:bCs/>
          <w:lang w:val="sq-AL"/>
        </w:rPr>
        <w:t xml:space="preserve"> përballimin e situatës së krijuar si pasojë e Pandemisë Covid19. </w:t>
      </w:r>
      <w:r w:rsidR="00EA65E0">
        <w:rPr>
          <w:rFonts w:cs="Calibri"/>
          <w:bCs/>
          <w:lang w:val="sq-AL"/>
        </w:rPr>
        <w:t>Kështu:</w:t>
      </w:r>
    </w:p>
    <w:p w:rsidR="00EA65E0" w:rsidRPr="00EA65E0" w:rsidRDefault="00EA65E0" w:rsidP="00842F80">
      <w:pPr>
        <w:pStyle w:val="ListParagraph"/>
        <w:numPr>
          <w:ilvl w:val="0"/>
          <w:numId w:val="44"/>
        </w:numPr>
        <w:spacing w:before="0"/>
        <w:ind w:left="360"/>
        <w:rPr>
          <w:rFonts w:eastAsia="SimSun" w:cs="Calibri"/>
          <w:i/>
          <w:lang w:val="sq-AL"/>
        </w:rPr>
      </w:pPr>
      <w:r>
        <w:rPr>
          <w:rFonts w:eastAsia="SimSun" w:cs="Calibri"/>
          <w:i/>
          <w:lang w:val="sq-AL"/>
        </w:rPr>
        <w:t>Pë</w:t>
      </w:r>
      <w:r w:rsidRPr="00EA65E0">
        <w:rPr>
          <w:rFonts w:eastAsia="SimSun" w:cs="Calibri"/>
          <w:i/>
          <w:lang w:val="sq-AL"/>
        </w:rPr>
        <w:t xml:space="preserve">rmes Ligjit nr.137/2020 “Për buxhetin e vitit 2021” (fillestar) në buxhetin e MSHMS u planifikuan fonde në një vlerë rreth 6 miliardë lekë, në kuadër të masave të Pandemisë Covid-19. </w:t>
      </w:r>
    </w:p>
    <w:p w:rsidR="00EA65E0" w:rsidRPr="00EA65E0" w:rsidRDefault="00EA65E0" w:rsidP="00842F80">
      <w:pPr>
        <w:pStyle w:val="ListParagraph"/>
        <w:numPr>
          <w:ilvl w:val="0"/>
          <w:numId w:val="44"/>
        </w:numPr>
        <w:spacing w:before="0"/>
        <w:ind w:left="360"/>
        <w:rPr>
          <w:rFonts w:eastAsia="SimSun" w:cs="Calibri"/>
          <w:i/>
          <w:lang w:val="sq-AL"/>
        </w:rPr>
      </w:pPr>
      <w:r w:rsidRPr="00EA65E0">
        <w:rPr>
          <w:rFonts w:eastAsia="SimSun" w:cs="Calibri"/>
          <w:i/>
          <w:lang w:val="sq-AL"/>
        </w:rPr>
        <w:t xml:space="preserve">Nëpërmjet VKM nr.85 datë 10.02.2021 “Për një shtesë në VKM nr.597 datë 04.09.2019 “Për përcaktimin e procedurave, dokumentacionit dhe masës mujore të ndihmës ekonomike dhe përdorimit të fondeve shtesë mbi fondin e kushtëzuar për ndihmën ekonomike”, në kuadër të masave anti Covid-19 u miratua dyfishimi i shumës së ndihmës ekonomike për gjashtëmujorin e parë të vitit 2021. </w:t>
      </w:r>
      <w:r w:rsidRPr="00EA65E0">
        <w:rPr>
          <w:rFonts w:cs="Calibri"/>
          <w:bCs/>
          <w:i/>
          <w:lang w:val="sq-AL"/>
        </w:rPr>
        <w:t>Efekti financiar në vlerën prej 2.1 miliard lekë u akordua n</w:t>
      </w:r>
      <w:r>
        <w:rPr>
          <w:rFonts w:cs="Calibri"/>
          <w:bCs/>
          <w:i/>
          <w:lang w:val="sq-AL"/>
        </w:rPr>
        <w:t>ë</w:t>
      </w:r>
      <w:r w:rsidRPr="00EA65E0">
        <w:rPr>
          <w:rFonts w:cs="Calibri"/>
          <w:bCs/>
          <w:i/>
          <w:lang w:val="sq-AL"/>
        </w:rPr>
        <w:t xml:space="preserve"> buxhetin e MSHMS për vitin 2021</w:t>
      </w:r>
      <w:r>
        <w:rPr>
          <w:rFonts w:cs="Calibri"/>
          <w:bCs/>
          <w:i/>
          <w:lang w:val="sq-AL"/>
        </w:rPr>
        <w:t xml:space="preserve">, </w:t>
      </w:r>
      <w:r w:rsidRPr="00EA65E0">
        <w:rPr>
          <w:rFonts w:cs="Calibri"/>
          <w:bCs/>
          <w:i/>
          <w:lang w:val="sq-AL"/>
        </w:rPr>
        <w:t>me ligjin nr.137/2020 “Për buxhetin e vitit 2021”.</w:t>
      </w:r>
    </w:p>
    <w:p w:rsidR="00EA65E0" w:rsidRPr="00EA65E0" w:rsidRDefault="00EA65E0" w:rsidP="00842F80">
      <w:pPr>
        <w:pStyle w:val="ListParagraph"/>
        <w:numPr>
          <w:ilvl w:val="0"/>
          <w:numId w:val="44"/>
        </w:numPr>
        <w:spacing w:before="0"/>
        <w:ind w:left="360"/>
        <w:rPr>
          <w:rFonts w:eastAsia="SimSun" w:cs="Calibri"/>
          <w:i/>
          <w:lang w:val="sq-AL"/>
        </w:rPr>
      </w:pPr>
      <w:r w:rsidRPr="00EA65E0">
        <w:rPr>
          <w:rFonts w:eastAsia="SimSun" w:cs="Calibri"/>
          <w:i/>
          <w:lang w:val="sq-AL"/>
        </w:rPr>
        <w:t>Ndërkohë, nëpërmjet miratimit të katër Akteve Normative të buxhetit të vitit 2021, me qëllim përballimin e shpenzimeve për blerjen e vaksinave të nevojshme për popullsinë është rritur masa e Fondit Rezervë të buxhetit të shtetit për vitin 2021. Kështu, Fondi rezervë i parashikuar në ligjin fillestar prej 2 miliardë lekësh të planifikuar për financimin e rasteve të paparashikuara, me miratimin e katër akteve normative u ndryshua në vlerën 8</w:t>
      </w:r>
      <w:r w:rsidR="00554F56">
        <w:rPr>
          <w:rFonts w:eastAsia="SimSun" w:cs="Calibri"/>
          <w:i/>
          <w:lang w:val="sq-AL"/>
        </w:rPr>
        <w:t>mld</w:t>
      </w:r>
      <w:r w:rsidRPr="00EA65E0">
        <w:rPr>
          <w:rFonts w:eastAsia="SimSun" w:cs="Calibri"/>
          <w:i/>
          <w:lang w:val="sq-AL"/>
        </w:rPr>
        <w:t xml:space="preserve"> lekë. </w:t>
      </w:r>
    </w:p>
    <w:p w:rsidR="00EA65E0" w:rsidRPr="00EA65E0" w:rsidRDefault="00EA65E0" w:rsidP="00842F80">
      <w:pPr>
        <w:numPr>
          <w:ilvl w:val="0"/>
          <w:numId w:val="45"/>
        </w:numPr>
        <w:spacing w:before="0"/>
        <w:rPr>
          <w:rFonts w:cs="Calibri"/>
          <w:bCs/>
          <w:lang w:val="sq-AL"/>
        </w:rPr>
      </w:pPr>
      <w:r w:rsidRPr="00EA65E0">
        <w:rPr>
          <w:rFonts w:cs="Calibri"/>
          <w:bCs/>
          <w:lang w:val="sq-AL"/>
        </w:rPr>
        <w:t xml:space="preserve">Fondi rezervë i Buxhetit të Shtetit në zbatim të VKM-ve të miratuara është përdorur në vlerën rreth </w:t>
      </w:r>
      <w:r>
        <w:rPr>
          <w:rFonts w:cs="Calibri"/>
          <w:bCs/>
          <w:lang w:val="sq-AL"/>
        </w:rPr>
        <w:t xml:space="preserve">              </w:t>
      </w:r>
      <w:r w:rsidRPr="00EA65E0">
        <w:rPr>
          <w:rFonts w:cs="Calibri"/>
          <w:bCs/>
          <w:lang w:val="sq-AL"/>
        </w:rPr>
        <w:t xml:space="preserve">4.1 miliardë lekë për masat shtesë në luftën kundër Covid-19 dhe për blerjen e vaksinave të nevojshme për vaksinimin e popullatës. </w:t>
      </w:r>
    </w:p>
    <w:p w:rsidR="00EA65E0" w:rsidRPr="00EA65E0" w:rsidRDefault="00EA65E0" w:rsidP="00842F80">
      <w:pPr>
        <w:numPr>
          <w:ilvl w:val="0"/>
          <w:numId w:val="46"/>
        </w:numPr>
        <w:spacing w:before="0" w:line="240" w:lineRule="auto"/>
        <w:rPr>
          <w:rFonts w:cs="Calibri"/>
          <w:bCs/>
          <w:i/>
          <w:lang w:val="sq-AL"/>
        </w:rPr>
      </w:pPr>
      <w:r w:rsidRPr="00EA65E0">
        <w:rPr>
          <w:rFonts w:cs="Calibri"/>
          <w:bCs/>
          <w:i/>
          <w:lang w:val="sq-AL"/>
        </w:rPr>
        <w:t xml:space="preserve">Konkretisht, shuma e fondeve të miratuara për blerjen e vaksinave është 3.5 miliardë lekë, nga të cilat janë përdorur 3.4 miliardë lekë ose 98% e fondit total të akorduar për këtë qëllim. </w:t>
      </w:r>
    </w:p>
    <w:p w:rsidR="00EA65E0" w:rsidRPr="00EA65E0" w:rsidRDefault="00EA65E0" w:rsidP="00842F80">
      <w:pPr>
        <w:numPr>
          <w:ilvl w:val="0"/>
          <w:numId w:val="46"/>
        </w:numPr>
        <w:spacing w:before="0" w:line="240" w:lineRule="auto"/>
        <w:rPr>
          <w:rFonts w:cs="Calibri"/>
          <w:bCs/>
          <w:i/>
          <w:lang w:val="sq-AL"/>
        </w:rPr>
      </w:pPr>
      <w:r w:rsidRPr="00EA65E0">
        <w:rPr>
          <w:rFonts w:cs="Calibri"/>
          <w:bCs/>
          <w:i/>
          <w:lang w:val="sq-AL"/>
        </w:rPr>
        <w:t xml:space="preserve">Për financimin e masave të tjera për përballimin e shpenzimeve Covid-19 janë miratuar rreth </w:t>
      </w:r>
      <w:r>
        <w:rPr>
          <w:rFonts w:cs="Calibri"/>
          <w:bCs/>
          <w:i/>
          <w:lang w:val="sq-AL"/>
        </w:rPr>
        <w:t xml:space="preserve">                      </w:t>
      </w:r>
      <w:r w:rsidRPr="00EA65E0">
        <w:rPr>
          <w:rFonts w:cs="Calibri"/>
          <w:bCs/>
          <w:i/>
          <w:lang w:val="sq-AL"/>
        </w:rPr>
        <w:t xml:space="preserve">0.6 miliardë lekë, nga të cilat janë përdorur 0.5 miliardë lekë ose 87% e totalit të fondeve. </w:t>
      </w:r>
    </w:p>
    <w:p w:rsidR="00207749" w:rsidRPr="00FE66EC" w:rsidRDefault="006D5155" w:rsidP="002174D9">
      <w:pPr>
        <w:rPr>
          <w:rFonts w:cs="Calibri"/>
          <w:bCs/>
          <w:lang w:val="sq-AL"/>
        </w:rPr>
      </w:pPr>
      <w:r w:rsidRPr="00476D2E">
        <w:rPr>
          <w:rFonts w:cs="Calibri"/>
          <w:bCs/>
          <w:lang w:val="sq-AL"/>
        </w:rPr>
        <w:t xml:space="preserve">Në mënyrë të detajuar fondet buxhetore të akorduara për masat anti-COVID19, paraqiten në </w:t>
      </w:r>
      <w:r w:rsidRPr="00476D2E">
        <w:rPr>
          <w:rFonts w:cs="Calibri"/>
          <w:lang w:val="sq-AL"/>
        </w:rPr>
        <w:t xml:space="preserve">paraqiten </w:t>
      </w:r>
      <w:r w:rsidRPr="00207749">
        <w:rPr>
          <w:rFonts w:cs="Calibri"/>
          <w:b/>
          <w:lang w:val="sq-AL"/>
        </w:rPr>
        <w:t>në</w:t>
      </w:r>
      <w:r w:rsidR="00D613F6" w:rsidRPr="00207749">
        <w:rPr>
          <w:rFonts w:cs="Calibri"/>
          <w:b/>
          <w:lang w:val="sq-AL"/>
        </w:rPr>
        <w:t xml:space="preserve"> </w:t>
      </w:r>
      <w:r w:rsidRPr="00207749">
        <w:rPr>
          <w:rFonts w:cs="Calibri"/>
          <w:b/>
          <w:lang w:val="sq-AL"/>
        </w:rPr>
        <w:t>Aneksin ç/2 “</w:t>
      </w:r>
      <w:r w:rsidRPr="00207749">
        <w:rPr>
          <w:rFonts w:cs="Calibri"/>
          <w:b/>
          <w:i/>
          <w:lang w:val="sq-AL"/>
        </w:rPr>
        <w:t>Tabela analitike e financimit</w:t>
      </w:r>
      <w:r w:rsidRPr="00207749">
        <w:rPr>
          <w:rFonts w:cs="Calibri"/>
          <w:b/>
          <w:bCs/>
          <w:i/>
          <w:lang w:val="sq-AL"/>
        </w:rPr>
        <w:t xml:space="preserve"> për masat anti-COVID19</w:t>
      </w:r>
      <w:r w:rsidRPr="00207749">
        <w:rPr>
          <w:rFonts w:cs="Calibri"/>
          <w:b/>
          <w:bCs/>
          <w:lang w:val="sq-AL"/>
        </w:rPr>
        <w:t>”</w:t>
      </w:r>
      <w:r w:rsidRPr="00476D2E">
        <w:rPr>
          <w:rFonts w:cs="Calibri"/>
          <w:bCs/>
          <w:lang w:val="sq-AL"/>
        </w:rPr>
        <w:t>.</w:t>
      </w:r>
    </w:p>
    <w:p w:rsidR="00AA0674" w:rsidRDefault="00AA0674" w:rsidP="002174D9">
      <w:pPr>
        <w:rPr>
          <w:rFonts w:eastAsia="SimSun" w:cs="Calibri"/>
          <w:lang w:val="sq-AL"/>
        </w:rPr>
      </w:pPr>
    </w:p>
    <w:p w:rsidR="00554F56" w:rsidRPr="00476D2E" w:rsidRDefault="00554F56" w:rsidP="002174D9">
      <w:pPr>
        <w:rPr>
          <w:rFonts w:eastAsia="SimSun" w:cs="Calibri"/>
          <w:lang w:val="sq-AL"/>
        </w:rPr>
      </w:pPr>
    </w:p>
    <w:p w:rsidR="004E027F" w:rsidRPr="00207749" w:rsidRDefault="004E027F" w:rsidP="004E027F">
      <w:pPr>
        <w:pStyle w:val="Fiskale2"/>
        <w:rPr>
          <w:rFonts w:ascii="Calibri" w:eastAsia="SimSun" w:hAnsi="Calibri" w:cs="Calibri"/>
        </w:rPr>
      </w:pPr>
      <w:bookmarkStart w:id="151" w:name="_Toc104980337"/>
      <w:r w:rsidRPr="00207749">
        <w:rPr>
          <w:rFonts w:ascii="Calibri" w:eastAsia="SimSun" w:hAnsi="Calibri" w:cs="Calibri"/>
        </w:rPr>
        <w:t xml:space="preserve">Programi i </w:t>
      </w:r>
      <w:r w:rsidR="007D6E17" w:rsidRPr="00207749">
        <w:rPr>
          <w:rFonts w:ascii="Calibri" w:eastAsia="SimSun" w:hAnsi="Calibri" w:cs="Calibri"/>
        </w:rPr>
        <w:t>R</w:t>
      </w:r>
      <w:r w:rsidRPr="00207749">
        <w:rPr>
          <w:rFonts w:ascii="Calibri" w:eastAsia="SimSun" w:hAnsi="Calibri" w:cs="Calibri"/>
        </w:rPr>
        <w:t>ind</w:t>
      </w:r>
      <w:r w:rsidR="00086626" w:rsidRPr="00207749">
        <w:rPr>
          <w:rFonts w:ascii="Calibri" w:eastAsia="SimSun" w:hAnsi="Calibri" w:cs="Calibri"/>
        </w:rPr>
        <w:t>ë</w:t>
      </w:r>
      <w:r w:rsidRPr="00207749">
        <w:rPr>
          <w:rFonts w:ascii="Calibri" w:eastAsia="SimSun" w:hAnsi="Calibri" w:cs="Calibri"/>
        </w:rPr>
        <w:t>rtimit</w:t>
      </w:r>
      <w:bookmarkEnd w:id="151"/>
    </w:p>
    <w:p w:rsidR="00FF68C7" w:rsidRPr="00207749" w:rsidRDefault="00FF68C7" w:rsidP="00A75FE0">
      <w:r w:rsidRPr="00207749">
        <w:t>Nj</w:t>
      </w:r>
      <w:r w:rsidR="00086626" w:rsidRPr="00207749">
        <w:t>ë</w:t>
      </w:r>
      <w:r w:rsidRPr="00207749">
        <w:t xml:space="preserve"> paket</w:t>
      </w:r>
      <w:r w:rsidR="00086626" w:rsidRPr="00207749">
        <w:t>ë</w:t>
      </w:r>
      <w:r w:rsidRPr="00207749">
        <w:t xml:space="preserve"> e veçant</w:t>
      </w:r>
      <w:r w:rsidR="00086626" w:rsidRPr="00207749">
        <w:t>ë</w:t>
      </w:r>
      <w:r w:rsidRPr="00207749">
        <w:t xml:space="preserve"> ligjore q</w:t>
      </w:r>
      <w:r w:rsidR="00086626" w:rsidRPr="00207749">
        <w:t>ë</w:t>
      </w:r>
      <w:r w:rsidRPr="00207749">
        <w:t xml:space="preserve"> vijoi t</w:t>
      </w:r>
      <w:r w:rsidR="00086626" w:rsidRPr="00207749">
        <w:t>ë</w:t>
      </w:r>
      <w:r w:rsidRPr="00207749">
        <w:t>rmetin shkat</w:t>
      </w:r>
      <w:r w:rsidR="00086626" w:rsidRPr="00207749">
        <w:t>ë</w:t>
      </w:r>
      <w:r w:rsidRPr="00207749">
        <w:t>rrues t</w:t>
      </w:r>
      <w:r w:rsidR="00086626" w:rsidRPr="00207749">
        <w:t>ë</w:t>
      </w:r>
      <w:r w:rsidRPr="00207749">
        <w:t xml:space="preserve"> n</w:t>
      </w:r>
      <w:r w:rsidR="00086626" w:rsidRPr="00207749">
        <w:t>ë</w:t>
      </w:r>
      <w:r w:rsidRPr="00207749">
        <w:t>ntorit 2019 p</w:t>
      </w:r>
      <w:r w:rsidR="00086626" w:rsidRPr="00207749">
        <w:t>ë</w:t>
      </w:r>
      <w:r w:rsidRPr="00207749">
        <w:t>rcaktoi rolet dhe p</w:t>
      </w:r>
      <w:r w:rsidR="00086626" w:rsidRPr="00207749">
        <w:t>ë</w:t>
      </w:r>
      <w:r w:rsidRPr="00207749">
        <w:t>rgjegj</w:t>
      </w:r>
      <w:r w:rsidR="00086626" w:rsidRPr="00207749">
        <w:t>ë</w:t>
      </w:r>
      <w:r w:rsidRPr="00207749">
        <w:t>sit</w:t>
      </w:r>
      <w:r w:rsidR="00086626" w:rsidRPr="00207749">
        <w:t>ë</w:t>
      </w:r>
      <w:r w:rsidRPr="00207749">
        <w:t xml:space="preserve"> e institucioneve p</w:t>
      </w:r>
      <w:r w:rsidR="00086626" w:rsidRPr="00207749">
        <w:t>ë</w:t>
      </w:r>
      <w:r w:rsidRPr="00207749">
        <w:t>r menaxhimin e rind</w:t>
      </w:r>
      <w:r w:rsidR="00086626" w:rsidRPr="00207749">
        <w:t>ë</w:t>
      </w:r>
      <w:r w:rsidRPr="00207749">
        <w:t>rtimit, si dhe m</w:t>
      </w:r>
      <w:r w:rsidR="00086626" w:rsidRPr="00207749">
        <w:t>ë</w:t>
      </w:r>
      <w:r w:rsidRPr="00207749">
        <w:t>nyr</w:t>
      </w:r>
      <w:r w:rsidR="00086626" w:rsidRPr="00207749">
        <w:t>ë</w:t>
      </w:r>
      <w:r w:rsidRPr="00207749">
        <w:t>n e financimit dhe procedurat p</w:t>
      </w:r>
      <w:r w:rsidR="00086626" w:rsidRPr="00207749">
        <w:t>ë</w:t>
      </w:r>
      <w:r w:rsidRPr="00207749">
        <w:t>rkat</w:t>
      </w:r>
      <w:r w:rsidR="00086626" w:rsidRPr="00207749">
        <w:t>ë</w:t>
      </w:r>
      <w:r w:rsidRPr="00207749">
        <w:t>se. Ministri i Shtetit p</w:t>
      </w:r>
      <w:r w:rsidR="00086626" w:rsidRPr="00207749">
        <w:t>ë</w:t>
      </w:r>
      <w:r w:rsidRPr="00207749">
        <w:t>r Rind</w:t>
      </w:r>
      <w:r w:rsidR="00086626" w:rsidRPr="00207749">
        <w:t>ë</w:t>
      </w:r>
      <w:r w:rsidRPr="00207749">
        <w:t>rtim n</w:t>
      </w:r>
      <w:r w:rsidR="00086626" w:rsidRPr="00207749">
        <w:t>ë</w:t>
      </w:r>
      <w:r w:rsidRPr="00207749">
        <w:t xml:space="preserve"> bashk</w:t>
      </w:r>
      <w:r w:rsidR="00086626" w:rsidRPr="00207749">
        <w:t>ë</w:t>
      </w:r>
      <w:r w:rsidRPr="00207749">
        <w:t>punim t</w:t>
      </w:r>
      <w:r w:rsidR="00086626" w:rsidRPr="00207749">
        <w:t>ë</w:t>
      </w:r>
      <w:r w:rsidRPr="00207749">
        <w:t xml:space="preserve"> ngusht</w:t>
      </w:r>
      <w:r w:rsidR="00086626" w:rsidRPr="00207749">
        <w:t>ë</w:t>
      </w:r>
      <w:r w:rsidRPr="00207749">
        <w:t xml:space="preserve"> m</w:t>
      </w:r>
      <w:r w:rsidR="00086626" w:rsidRPr="00207749">
        <w:t>ë</w:t>
      </w:r>
      <w:r w:rsidRPr="00207749">
        <w:t xml:space="preserve"> Komisionin Sht</w:t>
      </w:r>
      <w:r w:rsidR="00086626" w:rsidRPr="00207749">
        <w:t>ë</w:t>
      </w:r>
      <w:r w:rsidRPr="00207749">
        <w:t>t</w:t>
      </w:r>
      <w:r w:rsidR="00086626" w:rsidRPr="00207749">
        <w:t>ë</w:t>
      </w:r>
      <w:r w:rsidRPr="00207749">
        <w:t>ror t</w:t>
      </w:r>
      <w:r w:rsidR="00086626" w:rsidRPr="00207749">
        <w:t>ë</w:t>
      </w:r>
      <w:r w:rsidRPr="00207749">
        <w:t xml:space="preserve"> Rind</w:t>
      </w:r>
      <w:r w:rsidR="00086626" w:rsidRPr="00207749">
        <w:t>ë</w:t>
      </w:r>
      <w:r w:rsidRPr="00207749">
        <w:t>rtimit, u caktuan si autoriteti p</w:t>
      </w:r>
      <w:r w:rsidR="00086626" w:rsidRPr="00207749">
        <w:t>ë</w:t>
      </w:r>
      <w:r w:rsidRPr="00207749">
        <w:t>rgjegj</w:t>
      </w:r>
      <w:r w:rsidR="00086626" w:rsidRPr="00207749">
        <w:t>ë</w:t>
      </w:r>
      <w:r w:rsidRPr="00207749">
        <w:t>s p</w:t>
      </w:r>
      <w:r w:rsidR="00086626" w:rsidRPr="00207749">
        <w:t>ë</w:t>
      </w:r>
      <w:r w:rsidRPr="00207749">
        <w:t>r propozimin dhe bashk</w:t>
      </w:r>
      <w:r w:rsidR="00086626" w:rsidRPr="00207749">
        <w:t>ë</w:t>
      </w:r>
      <w:r w:rsidRPr="00207749">
        <w:t>rendimin e programit. Me Aktin Normativ 9 (dat</w:t>
      </w:r>
      <w:r w:rsidR="00086626" w:rsidRPr="00207749">
        <w:t>ë</w:t>
      </w:r>
      <w:r w:rsidRPr="00207749">
        <w:t xml:space="preserve"> 16.12.2019), u krijua dhe Fondi i Rind</w:t>
      </w:r>
      <w:r w:rsidR="00086626" w:rsidRPr="00207749">
        <w:t>ë</w:t>
      </w:r>
      <w:r w:rsidRPr="00207749">
        <w:t>rtimit, i cili konsiston n</w:t>
      </w:r>
      <w:r w:rsidR="00086626" w:rsidRPr="00207749">
        <w:t>ë</w:t>
      </w:r>
      <w:r w:rsidRPr="00207749">
        <w:t>:</w:t>
      </w:r>
    </w:p>
    <w:p w:rsidR="00FF68C7" w:rsidRPr="00207749" w:rsidRDefault="00FF68C7" w:rsidP="00842F80">
      <w:pPr>
        <w:pStyle w:val="ListParagraph"/>
        <w:numPr>
          <w:ilvl w:val="0"/>
          <w:numId w:val="12"/>
        </w:numPr>
        <w:spacing w:before="0"/>
        <w:rPr>
          <w:rFonts w:cs="Calibri"/>
          <w:bCs/>
          <w:i/>
          <w:color w:val="000000"/>
        </w:rPr>
      </w:pPr>
      <w:r w:rsidRPr="00207749">
        <w:rPr>
          <w:rFonts w:cs="Calibri"/>
          <w:bCs/>
          <w:i/>
          <w:color w:val="000000"/>
        </w:rPr>
        <w:t>Nj</w:t>
      </w:r>
      <w:r w:rsidR="00086626" w:rsidRPr="00207749">
        <w:rPr>
          <w:rFonts w:cs="Calibri"/>
          <w:bCs/>
          <w:i/>
          <w:color w:val="000000"/>
        </w:rPr>
        <w:t>ë</w:t>
      </w:r>
      <w:r w:rsidRPr="00207749">
        <w:rPr>
          <w:rFonts w:cs="Calibri"/>
          <w:bCs/>
          <w:i/>
          <w:color w:val="000000"/>
        </w:rPr>
        <w:t xml:space="preserve"> program t</w:t>
      </w:r>
      <w:r w:rsidR="00086626" w:rsidRPr="00207749">
        <w:rPr>
          <w:rFonts w:cs="Calibri"/>
          <w:bCs/>
          <w:i/>
          <w:color w:val="000000"/>
        </w:rPr>
        <w:t>ë</w:t>
      </w:r>
      <w:r w:rsidRPr="00207749">
        <w:rPr>
          <w:rFonts w:cs="Calibri"/>
          <w:bCs/>
          <w:i/>
          <w:color w:val="000000"/>
        </w:rPr>
        <w:t xml:space="preserve"> veçant</w:t>
      </w:r>
      <w:r w:rsidR="00086626" w:rsidRPr="00207749">
        <w:rPr>
          <w:rFonts w:cs="Calibri"/>
          <w:bCs/>
          <w:i/>
          <w:color w:val="000000"/>
        </w:rPr>
        <w:t>ë</w:t>
      </w:r>
      <w:r w:rsidRPr="00207749">
        <w:rPr>
          <w:rFonts w:cs="Calibri"/>
          <w:bCs/>
          <w:i/>
          <w:color w:val="000000"/>
        </w:rPr>
        <w:t xml:space="preserve"> t</w:t>
      </w:r>
      <w:r w:rsidR="00086626" w:rsidRPr="00207749">
        <w:rPr>
          <w:rFonts w:cs="Calibri"/>
          <w:bCs/>
          <w:i/>
          <w:color w:val="000000"/>
        </w:rPr>
        <w:t>ë</w:t>
      </w:r>
      <w:r w:rsidRPr="00207749">
        <w:rPr>
          <w:rFonts w:cs="Calibri"/>
          <w:bCs/>
          <w:i/>
          <w:color w:val="000000"/>
        </w:rPr>
        <w:t xml:space="preserve"> buxhetit t</w:t>
      </w:r>
      <w:r w:rsidR="00086626" w:rsidRPr="00207749">
        <w:rPr>
          <w:rFonts w:cs="Calibri"/>
          <w:bCs/>
          <w:i/>
          <w:color w:val="000000"/>
        </w:rPr>
        <w:t>ë</w:t>
      </w:r>
      <w:r w:rsidRPr="00207749">
        <w:rPr>
          <w:rFonts w:cs="Calibri"/>
          <w:bCs/>
          <w:i/>
          <w:color w:val="000000"/>
        </w:rPr>
        <w:t xml:space="preserve"> shtetit, me t</w:t>
      </w:r>
      <w:r w:rsidR="00086626" w:rsidRPr="00207749">
        <w:rPr>
          <w:rFonts w:cs="Calibri"/>
          <w:bCs/>
          <w:i/>
          <w:color w:val="000000"/>
        </w:rPr>
        <w:t>ë</w:t>
      </w:r>
      <w:r w:rsidRPr="00207749">
        <w:rPr>
          <w:rFonts w:cs="Calibri"/>
          <w:bCs/>
          <w:i/>
          <w:color w:val="000000"/>
        </w:rPr>
        <w:t xml:space="preserve"> ardhura nga buxheti i shtetit dhe donator</w:t>
      </w:r>
      <w:r w:rsidR="00086626" w:rsidRPr="00207749">
        <w:rPr>
          <w:rFonts w:cs="Calibri"/>
          <w:bCs/>
          <w:i/>
          <w:color w:val="000000"/>
        </w:rPr>
        <w:t>ë</w:t>
      </w:r>
      <w:r w:rsidRPr="00207749">
        <w:rPr>
          <w:rFonts w:cs="Calibri"/>
          <w:bCs/>
          <w:i/>
          <w:color w:val="000000"/>
        </w:rPr>
        <w:t xml:space="preserve"> dhe</w:t>
      </w:r>
    </w:p>
    <w:p w:rsidR="00FF68C7" w:rsidRPr="00207749" w:rsidRDefault="00FF68C7" w:rsidP="00842F80">
      <w:pPr>
        <w:pStyle w:val="ListParagraph"/>
        <w:numPr>
          <w:ilvl w:val="0"/>
          <w:numId w:val="12"/>
        </w:numPr>
        <w:spacing w:before="0"/>
        <w:rPr>
          <w:rFonts w:cs="Calibri"/>
          <w:bCs/>
          <w:i/>
          <w:color w:val="000000"/>
        </w:rPr>
      </w:pPr>
      <w:r w:rsidRPr="00207749">
        <w:rPr>
          <w:rFonts w:cs="Calibri"/>
          <w:bCs/>
          <w:i/>
          <w:color w:val="000000"/>
        </w:rPr>
        <w:t>Kontribute n</w:t>
      </w:r>
      <w:r w:rsidR="00086626" w:rsidRPr="00207749">
        <w:rPr>
          <w:rFonts w:cs="Calibri"/>
          <w:bCs/>
          <w:i/>
          <w:color w:val="000000"/>
        </w:rPr>
        <w:t>ë</w:t>
      </w:r>
      <w:r w:rsidRPr="00207749">
        <w:rPr>
          <w:rFonts w:cs="Calibri"/>
          <w:bCs/>
          <w:i/>
          <w:color w:val="000000"/>
        </w:rPr>
        <w:t xml:space="preserve"> natyr</w:t>
      </w:r>
      <w:r w:rsidR="00086626" w:rsidRPr="00207749">
        <w:rPr>
          <w:rFonts w:cs="Calibri"/>
          <w:bCs/>
          <w:i/>
          <w:color w:val="000000"/>
        </w:rPr>
        <w:t>ë</w:t>
      </w:r>
      <w:r w:rsidRPr="00207749">
        <w:rPr>
          <w:rFonts w:cs="Calibri"/>
          <w:bCs/>
          <w:i/>
          <w:color w:val="000000"/>
        </w:rPr>
        <w:t xml:space="preserve"> nga donator</w:t>
      </w:r>
      <w:r w:rsidR="00086626" w:rsidRPr="00207749">
        <w:rPr>
          <w:rFonts w:cs="Calibri"/>
          <w:bCs/>
          <w:i/>
          <w:color w:val="000000"/>
        </w:rPr>
        <w:t>ë</w:t>
      </w:r>
    </w:p>
    <w:p w:rsidR="00AA0674" w:rsidRPr="00FE66EC" w:rsidRDefault="00207749" w:rsidP="00FE66EC">
      <w:r w:rsidRPr="00207749">
        <w:t xml:space="preserve">Fondi i Rindërtimit shton kufijtë e shpenzimeve për çdo ministri dhe institucion në nivel programi, si dhe kufijtë e transfertës së pakushtëzuar për njësitë e qeverisjes vendore në përputhje me vendimet përkatëse. Detajimi i tij u krye në përputhje me ecurinë e procedurave të ndërlikuara të identifikimit dhe vlerësimit të dëmeve; verifikimit të kërkesave për dëmshpërblime dhe projektimit e zbatimit të investimeve publike. </w:t>
      </w:r>
    </w:p>
    <w:p w:rsidR="00AA0674" w:rsidRPr="00554F56" w:rsidRDefault="00AA0674" w:rsidP="00AA0674">
      <w:pPr>
        <w:spacing w:before="0"/>
        <w:jc w:val="left"/>
        <w:rPr>
          <w:rFonts w:asciiTheme="majorHAnsi" w:eastAsia="Calibri" w:hAnsiTheme="majorHAnsi"/>
          <w:sz w:val="8"/>
          <w:szCs w:val="22"/>
        </w:rPr>
      </w:pPr>
    </w:p>
    <w:p w:rsidR="00554F56" w:rsidRDefault="00554F56" w:rsidP="00AA0674">
      <w:pPr>
        <w:spacing w:before="0"/>
        <w:jc w:val="left"/>
        <w:rPr>
          <w:rFonts w:asciiTheme="majorHAnsi" w:eastAsia="Calibri" w:hAnsiTheme="majorHAnsi"/>
          <w:szCs w:val="22"/>
        </w:rPr>
      </w:pPr>
    </w:p>
    <w:p w:rsidR="00554F56" w:rsidRDefault="00554F56" w:rsidP="00AA0674">
      <w:pPr>
        <w:spacing w:before="0"/>
        <w:jc w:val="left"/>
        <w:rPr>
          <w:rFonts w:asciiTheme="majorHAnsi" w:eastAsia="Calibri" w:hAnsiTheme="majorHAnsi"/>
          <w:szCs w:val="22"/>
        </w:rPr>
      </w:pPr>
    </w:p>
    <w:p w:rsidR="00554F56" w:rsidRDefault="00554F56" w:rsidP="00AA0674">
      <w:pPr>
        <w:spacing w:before="0"/>
        <w:jc w:val="left"/>
        <w:rPr>
          <w:rFonts w:asciiTheme="majorHAnsi" w:eastAsia="Calibri" w:hAnsiTheme="majorHAnsi"/>
          <w:szCs w:val="22"/>
        </w:rPr>
      </w:pPr>
    </w:p>
    <w:p w:rsidR="00554F56" w:rsidRDefault="00554F56" w:rsidP="00AA0674">
      <w:pPr>
        <w:spacing w:before="0"/>
        <w:jc w:val="left"/>
        <w:rPr>
          <w:rFonts w:asciiTheme="majorHAnsi" w:eastAsia="Calibri" w:hAnsiTheme="majorHAnsi"/>
          <w:szCs w:val="22"/>
        </w:rPr>
      </w:pPr>
    </w:p>
    <w:p w:rsidR="003E010E" w:rsidRPr="00AA0674" w:rsidRDefault="00554F56" w:rsidP="00AA0674">
      <w:pPr>
        <w:spacing w:before="0"/>
        <w:jc w:val="left"/>
        <w:rPr>
          <w:rFonts w:asciiTheme="majorHAnsi" w:eastAsia="Calibri" w:hAnsiTheme="majorHAnsi"/>
          <w:szCs w:val="22"/>
        </w:rPr>
      </w:pPr>
      <w:r>
        <w:rPr>
          <w:rFonts w:asciiTheme="majorHAnsi" w:eastAsia="Calibri" w:hAnsiTheme="majorHAnsi"/>
          <w:szCs w:val="22"/>
        </w:rPr>
        <w:lastRenderedPageBreak/>
        <w:t>Në</w:t>
      </w:r>
      <w:r w:rsidR="003E010E" w:rsidRPr="00AA0674">
        <w:rPr>
          <w:rFonts w:asciiTheme="majorHAnsi" w:eastAsia="Calibri" w:hAnsiTheme="majorHAnsi"/>
          <w:szCs w:val="22"/>
        </w:rPr>
        <w:t xml:space="preserve"> ligjin e buxhetit 137/2020 “</w:t>
      </w:r>
      <w:r w:rsidR="003E010E" w:rsidRPr="00AA0674">
        <w:rPr>
          <w:rFonts w:asciiTheme="majorHAnsi" w:eastAsia="Calibri" w:hAnsiTheme="majorHAnsi"/>
          <w:i/>
          <w:szCs w:val="22"/>
        </w:rPr>
        <w:t>Për buxhetin e vitit 2021</w:t>
      </w:r>
      <w:r w:rsidR="003E010E" w:rsidRPr="00AA0674">
        <w:rPr>
          <w:rFonts w:asciiTheme="majorHAnsi" w:eastAsia="Calibri" w:hAnsiTheme="majorHAnsi"/>
          <w:szCs w:val="22"/>
        </w:rPr>
        <w:t>”, në nenin 7 të tij, është përcaktuar:</w:t>
      </w:r>
    </w:p>
    <w:p w:rsidR="003E010E" w:rsidRPr="00BB4AF5" w:rsidRDefault="003E010E" w:rsidP="00BB4AF5">
      <w:pPr>
        <w:spacing w:before="0" w:line="240" w:lineRule="auto"/>
        <w:ind w:firstLine="340"/>
        <w:jc w:val="center"/>
        <w:rPr>
          <w:rFonts w:asciiTheme="majorHAnsi" w:eastAsia="Calibri" w:hAnsiTheme="majorHAnsi"/>
          <w:bCs/>
          <w:i/>
        </w:rPr>
      </w:pPr>
      <w:r w:rsidRPr="00BB4AF5">
        <w:rPr>
          <w:rFonts w:asciiTheme="majorHAnsi" w:eastAsia="Calibri" w:hAnsiTheme="majorHAnsi"/>
          <w:bCs/>
          <w:i/>
        </w:rPr>
        <w:t>“Fondi i rindërtimit për përballimin e pasojave të tërmetit të vitit 2019 prej 28 000 milionë lekësh përdoret për të përballuar kostot për projektet e miratuara dhe të pafinancuara në vitin 2020, si dhe për projektet e reja.</w:t>
      </w:r>
    </w:p>
    <w:p w:rsidR="003E010E" w:rsidRPr="00BB4AF5" w:rsidRDefault="003E010E" w:rsidP="00BB4AF5">
      <w:pPr>
        <w:spacing w:before="0" w:line="240" w:lineRule="auto"/>
        <w:ind w:firstLine="340"/>
        <w:jc w:val="center"/>
        <w:rPr>
          <w:rFonts w:asciiTheme="majorHAnsi" w:eastAsia="Calibri" w:hAnsiTheme="majorHAnsi"/>
          <w:bCs/>
          <w:i/>
        </w:rPr>
      </w:pPr>
      <w:r w:rsidRPr="00BB4AF5">
        <w:rPr>
          <w:rFonts w:asciiTheme="majorHAnsi" w:eastAsia="Calibri" w:hAnsiTheme="majorHAnsi"/>
          <w:bCs/>
          <w:i/>
        </w:rPr>
        <w:t>Ky fond shton kufijtë e shpenzimeve për çdo ministri dhe institucion në nivel programi dhe kufijtë e transfertës së pakushtëzuar, të miratuar në tabelat 1 dhe 3, të përmendura në nenet 11 dhe 15 të këtij ligji.</w:t>
      </w:r>
    </w:p>
    <w:p w:rsidR="003E010E" w:rsidRPr="00BB4AF5" w:rsidRDefault="003E010E" w:rsidP="00BB4AF5">
      <w:pPr>
        <w:spacing w:before="0" w:line="240" w:lineRule="auto"/>
        <w:ind w:firstLine="340"/>
        <w:jc w:val="center"/>
        <w:rPr>
          <w:rFonts w:asciiTheme="majorHAnsi" w:eastAsia="Calibri" w:hAnsiTheme="majorHAnsi"/>
          <w:bCs/>
          <w:i/>
        </w:rPr>
      </w:pPr>
      <w:r w:rsidRPr="00BB4AF5">
        <w:rPr>
          <w:rFonts w:asciiTheme="majorHAnsi" w:eastAsia="Calibri" w:hAnsiTheme="majorHAnsi"/>
          <w:bCs/>
          <w:i/>
        </w:rPr>
        <w:t>Çdo e ardhur në formë granti me destinacion përballimin e pasojave të tërmetit rrit në të njëjtën masë të ardhurat dhe shpenzimet e fondit të rindërtimit, duke shtuar kufijtë e përcaktuar në nenet 1, 2, 3 dhe 11, si dhe kufijtë e miratuar në tabelat 1, 3 dhe 4 të përmendura në nenet 11 dhe 15 të këtij ligji.</w:t>
      </w:r>
    </w:p>
    <w:p w:rsidR="009475E3" w:rsidRDefault="003E010E" w:rsidP="00BB4AF5">
      <w:pPr>
        <w:spacing w:before="0" w:line="240" w:lineRule="auto"/>
        <w:ind w:firstLine="340"/>
        <w:jc w:val="center"/>
        <w:rPr>
          <w:rFonts w:asciiTheme="majorHAnsi" w:eastAsia="Calibri" w:hAnsiTheme="majorHAnsi"/>
          <w:bCs/>
          <w:i/>
        </w:rPr>
      </w:pPr>
      <w:r w:rsidRPr="00BB4AF5">
        <w:rPr>
          <w:rFonts w:asciiTheme="majorHAnsi" w:eastAsia="Calibri" w:hAnsiTheme="majorHAnsi"/>
          <w:bCs/>
          <w:i/>
        </w:rPr>
        <w:t xml:space="preserve">Në fund të vitit buxhetor, fondet e pashpenzuara trashëgohen në vitin pasardhës </w:t>
      </w:r>
    </w:p>
    <w:p w:rsidR="003E010E" w:rsidRPr="00BB4AF5" w:rsidRDefault="003E010E" w:rsidP="00BB4AF5">
      <w:pPr>
        <w:spacing w:before="0" w:line="240" w:lineRule="auto"/>
        <w:ind w:firstLine="340"/>
        <w:jc w:val="center"/>
        <w:rPr>
          <w:rFonts w:asciiTheme="majorHAnsi" w:eastAsia="Calibri" w:hAnsiTheme="majorHAnsi"/>
          <w:bCs/>
          <w:i/>
        </w:rPr>
      </w:pPr>
      <w:r w:rsidRPr="00BB4AF5">
        <w:rPr>
          <w:rFonts w:asciiTheme="majorHAnsi" w:eastAsia="Calibri" w:hAnsiTheme="majorHAnsi"/>
          <w:bCs/>
          <w:i/>
        </w:rPr>
        <w:t>dhe përdoren për të njëjtin qëllim.”</w:t>
      </w:r>
    </w:p>
    <w:p w:rsidR="00207749" w:rsidRPr="00AA0674" w:rsidRDefault="003E010E" w:rsidP="00AA0674">
      <w:pPr>
        <w:spacing w:before="0"/>
        <w:jc w:val="left"/>
        <w:rPr>
          <w:rFonts w:asciiTheme="majorHAnsi" w:eastAsia="Calibri" w:hAnsiTheme="majorHAnsi"/>
          <w:szCs w:val="22"/>
        </w:rPr>
      </w:pPr>
      <w:r w:rsidRPr="00AA0674">
        <w:rPr>
          <w:rFonts w:asciiTheme="majorHAnsi" w:eastAsia="Calibri" w:hAnsiTheme="majorHAnsi"/>
          <w:szCs w:val="22"/>
        </w:rPr>
        <w:t>Fondet e Rindërtimit t</w:t>
      </w:r>
      <w:r w:rsidR="00F14D33">
        <w:rPr>
          <w:rFonts w:asciiTheme="majorHAnsi" w:eastAsia="Calibri" w:hAnsiTheme="majorHAnsi"/>
          <w:szCs w:val="22"/>
        </w:rPr>
        <w:t>ë</w:t>
      </w:r>
      <w:r w:rsidRPr="00AA0674">
        <w:rPr>
          <w:rFonts w:asciiTheme="majorHAnsi" w:eastAsia="Calibri" w:hAnsiTheme="majorHAnsi"/>
          <w:szCs w:val="22"/>
        </w:rPr>
        <w:t xml:space="preserve"> </w:t>
      </w:r>
      <w:r w:rsidR="00207749" w:rsidRPr="00AA0674">
        <w:rPr>
          <w:rFonts w:asciiTheme="majorHAnsi" w:eastAsia="Calibri" w:hAnsiTheme="majorHAnsi"/>
          <w:szCs w:val="22"/>
        </w:rPr>
        <w:t>përdorur</w:t>
      </w:r>
      <w:r w:rsidR="00556872">
        <w:rPr>
          <w:rFonts w:asciiTheme="majorHAnsi" w:eastAsia="Calibri" w:hAnsiTheme="majorHAnsi"/>
          <w:szCs w:val="22"/>
        </w:rPr>
        <w:t>a</w:t>
      </w:r>
      <w:r w:rsidR="00207749" w:rsidRPr="00AA0674">
        <w:rPr>
          <w:rFonts w:asciiTheme="majorHAnsi" w:eastAsia="Calibri" w:hAnsiTheme="majorHAnsi"/>
          <w:szCs w:val="22"/>
        </w:rPr>
        <w:t xml:space="preserve"> me Vendime të Këshillit të Ministrave</w:t>
      </w:r>
      <w:r w:rsidR="00556872">
        <w:rPr>
          <w:rFonts w:asciiTheme="majorHAnsi" w:eastAsia="Calibri" w:hAnsiTheme="majorHAnsi"/>
          <w:szCs w:val="22"/>
        </w:rPr>
        <w:t>, rezultojn</w:t>
      </w:r>
      <w:r w:rsidR="00694021">
        <w:rPr>
          <w:rFonts w:asciiTheme="majorHAnsi" w:eastAsia="Calibri" w:hAnsiTheme="majorHAnsi"/>
          <w:szCs w:val="22"/>
        </w:rPr>
        <w:t>ë</w:t>
      </w:r>
      <w:r w:rsidR="00556872">
        <w:rPr>
          <w:rFonts w:asciiTheme="majorHAnsi" w:eastAsia="Calibri" w:hAnsiTheme="majorHAnsi"/>
          <w:szCs w:val="22"/>
        </w:rPr>
        <w:t xml:space="preserve"> </w:t>
      </w:r>
      <w:r w:rsidR="00207749" w:rsidRPr="00AA0674">
        <w:rPr>
          <w:rFonts w:asciiTheme="majorHAnsi" w:eastAsia="Calibri" w:hAnsiTheme="majorHAnsi"/>
          <w:szCs w:val="22"/>
        </w:rPr>
        <w:t>si mëposhtë:</w:t>
      </w:r>
    </w:p>
    <w:p w:rsidR="00207749" w:rsidRPr="00F74CA9" w:rsidRDefault="00207749" w:rsidP="00842F80">
      <w:pPr>
        <w:pStyle w:val="ListParagraph"/>
        <w:numPr>
          <w:ilvl w:val="0"/>
          <w:numId w:val="47"/>
        </w:numPr>
        <w:spacing w:before="0"/>
        <w:rPr>
          <w:rFonts w:eastAsia="SimSun"/>
          <w:lang w:val="sq-AL"/>
        </w:rPr>
      </w:pPr>
      <w:r w:rsidRPr="00F74CA9">
        <w:rPr>
          <w:rFonts w:eastAsia="SimSun"/>
          <w:lang w:val="sq-AL"/>
        </w:rPr>
        <w:t xml:space="preserve">Fondet e pashpenzuara </w:t>
      </w:r>
      <w:r w:rsidR="00556872">
        <w:rPr>
          <w:rFonts w:eastAsia="SimSun"/>
          <w:lang w:val="sq-AL"/>
        </w:rPr>
        <w:t>nga viti 2020 dhe t</w:t>
      </w:r>
      <w:r w:rsidRPr="00F74CA9">
        <w:rPr>
          <w:rFonts w:eastAsia="SimSun"/>
          <w:lang w:val="sq-AL"/>
        </w:rPr>
        <w:t>ë mbartura</w:t>
      </w:r>
      <w:r w:rsidR="00556872">
        <w:rPr>
          <w:rFonts w:eastAsia="SimSun"/>
          <w:lang w:val="sq-AL"/>
        </w:rPr>
        <w:t xml:space="preserve"> n</w:t>
      </w:r>
      <w:r w:rsidR="00694021">
        <w:rPr>
          <w:rFonts w:eastAsia="SimSun"/>
          <w:lang w:val="sq-AL"/>
        </w:rPr>
        <w:t>ë</w:t>
      </w:r>
      <w:r w:rsidR="00556872">
        <w:rPr>
          <w:rFonts w:eastAsia="SimSun"/>
          <w:lang w:val="sq-AL"/>
        </w:rPr>
        <w:t xml:space="preserve"> 2021 jan</w:t>
      </w:r>
      <w:r w:rsidR="00694021">
        <w:rPr>
          <w:rFonts w:eastAsia="SimSun"/>
          <w:lang w:val="sq-AL"/>
        </w:rPr>
        <w:t>ë</w:t>
      </w:r>
      <w:r w:rsidRPr="00F74CA9">
        <w:rPr>
          <w:rFonts w:eastAsia="SimSun"/>
          <w:lang w:val="sq-AL"/>
        </w:rPr>
        <w:t xml:space="preserve"> 9 881 874 mije lekë, nga të cilat:</w:t>
      </w:r>
    </w:p>
    <w:p w:rsidR="00207749" w:rsidRPr="00E1111C" w:rsidRDefault="00556872" w:rsidP="00842F80">
      <w:pPr>
        <w:pStyle w:val="ListParagraph"/>
        <w:numPr>
          <w:ilvl w:val="1"/>
          <w:numId w:val="14"/>
        </w:numPr>
        <w:spacing w:before="0" w:line="240" w:lineRule="auto"/>
        <w:rPr>
          <w:rFonts w:eastAsia="SimSun"/>
          <w:i/>
          <w:lang w:val="sq-AL"/>
        </w:rPr>
      </w:pPr>
      <w:r w:rsidRPr="00E1111C">
        <w:rPr>
          <w:rFonts w:eastAsia="SimSun"/>
          <w:i/>
          <w:lang w:val="sq-AL"/>
        </w:rPr>
        <w:t xml:space="preserve">3 358 337 mijë lekë </w:t>
      </w:r>
      <w:r w:rsidR="00207749" w:rsidRPr="00E1111C">
        <w:rPr>
          <w:rFonts w:eastAsia="SimSun"/>
          <w:i/>
          <w:lang w:val="sq-AL"/>
        </w:rPr>
        <w:t>për Njësitë e Qeverisjes Qendrore</w:t>
      </w:r>
      <w:r w:rsidRPr="00E1111C">
        <w:rPr>
          <w:rFonts w:eastAsia="SimSun"/>
          <w:i/>
          <w:lang w:val="sq-AL"/>
        </w:rPr>
        <w:t xml:space="preserve"> (NJQQ)</w:t>
      </w:r>
    </w:p>
    <w:p w:rsidR="00207749" w:rsidRPr="00E1111C" w:rsidRDefault="00207749" w:rsidP="00842F80">
      <w:pPr>
        <w:pStyle w:val="ListParagraph"/>
        <w:numPr>
          <w:ilvl w:val="1"/>
          <w:numId w:val="14"/>
        </w:numPr>
        <w:spacing w:before="0" w:line="240" w:lineRule="auto"/>
        <w:rPr>
          <w:rFonts w:eastAsia="SimSun"/>
          <w:i/>
          <w:lang w:val="sq-AL"/>
        </w:rPr>
      </w:pPr>
      <w:r w:rsidRPr="00E1111C">
        <w:rPr>
          <w:rFonts w:eastAsia="SimSun"/>
          <w:i/>
          <w:lang w:val="sq-AL"/>
        </w:rPr>
        <w:t xml:space="preserve">6 523 537 mije lekë për Njësitë e </w:t>
      </w:r>
      <w:r w:rsidR="00556872" w:rsidRPr="00E1111C">
        <w:rPr>
          <w:rFonts w:eastAsia="SimSun"/>
          <w:i/>
          <w:lang w:val="sq-AL"/>
        </w:rPr>
        <w:t>Vet</w:t>
      </w:r>
      <w:r w:rsidR="00694021">
        <w:rPr>
          <w:rFonts w:eastAsia="SimSun"/>
          <w:i/>
          <w:lang w:val="sq-AL"/>
        </w:rPr>
        <w:t>ë</w:t>
      </w:r>
      <w:r w:rsidR="00556872" w:rsidRPr="00E1111C">
        <w:rPr>
          <w:rFonts w:eastAsia="SimSun"/>
          <w:i/>
          <w:lang w:val="sq-AL"/>
        </w:rPr>
        <w:t>q</w:t>
      </w:r>
      <w:r w:rsidRPr="00E1111C">
        <w:rPr>
          <w:rFonts w:eastAsia="SimSun"/>
          <w:i/>
          <w:lang w:val="sq-AL"/>
        </w:rPr>
        <w:t>everisjes Vendore</w:t>
      </w:r>
      <w:r w:rsidR="00556872" w:rsidRPr="00E1111C">
        <w:rPr>
          <w:rFonts w:eastAsia="SimSun"/>
          <w:i/>
          <w:lang w:val="sq-AL"/>
        </w:rPr>
        <w:t xml:space="preserve"> (NJVQV)</w:t>
      </w:r>
    </w:p>
    <w:p w:rsidR="00207749" w:rsidRPr="00207749" w:rsidRDefault="00207749" w:rsidP="00207749">
      <w:pPr>
        <w:pStyle w:val="ListParagraph"/>
        <w:spacing w:before="0"/>
        <w:rPr>
          <w:rFonts w:eastAsia="SimSun"/>
          <w:sz w:val="8"/>
          <w:szCs w:val="8"/>
          <w:lang w:val="sq-AL"/>
        </w:rPr>
      </w:pPr>
    </w:p>
    <w:p w:rsidR="00207749" w:rsidRPr="00F74CA9" w:rsidRDefault="00E1111C" w:rsidP="00842F80">
      <w:pPr>
        <w:pStyle w:val="ListParagraph"/>
        <w:numPr>
          <w:ilvl w:val="0"/>
          <w:numId w:val="47"/>
        </w:numPr>
        <w:spacing w:before="0"/>
        <w:rPr>
          <w:rFonts w:eastAsia="SimSun"/>
          <w:lang w:val="sq-AL"/>
        </w:rPr>
      </w:pPr>
      <w:r>
        <w:rPr>
          <w:rFonts w:eastAsia="SimSun"/>
          <w:lang w:val="sq-AL"/>
        </w:rPr>
        <w:t>Fondet</w:t>
      </w:r>
      <w:r w:rsidR="00556872">
        <w:rPr>
          <w:rFonts w:eastAsia="SimSun"/>
          <w:lang w:val="sq-AL"/>
        </w:rPr>
        <w:t xml:space="preserve"> e</w:t>
      </w:r>
      <w:r w:rsidR="00207749" w:rsidRPr="00F74CA9">
        <w:rPr>
          <w:rFonts w:eastAsia="SimSun"/>
          <w:lang w:val="sq-AL"/>
        </w:rPr>
        <w:t xml:space="preserve"> akorduara gjatë vitit 2021</w:t>
      </w:r>
      <w:r w:rsidR="00556872">
        <w:rPr>
          <w:rFonts w:eastAsia="SimSun"/>
          <w:lang w:val="sq-AL"/>
        </w:rPr>
        <w:t xml:space="preserve"> jan</w:t>
      </w:r>
      <w:r w:rsidR="00694021">
        <w:rPr>
          <w:rFonts w:eastAsia="SimSun"/>
          <w:lang w:val="sq-AL"/>
        </w:rPr>
        <w:t>ë</w:t>
      </w:r>
      <w:r w:rsidR="00207749" w:rsidRPr="00F74CA9">
        <w:rPr>
          <w:rFonts w:eastAsia="SimSun"/>
          <w:lang w:val="sq-AL"/>
        </w:rPr>
        <w:t xml:space="preserve"> 2</w:t>
      </w:r>
      <w:r>
        <w:rPr>
          <w:rFonts w:eastAsia="SimSun"/>
          <w:lang w:val="sq-AL"/>
        </w:rPr>
        <w:t>8</w:t>
      </w:r>
      <w:r w:rsidR="00207749" w:rsidRPr="00F74CA9">
        <w:rPr>
          <w:rFonts w:eastAsia="SimSun"/>
          <w:lang w:val="sq-AL"/>
        </w:rPr>
        <w:t xml:space="preserve"> </w:t>
      </w:r>
      <w:r>
        <w:rPr>
          <w:rFonts w:eastAsia="SimSun"/>
          <w:lang w:val="sq-AL"/>
        </w:rPr>
        <w:t>899 436</w:t>
      </w:r>
      <w:r w:rsidR="00207749" w:rsidRPr="00F74CA9">
        <w:rPr>
          <w:rFonts w:eastAsia="SimSun"/>
          <w:lang w:val="sq-AL"/>
        </w:rPr>
        <w:t xml:space="preserve"> mijë lekë, nga </w:t>
      </w:r>
      <w:r>
        <w:rPr>
          <w:rFonts w:eastAsia="SimSun"/>
          <w:lang w:val="sq-AL"/>
        </w:rPr>
        <w:t>t</w:t>
      </w:r>
      <w:r w:rsidR="00694021">
        <w:rPr>
          <w:rFonts w:eastAsia="SimSun"/>
          <w:lang w:val="sq-AL"/>
        </w:rPr>
        <w:t>ë</w:t>
      </w:r>
      <w:r w:rsidR="00207749" w:rsidRPr="00F74CA9">
        <w:rPr>
          <w:rFonts w:eastAsia="SimSun"/>
          <w:lang w:val="sq-AL"/>
        </w:rPr>
        <w:t xml:space="preserve"> cila</w:t>
      </w:r>
      <w:r>
        <w:rPr>
          <w:rFonts w:eastAsia="SimSun"/>
          <w:lang w:val="sq-AL"/>
        </w:rPr>
        <w:t>t</w:t>
      </w:r>
      <w:r w:rsidR="00207749" w:rsidRPr="00F74CA9">
        <w:rPr>
          <w:rFonts w:eastAsia="SimSun"/>
          <w:lang w:val="sq-AL"/>
        </w:rPr>
        <w:t>:</w:t>
      </w:r>
    </w:p>
    <w:p w:rsidR="00207749" w:rsidRPr="00E1111C" w:rsidRDefault="00E1111C" w:rsidP="00842F80">
      <w:pPr>
        <w:pStyle w:val="ListParagraph"/>
        <w:numPr>
          <w:ilvl w:val="1"/>
          <w:numId w:val="14"/>
        </w:numPr>
        <w:spacing w:before="0" w:line="240" w:lineRule="auto"/>
        <w:rPr>
          <w:rFonts w:eastAsia="SimSun"/>
          <w:i/>
          <w:lang w:val="sq-AL"/>
        </w:rPr>
      </w:pPr>
      <w:r w:rsidRPr="00E1111C">
        <w:rPr>
          <w:rFonts w:eastAsia="SimSun"/>
          <w:i/>
          <w:lang w:val="sq-AL"/>
        </w:rPr>
        <w:t>8 795 772</w:t>
      </w:r>
      <w:r w:rsidR="00207749" w:rsidRPr="00E1111C">
        <w:rPr>
          <w:rFonts w:eastAsia="SimSun"/>
          <w:i/>
          <w:lang w:val="sq-AL"/>
        </w:rPr>
        <w:t xml:space="preserve"> mijë lekë, shpenzime për Njësitë e Qeverisjes Qendrore</w:t>
      </w:r>
      <w:r w:rsidRPr="00E1111C">
        <w:rPr>
          <w:rFonts w:eastAsia="SimSun"/>
          <w:i/>
          <w:lang w:val="sq-AL"/>
        </w:rPr>
        <w:t xml:space="preserve"> (NJQQ)</w:t>
      </w:r>
    </w:p>
    <w:p w:rsidR="00207749" w:rsidRPr="00E1111C" w:rsidRDefault="00E1111C" w:rsidP="00842F80">
      <w:pPr>
        <w:pStyle w:val="ListParagraph"/>
        <w:numPr>
          <w:ilvl w:val="1"/>
          <w:numId w:val="14"/>
        </w:numPr>
        <w:spacing w:before="0" w:line="240" w:lineRule="auto"/>
        <w:rPr>
          <w:rFonts w:eastAsia="SimSun"/>
          <w:i/>
          <w:lang w:val="sq-AL"/>
        </w:rPr>
      </w:pPr>
      <w:r w:rsidRPr="00E1111C">
        <w:rPr>
          <w:rFonts w:eastAsia="SimSun"/>
          <w:i/>
          <w:lang w:val="sq-AL"/>
        </w:rPr>
        <w:t>20 103 664</w:t>
      </w:r>
      <w:r w:rsidR="00207749" w:rsidRPr="00E1111C">
        <w:rPr>
          <w:rFonts w:eastAsia="SimSun"/>
          <w:i/>
          <w:lang w:val="sq-AL"/>
        </w:rPr>
        <w:t xml:space="preserve"> </w:t>
      </w:r>
      <w:r w:rsidRPr="00E1111C">
        <w:rPr>
          <w:rFonts w:eastAsia="SimSun"/>
          <w:i/>
          <w:lang w:val="sq-AL"/>
        </w:rPr>
        <w:t xml:space="preserve"> mijë lekë </w:t>
      </w:r>
      <w:r w:rsidR="00207749" w:rsidRPr="00E1111C">
        <w:rPr>
          <w:rFonts w:eastAsia="SimSun"/>
          <w:i/>
          <w:lang w:val="sq-AL"/>
        </w:rPr>
        <w:t xml:space="preserve">për Njësitë e </w:t>
      </w:r>
      <w:r w:rsidRPr="00E1111C">
        <w:rPr>
          <w:rFonts w:eastAsia="SimSun"/>
          <w:i/>
          <w:lang w:val="sq-AL"/>
        </w:rPr>
        <w:t>Vet</w:t>
      </w:r>
      <w:r w:rsidR="00694021">
        <w:rPr>
          <w:rFonts w:eastAsia="SimSun"/>
          <w:i/>
          <w:lang w:val="sq-AL"/>
        </w:rPr>
        <w:t>ë</w:t>
      </w:r>
      <w:r w:rsidRPr="00E1111C">
        <w:rPr>
          <w:rFonts w:eastAsia="SimSun"/>
          <w:i/>
          <w:lang w:val="sq-AL"/>
        </w:rPr>
        <w:t>q</w:t>
      </w:r>
      <w:r w:rsidR="00207749" w:rsidRPr="00E1111C">
        <w:rPr>
          <w:rFonts w:eastAsia="SimSun"/>
          <w:i/>
          <w:lang w:val="sq-AL"/>
        </w:rPr>
        <w:t>everisjes Vendore</w:t>
      </w:r>
      <w:r w:rsidRPr="00E1111C">
        <w:rPr>
          <w:rFonts w:eastAsia="SimSun"/>
          <w:i/>
          <w:lang w:val="sq-AL"/>
        </w:rPr>
        <w:t xml:space="preserve"> (NJVQV)</w:t>
      </w:r>
      <w:r w:rsidR="00207749" w:rsidRPr="00E1111C">
        <w:rPr>
          <w:rFonts w:eastAsia="SimSun"/>
          <w:i/>
          <w:lang w:val="sq-AL"/>
        </w:rPr>
        <w:t xml:space="preserve"> </w:t>
      </w:r>
    </w:p>
    <w:p w:rsidR="00554F56" w:rsidRDefault="00554F56" w:rsidP="003E010E">
      <w:pPr>
        <w:rPr>
          <w:rFonts w:cs="Calibri"/>
          <w:b/>
        </w:rPr>
      </w:pPr>
    </w:p>
    <w:p w:rsidR="003E010E" w:rsidRPr="003E010E" w:rsidRDefault="003E010E" w:rsidP="003E010E">
      <w:pPr>
        <w:rPr>
          <w:rFonts w:cs="Calibri"/>
          <w:b/>
        </w:rPr>
      </w:pPr>
      <w:r w:rsidRPr="003E010E">
        <w:rPr>
          <w:rFonts w:cs="Calibri"/>
          <w:b/>
        </w:rPr>
        <w:t xml:space="preserve">Nga Fondi i Rindërtimit për njësitë e qeverisjes </w:t>
      </w:r>
      <w:r>
        <w:rPr>
          <w:rFonts w:cs="Calibri"/>
          <w:b/>
        </w:rPr>
        <w:t>qendrore</w:t>
      </w:r>
      <w:r w:rsidRPr="003E010E">
        <w:rPr>
          <w:rFonts w:cs="Calibri"/>
          <w:b/>
        </w:rPr>
        <w:t xml:space="preserve"> </w:t>
      </w:r>
      <w:r w:rsidR="00BB4AF5">
        <w:rPr>
          <w:rFonts w:cs="Calibri"/>
          <w:b/>
        </w:rPr>
        <w:t xml:space="preserve">(NJQQ) </w:t>
      </w:r>
      <w:r w:rsidRPr="003E010E">
        <w:rPr>
          <w:rFonts w:cs="Calibri"/>
        </w:rPr>
        <w:t>deri në 31 dhjetor 2021</w:t>
      </w:r>
      <w:r>
        <w:rPr>
          <w:rFonts w:cs="Calibri"/>
        </w:rPr>
        <w:t xml:space="preserve">, </w:t>
      </w:r>
      <w:r w:rsidR="00BB4AF5">
        <w:rPr>
          <w:rFonts w:cs="Calibri"/>
        </w:rPr>
        <w:t xml:space="preserve">u akorduan fonde </w:t>
      </w:r>
      <w:r w:rsidR="00BB4AF5" w:rsidRPr="0083794F">
        <w:rPr>
          <w:rFonts w:cs="Calibri"/>
        </w:rPr>
        <w:t xml:space="preserve">në projekte specifike në masën </w:t>
      </w:r>
      <w:r w:rsidR="00BB4AF5">
        <w:rPr>
          <w:rFonts w:cs="Calibri"/>
        </w:rPr>
        <w:t>8.79</w:t>
      </w:r>
      <w:r w:rsidR="00BB4AF5" w:rsidRPr="0083794F">
        <w:rPr>
          <w:rFonts w:cs="Calibri"/>
        </w:rPr>
        <w:t xml:space="preserve"> miliardë lekë dhe </w:t>
      </w:r>
      <w:r w:rsidR="00BB4AF5">
        <w:rPr>
          <w:rFonts w:cs="Calibri"/>
        </w:rPr>
        <w:t>3.35</w:t>
      </w:r>
      <w:r w:rsidR="00BB4AF5" w:rsidRPr="0083794F">
        <w:rPr>
          <w:rFonts w:cs="Calibri"/>
        </w:rPr>
        <w:t xml:space="preserve"> miliard lekë janë trashëguar në buxhetin e vitit 2021, si fonde të papërdorura nga viti 2020</w:t>
      </w:r>
      <w:r w:rsidR="00BB4AF5">
        <w:rPr>
          <w:rFonts w:cs="Calibri"/>
        </w:rPr>
        <w:t>. K</w:t>
      </w:r>
      <w:r>
        <w:rPr>
          <w:rFonts w:cs="Calibri"/>
        </w:rPr>
        <w:t>onkretisht:</w:t>
      </w:r>
    </w:p>
    <w:p w:rsidR="00BB4AF5" w:rsidRPr="00BB4AF5" w:rsidRDefault="00BB4AF5" w:rsidP="00BB4AF5">
      <w:pPr>
        <w:pStyle w:val="ListParagraph"/>
        <w:spacing w:before="0" w:line="240" w:lineRule="auto"/>
        <w:ind w:left="450"/>
        <w:rPr>
          <w:rFonts w:cs="Calibri"/>
          <w:sz w:val="16"/>
          <w:szCs w:val="8"/>
        </w:rPr>
      </w:pPr>
    </w:p>
    <w:p w:rsidR="004C1EB3" w:rsidRDefault="00F652FF" w:rsidP="00842F80">
      <w:pPr>
        <w:pStyle w:val="ListParagraph"/>
        <w:numPr>
          <w:ilvl w:val="0"/>
          <w:numId w:val="43"/>
        </w:numPr>
        <w:spacing w:before="0" w:line="240" w:lineRule="auto"/>
        <w:ind w:left="450"/>
        <w:rPr>
          <w:rFonts w:cs="Calibri"/>
        </w:rPr>
      </w:pPr>
      <w:r w:rsidRPr="004C1EB3">
        <w:rPr>
          <w:rFonts w:cs="Calibri"/>
        </w:rPr>
        <w:t xml:space="preserve">Fondi Shqiptar i Zhvillimit (FZHSH) shpenzoi 11.36 miliardë lekë (nga 11.6 miliardë </w:t>
      </w:r>
      <w:r w:rsidR="004C1EB3">
        <w:rPr>
          <w:rFonts w:cs="Calibri"/>
        </w:rPr>
        <w:t>lek</w:t>
      </w:r>
      <w:r w:rsidR="00F14D33">
        <w:rPr>
          <w:rFonts w:cs="Calibri"/>
        </w:rPr>
        <w:t>ë</w:t>
      </w:r>
      <w:r w:rsidR="004C1EB3">
        <w:rPr>
          <w:rFonts w:cs="Calibri"/>
        </w:rPr>
        <w:t xml:space="preserve"> </w:t>
      </w:r>
      <w:r w:rsidRPr="004C1EB3">
        <w:rPr>
          <w:rFonts w:cs="Calibri"/>
        </w:rPr>
        <w:t xml:space="preserve">të akorduara) për rindërtimin e 1711 objekteve. </w:t>
      </w:r>
    </w:p>
    <w:p w:rsidR="00F652FF" w:rsidRPr="004C1EB3" w:rsidRDefault="00F652FF" w:rsidP="00842F80">
      <w:pPr>
        <w:pStyle w:val="ListParagraph"/>
        <w:numPr>
          <w:ilvl w:val="1"/>
          <w:numId w:val="48"/>
        </w:numPr>
        <w:spacing w:line="240" w:lineRule="auto"/>
        <w:ind w:left="900"/>
        <w:rPr>
          <w:i/>
        </w:rPr>
      </w:pPr>
      <w:r w:rsidRPr="004C1EB3">
        <w:rPr>
          <w:i/>
        </w:rPr>
        <w:t>Gjatë vitit 2021 janë dorëzuar tek Njësitë e Vetqeverisjes Vendore 775 objekte nga të cilat 34 objekte arsimore; 37 godina kolektive, 704 banesa individuale.</w:t>
      </w:r>
    </w:p>
    <w:p w:rsidR="00BB4AF5" w:rsidRPr="00BB4AF5" w:rsidRDefault="00BB4AF5" w:rsidP="00BB4AF5">
      <w:pPr>
        <w:pStyle w:val="ListParagraph"/>
        <w:spacing w:line="240" w:lineRule="auto"/>
        <w:ind w:left="450"/>
        <w:rPr>
          <w:rFonts w:cs="Calibri"/>
          <w:sz w:val="16"/>
          <w:szCs w:val="8"/>
        </w:rPr>
      </w:pPr>
    </w:p>
    <w:p w:rsidR="00F652FF" w:rsidRPr="004C1EB3" w:rsidRDefault="00F652FF" w:rsidP="00842F80">
      <w:pPr>
        <w:pStyle w:val="ListParagraph"/>
        <w:numPr>
          <w:ilvl w:val="0"/>
          <w:numId w:val="43"/>
        </w:numPr>
        <w:spacing w:line="240" w:lineRule="auto"/>
        <w:ind w:left="450"/>
        <w:rPr>
          <w:rFonts w:cs="Calibri"/>
        </w:rPr>
      </w:pPr>
      <w:r w:rsidRPr="004C1EB3">
        <w:rPr>
          <w:rFonts w:cs="Calibri"/>
        </w:rPr>
        <w:t>Agjenci të tjera qendrore shpenzuan 261 milionë lekë (nga 398 milionë të  akorduar); për rindërtimin e urës së Tapizës (MIE-147 milionë</w:t>
      </w:r>
      <w:r w:rsidR="004C1EB3">
        <w:rPr>
          <w:rFonts w:cs="Calibri"/>
        </w:rPr>
        <w:t xml:space="preserve"> lek</w:t>
      </w:r>
      <w:r w:rsidR="00F14D33">
        <w:rPr>
          <w:rFonts w:cs="Calibri"/>
        </w:rPr>
        <w:t>ë</w:t>
      </w:r>
      <w:r w:rsidRPr="004C1EB3">
        <w:rPr>
          <w:rFonts w:cs="Calibri"/>
        </w:rPr>
        <w:t>), hartimin e planeve të konservimit dhe ndërhyrje restauruese (MK - 32); Rikonstruksion i objekteve të ish Repartit RENEA (MB-55 milionë</w:t>
      </w:r>
      <w:r w:rsidR="004C1EB3">
        <w:rPr>
          <w:rFonts w:cs="Calibri"/>
        </w:rPr>
        <w:t xml:space="preserve"> lek</w:t>
      </w:r>
      <w:r w:rsidR="00F14D33">
        <w:rPr>
          <w:rFonts w:cs="Calibri"/>
        </w:rPr>
        <w:t>ë</w:t>
      </w:r>
      <w:r w:rsidRPr="004C1EB3">
        <w:rPr>
          <w:rFonts w:cs="Calibri"/>
        </w:rPr>
        <w:t>); Rikonstruksione dhe ndertime për institucionet ne SHISH (SHISH- 6 milionë</w:t>
      </w:r>
      <w:r w:rsidR="004C1EB3">
        <w:rPr>
          <w:rFonts w:cs="Calibri"/>
        </w:rPr>
        <w:t xml:space="preserve"> lek</w:t>
      </w:r>
      <w:r w:rsidR="00F14D33">
        <w:rPr>
          <w:rFonts w:cs="Calibri"/>
        </w:rPr>
        <w:t>ë</w:t>
      </w:r>
      <w:r w:rsidRPr="004C1EB3">
        <w:rPr>
          <w:rFonts w:cs="Calibri"/>
        </w:rPr>
        <w:t>); Hartimi i Planeve te detyruara vendore per 9 bashki: (AKPT – 22 milionë</w:t>
      </w:r>
      <w:r w:rsidR="004C1EB3">
        <w:rPr>
          <w:rFonts w:cs="Calibri"/>
        </w:rPr>
        <w:t xml:space="preserve"> lek</w:t>
      </w:r>
      <w:r w:rsidR="00F14D33">
        <w:rPr>
          <w:rFonts w:cs="Calibri"/>
        </w:rPr>
        <w:t>ë</w:t>
      </w:r>
      <w:r w:rsidRPr="004C1EB3">
        <w:rPr>
          <w:rFonts w:cs="Calibri"/>
        </w:rPr>
        <w:t>).</w:t>
      </w:r>
    </w:p>
    <w:p w:rsidR="00BB4AF5" w:rsidRPr="00BB4AF5" w:rsidRDefault="00BB4AF5" w:rsidP="00BB4AF5">
      <w:pPr>
        <w:pStyle w:val="ListParagraph"/>
        <w:spacing w:line="240" w:lineRule="auto"/>
        <w:ind w:left="450"/>
        <w:rPr>
          <w:rFonts w:cs="Calibri"/>
          <w:sz w:val="16"/>
          <w:szCs w:val="8"/>
        </w:rPr>
      </w:pPr>
    </w:p>
    <w:p w:rsidR="004C1EB3" w:rsidRDefault="004C1EB3" w:rsidP="00842F80">
      <w:pPr>
        <w:pStyle w:val="ListParagraph"/>
        <w:numPr>
          <w:ilvl w:val="0"/>
          <w:numId w:val="43"/>
        </w:numPr>
        <w:spacing w:line="240" w:lineRule="auto"/>
        <w:ind w:left="450"/>
        <w:rPr>
          <w:rFonts w:cs="Calibri"/>
        </w:rPr>
      </w:pPr>
      <w:r w:rsidRPr="004C1EB3">
        <w:rPr>
          <w:rFonts w:cs="Calibri"/>
        </w:rPr>
        <w:t>Në kuad</w:t>
      </w:r>
      <w:r w:rsidR="00F14D33">
        <w:rPr>
          <w:rFonts w:cs="Calibri"/>
        </w:rPr>
        <w:t>ë</w:t>
      </w:r>
      <w:r w:rsidRPr="004C1EB3">
        <w:rPr>
          <w:rFonts w:cs="Calibri"/>
        </w:rPr>
        <w:t>r t</w:t>
      </w:r>
      <w:r w:rsidR="00F14D33">
        <w:rPr>
          <w:rFonts w:cs="Calibri"/>
        </w:rPr>
        <w:t>ë</w:t>
      </w:r>
      <w:r w:rsidRPr="004C1EB3">
        <w:rPr>
          <w:rFonts w:cs="Calibri"/>
        </w:rPr>
        <w:t xml:space="preserve"> Strehimit, n</w:t>
      </w:r>
      <w:r w:rsidR="00F14D33">
        <w:rPr>
          <w:rFonts w:cs="Calibri"/>
        </w:rPr>
        <w:t>ë</w:t>
      </w:r>
      <w:r w:rsidRPr="004C1EB3">
        <w:rPr>
          <w:rFonts w:cs="Calibri"/>
        </w:rPr>
        <w:t xml:space="preserve"> fund të dhjetorit 2021 rreth 13 000 familje ishin të akomoduara në apartamente me qira të subvencionuar nga shteti, dhe u subvencionuan qiratë për k</w:t>
      </w:r>
      <w:r w:rsidR="00F14D33">
        <w:rPr>
          <w:rFonts w:cs="Calibri"/>
        </w:rPr>
        <w:t>ë</w:t>
      </w:r>
      <w:r w:rsidRPr="004C1EB3">
        <w:rPr>
          <w:rFonts w:cs="Calibri"/>
        </w:rPr>
        <w:t>to familje me një kosto totale prej 2.98 miliardë lekë (ose 96% e fon</w:t>
      </w:r>
      <w:r w:rsidR="001B7769">
        <w:rPr>
          <w:rFonts w:cs="Calibri"/>
        </w:rPr>
        <w:t xml:space="preserve">deve sipas planit të rishikuar), dhe </w:t>
      </w:r>
      <w:r w:rsidR="001B7769" w:rsidRPr="00526C04">
        <w:t>kanë qe</w:t>
      </w:r>
      <w:r w:rsidR="001B7769">
        <w:t>në në proces rindërtimi rreth 5.</w:t>
      </w:r>
      <w:r w:rsidR="001B7769" w:rsidRPr="00526C04">
        <w:t xml:space="preserve">620 banesa, </w:t>
      </w:r>
      <w:r w:rsidR="001B7769">
        <w:t xml:space="preserve">pa </w:t>
      </w:r>
      <w:r w:rsidR="001B7769" w:rsidRPr="00526C04">
        <w:t>pë</w:t>
      </w:r>
      <w:r w:rsidR="001B7769">
        <w:t>rfshirë B</w:t>
      </w:r>
      <w:r w:rsidR="001B7769" w:rsidRPr="00526C04">
        <w:t>ashki</w:t>
      </w:r>
      <w:r w:rsidR="001B7769">
        <w:t>n</w:t>
      </w:r>
      <w:r w:rsidR="001B7769" w:rsidRPr="00526C04">
        <w:t>ë Tiranë</w:t>
      </w:r>
      <w:r w:rsidR="001B7769">
        <w:t>.</w:t>
      </w:r>
    </w:p>
    <w:p w:rsidR="004C1EB3" w:rsidRDefault="004C1EB3" w:rsidP="00842F80">
      <w:pPr>
        <w:pStyle w:val="ListParagraph"/>
        <w:numPr>
          <w:ilvl w:val="1"/>
          <w:numId w:val="48"/>
        </w:numPr>
        <w:spacing w:before="0"/>
        <w:ind w:left="900"/>
        <w:rPr>
          <w:i/>
        </w:rPr>
      </w:pPr>
      <w:r w:rsidRPr="004C1EB3">
        <w:rPr>
          <w:i/>
        </w:rPr>
        <w:t xml:space="preserve">Fillimisht </w:t>
      </w:r>
      <w:r>
        <w:rPr>
          <w:i/>
        </w:rPr>
        <w:t>nevoja p</w:t>
      </w:r>
      <w:r w:rsidR="00F14D33">
        <w:rPr>
          <w:i/>
        </w:rPr>
        <w:t>ë</w:t>
      </w:r>
      <w:r>
        <w:rPr>
          <w:i/>
        </w:rPr>
        <w:t xml:space="preserve">r fonde </w:t>
      </w:r>
      <w:r w:rsidRPr="004C1EB3">
        <w:rPr>
          <w:i/>
        </w:rPr>
        <w:t xml:space="preserve">u parashikua </w:t>
      </w:r>
      <w:r>
        <w:rPr>
          <w:i/>
        </w:rPr>
        <w:t>rreth</w:t>
      </w:r>
      <w:r w:rsidRPr="004C1EB3">
        <w:rPr>
          <w:i/>
        </w:rPr>
        <w:t xml:space="preserve"> 1,500 milion lekë, </w:t>
      </w:r>
      <w:r>
        <w:rPr>
          <w:i/>
        </w:rPr>
        <w:t>ose</w:t>
      </w:r>
      <w:r w:rsidRPr="004C1EB3">
        <w:rPr>
          <w:i/>
        </w:rPr>
        <w:t xml:space="preserve"> 49% më pak se viti 2020, nisur nga supozimi se një pjesë e familjeve do të strehoheshin gjatë viteve 2020 dhe 2021. </w:t>
      </w:r>
    </w:p>
    <w:p w:rsidR="004C1EB3" w:rsidRPr="00554F56" w:rsidRDefault="004C1EB3" w:rsidP="00842F80">
      <w:pPr>
        <w:pStyle w:val="ListParagraph"/>
        <w:numPr>
          <w:ilvl w:val="1"/>
          <w:numId w:val="48"/>
        </w:numPr>
        <w:spacing w:before="0"/>
        <w:ind w:left="900"/>
        <w:rPr>
          <w:i/>
        </w:rPr>
      </w:pPr>
      <w:r>
        <w:rPr>
          <w:i/>
        </w:rPr>
        <w:t xml:space="preserve">Por, </w:t>
      </w:r>
      <w:r w:rsidRPr="004C1EB3">
        <w:rPr>
          <w:i/>
        </w:rPr>
        <w:t xml:space="preserve">bashkitë </w:t>
      </w:r>
      <w:r>
        <w:rPr>
          <w:i/>
        </w:rPr>
        <w:t>kan</w:t>
      </w:r>
      <w:r w:rsidR="00F14D33">
        <w:rPr>
          <w:i/>
        </w:rPr>
        <w:t>ë</w:t>
      </w:r>
      <w:r>
        <w:rPr>
          <w:i/>
        </w:rPr>
        <w:t xml:space="preserve"> </w:t>
      </w:r>
      <w:r w:rsidRPr="004C1EB3">
        <w:rPr>
          <w:i/>
        </w:rPr>
        <w:t xml:space="preserve">informuar në vazhdimësi se si </w:t>
      </w:r>
      <w:r>
        <w:rPr>
          <w:i/>
        </w:rPr>
        <w:t>pasoj</w:t>
      </w:r>
      <w:r w:rsidR="00F14D33">
        <w:rPr>
          <w:i/>
        </w:rPr>
        <w:t>ë</w:t>
      </w:r>
      <w:r w:rsidRPr="004C1EB3">
        <w:rPr>
          <w:i/>
        </w:rPr>
        <w:t xml:space="preserve"> </w:t>
      </w:r>
      <w:r>
        <w:rPr>
          <w:i/>
        </w:rPr>
        <w:t>e</w:t>
      </w:r>
      <w:r w:rsidRPr="004C1EB3">
        <w:rPr>
          <w:i/>
        </w:rPr>
        <w:t xml:space="preserve"> rivlerësimeve të objekteve nga Instituti i Ndërtimit, numri i banesave që duhen shembur u rrit</w:t>
      </w:r>
      <w:r>
        <w:rPr>
          <w:i/>
        </w:rPr>
        <w:t xml:space="preserve">. </w:t>
      </w:r>
      <w:r w:rsidRPr="004C1EB3">
        <w:rPr>
          <w:i/>
        </w:rPr>
        <w:t xml:space="preserve">Kjo solli që kërkesa për mbështetje buxhetore nga ana e bashkive të jetë </w:t>
      </w:r>
      <w:r>
        <w:rPr>
          <w:i/>
        </w:rPr>
        <w:t xml:space="preserve">afro e </w:t>
      </w:r>
      <w:r w:rsidRPr="004C1EB3">
        <w:rPr>
          <w:i/>
        </w:rPr>
        <w:t>njëjt</w:t>
      </w:r>
      <w:r w:rsidR="00F14D33">
        <w:rPr>
          <w:i/>
        </w:rPr>
        <w:t>ë</w:t>
      </w:r>
      <w:r>
        <w:rPr>
          <w:i/>
        </w:rPr>
        <w:t xml:space="preserve"> si</w:t>
      </w:r>
      <w:r w:rsidRPr="004C1EB3">
        <w:rPr>
          <w:i/>
        </w:rPr>
        <w:t xml:space="preserve"> nivel financimi</w:t>
      </w:r>
      <w:r>
        <w:rPr>
          <w:i/>
        </w:rPr>
        <w:t>, me at</w:t>
      </w:r>
      <w:r w:rsidR="00F14D33">
        <w:rPr>
          <w:i/>
        </w:rPr>
        <w:t>ë</w:t>
      </w:r>
      <w:r>
        <w:rPr>
          <w:i/>
        </w:rPr>
        <w:t xml:space="preserve"> t</w:t>
      </w:r>
      <w:r w:rsidR="00F14D33">
        <w:rPr>
          <w:i/>
        </w:rPr>
        <w:t>ë</w:t>
      </w:r>
      <w:r w:rsidRPr="004C1EB3">
        <w:rPr>
          <w:i/>
        </w:rPr>
        <w:t xml:space="preserve"> vitit 2020</w:t>
      </w:r>
      <w:r>
        <w:rPr>
          <w:i/>
        </w:rPr>
        <w:t xml:space="preserve">. </w:t>
      </w:r>
      <w:r w:rsidRPr="004C1EB3">
        <w:rPr>
          <w:rFonts w:cs="Calibri"/>
        </w:rPr>
        <w:t xml:space="preserve">Më poshtë informacioni i detajuar i dërguar nga 11 bashkitë e prekura nga tërmeti për vitin 2021. </w:t>
      </w:r>
    </w:p>
    <w:p w:rsidR="00554F56" w:rsidRDefault="00554F56" w:rsidP="00554F56">
      <w:pPr>
        <w:pStyle w:val="ListParagraph"/>
        <w:spacing w:before="0"/>
        <w:ind w:left="900"/>
        <w:rPr>
          <w:i/>
        </w:rPr>
      </w:pPr>
    </w:p>
    <w:p w:rsidR="00554F56" w:rsidRDefault="00554F56" w:rsidP="00554F56">
      <w:pPr>
        <w:pStyle w:val="ListParagraph"/>
        <w:spacing w:before="0"/>
        <w:ind w:left="900"/>
        <w:rPr>
          <w:i/>
        </w:rPr>
      </w:pPr>
    </w:p>
    <w:p w:rsidR="00554F56" w:rsidRPr="00BB4AF5" w:rsidRDefault="00554F56" w:rsidP="00554F56">
      <w:pPr>
        <w:pStyle w:val="ListParagraph"/>
        <w:spacing w:before="0"/>
        <w:ind w:left="900"/>
        <w:rPr>
          <w:i/>
        </w:rPr>
      </w:pPr>
    </w:p>
    <w:tbl>
      <w:tblPr>
        <w:tblStyle w:val="TableGrid"/>
        <w:tblW w:w="10526" w:type="dxa"/>
        <w:jc w:val="center"/>
        <w:tblLook w:val="04A0" w:firstRow="1" w:lastRow="0" w:firstColumn="1" w:lastColumn="0" w:noHBand="0" w:noVBand="1"/>
      </w:tblPr>
      <w:tblGrid>
        <w:gridCol w:w="951"/>
        <w:gridCol w:w="1445"/>
        <w:gridCol w:w="1185"/>
        <w:gridCol w:w="2535"/>
        <w:gridCol w:w="2796"/>
        <w:gridCol w:w="1614"/>
      </w:tblGrid>
      <w:tr w:rsidR="00526C04" w:rsidRPr="003E010E" w:rsidTr="004C1EB3">
        <w:trPr>
          <w:trHeight w:val="567"/>
          <w:jc w:val="center"/>
        </w:trPr>
        <w:tc>
          <w:tcPr>
            <w:tcW w:w="0" w:type="auto"/>
            <w:shd w:val="clear" w:color="auto" w:fill="76C2E8" w:themeFill="background2" w:themeFillShade="BF"/>
            <w:vAlign w:val="center"/>
            <w:hideMark/>
          </w:tcPr>
          <w:p w:rsidR="00526C04" w:rsidRPr="001B7769" w:rsidRDefault="00526C04" w:rsidP="004C1EB3">
            <w:pPr>
              <w:spacing w:before="0" w:line="240" w:lineRule="auto"/>
              <w:jc w:val="center"/>
              <w:rPr>
                <w:rFonts w:asciiTheme="majorHAnsi" w:hAnsiTheme="majorHAnsi"/>
                <w:b/>
                <w:sz w:val="16"/>
                <w:szCs w:val="16"/>
                <w:lang w:val="sq-AL"/>
              </w:rPr>
            </w:pPr>
            <w:r w:rsidRPr="001B7769">
              <w:rPr>
                <w:rFonts w:asciiTheme="majorHAnsi" w:hAnsiTheme="majorHAnsi"/>
                <w:b/>
                <w:sz w:val="16"/>
                <w:szCs w:val="16"/>
                <w:lang w:val="sq-AL"/>
              </w:rPr>
              <w:lastRenderedPageBreak/>
              <w:t>Bashkia</w:t>
            </w:r>
          </w:p>
        </w:tc>
        <w:tc>
          <w:tcPr>
            <w:tcW w:w="0" w:type="auto"/>
            <w:shd w:val="clear" w:color="auto" w:fill="76C2E8" w:themeFill="background2" w:themeFillShade="BF"/>
            <w:vAlign w:val="center"/>
            <w:hideMark/>
          </w:tcPr>
          <w:p w:rsidR="00526C04" w:rsidRPr="001B7769" w:rsidRDefault="00526C04" w:rsidP="004C1EB3">
            <w:pPr>
              <w:spacing w:before="0" w:line="240" w:lineRule="auto"/>
              <w:jc w:val="center"/>
              <w:rPr>
                <w:rFonts w:asciiTheme="majorHAnsi" w:hAnsiTheme="majorHAnsi"/>
                <w:b/>
                <w:sz w:val="16"/>
                <w:szCs w:val="16"/>
                <w:lang w:val="sq-AL"/>
              </w:rPr>
            </w:pPr>
            <w:r w:rsidRPr="001B7769">
              <w:rPr>
                <w:rFonts w:asciiTheme="majorHAnsi" w:hAnsiTheme="majorHAnsi"/>
                <w:b/>
                <w:sz w:val="16"/>
                <w:szCs w:val="16"/>
                <w:lang w:val="sq-AL"/>
              </w:rPr>
              <w:t>Nr i familjeve qe perfituan deri ne dhjetor  2021</w:t>
            </w:r>
          </w:p>
        </w:tc>
        <w:tc>
          <w:tcPr>
            <w:tcW w:w="0" w:type="auto"/>
            <w:shd w:val="clear" w:color="auto" w:fill="76C2E8" w:themeFill="background2" w:themeFillShade="BF"/>
            <w:vAlign w:val="center"/>
            <w:hideMark/>
          </w:tcPr>
          <w:p w:rsidR="00526C04" w:rsidRPr="001B7769" w:rsidRDefault="00526C04" w:rsidP="004C1EB3">
            <w:pPr>
              <w:spacing w:before="0" w:line="240" w:lineRule="auto"/>
              <w:jc w:val="center"/>
              <w:rPr>
                <w:rFonts w:asciiTheme="majorHAnsi" w:hAnsiTheme="majorHAnsi"/>
                <w:b/>
                <w:sz w:val="16"/>
                <w:szCs w:val="16"/>
                <w:lang w:val="sq-AL"/>
              </w:rPr>
            </w:pPr>
            <w:r w:rsidRPr="001B7769">
              <w:rPr>
                <w:rFonts w:asciiTheme="majorHAnsi" w:hAnsiTheme="majorHAnsi"/>
                <w:b/>
                <w:sz w:val="16"/>
                <w:szCs w:val="16"/>
                <w:lang w:val="sq-AL"/>
              </w:rPr>
              <w:t>Fondi i perdorur</w:t>
            </w:r>
          </w:p>
        </w:tc>
        <w:tc>
          <w:tcPr>
            <w:tcW w:w="0" w:type="auto"/>
            <w:shd w:val="clear" w:color="auto" w:fill="76C2E8" w:themeFill="background2" w:themeFillShade="BF"/>
            <w:vAlign w:val="center"/>
          </w:tcPr>
          <w:p w:rsidR="00526C04" w:rsidRPr="001B7769" w:rsidRDefault="00526C04" w:rsidP="004C1EB3">
            <w:pPr>
              <w:spacing w:before="0" w:line="240" w:lineRule="auto"/>
              <w:jc w:val="center"/>
              <w:rPr>
                <w:rFonts w:asciiTheme="majorHAnsi" w:hAnsiTheme="majorHAnsi"/>
                <w:b/>
                <w:sz w:val="16"/>
                <w:szCs w:val="16"/>
                <w:lang w:val="sq-AL"/>
              </w:rPr>
            </w:pPr>
            <w:r w:rsidRPr="001B7769">
              <w:rPr>
                <w:rFonts w:asciiTheme="majorHAnsi" w:hAnsiTheme="majorHAnsi"/>
                <w:b/>
                <w:sz w:val="16"/>
                <w:szCs w:val="16"/>
                <w:lang w:val="sq-AL"/>
              </w:rPr>
              <w:t>Numri i banesave individuale dhe apartamenteve në banesa kolektive që janë në proces ndërtimi</w:t>
            </w:r>
          </w:p>
        </w:tc>
        <w:tc>
          <w:tcPr>
            <w:tcW w:w="0" w:type="auto"/>
            <w:shd w:val="clear" w:color="auto" w:fill="76C2E8" w:themeFill="background2" w:themeFillShade="BF"/>
            <w:vAlign w:val="center"/>
          </w:tcPr>
          <w:p w:rsidR="00526C04" w:rsidRPr="001B7769" w:rsidRDefault="00526C04" w:rsidP="004C1EB3">
            <w:pPr>
              <w:spacing w:line="240" w:lineRule="auto"/>
              <w:jc w:val="center"/>
              <w:rPr>
                <w:rFonts w:asciiTheme="majorHAnsi" w:hAnsiTheme="majorHAnsi"/>
                <w:color w:val="000000"/>
                <w:sz w:val="16"/>
                <w:szCs w:val="16"/>
                <w:lang w:val="sq-AL"/>
              </w:rPr>
            </w:pPr>
            <w:r w:rsidRPr="001B7769">
              <w:rPr>
                <w:rFonts w:asciiTheme="majorHAnsi" w:hAnsiTheme="majorHAnsi"/>
                <w:b/>
                <w:sz w:val="16"/>
                <w:szCs w:val="16"/>
                <w:lang w:val="sq-AL"/>
              </w:rPr>
              <w:t>Numri i banesave individuale dhe apartamenteve në banesa kolektive që janë ndërtuar nga programi i rindërtimit</w:t>
            </w:r>
          </w:p>
        </w:tc>
        <w:tc>
          <w:tcPr>
            <w:tcW w:w="0" w:type="auto"/>
            <w:shd w:val="clear" w:color="auto" w:fill="76C2E8" w:themeFill="background2" w:themeFillShade="BF"/>
            <w:vAlign w:val="center"/>
          </w:tcPr>
          <w:p w:rsidR="00526C04" w:rsidRPr="001B7769" w:rsidRDefault="00526C04" w:rsidP="004C1EB3">
            <w:pPr>
              <w:spacing w:line="240" w:lineRule="auto"/>
              <w:jc w:val="center"/>
              <w:rPr>
                <w:rFonts w:asciiTheme="majorHAnsi" w:hAnsiTheme="majorHAnsi"/>
                <w:color w:val="000000"/>
                <w:sz w:val="16"/>
                <w:szCs w:val="16"/>
                <w:lang w:val="sq-AL"/>
              </w:rPr>
            </w:pPr>
            <w:r w:rsidRPr="001B7769">
              <w:rPr>
                <w:rFonts w:asciiTheme="majorHAnsi" w:hAnsiTheme="majorHAnsi"/>
                <w:color w:val="000000"/>
                <w:sz w:val="16"/>
                <w:szCs w:val="16"/>
                <w:lang w:val="sq-AL"/>
              </w:rPr>
              <w:t>N</w:t>
            </w:r>
            <w:r w:rsidRPr="001B7769">
              <w:rPr>
                <w:rFonts w:asciiTheme="majorHAnsi" w:hAnsiTheme="majorHAnsi"/>
                <w:b/>
                <w:sz w:val="16"/>
                <w:szCs w:val="16"/>
                <w:lang w:val="sq-AL"/>
              </w:rPr>
              <w:t>umri i familjeve qe kane dale nga skema e subv. te qirase</w:t>
            </w:r>
          </w:p>
        </w:tc>
      </w:tr>
      <w:tr w:rsidR="00526C04" w:rsidRPr="003E010E" w:rsidTr="001B7769">
        <w:trPr>
          <w:trHeight w:val="197"/>
          <w:jc w:val="center"/>
        </w:trPr>
        <w:tc>
          <w:tcPr>
            <w:tcW w:w="0" w:type="auto"/>
            <w:noWrap/>
            <w:vAlign w:val="center"/>
            <w:hideMark/>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Tirane</w:t>
            </w:r>
          </w:p>
        </w:tc>
        <w:tc>
          <w:tcPr>
            <w:tcW w:w="0" w:type="auto"/>
            <w:noWrap/>
            <w:vAlign w:val="center"/>
            <w:hideMark/>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2,241</w:t>
            </w:r>
          </w:p>
        </w:tc>
        <w:tc>
          <w:tcPr>
            <w:tcW w:w="0" w:type="auto"/>
            <w:noWrap/>
            <w:vAlign w:val="center"/>
            <w:hideMark/>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571,814,000</w:t>
            </w:r>
          </w:p>
        </w:tc>
        <w:tc>
          <w:tcPr>
            <w:tcW w:w="0" w:type="auto"/>
            <w:vAlign w:val="center"/>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S’ka informacion</w:t>
            </w:r>
          </w:p>
        </w:tc>
        <w:tc>
          <w:tcPr>
            <w:tcW w:w="0" w:type="auto"/>
            <w:vAlign w:val="center"/>
          </w:tcPr>
          <w:p w:rsidR="00526C04" w:rsidRPr="00BB4AF5" w:rsidRDefault="00526C04" w:rsidP="004C1EB3">
            <w:pPr>
              <w:spacing w:line="240" w:lineRule="auto"/>
              <w:jc w:val="center"/>
              <w:rPr>
                <w:rFonts w:asciiTheme="majorHAnsi" w:hAnsiTheme="majorHAnsi"/>
                <w:color w:val="000000"/>
                <w:sz w:val="16"/>
                <w:szCs w:val="16"/>
                <w:lang w:val="sq-AL"/>
              </w:rPr>
            </w:pPr>
            <w:r w:rsidRPr="00BB4AF5">
              <w:rPr>
                <w:rFonts w:asciiTheme="majorHAnsi" w:hAnsiTheme="majorHAnsi"/>
                <w:color w:val="000000"/>
                <w:sz w:val="16"/>
                <w:szCs w:val="16"/>
                <w:lang w:val="sq-AL"/>
              </w:rPr>
              <w:t>57</w:t>
            </w:r>
          </w:p>
        </w:tc>
        <w:tc>
          <w:tcPr>
            <w:tcW w:w="0" w:type="auto"/>
            <w:vAlign w:val="center"/>
          </w:tcPr>
          <w:p w:rsidR="00526C04" w:rsidRPr="00BB4AF5" w:rsidRDefault="00526C04" w:rsidP="004C1EB3">
            <w:pPr>
              <w:spacing w:line="240" w:lineRule="auto"/>
              <w:jc w:val="center"/>
              <w:rPr>
                <w:rFonts w:asciiTheme="majorHAnsi" w:hAnsiTheme="majorHAnsi"/>
                <w:color w:val="000000"/>
                <w:sz w:val="16"/>
                <w:szCs w:val="16"/>
                <w:lang w:val="sq-AL"/>
              </w:rPr>
            </w:pPr>
            <w:r w:rsidRPr="00BB4AF5">
              <w:rPr>
                <w:rFonts w:asciiTheme="majorHAnsi" w:hAnsiTheme="majorHAnsi"/>
                <w:color w:val="000000"/>
                <w:sz w:val="16"/>
                <w:szCs w:val="16"/>
                <w:lang w:val="sq-AL"/>
              </w:rPr>
              <w:t>71</w:t>
            </w:r>
          </w:p>
        </w:tc>
      </w:tr>
      <w:tr w:rsidR="00526C04" w:rsidRPr="003E010E" w:rsidTr="004C1EB3">
        <w:trPr>
          <w:trHeight w:val="244"/>
          <w:jc w:val="center"/>
        </w:trPr>
        <w:tc>
          <w:tcPr>
            <w:tcW w:w="0" w:type="auto"/>
            <w:noWrap/>
            <w:vAlign w:val="center"/>
            <w:hideMark/>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Durres</w:t>
            </w:r>
          </w:p>
        </w:tc>
        <w:tc>
          <w:tcPr>
            <w:tcW w:w="0" w:type="auto"/>
            <w:noWrap/>
            <w:vAlign w:val="center"/>
            <w:hideMark/>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3,850</w:t>
            </w:r>
          </w:p>
        </w:tc>
        <w:tc>
          <w:tcPr>
            <w:tcW w:w="0" w:type="auto"/>
            <w:noWrap/>
            <w:vAlign w:val="center"/>
            <w:hideMark/>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1,096,055,000</w:t>
            </w:r>
          </w:p>
        </w:tc>
        <w:tc>
          <w:tcPr>
            <w:tcW w:w="0" w:type="auto"/>
            <w:vAlign w:val="center"/>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1,525</w:t>
            </w:r>
          </w:p>
        </w:tc>
        <w:tc>
          <w:tcPr>
            <w:tcW w:w="0" w:type="auto"/>
            <w:vAlign w:val="center"/>
          </w:tcPr>
          <w:p w:rsidR="00526C04" w:rsidRPr="00BB4AF5" w:rsidRDefault="00526C04" w:rsidP="004C1EB3">
            <w:pPr>
              <w:spacing w:line="240" w:lineRule="auto"/>
              <w:jc w:val="center"/>
              <w:rPr>
                <w:rFonts w:asciiTheme="majorHAnsi" w:hAnsiTheme="majorHAnsi"/>
                <w:color w:val="000000"/>
                <w:sz w:val="16"/>
                <w:szCs w:val="16"/>
                <w:lang w:val="sq-AL"/>
              </w:rPr>
            </w:pPr>
            <w:r w:rsidRPr="00BB4AF5">
              <w:rPr>
                <w:rFonts w:asciiTheme="majorHAnsi" w:hAnsiTheme="majorHAnsi"/>
                <w:color w:val="000000"/>
                <w:sz w:val="16"/>
                <w:szCs w:val="16"/>
                <w:lang w:val="sq-AL"/>
              </w:rPr>
              <w:t>205</w:t>
            </w:r>
          </w:p>
        </w:tc>
        <w:tc>
          <w:tcPr>
            <w:tcW w:w="0" w:type="auto"/>
            <w:vAlign w:val="center"/>
          </w:tcPr>
          <w:p w:rsidR="00526C04" w:rsidRPr="00BB4AF5" w:rsidRDefault="00526C04" w:rsidP="004C1EB3">
            <w:pPr>
              <w:spacing w:line="240" w:lineRule="auto"/>
              <w:jc w:val="center"/>
              <w:rPr>
                <w:rFonts w:asciiTheme="majorHAnsi" w:hAnsiTheme="majorHAnsi"/>
                <w:color w:val="000000"/>
                <w:sz w:val="16"/>
                <w:szCs w:val="16"/>
                <w:lang w:val="sq-AL"/>
              </w:rPr>
            </w:pPr>
            <w:r w:rsidRPr="00BB4AF5">
              <w:rPr>
                <w:rFonts w:asciiTheme="majorHAnsi" w:hAnsiTheme="majorHAnsi"/>
                <w:color w:val="000000"/>
                <w:sz w:val="16"/>
                <w:szCs w:val="16"/>
                <w:lang w:val="sq-AL"/>
              </w:rPr>
              <w:t>1,637</w:t>
            </w:r>
          </w:p>
        </w:tc>
      </w:tr>
      <w:tr w:rsidR="00526C04" w:rsidRPr="003E010E" w:rsidTr="004C1EB3">
        <w:trPr>
          <w:trHeight w:val="249"/>
          <w:jc w:val="center"/>
        </w:trPr>
        <w:tc>
          <w:tcPr>
            <w:tcW w:w="0" w:type="auto"/>
            <w:noWrap/>
            <w:vAlign w:val="center"/>
            <w:hideMark/>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Shijak</w:t>
            </w:r>
          </w:p>
        </w:tc>
        <w:tc>
          <w:tcPr>
            <w:tcW w:w="0" w:type="auto"/>
            <w:noWrap/>
            <w:vAlign w:val="center"/>
            <w:hideMark/>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796</w:t>
            </w:r>
          </w:p>
        </w:tc>
        <w:tc>
          <w:tcPr>
            <w:tcW w:w="0" w:type="auto"/>
            <w:noWrap/>
            <w:vAlign w:val="center"/>
            <w:hideMark/>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170,507,000</w:t>
            </w:r>
          </w:p>
        </w:tc>
        <w:tc>
          <w:tcPr>
            <w:tcW w:w="0" w:type="auto"/>
            <w:vAlign w:val="center"/>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563</w:t>
            </w:r>
          </w:p>
        </w:tc>
        <w:tc>
          <w:tcPr>
            <w:tcW w:w="0" w:type="auto"/>
            <w:vAlign w:val="center"/>
          </w:tcPr>
          <w:p w:rsidR="00526C04" w:rsidRPr="00BB4AF5" w:rsidRDefault="00526C04" w:rsidP="004C1EB3">
            <w:pPr>
              <w:spacing w:line="240" w:lineRule="auto"/>
              <w:jc w:val="center"/>
              <w:rPr>
                <w:rFonts w:asciiTheme="majorHAnsi" w:hAnsiTheme="majorHAnsi"/>
                <w:color w:val="000000"/>
                <w:sz w:val="16"/>
                <w:szCs w:val="16"/>
                <w:lang w:val="sq-AL"/>
              </w:rPr>
            </w:pPr>
            <w:r w:rsidRPr="00BB4AF5">
              <w:rPr>
                <w:rFonts w:asciiTheme="majorHAnsi" w:hAnsiTheme="majorHAnsi"/>
                <w:color w:val="000000"/>
                <w:sz w:val="16"/>
                <w:szCs w:val="16"/>
                <w:lang w:val="sq-AL"/>
              </w:rPr>
              <w:t>390</w:t>
            </w:r>
          </w:p>
        </w:tc>
        <w:tc>
          <w:tcPr>
            <w:tcW w:w="0" w:type="auto"/>
            <w:vAlign w:val="center"/>
          </w:tcPr>
          <w:p w:rsidR="00526C04" w:rsidRPr="00BB4AF5" w:rsidRDefault="00526C04" w:rsidP="004C1EB3">
            <w:pPr>
              <w:spacing w:line="240" w:lineRule="auto"/>
              <w:jc w:val="center"/>
              <w:rPr>
                <w:rFonts w:asciiTheme="majorHAnsi" w:hAnsiTheme="majorHAnsi"/>
                <w:color w:val="000000"/>
                <w:sz w:val="16"/>
                <w:szCs w:val="16"/>
                <w:lang w:val="sq-AL"/>
              </w:rPr>
            </w:pPr>
            <w:r w:rsidRPr="00BB4AF5">
              <w:rPr>
                <w:rFonts w:asciiTheme="majorHAnsi" w:hAnsiTheme="majorHAnsi"/>
                <w:color w:val="000000"/>
                <w:sz w:val="16"/>
                <w:szCs w:val="16"/>
                <w:lang w:val="sq-AL"/>
              </w:rPr>
              <w:t>691</w:t>
            </w:r>
          </w:p>
        </w:tc>
      </w:tr>
      <w:tr w:rsidR="00526C04" w:rsidRPr="003E010E" w:rsidTr="004C1EB3">
        <w:trPr>
          <w:trHeight w:val="163"/>
          <w:jc w:val="center"/>
        </w:trPr>
        <w:tc>
          <w:tcPr>
            <w:tcW w:w="0" w:type="auto"/>
            <w:noWrap/>
            <w:vAlign w:val="center"/>
            <w:hideMark/>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Kavaje</w:t>
            </w:r>
          </w:p>
        </w:tc>
        <w:tc>
          <w:tcPr>
            <w:tcW w:w="0" w:type="auto"/>
            <w:noWrap/>
            <w:vAlign w:val="center"/>
            <w:hideMark/>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315</w:t>
            </w:r>
          </w:p>
        </w:tc>
        <w:tc>
          <w:tcPr>
            <w:tcW w:w="0" w:type="auto"/>
            <w:noWrap/>
            <w:vAlign w:val="center"/>
            <w:hideMark/>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46,198,000</w:t>
            </w:r>
          </w:p>
        </w:tc>
        <w:tc>
          <w:tcPr>
            <w:tcW w:w="0" w:type="auto"/>
            <w:vAlign w:val="center"/>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501</w:t>
            </w:r>
          </w:p>
        </w:tc>
        <w:tc>
          <w:tcPr>
            <w:tcW w:w="0" w:type="auto"/>
            <w:vAlign w:val="center"/>
          </w:tcPr>
          <w:p w:rsidR="00526C04" w:rsidRPr="00BB4AF5" w:rsidRDefault="00526C04" w:rsidP="004C1EB3">
            <w:pPr>
              <w:spacing w:line="240" w:lineRule="auto"/>
              <w:jc w:val="center"/>
              <w:rPr>
                <w:rFonts w:asciiTheme="majorHAnsi" w:hAnsiTheme="majorHAnsi"/>
                <w:color w:val="000000"/>
                <w:sz w:val="16"/>
                <w:szCs w:val="16"/>
                <w:lang w:val="sq-AL"/>
              </w:rPr>
            </w:pPr>
            <w:r w:rsidRPr="00BB4AF5">
              <w:rPr>
                <w:rFonts w:asciiTheme="majorHAnsi" w:hAnsiTheme="majorHAnsi"/>
                <w:color w:val="000000"/>
                <w:sz w:val="16"/>
                <w:szCs w:val="16"/>
                <w:lang w:val="sq-AL"/>
              </w:rPr>
              <w:t>-</w:t>
            </w:r>
          </w:p>
        </w:tc>
        <w:tc>
          <w:tcPr>
            <w:tcW w:w="0" w:type="auto"/>
            <w:vAlign w:val="center"/>
          </w:tcPr>
          <w:p w:rsidR="00526C04" w:rsidRPr="00BB4AF5" w:rsidRDefault="00526C04" w:rsidP="004C1EB3">
            <w:pPr>
              <w:spacing w:line="240" w:lineRule="auto"/>
              <w:jc w:val="center"/>
              <w:rPr>
                <w:rFonts w:asciiTheme="majorHAnsi" w:hAnsiTheme="majorHAnsi"/>
                <w:color w:val="000000"/>
                <w:sz w:val="16"/>
                <w:szCs w:val="16"/>
                <w:lang w:val="sq-AL"/>
              </w:rPr>
            </w:pPr>
            <w:r w:rsidRPr="00BB4AF5">
              <w:rPr>
                <w:rFonts w:asciiTheme="majorHAnsi" w:hAnsiTheme="majorHAnsi"/>
                <w:color w:val="000000"/>
                <w:sz w:val="16"/>
                <w:szCs w:val="16"/>
                <w:lang w:val="sq-AL"/>
              </w:rPr>
              <w:t>-</w:t>
            </w:r>
          </w:p>
        </w:tc>
      </w:tr>
      <w:tr w:rsidR="00526C04" w:rsidRPr="003E010E" w:rsidTr="004C1EB3">
        <w:trPr>
          <w:trHeight w:val="249"/>
          <w:jc w:val="center"/>
        </w:trPr>
        <w:tc>
          <w:tcPr>
            <w:tcW w:w="0" w:type="auto"/>
            <w:noWrap/>
            <w:vAlign w:val="center"/>
            <w:hideMark/>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Rrogozhine</w:t>
            </w:r>
          </w:p>
        </w:tc>
        <w:tc>
          <w:tcPr>
            <w:tcW w:w="0" w:type="auto"/>
            <w:noWrap/>
            <w:vAlign w:val="center"/>
            <w:hideMark/>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238</w:t>
            </w:r>
          </w:p>
        </w:tc>
        <w:tc>
          <w:tcPr>
            <w:tcW w:w="0" w:type="auto"/>
            <w:noWrap/>
            <w:vAlign w:val="center"/>
            <w:hideMark/>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31,623,000</w:t>
            </w:r>
          </w:p>
        </w:tc>
        <w:tc>
          <w:tcPr>
            <w:tcW w:w="0" w:type="auto"/>
            <w:vAlign w:val="center"/>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158</w:t>
            </w:r>
          </w:p>
        </w:tc>
        <w:tc>
          <w:tcPr>
            <w:tcW w:w="0" w:type="auto"/>
            <w:vAlign w:val="center"/>
          </w:tcPr>
          <w:p w:rsidR="00526C04" w:rsidRPr="00BB4AF5" w:rsidRDefault="00526C04" w:rsidP="004C1EB3">
            <w:pPr>
              <w:spacing w:line="240" w:lineRule="auto"/>
              <w:jc w:val="center"/>
              <w:rPr>
                <w:rFonts w:asciiTheme="majorHAnsi" w:hAnsiTheme="majorHAnsi"/>
                <w:color w:val="000000"/>
                <w:sz w:val="16"/>
                <w:szCs w:val="16"/>
                <w:lang w:val="sq-AL"/>
              </w:rPr>
            </w:pPr>
            <w:r w:rsidRPr="00BB4AF5">
              <w:rPr>
                <w:rFonts w:asciiTheme="majorHAnsi" w:hAnsiTheme="majorHAnsi"/>
                <w:color w:val="000000"/>
                <w:sz w:val="16"/>
                <w:szCs w:val="16"/>
                <w:lang w:val="sq-AL"/>
              </w:rPr>
              <w:t>-</w:t>
            </w:r>
          </w:p>
        </w:tc>
        <w:tc>
          <w:tcPr>
            <w:tcW w:w="0" w:type="auto"/>
            <w:vAlign w:val="center"/>
          </w:tcPr>
          <w:p w:rsidR="00526C04" w:rsidRPr="00BB4AF5" w:rsidRDefault="00526C04" w:rsidP="004C1EB3">
            <w:pPr>
              <w:spacing w:line="240" w:lineRule="auto"/>
              <w:jc w:val="center"/>
              <w:rPr>
                <w:rFonts w:asciiTheme="majorHAnsi" w:hAnsiTheme="majorHAnsi"/>
                <w:color w:val="000000"/>
                <w:sz w:val="16"/>
                <w:szCs w:val="16"/>
                <w:lang w:val="sq-AL"/>
              </w:rPr>
            </w:pPr>
            <w:r w:rsidRPr="00BB4AF5">
              <w:rPr>
                <w:rFonts w:asciiTheme="majorHAnsi" w:hAnsiTheme="majorHAnsi"/>
                <w:color w:val="000000"/>
                <w:sz w:val="16"/>
                <w:szCs w:val="16"/>
                <w:lang w:val="sq-AL"/>
              </w:rPr>
              <w:t>-</w:t>
            </w:r>
          </w:p>
        </w:tc>
      </w:tr>
      <w:tr w:rsidR="00526C04" w:rsidRPr="003E010E" w:rsidTr="004C1EB3">
        <w:trPr>
          <w:trHeight w:val="244"/>
          <w:jc w:val="center"/>
        </w:trPr>
        <w:tc>
          <w:tcPr>
            <w:tcW w:w="0" w:type="auto"/>
            <w:noWrap/>
            <w:vAlign w:val="center"/>
            <w:hideMark/>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Kruje</w:t>
            </w:r>
          </w:p>
        </w:tc>
        <w:tc>
          <w:tcPr>
            <w:tcW w:w="0" w:type="auto"/>
            <w:noWrap/>
            <w:vAlign w:val="center"/>
            <w:hideMark/>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1,652</w:t>
            </w:r>
          </w:p>
        </w:tc>
        <w:tc>
          <w:tcPr>
            <w:tcW w:w="0" w:type="auto"/>
            <w:noWrap/>
            <w:vAlign w:val="center"/>
            <w:hideMark/>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302,535,000</w:t>
            </w:r>
          </w:p>
        </w:tc>
        <w:tc>
          <w:tcPr>
            <w:tcW w:w="0" w:type="auto"/>
            <w:vAlign w:val="center"/>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804</w:t>
            </w:r>
          </w:p>
        </w:tc>
        <w:tc>
          <w:tcPr>
            <w:tcW w:w="0" w:type="auto"/>
            <w:vAlign w:val="center"/>
          </w:tcPr>
          <w:p w:rsidR="00526C04" w:rsidRPr="00BB4AF5" w:rsidRDefault="00526C04" w:rsidP="004C1EB3">
            <w:pPr>
              <w:spacing w:line="240" w:lineRule="auto"/>
              <w:jc w:val="center"/>
              <w:rPr>
                <w:rFonts w:asciiTheme="majorHAnsi" w:hAnsiTheme="majorHAnsi"/>
                <w:color w:val="000000"/>
                <w:sz w:val="16"/>
                <w:szCs w:val="16"/>
                <w:lang w:val="sq-AL"/>
              </w:rPr>
            </w:pPr>
            <w:r w:rsidRPr="00BB4AF5">
              <w:rPr>
                <w:rFonts w:asciiTheme="majorHAnsi" w:hAnsiTheme="majorHAnsi"/>
                <w:color w:val="000000"/>
                <w:sz w:val="16"/>
                <w:szCs w:val="16"/>
                <w:lang w:val="sq-AL"/>
              </w:rPr>
              <w:t>644</w:t>
            </w:r>
          </w:p>
        </w:tc>
        <w:tc>
          <w:tcPr>
            <w:tcW w:w="0" w:type="auto"/>
            <w:vAlign w:val="center"/>
          </w:tcPr>
          <w:p w:rsidR="00526C04" w:rsidRPr="00BB4AF5" w:rsidRDefault="00526C04" w:rsidP="004C1EB3">
            <w:pPr>
              <w:spacing w:line="240" w:lineRule="auto"/>
              <w:jc w:val="center"/>
              <w:rPr>
                <w:rFonts w:asciiTheme="majorHAnsi" w:hAnsiTheme="majorHAnsi"/>
                <w:color w:val="000000"/>
                <w:sz w:val="16"/>
                <w:szCs w:val="16"/>
                <w:lang w:val="sq-AL"/>
              </w:rPr>
            </w:pPr>
            <w:r w:rsidRPr="00BB4AF5">
              <w:rPr>
                <w:rFonts w:asciiTheme="majorHAnsi" w:hAnsiTheme="majorHAnsi"/>
                <w:color w:val="000000"/>
                <w:sz w:val="16"/>
                <w:szCs w:val="16"/>
                <w:lang w:val="sq-AL"/>
              </w:rPr>
              <w:t>1097</w:t>
            </w:r>
          </w:p>
        </w:tc>
      </w:tr>
      <w:tr w:rsidR="00526C04" w:rsidRPr="003E010E" w:rsidTr="004C1EB3">
        <w:trPr>
          <w:trHeight w:val="249"/>
          <w:jc w:val="center"/>
        </w:trPr>
        <w:tc>
          <w:tcPr>
            <w:tcW w:w="0" w:type="auto"/>
            <w:noWrap/>
            <w:vAlign w:val="center"/>
            <w:hideMark/>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Kurbin</w:t>
            </w:r>
          </w:p>
        </w:tc>
        <w:tc>
          <w:tcPr>
            <w:tcW w:w="0" w:type="auto"/>
            <w:noWrap/>
            <w:vAlign w:val="center"/>
            <w:hideMark/>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1,734</w:t>
            </w:r>
          </w:p>
        </w:tc>
        <w:tc>
          <w:tcPr>
            <w:tcW w:w="0" w:type="auto"/>
            <w:noWrap/>
            <w:vAlign w:val="center"/>
            <w:hideMark/>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299,274,000</w:t>
            </w:r>
          </w:p>
        </w:tc>
        <w:tc>
          <w:tcPr>
            <w:tcW w:w="0" w:type="auto"/>
            <w:vAlign w:val="center"/>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967</w:t>
            </w:r>
          </w:p>
        </w:tc>
        <w:tc>
          <w:tcPr>
            <w:tcW w:w="0" w:type="auto"/>
            <w:vAlign w:val="center"/>
          </w:tcPr>
          <w:p w:rsidR="00526C04" w:rsidRPr="00BB4AF5" w:rsidRDefault="00526C04" w:rsidP="004C1EB3">
            <w:pPr>
              <w:spacing w:line="240" w:lineRule="auto"/>
              <w:jc w:val="center"/>
              <w:rPr>
                <w:rFonts w:asciiTheme="majorHAnsi" w:hAnsiTheme="majorHAnsi"/>
                <w:color w:val="000000"/>
                <w:sz w:val="16"/>
                <w:szCs w:val="16"/>
                <w:lang w:val="sq-AL"/>
              </w:rPr>
            </w:pPr>
            <w:r w:rsidRPr="00BB4AF5">
              <w:rPr>
                <w:rFonts w:asciiTheme="majorHAnsi" w:hAnsiTheme="majorHAnsi"/>
                <w:color w:val="000000"/>
                <w:sz w:val="16"/>
                <w:szCs w:val="16"/>
                <w:lang w:val="sq-AL"/>
              </w:rPr>
              <w:t>548</w:t>
            </w:r>
          </w:p>
        </w:tc>
        <w:tc>
          <w:tcPr>
            <w:tcW w:w="0" w:type="auto"/>
            <w:vAlign w:val="center"/>
          </w:tcPr>
          <w:p w:rsidR="00526C04" w:rsidRPr="00BB4AF5" w:rsidRDefault="00526C04" w:rsidP="004C1EB3">
            <w:pPr>
              <w:spacing w:line="240" w:lineRule="auto"/>
              <w:jc w:val="center"/>
              <w:rPr>
                <w:rFonts w:asciiTheme="majorHAnsi" w:hAnsiTheme="majorHAnsi"/>
                <w:color w:val="000000"/>
                <w:sz w:val="16"/>
                <w:szCs w:val="16"/>
                <w:lang w:val="sq-AL"/>
              </w:rPr>
            </w:pPr>
            <w:r w:rsidRPr="00BB4AF5">
              <w:rPr>
                <w:rFonts w:asciiTheme="majorHAnsi" w:hAnsiTheme="majorHAnsi"/>
                <w:color w:val="000000"/>
                <w:sz w:val="16"/>
                <w:szCs w:val="16"/>
                <w:lang w:val="sq-AL"/>
              </w:rPr>
              <w:t>590</w:t>
            </w:r>
          </w:p>
        </w:tc>
      </w:tr>
      <w:tr w:rsidR="00526C04" w:rsidRPr="003E010E" w:rsidTr="004C1EB3">
        <w:trPr>
          <w:trHeight w:val="249"/>
          <w:jc w:val="center"/>
        </w:trPr>
        <w:tc>
          <w:tcPr>
            <w:tcW w:w="0" w:type="auto"/>
            <w:noWrap/>
            <w:vAlign w:val="center"/>
            <w:hideMark/>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Lezhe</w:t>
            </w:r>
          </w:p>
        </w:tc>
        <w:tc>
          <w:tcPr>
            <w:tcW w:w="0" w:type="auto"/>
            <w:noWrap/>
            <w:vAlign w:val="center"/>
            <w:hideMark/>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418</w:t>
            </w:r>
          </w:p>
        </w:tc>
        <w:tc>
          <w:tcPr>
            <w:tcW w:w="0" w:type="auto"/>
            <w:noWrap/>
            <w:vAlign w:val="center"/>
            <w:hideMark/>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70,927,800</w:t>
            </w:r>
          </w:p>
        </w:tc>
        <w:tc>
          <w:tcPr>
            <w:tcW w:w="0" w:type="auto"/>
            <w:vAlign w:val="center"/>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w:t>
            </w:r>
          </w:p>
        </w:tc>
        <w:tc>
          <w:tcPr>
            <w:tcW w:w="0" w:type="auto"/>
            <w:vAlign w:val="center"/>
          </w:tcPr>
          <w:p w:rsidR="00526C04" w:rsidRPr="00BB4AF5" w:rsidRDefault="00526C04" w:rsidP="004C1EB3">
            <w:pPr>
              <w:spacing w:line="240" w:lineRule="auto"/>
              <w:jc w:val="center"/>
              <w:rPr>
                <w:rFonts w:asciiTheme="majorHAnsi" w:hAnsiTheme="majorHAnsi"/>
                <w:color w:val="000000"/>
                <w:sz w:val="16"/>
                <w:szCs w:val="16"/>
                <w:lang w:val="sq-AL"/>
              </w:rPr>
            </w:pPr>
            <w:r w:rsidRPr="00BB4AF5">
              <w:rPr>
                <w:rFonts w:asciiTheme="majorHAnsi" w:hAnsiTheme="majorHAnsi"/>
                <w:color w:val="000000"/>
                <w:sz w:val="16"/>
                <w:szCs w:val="16"/>
                <w:lang w:val="sq-AL"/>
              </w:rPr>
              <w:t>87</w:t>
            </w:r>
          </w:p>
        </w:tc>
        <w:tc>
          <w:tcPr>
            <w:tcW w:w="0" w:type="auto"/>
            <w:vAlign w:val="center"/>
          </w:tcPr>
          <w:p w:rsidR="00526C04" w:rsidRPr="00BB4AF5" w:rsidRDefault="00526C04" w:rsidP="004C1EB3">
            <w:pPr>
              <w:spacing w:line="240" w:lineRule="auto"/>
              <w:jc w:val="center"/>
              <w:rPr>
                <w:rFonts w:asciiTheme="majorHAnsi" w:hAnsiTheme="majorHAnsi"/>
                <w:color w:val="000000"/>
                <w:sz w:val="16"/>
                <w:szCs w:val="16"/>
                <w:lang w:val="sq-AL"/>
              </w:rPr>
            </w:pPr>
            <w:r w:rsidRPr="00BB4AF5">
              <w:rPr>
                <w:rFonts w:asciiTheme="majorHAnsi" w:hAnsiTheme="majorHAnsi"/>
                <w:color w:val="000000"/>
                <w:sz w:val="16"/>
                <w:szCs w:val="16"/>
                <w:lang w:val="sq-AL"/>
              </w:rPr>
              <w:t>40</w:t>
            </w:r>
          </w:p>
        </w:tc>
      </w:tr>
      <w:tr w:rsidR="00526C04" w:rsidRPr="003E010E" w:rsidTr="004C1EB3">
        <w:trPr>
          <w:trHeight w:val="244"/>
          <w:jc w:val="center"/>
        </w:trPr>
        <w:tc>
          <w:tcPr>
            <w:tcW w:w="0" w:type="auto"/>
            <w:noWrap/>
            <w:vAlign w:val="center"/>
            <w:hideMark/>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Mirdita</w:t>
            </w:r>
          </w:p>
        </w:tc>
        <w:tc>
          <w:tcPr>
            <w:tcW w:w="0" w:type="auto"/>
            <w:noWrap/>
            <w:vAlign w:val="center"/>
            <w:hideMark/>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182</w:t>
            </w:r>
          </w:p>
        </w:tc>
        <w:tc>
          <w:tcPr>
            <w:tcW w:w="0" w:type="auto"/>
            <w:noWrap/>
            <w:vAlign w:val="center"/>
            <w:hideMark/>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33,234,660</w:t>
            </w:r>
          </w:p>
        </w:tc>
        <w:tc>
          <w:tcPr>
            <w:tcW w:w="0" w:type="auto"/>
            <w:vAlign w:val="center"/>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92</w:t>
            </w:r>
          </w:p>
        </w:tc>
        <w:tc>
          <w:tcPr>
            <w:tcW w:w="0" w:type="auto"/>
            <w:vAlign w:val="center"/>
          </w:tcPr>
          <w:p w:rsidR="00526C04" w:rsidRPr="00BB4AF5" w:rsidRDefault="00526C04" w:rsidP="004C1EB3">
            <w:pPr>
              <w:spacing w:line="240" w:lineRule="auto"/>
              <w:jc w:val="center"/>
              <w:rPr>
                <w:rFonts w:asciiTheme="majorHAnsi" w:hAnsiTheme="majorHAnsi"/>
                <w:color w:val="000000"/>
                <w:sz w:val="16"/>
                <w:szCs w:val="16"/>
                <w:lang w:val="sq-AL"/>
              </w:rPr>
            </w:pPr>
            <w:r w:rsidRPr="00BB4AF5">
              <w:rPr>
                <w:rFonts w:asciiTheme="majorHAnsi" w:hAnsiTheme="majorHAnsi"/>
                <w:color w:val="000000"/>
                <w:sz w:val="16"/>
                <w:szCs w:val="16"/>
                <w:lang w:val="sq-AL"/>
              </w:rPr>
              <w:t>-</w:t>
            </w:r>
          </w:p>
        </w:tc>
        <w:tc>
          <w:tcPr>
            <w:tcW w:w="0" w:type="auto"/>
            <w:vAlign w:val="center"/>
          </w:tcPr>
          <w:p w:rsidR="00526C04" w:rsidRPr="00BB4AF5" w:rsidRDefault="00526C04" w:rsidP="004C1EB3">
            <w:pPr>
              <w:spacing w:line="240" w:lineRule="auto"/>
              <w:jc w:val="center"/>
              <w:rPr>
                <w:rFonts w:asciiTheme="majorHAnsi" w:hAnsiTheme="majorHAnsi"/>
                <w:color w:val="000000"/>
                <w:sz w:val="16"/>
                <w:szCs w:val="16"/>
                <w:lang w:val="sq-AL"/>
              </w:rPr>
            </w:pPr>
            <w:r w:rsidRPr="00BB4AF5">
              <w:rPr>
                <w:rFonts w:asciiTheme="majorHAnsi" w:hAnsiTheme="majorHAnsi"/>
                <w:color w:val="000000"/>
                <w:sz w:val="16"/>
                <w:szCs w:val="16"/>
                <w:lang w:val="sq-AL"/>
              </w:rPr>
              <w:t>-</w:t>
            </w:r>
          </w:p>
        </w:tc>
      </w:tr>
      <w:tr w:rsidR="00526C04" w:rsidRPr="003E010E" w:rsidTr="004C1EB3">
        <w:trPr>
          <w:trHeight w:val="249"/>
          <w:jc w:val="center"/>
        </w:trPr>
        <w:tc>
          <w:tcPr>
            <w:tcW w:w="0" w:type="auto"/>
            <w:noWrap/>
            <w:vAlign w:val="center"/>
            <w:hideMark/>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Vore</w:t>
            </w:r>
          </w:p>
        </w:tc>
        <w:tc>
          <w:tcPr>
            <w:tcW w:w="0" w:type="auto"/>
            <w:noWrap/>
            <w:vAlign w:val="center"/>
            <w:hideMark/>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974</w:t>
            </w:r>
          </w:p>
        </w:tc>
        <w:tc>
          <w:tcPr>
            <w:tcW w:w="0" w:type="auto"/>
            <w:noWrap/>
            <w:vAlign w:val="center"/>
            <w:hideMark/>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224,815,000</w:t>
            </w:r>
          </w:p>
        </w:tc>
        <w:tc>
          <w:tcPr>
            <w:tcW w:w="0" w:type="auto"/>
            <w:vAlign w:val="center"/>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850</w:t>
            </w:r>
          </w:p>
        </w:tc>
        <w:tc>
          <w:tcPr>
            <w:tcW w:w="0" w:type="auto"/>
            <w:vAlign w:val="center"/>
          </w:tcPr>
          <w:p w:rsidR="00526C04" w:rsidRPr="00BB4AF5" w:rsidRDefault="00526C04" w:rsidP="004C1EB3">
            <w:pPr>
              <w:spacing w:line="240" w:lineRule="auto"/>
              <w:jc w:val="center"/>
              <w:rPr>
                <w:rFonts w:asciiTheme="majorHAnsi" w:hAnsiTheme="majorHAnsi"/>
                <w:color w:val="000000"/>
                <w:sz w:val="16"/>
                <w:szCs w:val="16"/>
                <w:lang w:val="sq-AL"/>
              </w:rPr>
            </w:pPr>
            <w:r w:rsidRPr="00BB4AF5">
              <w:rPr>
                <w:rFonts w:asciiTheme="majorHAnsi" w:hAnsiTheme="majorHAnsi"/>
                <w:color w:val="000000"/>
                <w:sz w:val="16"/>
                <w:szCs w:val="16"/>
                <w:lang w:val="sq-AL"/>
              </w:rPr>
              <w:t>115</w:t>
            </w:r>
          </w:p>
        </w:tc>
        <w:tc>
          <w:tcPr>
            <w:tcW w:w="0" w:type="auto"/>
            <w:vAlign w:val="center"/>
          </w:tcPr>
          <w:p w:rsidR="00526C04" w:rsidRPr="00BB4AF5" w:rsidRDefault="00526C04" w:rsidP="004C1EB3">
            <w:pPr>
              <w:spacing w:line="240" w:lineRule="auto"/>
              <w:jc w:val="center"/>
              <w:rPr>
                <w:rFonts w:asciiTheme="majorHAnsi" w:hAnsiTheme="majorHAnsi"/>
                <w:color w:val="000000"/>
                <w:sz w:val="16"/>
                <w:szCs w:val="16"/>
                <w:lang w:val="sq-AL"/>
              </w:rPr>
            </w:pPr>
            <w:r w:rsidRPr="00BB4AF5">
              <w:rPr>
                <w:rFonts w:asciiTheme="majorHAnsi" w:hAnsiTheme="majorHAnsi"/>
                <w:color w:val="000000"/>
                <w:sz w:val="16"/>
                <w:szCs w:val="16"/>
                <w:lang w:val="sq-AL"/>
              </w:rPr>
              <w:t>115</w:t>
            </w:r>
          </w:p>
        </w:tc>
      </w:tr>
      <w:tr w:rsidR="00526C04" w:rsidRPr="003E010E" w:rsidTr="004C1EB3">
        <w:trPr>
          <w:trHeight w:val="244"/>
          <w:jc w:val="center"/>
        </w:trPr>
        <w:tc>
          <w:tcPr>
            <w:tcW w:w="0" w:type="auto"/>
            <w:noWrap/>
            <w:vAlign w:val="center"/>
            <w:hideMark/>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Kamza</w:t>
            </w:r>
          </w:p>
        </w:tc>
        <w:tc>
          <w:tcPr>
            <w:tcW w:w="0" w:type="auto"/>
            <w:noWrap/>
            <w:vAlign w:val="center"/>
            <w:hideMark/>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594</w:t>
            </w:r>
          </w:p>
        </w:tc>
        <w:tc>
          <w:tcPr>
            <w:tcW w:w="0" w:type="auto"/>
            <w:noWrap/>
            <w:vAlign w:val="center"/>
            <w:hideMark/>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130,115,000</w:t>
            </w:r>
          </w:p>
        </w:tc>
        <w:tc>
          <w:tcPr>
            <w:tcW w:w="0" w:type="auto"/>
            <w:vAlign w:val="center"/>
          </w:tcPr>
          <w:p w:rsidR="00526C04" w:rsidRPr="00BB4AF5" w:rsidRDefault="00526C04" w:rsidP="004C1EB3">
            <w:pPr>
              <w:spacing w:before="0" w:line="240" w:lineRule="auto"/>
              <w:jc w:val="center"/>
              <w:rPr>
                <w:rFonts w:asciiTheme="majorHAnsi" w:hAnsiTheme="majorHAnsi"/>
                <w:sz w:val="16"/>
                <w:szCs w:val="16"/>
                <w:lang w:val="sq-AL"/>
              </w:rPr>
            </w:pPr>
            <w:r w:rsidRPr="00BB4AF5">
              <w:rPr>
                <w:rFonts w:asciiTheme="majorHAnsi" w:hAnsiTheme="majorHAnsi"/>
                <w:sz w:val="16"/>
                <w:szCs w:val="16"/>
                <w:lang w:val="sq-AL"/>
              </w:rPr>
              <w:t>160</w:t>
            </w:r>
          </w:p>
        </w:tc>
        <w:tc>
          <w:tcPr>
            <w:tcW w:w="0" w:type="auto"/>
            <w:vAlign w:val="center"/>
          </w:tcPr>
          <w:p w:rsidR="00526C04" w:rsidRPr="00BB4AF5" w:rsidRDefault="00526C04" w:rsidP="004C1EB3">
            <w:pPr>
              <w:spacing w:line="240" w:lineRule="auto"/>
              <w:jc w:val="center"/>
              <w:rPr>
                <w:rFonts w:asciiTheme="majorHAnsi" w:hAnsiTheme="majorHAnsi"/>
                <w:color w:val="000000"/>
                <w:sz w:val="16"/>
                <w:szCs w:val="16"/>
                <w:lang w:val="sq-AL"/>
              </w:rPr>
            </w:pPr>
            <w:r w:rsidRPr="00BB4AF5">
              <w:rPr>
                <w:rFonts w:asciiTheme="majorHAnsi" w:hAnsiTheme="majorHAnsi"/>
                <w:color w:val="000000"/>
                <w:sz w:val="16"/>
                <w:szCs w:val="16"/>
                <w:lang w:val="sq-AL"/>
              </w:rPr>
              <w:t>115</w:t>
            </w:r>
          </w:p>
        </w:tc>
        <w:tc>
          <w:tcPr>
            <w:tcW w:w="0" w:type="auto"/>
            <w:vAlign w:val="center"/>
          </w:tcPr>
          <w:p w:rsidR="00526C04" w:rsidRPr="00BB4AF5" w:rsidRDefault="00526C04" w:rsidP="004C1EB3">
            <w:pPr>
              <w:spacing w:line="240" w:lineRule="auto"/>
              <w:jc w:val="center"/>
              <w:rPr>
                <w:rFonts w:asciiTheme="majorHAnsi" w:hAnsiTheme="majorHAnsi"/>
                <w:color w:val="000000"/>
                <w:sz w:val="16"/>
                <w:szCs w:val="16"/>
                <w:lang w:val="sq-AL"/>
              </w:rPr>
            </w:pPr>
            <w:r w:rsidRPr="00BB4AF5">
              <w:rPr>
                <w:rFonts w:asciiTheme="majorHAnsi" w:hAnsiTheme="majorHAnsi"/>
                <w:color w:val="000000"/>
                <w:sz w:val="16"/>
                <w:szCs w:val="16"/>
                <w:lang w:val="sq-AL"/>
              </w:rPr>
              <w:t>99</w:t>
            </w:r>
          </w:p>
        </w:tc>
      </w:tr>
      <w:tr w:rsidR="00526C04" w:rsidRPr="003E010E" w:rsidTr="004C1EB3">
        <w:trPr>
          <w:trHeight w:val="201"/>
          <w:jc w:val="center"/>
        </w:trPr>
        <w:tc>
          <w:tcPr>
            <w:tcW w:w="0" w:type="auto"/>
            <w:shd w:val="clear" w:color="auto" w:fill="76C2E8" w:themeFill="background2" w:themeFillShade="BF"/>
            <w:noWrap/>
            <w:vAlign w:val="center"/>
            <w:hideMark/>
          </w:tcPr>
          <w:p w:rsidR="00526C04" w:rsidRPr="00BB4AF5" w:rsidRDefault="00526C04" w:rsidP="004C1EB3">
            <w:pPr>
              <w:spacing w:before="0" w:line="240" w:lineRule="auto"/>
              <w:jc w:val="center"/>
              <w:rPr>
                <w:rFonts w:asciiTheme="majorHAnsi" w:hAnsiTheme="majorHAnsi"/>
                <w:b/>
                <w:sz w:val="16"/>
                <w:szCs w:val="16"/>
                <w:lang w:val="sq-AL"/>
              </w:rPr>
            </w:pPr>
            <w:r w:rsidRPr="00BB4AF5">
              <w:rPr>
                <w:rFonts w:asciiTheme="majorHAnsi" w:hAnsiTheme="majorHAnsi"/>
                <w:b/>
                <w:sz w:val="16"/>
                <w:szCs w:val="16"/>
                <w:lang w:val="sq-AL"/>
              </w:rPr>
              <w:t>Totali</w:t>
            </w:r>
          </w:p>
        </w:tc>
        <w:tc>
          <w:tcPr>
            <w:tcW w:w="0" w:type="auto"/>
            <w:shd w:val="clear" w:color="auto" w:fill="76C2E8" w:themeFill="background2" w:themeFillShade="BF"/>
            <w:noWrap/>
            <w:vAlign w:val="center"/>
            <w:hideMark/>
          </w:tcPr>
          <w:p w:rsidR="00526C04" w:rsidRPr="00BB4AF5" w:rsidRDefault="00526C04" w:rsidP="004C1EB3">
            <w:pPr>
              <w:spacing w:before="0" w:line="240" w:lineRule="auto"/>
              <w:jc w:val="center"/>
              <w:rPr>
                <w:rFonts w:asciiTheme="majorHAnsi" w:hAnsiTheme="majorHAnsi"/>
                <w:b/>
                <w:sz w:val="16"/>
                <w:szCs w:val="16"/>
                <w:lang w:val="sq-AL"/>
              </w:rPr>
            </w:pPr>
            <w:r w:rsidRPr="00BB4AF5">
              <w:rPr>
                <w:rFonts w:asciiTheme="majorHAnsi" w:hAnsiTheme="majorHAnsi"/>
                <w:b/>
                <w:sz w:val="16"/>
                <w:szCs w:val="16"/>
                <w:lang w:val="sq-AL"/>
              </w:rPr>
              <w:t>12,994</w:t>
            </w:r>
          </w:p>
        </w:tc>
        <w:tc>
          <w:tcPr>
            <w:tcW w:w="0" w:type="auto"/>
            <w:shd w:val="clear" w:color="auto" w:fill="76C2E8" w:themeFill="background2" w:themeFillShade="BF"/>
            <w:noWrap/>
            <w:vAlign w:val="center"/>
            <w:hideMark/>
          </w:tcPr>
          <w:p w:rsidR="00526C04" w:rsidRPr="00BB4AF5" w:rsidRDefault="00526C04" w:rsidP="004C1EB3">
            <w:pPr>
              <w:spacing w:before="0" w:line="240" w:lineRule="auto"/>
              <w:jc w:val="center"/>
              <w:rPr>
                <w:rFonts w:asciiTheme="majorHAnsi" w:hAnsiTheme="majorHAnsi"/>
                <w:b/>
                <w:sz w:val="16"/>
                <w:szCs w:val="16"/>
                <w:lang w:val="sq-AL"/>
              </w:rPr>
            </w:pPr>
            <w:r w:rsidRPr="00BB4AF5">
              <w:rPr>
                <w:rFonts w:asciiTheme="majorHAnsi" w:hAnsiTheme="majorHAnsi"/>
                <w:b/>
                <w:sz w:val="16"/>
                <w:szCs w:val="16"/>
                <w:lang w:val="sq-AL"/>
              </w:rPr>
              <w:t>2,977,098,460</w:t>
            </w:r>
          </w:p>
        </w:tc>
        <w:tc>
          <w:tcPr>
            <w:tcW w:w="0" w:type="auto"/>
            <w:shd w:val="clear" w:color="auto" w:fill="76C2E8" w:themeFill="background2" w:themeFillShade="BF"/>
            <w:vAlign w:val="center"/>
          </w:tcPr>
          <w:p w:rsidR="00526C04" w:rsidRPr="00BB4AF5" w:rsidRDefault="00526C04" w:rsidP="004C1EB3">
            <w:pPr>
              <w:spacing w:before="0" w:line="240" w:lineRule="auto"/>
              <w:jc w:val="center"/>
              <w:rPr>
                <w:rFonts w:asciiTheme="majorHAnsi" w:hAnsiTheme="majorHAnsi"/>
                <w:b/>
                <w:sz w:val="16"/>
                <w:szCs w:val="16"/>
                <w:lang w:val="sq-AL"/>
              </w:rPr>
            </w:pPr>
            <w:r w:rsidRPr="00BB4AF5">
              <w:rPr>
                <w:rFonts w:asciiTheme="majorHAnsi" w:hAnsiTheme="majorHAnsi"/>
                <w:b/>
                <w:sz w:val="16"/>
                <w:szCs w:val="16"/>
                <w:lang w:val="sq-AL"/>
              </w:rPr>
              <w:t>5,620</w:t>
            </w:r>
          </w:p>
        </w:tc>
        <w:tc>
          <w:tcPr>
            <w:tcW w:w="0" w:type="auto"/>
            <w:shd w:val="clear" w:color="auto" w:fill="76C2E8" w:themeFill="background2" w:themeFillShade="BF"/>
            <w:vAlign w:val="center"/>
          </w:tcPr>
          <w:p w:rsidR="00526C04" w:rsidRPr="00BB4AF5" w:rsidRDefault="00526C04" w:rsidP="004C1EB3">
            <w:pPr>
              <w:spacing w:before="0" w:line="240" w:lineRule="auto"/>
              <w:jc w:val="center"/>
              <w:rPr>
                <w:rFonts w:asciiTheme="majorHAnsi" w:hAnsiTheme="majorHAnsi"/>
                <w:b/>
                <w:sz w:val="16"/>
                <w:szCs w:val="16"/>
                <w:lang w:val="sq-AL"/>
              </w:rPr>
            </w:pPr>
            <w:r w:rsidRPr="00BB4AF5">
              <w:rPr>
                <w:rFonts w:asciiTheme="majorHAnsi" w:hAnsiTheme="majorHAnsi"/>
                <w:b/>
                <w:sz w:val="16"/>
                <w:szCs w:val="16"/>
                <w:lang w:val="sq-AL"/>
              </w:rPr>
              <w:t>2,161</w:t>
            </w:r>
          </w:p>
        </w:tc>
        <w:tc>
          <w:tcPr>
            <w:tcW w:w="0" w:type="auto"/>
            <w:shd w:val="clear" w:color="auto" w:fill="76C2E8" w:themeFill="background2" w:themeFillShade="BF"/>
            <w:vAlign w:val="center"/>
          </w:tcPr>
          <w:p w:rsidR="00526C04" w:rsidRPr="00BB4AF5" w:rsidRDefault="00526C04" w:rsidP="004C1EB3">
            <w:pPr>
              <w:spacing w:line="240" w:lineRule="auto"/>
              <w:jc w:val="center"/>
              <w:rPr>
                <w:rFonts w:asciiTheme="majorHAnsi" w:hAnsiTheme="majorHAnsi"/>
                <w:b/>
                <w:color w:val="000000"/>
                <w:sz w:val="16"/>
                <w:szCs w:val="16"/>
                <w:lang w:val="sq-AL"/>
              </w:rPr>
            </w:pPr>
            <w:r w:rsidRPr="00BB4AF5">
              <w:rPr>
                <w:rFonts w:asciiTheme="majorHAnsi" w:hAnsiTheme="majorHAnsi"/>
                <w:b/>
                <w:color w:val="000000"/>
                <w:sz w:val="16"/>
                <w:szCs w:val="16"/>
                <w:lang w:val="sq-AL"/>
              </w:rPr>
              <w:t>3,243</w:t>
            </w:r>
          </w:p>
        </w:tc>
      </w:tr>
    </w:tbl>
    <w:p w:rsidR="00AA0674" w:rsidRPr="00AA0674" w:rsidRDefault="00AA0674" w:rsidP="00AA0674">
      <w:pPr>
        <w:pStyle w:val="Fiskale1"/>
        <w:numPr>
          <w:ilvl w:val="0"/>
          <w:numId w:val="0"/>
        </w:numPr>
        <w:spacing w:line="240" w:lineRule="auto"/>
        <w:rPr>
          <w:rFonts w:ascii="Calibri" w:hAnsi="Calibri" w:cs="Calibri"/>
          <w:sz w:val="8"/>
          <w:highlight w:val="green"/>
        </w:rPr>
      </w:pPr>
      <w:bookmarkStart w:id="152" w:name="_Toc10033281"/>
      <w:bookmarkStart w:id="153" w:name="_Toc10721418"/>
    </w:p>
    <w:p w:rsidR="00554F56" w:rsidRPr="00554F56" w:rsidRDefault="00554F56" w:rsidP="00BB4AF5">
      <w:pPr>
        <w:rPr>
          <w:rFonts w:cs="Calibri"/>
          <w:b/>
          <w:sz w:val="8"/>
        </w:rPr>
      </w:pPr>
    </w:p>
    <w:p w:rsidR="00BB4AF5" w:rsidRPr="0083794F" w:rsidRDefault="00BB4AF5" w:rsidP="00BB4AF5">
      <w:pPr>
        <w:rPr>
          <w:rFonts w:cs="Calibri"/>
        </w:rPr>
      </w:pPr>
      <w:r>
        <w:rPr>
          <w:rFonts w:cs="Calibri"/>
          <w:b/>
        </w:rPr>
        <w:t>N</w:t>
      </w:r>
      <w:r w:rsidRPr="00207749">
        <w:rPr>
          <w:rFonts w:cs="Calibri"/>
          <w:b/>
        </w:rPr>
        <w:t>ga Fondi i Rindërtimit për njësitë e vetëqeverisjes vendore</w:t>
      </w:r>
      <w:r>
        <w:rPr>
          <w:rFonts w:cs="Calibri"/>
          <w:b/>
        </w:rPr>
        <w:t xml:space="preserve"> (NJVQV)</w:t>
      </w:r>
      <w:r w:rsidRPr="0083794F">
        <w:rPr>
          <w:rFonts w:cs="Calibri"/>
        </w:rPr>
        <w:t xml:space="preserve"> </w:t>
      </w:r>
      <w:r>
        <w:rPr>
          <w:rFonts w:cs="Calibri"/>
        </w:rPr>
        <w:t>d</w:t>
      </w:r>
      <w:r w:rsidRPr="0083794F">
        <w:rPr>
          <w:rFonts w:cs="Calibri"/>
        </w:rPr>
        <w:t xml:space="preserve">eri në 31 dhjetor 2021, u akorduan fonde në projekte specifike në masën 20.1 miliardë lekë dhe 6.5 miliard lekë janë trashëguar në buxhetin e vitit 2021, si fonde të papërdorura nga viti 2020. Nga këto, u shpenzuan nga njësitë zbatuese 17.1 miliardë lekë ose 64.2% e fondeve të akorduara; ndërsa pjesa tjetër është mbartur në buxhetin e vitit 2021 në formën e transfertës së pakushtëzuar për </w:t>
      </w:r>
      <w:r>
        <w:rPr>
          <w:rFonts w:cs="Calibri"/>
        </w:rPr>
        <w:t>NJVQV</w:t>
      </w:r>
      <w:r w:rsidRPr="0083794F">
        <w:rPr>
          <w:rFonts w:cs="Calibri"/>
        </w:rPr>
        <w:t>, në përputhje me parashikimet e veçanta ligjore.</w:t>
      </w:r>
      <w:r>
        <w:rPr>
          <w:rFonts w:cs="Calibri"/>
        </w:rPr>
        <w:t xml:space="preserve"> </w:t>
      </w:r>
      <w:r w:rsidRPr="0083794F">
        <w:rPr>
          <w:rFonts w:cs="Calibri"/>
        </w:rPr>
        <w:t>Shpërndarja e fondit të rindërtimit për vitin 2</w:t>
      </w:r>
      <w:r>
        <w:rPr>
          <w:rFonts w:cs="Calibri"/>
        </w:rPr>
        <w:t>021, për f</w:t>
      </w:r>
      <w:r w:rsidRPr="0083794F">
        <w:rPr>
          <w:rFonts w:cs="Calibri"/>
        </w:rPr>
        <w:t>ondet e akorduara sipas VKM-ve bashkë me pjesën e trashëgimit</w:t>
      </w:r>
      <w:r>
        <w:rPr>
          <w:rFonts w:cs="Calibri"/>
        </w:rPr>
        <w:t xml:space="preserve"> sipas NJVQV, rezulton si mëposhtë</w:t>
      </w:r>
      <w:r w:rsidRPr="0083794F">
        <w:rPr>
          <w:rFonts w:cs="Calibri"/>
        </w:rPr>
        <w:t xml:space="preserve">: </w:t>
      </w:r>
    </w:p>
    <w:p w:rsidR="00BB4AF5" w:rsidRPr="00BB4AF5" w:rsidRDefault="00BB4AF5" w:rsidP="00842F80">
      <w:pPr>
        <w:pStyle w:val="ListParagraph"/>
        <w:numPr>
          <w:ilvl w:val="0"/>
          <w:numId w:val="43"/>
        </w:numPr>
        <w:spacing w:before="0" w:line="240" w:lineRule="auto"/>
        <w:ind w:left="450"/>
        <w:rPr>
          <w:rFonts w:cs="Calibri"/>
          <w:i/>
          <w:sz w:val="20"/>
        </w:rPr>
      </w:pPr>
      <w:r w:rsidRPr="00BB4AF5">
        <w:rPr>
          <w:rFonts w:cs="Calibri"/>
          <w:i/>
          <w:sz w:val="20"/>
        </w:rPr>
        <w:t xml:space="preserve">Bashkia Tiranë e ka patur planin e rindërtimit në masën 13.8 miliard lekë, nga të cilat ka realizuar 8.5 miliard lekë, ose në masën 62 përqind), </w:t>
      </w:r>
    </w:p>
    <w:p w:rsidR="00BB4AF5" w:rsidRPr="00BB4AF5" w:rsidRDefault="00BB4AF5" w:rsidP="00842F80">
      <w:pPr>
        <w:pStyle w:val="ListParagraph"/>
        <w:numPr>
          <w:ilvl w:val="0"/>
          <w:numId w:val="43"/>
        </w:numPr>
        <w:spacing w:line="240" w:lineRule="auto"/>
        <w:ind w:left="450"/>
        <w:rPr>
          <w:rFonts w:cs="Calibri"/>
          <w:i/>
          <w:sz w:val="20"/>
        </w:rPr>
      </w:pPr>
      <w:r w:rsidRPr="00BB4AF5">
        <w:rPr>
          <w:rFonts w:cs="Calibri"/>
          <w:i/>
          <w:sz w:val="20"/>
        </w:rPr>
        <w:t xml:space="preserve">Bashkia Durrës e ka patur planin e rindërtimit në masën 3.7 miliard lekë, nga të cilat ka realizuar 2.9 miliard lekë, ose në masën 79 përqind, </w:t>
      </w:r>
    </w:p>
    <w:p w:rsidR="00BB4AF5" w:rsidRPr="00BB4AF5" w:rsidRDefault="00BB4AF5" w:rsidP="00842F80">
      <w:pPr>
        <w:pStyle w:val="ListParagraph"/>
        <w:numPr>
          <w:ilvl w:val="0"/>
          <w:numId w:val="43"/>
        </w:numPr>
        <w:spacing w:line="240" w:lineRule="auto"/>
        <w:ind w:left="450"/>
        <w:rPr>
          <w:rFonts w:cs="Calibri"/>
          <w:i/>
          <w:sz w:val="20"/>
        </w:rPr>
      </w:pPr>
      <w:r w:rsidRPr="00BB4AF5">
        <w:rPr>
          <w:rFonts w:cs="Calibri"/>
          <w:i/>
          <w:sz w:val="20"/>
        </w:rPr>
        <w:t xml:space="preserve">Bashkia Kamëz e ka patur planin e rindërtimit në masën 1.2 miliard lekë, nga të cilat ka realizuar 937.6 milion lekë, ose në masën 75 përqind, </w:t>
      </w:r>
    </w:p>
    <w:p w:rsidR="00BB4AF5" w:rsidRPr="00BB4AF5" w:rsidRDefault="00BB4AF5" w:rsidP="00842F80">
      <w:pPr>
        <w:pStyle w:val="ListParagraph"/>
        <w:numPr>
          <w:ilvl w:val="0"/>
          <w:numId w:val="43"/>
        </w:numPr>
        <w:spacing w:line="240" w:lineRule="auto"/>
        <w:ind w:left="450"/>
        <w:rPr>
          <w:rFonts w:cs="Calibri"/>
          <w:i/>
          <w:sz w:val="20"/>
        </w:rPr>
      </w:pPr>
      <w:r w:rsidRPr="00BB4AF5">
        <w:rPr>
          <w:rFonts w:cs="Calibri"/>
          <w:i/>
          <w:sz w:val="20"/>
        </w:rPr>
        <w:t xml:space="preserve">Bashkia Kavajë e ka patur planin e rindërtimit në masën 1.1 miliard lekë, nga të cilat ka realizuar 767 milion lekë, ose në masën 69 përqind, </w:t>
      </w:r>
    </w:p>
    <w:p w:rsidR="00BB4AF5" w:rsidRPr="00BB4AF5" w:rsidRDefault="00BB4AF5" w:rsidP="00842F80">
      <w:pPr>
        <w:pStyle w:val="ListParagraph"/>
        <w:numPr>
          <w:ilvl w:val="0"/>
          <w:numId w:val="43"/>
        </w:numPr>
        <w:spacing w:line="240" w:lineRule="auto"/>
        <w:ind w:left="450"/>
        <w:rPr>
          <w:rFonts w:cs="Calibri"/>
          <w:i/>
          <w:sz w:val="20"/>
        </w:rPr>
      </w:pPr>
      <w:r w:rsidRPr="00BB4AF5">
        <w:rPr>
          <w:rFonts w:cs="Calibri"/>
          <w:i/>
          <w:sz w:val="20"/>
        </w:rPr>
        <w:t xml:space="preserve">Bashkia Krujë e ka patur planin e rindërtimit në masën 516.8 milion lekë, nga të cilat ka realizuar 310.7 milion lekë, ose në masën 60 përqind, </w:t>
      </w:r>
    </w:p>
    <w:p w:rsidR="00BB4AF5" w:rsidRPr="00BB4AF5" w:rsidRDefault="00BB4AF5" w:rsidP="00842F80">
      <w:pPr>
        <w:pStyle w:val="ListParagraph"/>
        <w:numPr>
          <w:ilvl w:val="0"/>
          <w:numId w:val="43"/>
        </w:numPr>
        <w:spacing w:line="240" w:lineRule="auto"/>
        <w:ind w:left="450"/>
        <w:rPr>
          <w:rFonts w:cs="Calibri"/>
          <w:i/>
          <w:sz w:val="20"/>
        </w:rPr>
      </w:pPr>
      <w:r w:rsidRPr="00BB4AF5">
        <w:rPr>
          <w:rFonts w:cs="Calibri"/>
          <w:i/>
          <w:sz w:val="20"/>
        </w:rPr>
        <w:t xml:space="preserve">Bashkia Kurbin e ka patur planin e rindërtimit në masën 2 miliard lekë, nga të cilat ka realizuar 780.1 milion lekë, ose në masën 39 përqind, </w:t>
      </w:r>
    </w:p>
    <w:p w:rsidR="00BB4AF5" w:rsidRPr="00BB4AF5" w:rsidRDefault="00BB4AF5" w:rsidP="00842F80">
      <w:pPr>
        <w:pStyle w:val="ListParagraph"/>
        <w:numPr>
          <w:ilvl w:val="0"/>
          <w:numId w:val="43"/>
        </w:numPr>
        <w:spacing w:line="240" w:lineRule="auto"/>
        <w:ind w:left="450"/>
        <w:rPr>
          <w:rFonts w:cs="Calibri"/>
          <w:i/>
          <w:sz w:val="20"/>
        </w:rPr>
      </w:pPr>
      <w:r w:rsidRPr="00BB4AF5">
        <w:rPr>
          <w:rFonts w:cs="Calibri"/>
          <w:i/>
          <w:sz w:val="20"/>
        </w:rPr>
        <w:t xml:space="preserve">Bashkia Lezhë  e ka patur planin e rindërtimit në masën 1 miliard lekë, nga të cilat ka realizuar 615.8 milion lekë, ose në masën 61 përqind, </w:t>
      </w:r>
    </w:p>
    <w:p w:rsidR="00BB4AF5" w:rsidRPr="00BB4AF5" w:rsidRDefault="00BB4AF5" w:rsidP="00842F80">
      <w:pPr>
        <w:pStyle w:val="ListParagraph"/>
        <w:numPr>
          <w:ilvl w:val="0"/>
          <w:numId w:val="43"/>
        </w:numPr>
        <w:spacing w:line="240" w:lineRule="auto"/>
        <w:ind w:left="450"/>
        <w:rPr>
          <w:rFonts w:cs="Calibri"/>
          <w:i/>
          <w:sz w:val="20"/>
        </w:rPr>
      </w:pPr>
      <w:r w:rsidRPr="00BB4AF5">
        <w:rPr>
          <w:rFonts w:cs="Calibri"/>
          <w:i/>
          <w:sz w:val="20"/>
        </w:rPr>
        <w:t xml:space="preserve">Bashkia Rrogozhinë e ka patur planin e rindërtimit në masën 486 milion lekë, nga të cilat ka realizuar 462.3 milion lekë, ose në masën 95 përqind,  </w:t>
      </w:r>
    </w:p>
    <w:p w:rsidR="00BB4AF5" w:rsidRPr="00BB4AF5" w:rsidRDefault="00BB4AF5" w:rsidP="00842F80">
      <w:pPr>
        <w:pStyle w:val="ListParagraph"/>
        <w:numPr>
          <w:ilvl w:val="0"/>
          <w:numId w:val="43"/>
        </w:numPr>
        <w:spacing w:line="240" w:lineRule="auto"/>
        <w:ind w:left="450"/>
        <w:rPr>
          <w:rFonts w:cs="Calibri"/>
          <w:i/>
          <w:sz w:val="20"/>
        </w:rPr>
      </w:pPr>
      <w:r w:rsidRPr="00BB4AF5">
        <w:rPr>
          <w:rFonts w:cs="Calibri"/>
          <w:i/>
          <w:sz w:val="20"/>
        </w:rPr>
        <w:t xml:space="preserve">Bashkia Miridtë e ka patur planin e rindërtimit në masën 587.3 milion lekë, nga të cilat ka realizuar 211.5 milion lekë, ose në masën 36 përqind, </w:t>
      </w:r>
    </w:p>
    <w:p w:rsidR="00BB4AF5" w:rsidRPr="00BB4AF5" w:rsidRDefault="00BB4AF5" w:rsidP="00842F80">
      <w:pPr>
        <w:pStyle w:val="ListParagraph"/>
        <w:numPr>
          <w:ilvl w:val="0"/>
          <w:numId w:val="43"/>
        </w:numPr>
        <w:spacing w:line="240" w:lineRule="auto"/>
        <w:ind w:left="450"/>
        <w:rPr>
          <w:rFonts w:cs="Calibri"/>
          <w:i/>
          <w:sz w:val="20"/>
        </w:rPr>
      </w:pPr>
      <w:r w:rsidRPr="00BB4AF5">
        <w:rPr>
          <w:rFonts w:cs="Calibri"/>
          <w:i/>
          <w:sz w:val="20"/>
        </w:rPr>
        <w:t xml:space="preserve">Bashkia Shijak e ka patur planin e rindërtimit në masën 926.9 milion lekë, nga të cilat ka realizuar 762 milion lekë, ose në masën 82 përqind, </w:t>
      </w:r>
    </w:p>
    <w:p w:rsidR="00BB4AF5" w:rsidRPr="00BB4AF5" w:rsidRDefault="00BB4AF5" w:rsidP="00842F80">
      <w:pPr>
        <w:pStyle w:val="ListParagraph"/>
        <w:numPr>
          <w:ilvl w:val="0"/>
          <w:numId w:val="43"/>
        </w:numPr>
        <w:spacing w:line="240" w:lineRule="auto"/>
        <w:ind w:left="450"/>
        <w:rPr>
          <w:rFonts w:cs="Calibri"/>
          <w:i/>
          <w:sz w:val="20"/>
        </w:rPr>
      </w:pPr>
      <w:r w:rsidRPr="00BB4AF5">
        <w:rPr>
          <w:rFonts w:cs="Calibri"/>
          <w:i/>
          <w:sz w:val="20"/>
        </w:rPr>
        <w:t>Bashkia Vorë e ka patur planin e rindërtimit në masën 1 miliard lekë, nga të cilat ka realizuar 751.1 milion lekë, ose në masën 70 përqind.</w:t>
      </w:r>
    </w:p>
    <w:p w:rsidR="00BB4AF5" w:rsidRPr="00BB4AF5" w:rsidRDefault="00BB4AF5" w:rsidP="00BB4AF5">
      <w:pPr>
        <w:spacing w:before="0" w:line="240" w:lineRule="auto"/>
        <w:rPr>
          <w:rFonts w:cs="Calibri"/>
          <w:sz w:val="20"/>
          <w:lang w:val="sq-AL"/>
        </w:rPr>
      </w:pPr>
    </w:p>
    <w:p w:rsidR="00BB4AF5" w:rsidRDefault="00BB4AF5" w:rsidP="00BB4AF5">
      <w:pPr>
        <w:spacing w:before="0" w:line="240" w:lineRule="auto"/>
        <w:rPr>
          <w:rFonts w:cs="Calibri"/>
          <w:lang w:val="sq-AL"/>
        </w:rPr>
      </w:pPr>
      <w:r w:rsidRPr="00476D2E">
        <w:rPr>
          <w:rFonts w:cs="Calibri"/>
          <w:lang w:val="sq-AL"/>
        </w:rPr>
        <w:t xml:space="preserve">Në mënyrë të detajuar fondet e akorduara sipas VKM-ve, paraqiten në </w:t>
      </w:r>
      <w:r w:rsidRPr="00F74CA9">
        <w:rPr>
          <w:rFonts w:cs="Calibri"/>
          <w:b/>
          <w:lang w:val="sq-AL"/>
        </w:rPr>
        <w:t>Aneksin ç/1 “Tabela analitike e përdorimit të Fondit të Rindërtimit 202</w:t>
      </w:r>
      <w:r>
        <w:rPr>
          <w:rFonts w:cs="Calibri"/>
          <w:b/>
          <w:lang w:val="sq-AL"/>
        </w:rPr>
        <w:t>1</w:t>
      </w:r>
      <w:r w:rsidRPr="00F74CA9">
        <w:rPr>
          <w:rFonts w:cs="Calibri"/>
          <w:b/>
          <w:lang w:val="sq-AL"/>
        </w:rPr>
        <w:t>”</w:t>
      </w:r>
      <w:r w:rsidRPr="00476D2E">
        <w:rPr>
          <w:rFonts w:cs="Calibri"/>
          <w:lang w:val="sq-AL"/>
        </w:rPr>
        <w:t>.</w:t>
      </w:r>
    </w:p>
    <w:p w:rsidR="00A94670" w:rsidRPr="00AA0674" w:rsidRDefault="005F1700" w:rsidP="006960DB">
      <w:pPr>
        <w:pStyle w:val="Fiskale1"/>
        <w:rPr>
          <w:rFonts w:ascii="Calibri" w:hAnsi="Calibri" w:cs="Calibri"/>
        </w:rPr>
      </w:pPr>
      <w:bookmarkStart w:id="154" w:name="_Toc104980338"/>
      <w:r w:rsidRPr="00AA0674">
        <w:rPr>
          <w:rFonts w:ascii="Calibri" w:hAnsi="Calibri" w:cs="Calibri"/>
        </w:rPr>
        <w:lastRenderedPageBreak/>
        <w:t>BUXHETI VENDOR</w:t>
      </w:r>
      <w:bookmarkEnd w:id="152"/>
      <w:bookmarkEnd w:id="153"/>
      <w:bookmarkEnd w:id="154"/>
    </w:p>
    <w:p w:rsidR="00D80BC1" w:rsidRPr="005D3AB6" w:rsidRDefault="00D80BC1" w:rsidP="00554F56">
      <w:pPr>
        <w:tabs>
          <w:tab w:val="left" w:pos="5940"/>
        </w:tabs>
        <w:spacing w:line="240" w:lineRule="auto"/>
        <w:rPr>
          <w:rFonts w:eastAsia="MS Mincho" w:cs="Calibri"/>
          <w:lang w:val="sq-AL"/>
        </w:rPr>
      </w:pPr>
      <w:r w:rsidRPr="005D3AB6">
        <w:rPr>
          <w:rFonts w:eastAsia="MS Mincho" w:cs="Calibri"/>
          <w:lang w:val="sq-AL"/>
        </w:rPr>
        <w:t>Reformat në qeverisjen vendore ndër vite janë fokusuar si në thellimin e decentralizimit fiskal duke riparë të gjithë skemën e të ardhurave të pushtetit vendor, ashtu edhe në menaxhimin e financave publike në nivel vendor. Gjat</w:t>
      </w:r>
      <w:r>
        <w:rPr>
          <w:rFonts w:eastAsia="MS Mincho" w:cs="Calibri"/>
          <w:lang w:val="sq-AL"/>
        </w:rPr>
        <w:t>ë</w:t>
      </w:r>
      <w:r w:rsidRPr="005D3AB6">
        <w:rPr>
          <w:rFonts w:eastAsia="MS Mincho" w:cs="Calibri"/>
          <w:lang w:val="sq-AL"/>
        </w:rPr>
        <w:t xml:space="preserve"> vitit 2021, reflektohet një rritje ekonomike në tër</w:t>
      </w:r>
      <w:r>
        <w:rPr>
          <w:rFonts w:eastAsia="MS Mincho" w:cs="Calibri"/>
          <w:lang w:val="sq-AL"/>
        </w:rPr>
        <w:t>ë</w:t>
      </w:r>
      <w:r w:rsidRPr="005D3AB6">
        <w:rPr>
          <w:rFonts w:eastAsia="MS Mincho" w:cs="Calibri"/>
          <w:lang w:val="sq-AL"/>
        </w:rPr>
        <w:t>si e cila pati efekte pozitive edhe tek pushteti vendor, gjë të cilën e dëshmon më së miri performanca e treguesve të pushtetit vendor. Kjo rritje i krijoi lehtësi pushtetit vendor për të përballuar efektet të cilat vijojnë nga situatat e krijuara nga COVID-19 dhe rindërtimi nga tërmeti. Përballimi i këtyre sfidave të mëdha ekonomike dhe buxhetore nga njësitë e vetëqeverisjes vendore gjatë kësaj periudhe, është një tregues pozitiv i punës së zhvilluar në këto vite në drejtim të stabilitetit makroekonomik, parashikueshmërisë së fondeve dhe transparencës së përdorimit me d</w:t>
      </w:r>
      <w:r>
        <w:rPr>
          <w:rFonts w:eastAsia="MS Mincho" w:cs="Calibri"/>
          <w:lang w:val="sq-AL"/>
        </w:rPr>
        <w:t xml:space="preserve">isiplinë të fondeve buxhetore. </w:t>
      </w:r>
      <w:r w:rsidRPr="005D3AB6">
        <w:rPr>
          <w:rFonts w:eastAsia="MS Mincho" w:cs="Calibri"/>
          <w:lang w:val="sq-AL"/>
        </w:rPr>
        <w:t>Fokusi kryesor në buxhetin vendor të vitit 2021, për Ministrinë e Financave dhe Ekonomisë ka qënë vazhdimi i konsolidimit të procesit të menaxhimit financiar në nivel vendor në funksion të vazhdimit të zbatimit të reformës administrativo-territoriale dhe decentralizimit fiskal të njësive të vetëqeverisjes vendore.</w:t>
      </w:r>
      <w:r>
        <w:rPr>
          <w:rFonts w:eastAsia="MS Mincho" w:cs="Calibri"/>
          <w:lang w:val="sq-AL"/>
        </w:rPr>
        <w:t xml:space="preserve"> </w:t>
      </w:r>
      <w:r w:rsidRPr="005D3AB6">
        <w:rPr>
          <w:rFonts w:eastAsia="MS Mincho" w:cs="Calibri"/>
          <w:lang w:val="sq-AL"/>
        </w:rPr>
        <w:t>Disa prej arritjeve më të rëndësishme në proceset e menaxhimit të financave vendore gjatë vitit 2021, paraqiten si më poshtë:</w:t>
      </w:r>
    </w:p>
    <w:p w:rsidR="00D80BC1" w:rsidRPr="00554F56" w:rsidRDefault="00D80BC1" w:rsidP="00842F80">
      <w:pPr>
        <w:pStyle w:val="ListParagraph"/>
        <w:numPr>
          <w:ilvl w:val="0"/>
          <w:numId w:val="17"/>
        </w:numPr>
        <w:spacing w:before="0" w:line="240" w:lineRule="auto"/>
        <w:rPr>
          <w:rFonts w:eastAsia="MS Mincho" w:cs="Calibri"/>
          <w:i/>
          <w:sz w:val="20"/>
          <w:szCs w:val="21"/>
          <w:lang w:val="sq-AL"/>
        </w:rPr>
      </w:pPr>
      <w:r w:rsidRPr="00554F56">
        <w:rPr>
          <w:rFonts w:eastAsia="MS Mincho" w:cs="Calibri"/>
          <w:i/>
          <w:sz w:val="20"/>
          <w:szCs w:val="21"/>
          <w:lang w:val="sq-AL"/>
        </w:rPr>
        <w:t>Përmirësimi i menaxhimit të financave vendore përmes rritjes së peshës së taksave lokale në të ardhurat vendore. Të ardhurat tatimore të pushtetit vendor në vitin 2021 kanë pësuar një rritje të ndjeshme  me rreth 4.7 miliard lekë ose rreth 21.3 % më shumë se në vitin 2020;</w:t>
      </w:r>
    </w:p>
    <w:p w:rsidR="00D80BC1" w:rsidRPr="00554F56" w:rsidRDefault="00D80BC1" w:rsidP="00842F80">
      <w:pPr>
        <w:numPr>
          <w:ilvl w:val="0"/>
          <w:numId w:val="17"/>
        </w:numPr>
        <w:spacing w:before="0" w:line="240" w:lineRule="auto"/>
        <w:contextualSpacing/>
        <w:rPr>
          <w:rFonts w:eastAsia="MS Mincho" w:cs="Calibri"/>
          <w:i/>
          <w:sz w:val="20"/>
          <w:szCs w:val="21"/>
          <w:lang w:val="sq-AL"/>
        </w:rPr>
      </w:pPr>
      <w:r w:rsidRPr="00554F56">
        <w:rPr>
          <w:rFonts w:eastAsia="MS Mincho" w:cs="Calibri"/>
          <w:i/>
          <w:sz w:val="20"/>
          <w:szCs w:val="21"/>
          <w:lang w:val="sq-AL"/>
        </w:rPr>
        <w:t xml:space="preserve">Rritja e mbështetjes së dhënë nga buxheti qëndror për pushtetin vendor në formën e transfertave (transferta e pakushtëzuar dhe sektoriale) nga 26.1 miliard lekë në vitin 2020, në 27.7 miliard lekë në vitin 2021 ose rreth 6.2 % më shumë financim nga pushteti qendror. </w:t>
      </w:r>
    </w:p>
    <w:p w:rsidR="00D80BC1" w:rsidRPr="00554F56" w:rsidRDefault="00D80BC1" w:rsidP="00842F80">
      <w:pPr>
        <w:numPr>
          <w:ilvl w:val="0"/>
          <w:numId w:val="17"/>
        </w:numPr>
        <w:autoSpaceDE w:val="0"/>
        <w:autoSpaceDN w:val="0"/>
        <w:spacing w:before="0" w:line="240" w:lineRule="auto"/>
        <w:ind w:right="-43"/>
        <w:contextualSpacing/>
        <w:rPr>
          <w:rFonts w:eastAsia="MS Mincho" w:cs="Calibri"/>
          <w:i/>
          <w:sz w:val="20"/>
          <w:szCs w:val="21"/>
          <w:lang w:val="sq-AL"/>
        </w:rPr>
      </w:pPr>
      <w:r w:rsidRPr="00554F56">
        <w:rPr>
          <w:rFonts w:eastAsia="MS Mincho" w:cs="Calibri"/>
          <w:i/>
          <w:sz w:val="20"/>
          <w:szCs w:val="21"/>
          <w:lang w:val="sq-AL"/>
        </w:rPr>
        <w:t>Shpërndarja e Tatimit mbi të Ardhurat Personale në vlerën 794.6 milion lekë;</w:t>
      </w:r>
    </w:p>
    <w:p w:rsidR="00D80BC1" w:rsidRPr="00554F56" w:rsidRDefault="00D80BC1" w:rsidP="00842F80">
      <w:pPr>
        <w:numPr>
          <w:ilvl w:val="0"/>
          <w:numId w:val="17"/>
        </w:numPr>
        <w:spacing w:before="0" w:line="240" w:lineRule="auto"/>
        <w:contextualSpacing/>
        <w:rPr>
          <w:rFonts w:eastAsia="MS Mincho" w:cs="Calibri"/>
          <w:i/>
          <w:sz w:val="20"/>
          <w:szCs w:val="21"/>
          <w:lang w:val="sq-AL"/>
        </w:rPr>
      </w:pPr>
      <w:r w:rsidRPr="00554F56">
        <w:rPr>
          <w:rFonts w:eastAsia="MS Mincho" w:cs="Calibri"/>
          <w:i/>
          <w:sz w:val="20"/>
          <w:szCs w:val="21"/>
          <w:lang w:val="sq-AL"/>
        </w:rPr>
        <w:t>Reforma e iniciuar nga Qeveria (Ministria e Financave dhe Ekonomisë) në taksën e pasurisë është reflektuar në rritjen e të ardhurave të pushtetit vendor nga kjo taksë, nga 5.1 miliard lekë në vitin 2020, në 6.1 miliard lekë në vitin 2021, ose rreth 20 % më shumë se në vitin 2020.</w:t>
      </w:r>
    </w:p>
    <w:p w:rsidR="00D80BC1" w:rsidRPr="00554F56" w:rsidRDefault="00D80BC1" w:rsidP="00842F80">
      <w:pPr>
        <w:numPr>
          <w:ilvl w:val="0"/>
          <w:numId w:val="17"/>
        </w:numPr>
        <w:spacing w:before="0" w:line="240" w:lineRule="auto"/>
        <w:contextualSpacing/>
        <w:rPr>
          <w:rFonts w:eastAsia="MS Mincho" w:cs="Calibri"/>
          <w:i/>
          <w:sz w:val="20"/>
          <w:szCs w:val="21"/>
          <w:lang w:val="sq-AL"/>
        </w:rPr>
      </w:pPr>
      <w:r w:rsidRPr="00554F56">
        <w:rPr>
          <w:rFonts w:eastAsia="MS Mincho" w:cs="Calibri"/>
          <w:i/>
          <w:sz w:val="20"/>
          <w:szCs w:val="21"/>
          <w:lang w:val="sq-AL"/>
        </w:rPr>
        <w:t>Në buxhetin e vitit 2021, është akorduar për njësitë e vetëqeverisjes vendore transfertë sektoriale për emergjencat civile në vlerën e 500 milion lekë;</w:t>
      </w:r>
    </w:p>
    <w:p w:rsidR="00D80BC1" w:rsidRPr="00554F56" w:rsidRDefault="00D80BC1" w:rsidP="00842F80">
      <w:pPr>
        <w:numPr>
          <w:ilvl w:val="0"/>
          <w:numId w:val="17"/>
        </w:numPr>
        <w:spacing w:before="0" w:line="240" w:lineRule="auto"/>
        <w:contextualSpacing/>
        <w:rPr>
          <w:rFonts w:eastAsia="MS Mincho" w:cs="Calibri"/>
          <w:i/>
          <w:sz w:val="20"/>
          <w:szCs w:val="21"/>
          <w:lang w:val="sq-AL"/>
        </w:rPr>
      </w:pPr>
      <w:r w:rsidRPr="00554F56">
        <w:rPr>
          <w:rFonts w:eastAsia="MS Mincho" w:cs="Calibri"/>
          <w:i/>
          <w:sz w:val="20"/>
          <w:szCs w:val="21"/>
          <w:lang w:val="sq-AL"/>
        </w:rPr>
        <w:t>Akordimi i fondit në masën 500 milionë lekë për shlyerjen e detyrimeve të prapambetura të krijuara nga ish-komunat.</w:t>
      </w:r>
    </w:p>
    <w:p w:rsidR="009C06A1" w:rsidRPr="00554F56" w:rsidRDefault="00D80BC1" w:rsidP="00842F80">
      <w:pPr>
        <w:numPr>
          <w:ilvl w:val="0"/>
          <w:numId w:val="17"/>
        </w:numPr>
        <w:spacing w:before="0" w:line="240" w:lineRule="auto"/>
        <w:contextualSpacing/>
        <w:rPr>
          <w:rFonts w:eastAsia="MS Mincho" w:cs="Calibri"/>
          <w:i/>
          <w:sz w:val="20"/>
          <w:szCs w:val="21"/>
          <w:lang w:val="sq-AL"/>
        </w:rPr>
      </w:pPr>
      <w:r w:rsidRPr="00554F56">
        <w:rPr>
          <w:rFonts w:eastAsia="MS Mincho" w:cs="Calibri"/>
          <w:i/>
          <w:sz w:val="20"/>
          <w:szCs w:val="21"/>
          <w:lang w:val="sq-AL"/>
        </w:rPr>
        <w:t>Rritja në masën 15 % e pagave të arsimit parashkollor (edukatorë + punonjës në Qendrat Kulturore të Fëmijëve) me një fond prej 380 milion lekë</w:t>
      </w:r>
      <w:r w:rsidR="005D3AB6" w:rsidRPr="00554F56">
        <w:rPr>
          <w:rFonts w:eastAsia="MS Mincho" w:cs="Calibri"/>
          <w:i/>
          <w:sz w:val="20"/>
          <w:szCs w:val="21"/>
          <w:lang w:val="sq-AL"/>
        </w:rPr>
        <w:t>.</w:t>
      </w:r>
    </w:p>
    <w:p w:rsidR="002C4FAF" w:rsidRPr="00476D2E" w:rsidRDefault="002C4FAF" w:rsidP="009C06A1">
      <w:pPr>
        <w:rPr>
          <w:sz w:val="12"/>
        </w:rPr>
      </w:pPr>
    </w:p>
    <w:p w:rsidR="007E0F26" w:rsidRPr="00476D2E" w:rsidRDefault="007E0F26" w:rsidP="007E0F26">
      <w:pPr>
        <w:pStyle w:val="Fiskale2"/>
        <w:rPr>
          <w:rFonts w:ascii="Calibri" w:hAnsi="Calibri" w:cs="Calibri"/>
        </w:rPr>
      </w:pPr>
      <w:bookmarkStart w:id="155" w:name="_Toc74843785"/>
      <w:bookmarkStart w:id="156" w:name="_Toc104980339"/>
      <w:r w:rsidRPr="00476D2E">
        <w:rPr>
          <w:rFonts w:ascii="Calibri" w:hAnsi="Calibri" w:cs="Calibri"/>
        </w:rPr>
        <w:t xml:space="preserve">Të ardhurat e </w:t>
      </w:r>
      <w:bookmarkEnd w:id="155"/>
      <w:r w:rsidR="0052551F" w:rsidRPr="00476D2E">
        <w:rPr>
          <w:rFonts w:ascii="Calibri" w:hAnsi="Calibri" w:cs="Calibri"/>
        </w:rPr>
        <w:t>n</w:t>
      </w:r>
      <w:r w:rsidRPr="00476D2E">
        <w:rPr>
          <w:rFonts w:ascii="Calibri" w:hAnsi="Calibri" w:cs="Calibri"/>
        </w:rPr>
        <w:t xml:space="preserve">jësive të </w:t>
      </w:r>
      <w:r w:rsidR="0052551F" w:rsidRPr="00476D2E">
        <w:rPr>
          <w:rFonts w:ascii="Calibri" w:hAnsi="Calibri" w:cs="Calibri"/>
        </w:rPr>
        <w:t>v</w:t>
      </w:r>
      <w:r w:rsidRPr="00476D2E">
        <w:rPr>
          <w:rFonts w:ascii="Calibri" w:hAnsi="Calibri" w:cs="Calibri"/>
        </w:rPr>
        <w:t xml:space="preserve">etëqeverisjes </w:t>
      </w:r>
      <w:r w:rsidR="0052551F" w:rsidRPr="00476D2E">
        <w:rPr>
          <w:rFonts w:ascii="Calibri" w:hAnsi="Calibri" w:cs="Calibri"/>
        </w:rPr>
        <w:t>v</w:t>
      </w:r>
      <w:r w:rsidRPr="00476D2E">
        <w:rPr>
          <w:rFonts w:ascii="Calibri" w:hAnsi="Calibri" w:cs="Calibri"/>
        </w:rPr>
        <w:t>endore</w:t>
      </w:r>
      <w:bookmarkEnd w:id="156"/>
      <w:r w:rsidRPr="00476D2E">
        <w:rPr>
          <w:rFonts w:ascii="Calibri" w:hAnsi="Calibri" w:cs="Calibri"/>
        </w:rPr>
        <w:t xml:space="preserve"> </w:t>
      </w:r>
    </w:p>
    <w:p w:rsidR="00D80BC1" w:rsidRDefault="00D80BC1" w:rsidP="00D80BC1">
      <w:pPr>
        <w:spacing w:before="0" w:line="240" w:lineRule="auto"/>
        <w:rPr>
          <w:rFonts w:eastAsia="SimSun" w:cs="Calibri"/>
          <w:i/>
          <w:sz w:val="18"/>
          <w:szCs w:val="18"/>
          <w:lang w:val="sq-AL"/>
        </w:rPr>
      </w:pPr>
      <w:r w:rsidRPr="005D3AB6">
        <w:rPr>
          <w:rFonts w:eastAsia="MS Mincho" w:cs="Calibri"/>
          <w:lang w:val="sq-AL"/>
        </w:rPr>
        <w:t>Decentralizimi fiskal si një ndër shtyllat më të rëndësishme të menaxhimit financiar publik në nivel vendor si pjesë më të rëndësishme ka rritjen e të ardhurave nga burimet e veta të njësive të vetëqeverisjes vendore. Njësitë e vetëqeverisjes vendore përveç të ardhurave nga burimet e veta, gjithashtu përfitojnë të ardhura në formën e transfertave nga qeveria qendrore, ku një rol të rëndësishëm e zë transferta e pakushtëzuar. Në grafikun e mëposhtëm paraqiten të dhënat dhe trendi i transfertës së pakushtëzuar të përgjithshme, si një burim konstant i qëndrueshëm për pushtetin vendor</w:t>
      </w:r>
      <w:r w:rsidRPr="00476D2E">
        <w:rPr>
          <w:rFonts w:eastAsia="MS Mincho" w:cs="Calibri"/>
          <w:lang w:val="sq-AL"/>
        </w:rPr>
        <w:t>:</w:t>
      </w:r>
      <w:r w:rsidRPr="001D7ECF">
        <w:rPr>
          <w:rFonts w:eastAsia="SimSun" w:cs="Calibri"/>
          <w:i/>
          <w:sz w:val="18"/>
          <w:szCs w:val="18"/>
          <w:lang w:val="sq-AL"/>
        </w:rPr>
        <w:t xml:space="preserve"> </w:t>
      </w:r>
    </w:p>
    <w:p w:rsidR="000C27BF" w:rsidRPr="000C27BF" w:rsidRDefault="000C27BF" w:rsidP="00D80BC1">
      <w:pPr>
        <w:spacing w:before="0" w:line="240" w:lineRule="auto"/>
        <w:rPr>
          <w:rFonts w:eastAsia="SimSun" w:cs="Calibri"/>
          <w:i/>
          <w:sz w:val="8"/>
          <w:szCs w:val="18"/>
          <w:lang w:val="sq-AL"/>
        </w:rPr>
      </w:pPr>
    </w:p>
    <w:p w:rsidR="00D80BC1" w:rsidRPr="00C4258E" w:rsidRDefault="00C4258E" w:rsidP="00554F56">
      <w:pPr>
        <w:pStyle w:val="Caption"/>
        <w:spacing w:after="0"/>
      </w:pPr>
      <w:bookmarkStart w:id="157" w:name="_Toc104984056"/>
      <w:r>
        <w:t xml:space="preserve">Grafiku </w:t>
      </w:r>
      <w:r w:rsidR="00EA28E4">
        <w:fldChar w:fldCharType="begin"/>
      </w:r>
      <w:r w:rsidR="00EA28E4">
        <w:instrText xml:space="preserve"> SEQ Grafiku \* ARABIC </w:instrText>
      </w:r>
      <w:r w:rsidR="00EA28E4">
        <w:fldChar w:fldCharType="separate"/>
      </w:r>
      <w:r w:rsidR="00FE66EC">
        <w:rPr>
          <w:noProof/>
        </w:rPr>
        <w:t>37</w:t>
      </w:r>
      <w:r w:rsidR="00EA28E4">
        <w:rPr>
          <w:noProof/>
        </w:rPr>
        <w:fldChar w:fldCharType="end"/>
      </w:r>
      <w:r>
        <w:t xml:space="preserve"> </w:t>
      </w:r>
      <w:r w:rsidR="00D80BC1">
        <w:t>Transferta e pakushtëzuar dhe ritmi i ndryshimit në vite</w:t>
      </w:r>
      <w:r w:rsidR="00D80BC1" w:rsidRPr="00476D2E">
        <w:rPr>
          <w:rFonts w:cs="Calibri"/>
          <w:i w:val="0"/>
          <w:iCs w:val="0"/>
          <w:lang w:val="sq-AL"/>
        </w:rPr>
        <w:t>.</w:t>
      </w:r>
      <w:bookmarkEnd w:id="157"/>
    </w:p>
    <w:p w:rsidR="00D80BC1" w:rsidRPr="00476D2E" w:rsidRDefault="00D80BC1" w:rsidP="00D80BC1">
      <w:pPr>
        <w:spacing w:before="0" w:line="240" w:lineRule="auto"/>
        <w:rPr>
          <w:rFonts w:eastAsia="MS Mincho" w:cs="Calibri"/>
          <w:sz w:val="8"/>
          <w:lang w:val="sq-AL"/>
        </w:rPr>
      </w:pPr>
      <w:r>
        <w:rPr>
          <w:noProof/>
        </w:rPr>
        <w:drawing>
          <wp:inline distT="0" distB="0" distL="0" distR="0" wp14:anchorId="5C3BD836" wp14:editId="7EE286E6">
            <wp:extent cx="6515100" cy="1714500"/>
            <wp:effectExtent l="0" t="0" r="0" b="0"/>
            <wp:docPr id="649" name="Chart 64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5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80BC1" w:rsidRPr="001D7ECF" w:rsidRDefault="00D80BC1" w:rsidP="00D80BC1">
      <w:pPr>
        <w:spacing w:before="0" w:line="240" w:lineRule="auto"/>
        <w:ind w:firstLine="720"/>
        <w:rPr>
          <w:rFonts w:eastAsia="SimSun" w:cs="Calibri"/>
          <w:i/>
          <w:sz w:val="18"/>
          <w:szCs w:val="18"/>
          <w:lang w:val="sq-AL"/>
        </w:rPr>
      </w:pPr>
      <w:r>
        <w:rPr>
          <w:rFonts w:eastAsia="SimSun" w:cs="Calibri"/>
          <w:i/>
          <w:sz w:val="18"/>
          <w:szCs w:val="18"/>
          <w:lang w:val="sq-AL"/>
        </w:rPr>
        <w:t>Burimi: Ministria e Financave dhe Ekonomisë (2022)</w:t>
      </w:r>
    </w:p>
    <w:p w:rsidR="00554F56" w:rsidRDefault="00554F56" w:rsidP="00D80BC1">
      <w:pPr>
        <w:tabs>
          <w:tab w:val="left" w:pos="5940"/>
        </w:tabs>
        <w:spacing w:before="0"/>
        <w:rPr>
          <w:rFonts w:eastAsia="MS Mincho" w:cs="Calibri"/>
          <w:lang w:val="sq-AL"/>
        </w:rPr>
      </w:pPr>
    </w:p>
    <w:p w:rsidR="00D80BC1" w:rsidRDefault="00D80BC1" w:rsidP="00D80BC1">
      <w:pPr>
        <w:tabs>
          <w:tab w:val="left" w:pos="5940"/>
        </w:tabs>
        <w:spacing w:before="0"/>
        <w:rPr>
          <w:rFonts w:eastAsia="MS Mincho" w:cs="Calibri"/>
          <w:lang w:val="sq-AL"/>
        </w:rPr>
      </w:pPr>
      <w:r w:rsidRPr="00AC7391">
        <w:rPr>
          <w:rFonts w:eastAsia="MS Mincho" w:cs="Calibri"/>
          <w:lang w:val="sq-AL"/>
        </w:rPr>
        <w:lastRenderedPageBreak/>
        <w:t>Duke marrë në analizë të ardhurat e veta vendore të klasifikuara sipas natyrës së burimit të të ardhurave, për vitin 2021, këto burime kanë pësuar rritje kr</w:t>
      </w:r>
      <w:r>
        <w:rPr>
          <w:rFonts w:eastAsia="MS Mincho" w:cs="Calibri"/>
          <w:lang w:val="sq-AL"/>
        </w:rPr>
        <w:t xml:space="preserve">ahasuar me vitin 2020 dhe 2019. </w:t>
      </w:r>
      <w:r w:rsidRPr="00AC7391">
        <w:rPr>
          <w:rFonts w:eastAsia="MS Mincho" w:cs="Calibri"/>
          <w:lang w:val="sq-AL"/>
        </w:rPr>
        <w:t>Për vitin 2021, njësitë e vetëqeverisjes vendore në shkallë kombëtare kanë mbledhur të ardhura tatimore në masën 26,666 milion lekë, shifër kjo që është rreth 4,690 milion lekë më shumë ose rreth 21.3 përqind më e lartë se vlera e të ardhurave të mbledhura gjatë vitit 2020 e cila ka qenë 21,976 milion lekë.</w:t>
      </w:r>
      <w:r w:rsidRPr="00AC7391">
        <w:t xml:space="preserve"> </w:t>
      </w:r>
      <w:r w:rsidRPr="00AC7391">
        <w:rPr>
          <w:rFonts w:eastAsia="MS Mincho" w:cs="Calibri"/>
          <w:lang w:val="sq-AL"/>
        </w:rPr>
        <w:t>Ndërkohë, referuar të dhënave mbi të ardhurat jotatimore për vitin 2021 janë mbledhur rreth 2.852 milion  lekë nga ky burim, ose rreth 606 milion lekë më shumë se një vitë më parë. Këto efekte pozitive në të ardhurat vendore për vitin 2021 tregojnë se buxheti vendor është në rimëkëmbje pas ngjarjeve të jashtëzakonshme të vitit 2019 dhe 2020, të cilat reflektuan ndik</w:t>
      </w:r>
      <w:r>
        <w:rPr>
          <w:rFonts w:eastAsia="MS Mincho" w:cs="Calibri"/>
          <w:lang w:val="sq-AL"/>
        </w:rPr>
        <w:t xml:space="preserve">imin e tyre edhe në këto zëra. </w:t>
      </w:r>
      <w:r w:rsidRPr="00AC7391">
        <w:rPr>
          <w:rFonts w:eastAsia="MS Mincho" w:cs="Calibri"/>
          <w:lang w:val="sq-AL"/>
        </w:rPr>
        <w:t>Në grafikun e mëposhtëm paraqiten të dhënat në milion lekë të realizmit të këtyre burimeve gjatë viteve 2019, 2020 dhe 2021</w:t>
      </w:r>
      <w:r w:rsidRPr="00476D2E">
        <w:rPr>
          <w:rFonts w:eastAsia="MS Mincho" w:cs="Calibri"/>
          <w:lang w:val="sq-AL"/>
        </w:rPr>
        <w:t>.</w:t>
      </w:r>
    </w:p>
    <w:p w:rsidR="000C27BF" w:rsidRPr="000C27BF" w:rsidRDefault="000C27BF" w:rsidP="00D80BC1">
      <w:pPr>
        <w:pStyle w:val="Caption"/>
        <w:keepNext/>
        <w:spacing w:before="0" w:after="0" w:line="240" w:lineRule="auto"/>
        <w:rPr>
          <w:sz w:val="8"/>
          <w:szCs w:val="8"/>
        </w:rPr>
      </w:pPr>
    </w:p>
    <w:p w:rsidR="00D80BC1" w:rsidRPr="00476D2E" w:rsidRDefault="00D80BC1" w:rsidP="00D80BC1">
      <w:pPr>
        <w:pStyle w:val="Caption"/>
        <w:keepNext/>
        <w:spacing w:before="0" w:after="0" w:line="240" w:lineRule="auto"/>
      </w:pPr>
      <w:bookmarkStart w:id="158" w:name="_Toc104984057"/>
      <w:r w:rsidRPr="00476D2E">
        <w:t xml:space="preserve">Grafiku </w:t>
      </w:r>
      <w:r w:rsidRPr="00476D2E">
        <w:rPr>
          <w:noProof/>
        </w:rPr>
        <w:fldChar w:fldCharType="begin"/>
      </w:r>
      <w:r w:rsidRPr="00476D2E">
        <w:rPr>
          <w:noProof/>
        </w:rPr>
        <w:instrText xml:space="preserve"> SEQ Grafiku \* ARABIC </w:instrText>
      </w:r>
      <w:r w:rsidRPr="00476D2E">
        <w:rPr>
          <w:noProof/>
        </w:rPr>
        <w:fldChar w:fldCharType="separate"/>
      </w:r>
      <w:r w:rsidR="00FE66EC">
        <w:rPr>
          <w:noProof/>
        </w:rPr>
        <w:t>38</w:t>
      </w:r>
      <w:r w:rsidRPr="00476D2E">
        <w:rPr>
          <w:noProof/>
        </w:rPr>
        <w:fldChar w:fldCharType="end"/>
      </w:r>
      <w:r w:rsidRPr="00476D2E">
        <w:t xml:space="preserve"> R</w:t>
      </w:r>
      <w:r w:rsidRPr="00476D2E">
        <w:rPr>
          <w:rFonts w:cs="Calibri"/>
          <w:i w:val="0"/>
          <w:iCs w:val="0"/>
          <w:lang w:val="sq-AL"/>
        </w:rPr>
        <w:t>ealizimi i të ardhurave tatimore dhe jotatimore 2019</w:t>
      </w:r>
      <w:r>
        <w:rPr>
          <w:rFonts w:cs="Calibri"/>
          <w:i w:val="0"/>
          <w:iCs w:val="0"/>
          <w:lang w:val="sq-AL"/>
        </w:rPr>
        <w:t>-2021</w:t>
      </w:r>
      <w:r w:rsidRPr="00476D2E">
        <w:rPr>
          <w:rFonts w:cs="Calibri"/>
          <w:i w:val="0"/>
          <w:iCs w:val="0"/>
          <w:lang w:val="sq-AL"/>
        </w:rPr>
        <w:t>.</w:t>
      </w:r>
      <w:bookmarkEnd w:id="158"/>
    </w:p>
    <w:p w:rsidR="00D80BC1" w:rsidRDefault="00D80BC1" w:rsidP="00D80BC1">
      <w:pPr>
        <w:spacing w:before="0" w:line="240" w:lineRule="auto"/>
        <w:jc w:val="center"/>
        <w:rPr>
          <w:rFonts w:eastAsia="MS Mincho" w:cs="Calibri"/>
          <w:lang w:val="sq-AL"/>
        </w:rPr>
      </w:pPr>
      <w:r>
        <w:rPr>
          <w:noProof/>
        </w:rPr>
        <w:drawing>
          <wp:inline distT="0" distB="0" distL="0" distR="0" wp14:anchorId="535E2C5A" wp14:editId="5ED849D7">
            <wp:extent cx="6173470" cy="1264920"/>
            <wp:effectExtent l="0" t="0" r="17780" b="1143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80BC1" w:rsidRPr="00476D2E" w:rsidRDefault="00D80BC1" w:rsidP="00D80BC1">
      <w:pPr>
        <w:spacing w:before="0" w:line="240" w:lineRule="auto"/>
        <w:ind w:firstLine="720"/>
        <w:rPr>
          <w:rFonts w:eastAsia="SimSun" w:cs="Calibri"/>
          <w:i/>
          <w:sz w:val="18"/>
          <w:szCs w:val="18"/>
          <w:lang w:val="sq-AL"/>
        </w:rPr>
      </w:pPr>
      <w:r>
        <w:rPr>
          <w:rFonts w:eastAsia="SimSun" w:cs="Calibri"/>
          <w:i/>
          <w:sz w:val="18"/>
          <w:szCs w:val="18"/>
          <w:lang w:val="sq-AL"/>
        </w:rPr>
        <w:t>Burimi: Ministria e Financave dhe Ekonomisë (2022)</w:t>
      </w:r>
    </w:p>
    <w:p w:rsidR="00D80BC1" w:rsidRPr="00012DFB" w:rsidRDefault="00D80BC1" w:rsidP="00D80BC1">
      <w:pPr>
        <w:tabs>
          <w:tab w:val="left" w:pos="5940"/>
        </w:tabs>
        <w:spacing w:before="0"/>
        <w:rPr>
          <w:rFonts w:eastAsia="MS Mincho" w:cs="Calibri"/>
          <w:sz w:val="8"/>
          <w:szCs w:val="8"/>
          <w:lang w:val="sq-AL"/>
        </w:rPr>
      </w:pPr>
    </w:p>
    <w:p w:rsidR="00D80BC1" w:rsidRDefault="00D80BC1" w:rsidP="00D80BC1">
      <w:pPr>
        <w:rPr>
          <w:rFonts w:eastAsia="MS Mincho" w:cs="Calibri"/>
          <w:lang w:val="sq-AL"/>
        </w:rPr>
      </w:pPr>
      <w:r w:rsidRPr="00E0365D">
        <w:rPr>
          <w:rFonts w:eastAsia="MS Mincho" w:cs="Calibri"/>
          <w:lang w:val="sq-AL"/>
        </w:rPr>
        <w:t>Të ardhurat e pushtetit vendor në vite kanë ruajtur një trend rritjeje të ndjeshëm, duke përcaktuar në këtë mënyrë ecurinë pozitive të aftësisë së pushtetit vendor për të siguruar të ardhura si dhe një konfirmim i efekteve pozitive të decentralizimit pavarësisht sfidave të viteve të fundit më të cilat është përballur vendi në tërsi dhe pushteti vendor në vecanti. Ky trend nga viti 2015 e në vazhdim (me përjashtim të vitit 2020) ka ruajtur tendencën pozitive, duke bërë në këtë mënyrë që të rritet ndjeshëm roli i pushtetit vendor në potencialin fiskal për të ofruar shërbime. Duke ju referuar të dhënave të treguesve fiskalë në vite, nëse marrim në analizë të ardhurat tatimore totale të pushtetit vendor, do të kemi rezultatet si më</w:t>
      </w:r>
      <w:r>
        <w:rPr>
          <w:rFonts w:eastAsia="MS Mincho" w:cs="Calibri"/>
          <w:lang w:val="sq-AL"/>
        </w:rPr>
        <w:t xml:space="preserve"> </w:t>
      </w:r>
      <w:r w:rsidRPr="00E0365D">
        <w:rPr>
          <w:rFonts w:eastAsia="MS Mincho" w:cs="Calibri"/>
          <w:lang w:val="sq-AL"/>
        </w:rPr>
        <w:t>poshtë</w:t>
      </w:r>
      <w:r>
        <w:rPr>
          <w:rFonts w:eastAsia="MS Mincho" w:cs="Calibri"/>
          <w:lang w:val="sq-AL"/>
        </w:rPr>
        <w:t>:</w:t>
      </w:r>
    </w:p>
    <w:p w:rsidR="00D80BC1" w:rsidRPr="00476D2E" w:rsidRDefault="00D80BC1" w:rsidP="00D80BC1">
      <w:pPr>
        <w:pStyle w:val="Caption"/>
        <w:keepNext/>
        <w:spacing w:after="0"/>
      </w:pPr>
      <w:bookmarkStart w:id="159" w:name="_Toc104984058"/>
      <w:r w:rsidRPr="00476D2E">
        <w:t xml:space="preserve">Grafiku </w:t>
      </w:r>
      <w:r w:rsidRPr="00476D2E">
        <w:rPr>
          <w:noProof/>
        </w:rPr>
        <w:fldChar w:fldCharType="begin"/>
      </w:r>
      <w:r w:rsidRPr="00476D2E">
        <w:rPr>
          <w:noProof/>
        </w:rPr>
        <w:instrText xml:space="preserve"> SEQ Grafiku \* ARABIC </w:instrText>
      </w:r>
      <w:r w:rsidRPr="00476D2E">
        <w:rPr>
          <w:noProof/>
        </w:rPr>
        <w:fldChar w:fldCharType="separate"/>
      </w:r>
      <w:r w:rsidR="00FE66EC">
        <w:rPr>
          <w:noProof/>
        </w:rPr>
        <w:t>39</w:t>
      </w:r>
      <w:r w:rsidRPr="00476D2E">
        <w:rPr>
          <w:noProof/>
        </w:rPr>
        <w:fldChar w:fldCharType="end"/>
      </w:r>
      <w:r w:rsidRPr="00476D2E">
        <w:t xml:space="preserve"> </w:t>
      </w:r>
      <w:r w:rsidRPr="00476D2E">
        <w:rPr>
          <w:rFonts w:eastAsiaTheme="minorEastAsia" w:cs="Calibri"/>
          <w:i w:val="0"/>
          <w:iCs w:val="0"/>
        </w:rPr>
        <w:t>Të ardhurat e pushtetit vendor në vite dhe ritmi i ndryshimit</w:t>
      </w:r>
      <w:r w:rsidRPr="00476D2E">
        <w:rPr>
          <w:rFonts w:cs="Calibri"/>
          <w:sz w:val="20"/>
          <w:szCs w:val="20"/>
        </w:rPr>
        <w:t>.</w:t>
      </w:r>
      <w:bookmarkEnd w:id="159"/>
    </w:p>
    <w:p w:rsidR="00D80BC1" w:rsidRPr="00476D2E" w:rsidRDefault="00D80BC1" w:rsidP="00D80BC1">
      <w:pPr>
        <w:spacing w:before="0"/>
        <w:jc w:val="center"/>
        <w:rPr>
          <w:rFonts w:eastAsia="MS Mincho" w:cs="Calibri"/>
          <w:sz w:val="16"/>
          <w:lang w:val="sq-AL"/>
        </w:rPr>
      </w:pPr>
      <w:r w:rsidRPr="004E3F7A">
        <w:rPr>
          <w:noProof/>
          <w:color w:val="002060"/>
        </w:rPr>
        <w:drawing>
          <wp:inline distT="0" distB="0" distL="0" distR="0" wp14:anchorId="2A95B272" wp14:editId="4BEB841F">
            <wp:extent cx="6267450" cy="1501140"/>
            <wp:effectExtent l="0" t="0" r="0" b="3810"/>
            <wp:docPr id="99" name="Chart 9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80BC1" w:rsidRPr="001D3D8F" w:rsidRDefault="00D80BC1" w:rsidP="00D80BC1">
      <w:pPr>
        <w:spacing w:before="0"/>
        <w:ind w:firstLine="720"/>
        <w:rPr>
          <w:rFonts w:eastAsia="SimSun" w:cs="Calibri"/>
          <w:i/>
          <w:sz w:val="18"/>
          <w:lang w:val="sq-AL"/>
        </w:rPr>
      </w:pPr>
      <w:r w:rsidRPr="001D3D8F">
        <w:rPr>
          <w:rFonts w:eastAsia="SimSun" w:cs="Calibri"/>
          <w:i/>
          <w:sz w:val="18"/>
          <w:lang w:val="sq-AL"/>
        </w:rPr>
        <w:t>Burimi: Ministria e Financave dhe Ekonomisë (2022)</w:t>
      </w:r>
    </w:p>
    <w:p w:rsidR="00D80BC1" w:rsidRPr="00A059B8" w:rsidRDefault="00D80BC1" w:rsidP="00D80BC1">
      <w:pPr>
        <w:rPr>
          <w:rFonts w:eastAsia="MS Mincho" w:cs="Calibri"/>
          <w:lang w:val="sq-AL"/>
        </w:rPr>
      </w:pPr>
      <w:r>
        <w:rPr>
          <w:rFonts w:eastAsia="MS Mincho" w:cs="Calibri"/>
          <w:lang w:val="sq-AL"/>
        </w:rPr>
        <w:t>Po ashtu r</w:t>
      </w:r>
      <w:r w:rsidRPr="00A059B8">
        <w:rPr>
          <w:rFonts w:eastAsia="MS Mincho" w:cs="Calibri"/>
          <w:lang w:val="sq-AL"/>
        </w:rPr>
        <w:t>ritja e rolit të pushtetit vendor në drejtim të shërbimeve publike dhe funksioneve që ushtron, ka bërë që raporti i të ardhurave nga burimet e veta ndaj totalit të të ardhurave publike dhe produktit të brendshëm bruto të ndryshojë me rritje në vitet e fundit. Të ardhurat e pushtetit vendor, gjatë vitit 2021, në raport me të ardhurat publike janë rritur nga 5.16% në vitin 2020</w:t>
      </w:r>
      <w:r>
        <w:rPr>
          <w:rFonts w:eastAsia="MS Mincho" w:cs="Calibri"/>
          <w:lang w:val="sq-AL"/>
        </w:rPr>
        <w:t>,</w:t>
      </w:r>
      <w:r w:rsidRPr="00A059B8">
        <w:rPr>
          <w:rFonts w:eastAsia="MS Mincho" w:cs="Calibri"/>
          <w:lang w:val="sq-AL"/>
        </w:rPr>
        <w:t xml:space="preserve"> në 5.22% në vitin 2021. </w:t>
      </w:r>
      <w:r>
        <w:rPr>
          <w:rFonts w:eastAsia="MS Mincho" w:cs="Calibri"/>
          <w:lang w:val="sq-AL"/>
        </w:rPr>
        <w:t>Që prej</w:t>
      </w:r>
      <w:r w:rsidRPr="00A059B8">
        <w:rPr>
          <w:rFonts w:eastAsia="MS Mincho" w:cs="Calibri"/>
          <w:lang w:val="sq-AL"/>
        </w:rPr>
        <w:t xml:space="preserve"> viti</w:t>
      </w:r>
      <w:r>
        <w:rPr>
          <w:rFonts w:eastAsia="MS Mincho" w:cs="Calibri"/>
          <w:lang w:val="sq-AL"/>
        </w:rPr>
        <w:t>t</w:t>
      </w:r>
      <w:r w:rsidRPr="00A059B8">
        <w:rPr>
          <w:rFonts w:eastAsia="MS Mincho" w:cs="Calibri"/>
          <w:lang w:val="sq-AL"/>
        </w:rPr>
        <w:t xml:space="preserve"> 2015, ku</w:t>
      </w:r>
      <w:r>
        <w:rPr>
          <w:rFonts w:eastAsia="MS Mincho" w:cs="Calibri"/>
          <w:lang w:val="sq-AL"/>
        </w:rPr>
        <w:t>r</w:t>
      </w:r>
      <w:r w:rsidRPr="00A059B8">
        <w:rPr>
          <w:rFonts w:eastAsia="MS Mincho" w:cs="Calibri"/>
          <w:lang w:val="sq-AL"/>
        </w:rPr>
        <w:t xml:space="preserve"> raport</w:t>
      </w:r>
      <w:r>
        <w:rPr>
          <w:rFonts w:eastAsia="MS Mincho" w:cs="Calibri"/>
          <w:lang w:val="sq-AL"/>
        </w:rPr>
        <w:t>i</w:t>
      </w:r>
      <w:r w:rsidRPr="00A059B8">
        <w:rPr>
          <w:rFonts w:eastAsia="MS Mincho" w:cs="Calibri"/>
          <w:lang w:val="sq-AL"/>
        </w:rPr>
        <w:t xml:space="preserve"> i të ardhurave vendore me të ardhurat publike ishte rreth 3.09%, rritja e rolit dhe fuqisë fiskale të pushtetit vendor </w:t>
      </w:r>
      <w:r>
        <w:rPr>
          <w:rFonts w:eastAsia="MS Mincho" w:cs="Calibri"/>
          <w:lang w:val="sq-AL"/>
        </w:rPr>
        <w:t xml:space="preserve">deri </w:t>
      </w:r>
      <w:r w:rsidRPr="00A059B8">
        <w:rPr>
          <w:rFonts w:eastAsia="MS Mincho" w:cs="Calibri"/>
          <w:lang w:val="sq-AL"/>
        </w:rPr>
        <w:t xml:space="preserve">në vitin 2021 </w:t>
      </w:r>
      <w:r>
        <w:rPr>
          <w:rFonts w:eastAsia="MS Mincho" w:cs="Calibri"/>
          <w:lang w:val="sq-AL"/>
        </w:rPr>
        <w:t>është</w:t>
      </w:r>
      <w:r w:rsidRPr="00A059B8">
        <w:rPr>
          <w:rFonts w:eastAsia="MS Mincho" w:cs="Calibri"/>
          <w:lang w:val="sq-AL"/>
        </w:rPr>
        <w:t xml:space="preserve"> shoqërua</w:t>
      </w:r>
      <w:r>
        <w:rPr>
          <w:rFonts w:eastAsia="MS Mincho" w:cs="Calibri"/>
          <w:lang w:val="sq-AL"/>
        </w:rPr>
        <w:t>r</w:t>
      </w:r>
      <w:r w:rsidRPr="00A059B8">
        <w:rPr>
          <w:rFonts w:eastAsia="MS Mincho" w:cs="Calibri"/>
          <w:lang w:val="sq-AL"/>
        </w:rPr>
        <w:t xml:space="preserve"> me rritje të këtij raporti me 2.14%. Nga ana tjetër, pushteti vendor ka rritur rolin e tij në vite përmes kontributit në ekonomi e në Produktin e Brendshëm Bruto duke ndryshuar raportin nga 0.82% e PBB në vitin 2015</w:t>
      </w:r>
      <w:r>
        <w:rPr>
          <w:rFonts w:eastAsia="MS Mincho" w:cs="Calibri"/>
          <w:lang w:val="sq-AL"/>
        </w:rPr>
        <w:t>,</w:t>
      </w:r>
      <w:r w:rsidRPr="00A059B8">
        <w:rPr>
          <w:rFonts w:eastAsia="MS Mincho" w:cs="Calibri"/>
          <w:lang w:val="sq-AL"/>
        </w:rPr>
        <w:t xml:space="preserve"> në 1.51 % në vitin 2021, me një rritje prej 0.69% të PBB-së.</w:t>
      </w:r>
    </w:p>
    <w:p w:rsidR="00D80BC1" w:rsidRPr="00476D2E" w:rsidRDefault="00FE66EC" w:rsidP="00F1402E">
      <w:pPr>
        <w:pStyle w:val="Caption"/>
        <w:spacing w:before="0" w:after="0"/>
      </w:pPr>
      <w:bookmarkStart w:id="160" w:name="_Toc104984059"/>
      <w:r>
        <w:lastRenderedPageBreak/>
        <w:t xml:space="preserve">Grafiku </w:t>
      </w:r>
      <w:r w:rsidR="00EA28E4">
        <w:fldChar w:fldCharType="begin"/>
      </w:r>
      <w:r w:rsidR="00EA28E4">
        <w:instrText xml:space="preserve"> SEQ Grafiku \* ARABIC </w:instrText>
      </w:r>
      <w:r w:rsidR="00EA28E4">
        <w:fldChar w:fldCharType="separate"/>
      </w:r>
      <w:r>
        <w:rPr>
          <w:noProof/>
        </w:rPr>
        <w:t>40</w:t>
      </w:r>
      <w:r w:rsidR="00EA28E4">
        <w:rPr>
          <w:noProof/>
        </w:rPr>
        <w:fldChar w:fldCharType="end"/>
      </w:r>
      <w:r>
        <w:t xml:space="preserve">  </w:t>
      </w:r>
      <w:r w:rsidR="00D80BC1" w:rsidRPr="00476D2E">
        <w:rPr>
          <w:rFonts w:cs="Calibri"/>
          <w:i w:val="0"/>
          <w:iCs w:val="0"/>
          <w:lang w:val="sq-AL"/>
        </w:rPr>
        <w:t>Të ardhurat vendore në raport me totalin e të ardhurave publike dhe PBB.</w:t>
      </w:r>
      <w:bookmarkEnd w:id="160"/>
    </w:p>
    <w:p w:rsidR="00D80BC1" w:rsidRPr="00476D2E" w:rsidRDefault="00D80BC1" w:rsidP="00D80BC1">
      <w:pPr>
        <w:spacing w:before="0"/>
        <w:jc w:val="center"/>
        <w:rPr>
          <w:rFonts w:eastAsia="MS Mincho" w:cs="Calibri"/>
          <w:lang w:val="sq-AL"/>
        </w:rPr>
      </w:pPr>
      <w:r w:rsidRPr="007E7D39">
        <w:rPr>
          <w:noProof/>
          <w:color w:val="002060"/>
        </w:rPr>
        <w:drawing>
          <wp:inline distT="0" distB="0" distL="0" distR="0" wp14:anchorId="20EACF16" wp14:editId="6B173132">
            <wp:extent cx="6343650" cy="1623060"/>
            <wp:effectExtent l="0" t="0" r="0" b="15240"/>
            <wp:docPr id="648" name="Chart 6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80BC1" w:rsidRPr="00476D2E" w:rsidRDefault="00D80BC1" w:rsidP="00D80BC1">
      <w:pPr>
        <w:spacing w:before="0"/>
        <w:ind w:firstLine="720"/>
        <w:rPr>
          <w:rFonts w:eastAsia="SimSun" w:cs="Calibri"/>
          <w:i/>
          <w:sz w:val="18"/>
          <w:szCs w:val="18"/>
          <w:lang w:val="sq-AL"/>
        </w:rPr>
      </w:pPr>
      <w:r>
        <w:rPr>
          <w:rFonts w:eastAsia="SimSun" w:cs="Calibri"/>
          <w:i/>
          <w:sz w:val="18"/>
          <w:szCs w:val="18"/>
          <w:lang w:val="sq-AL"/>
        </w:rPr>
        <w:t>Burimi: Ministria e Financave dhe Ekonomisë (2022)</w:t>
      </w:r>
    </w:p>
    <w:p w:rsidR="00D80BC1" w:rsidRPr="00692262" w:rsidRDefault="00D80BC1" w:rsidP="00D80BC1">
      <w:pPr>
        <w:spacing w:before="0"/>
        <w:ind w:firstLine="720"/>
        <w:rPr>
          <w:rFonts w:eastAsia="SimSun" w:cs="Calibri"/>
          <w:i/>
          <w:sz w:val="8"/>
          <w:szCs w:val="18"/>
          <w:lang w:val="sq-AL"/>
        </w:rPr>
      </w:pPr>
    </w:p>
    <w:p w:rsidR="00D80BC1" w:rsidRDefault="00D80BC1" w:rsidP="00D80BC1">
      <w:pPr>
        <w:spacing w:before="0"/>
        <w:rPr>
          <w:rFonts w:eastAsia="SimSun" w:cs="Calibri"/>
          <w:szCs w:val="18"/>
          <w:lang w:val="sq-AL"/>
        </w:rPr>
      </w:pPr>
      <w:r w:rsidRPr="00692262">
        <w:rPr>
          <w:rFonts w:eastAsia="SimSun" w:cs="Calibri"/>
          <w:szCs w:val="18"/>
          <w:lang w:val="sq-AL"/>
        </w:rPr>
        <w:t xml:space="preserve">Një vlerë shumë të rëndësishme në këtë analizë do të ketë evidentimi i ecurisë së të ardhurave vendore sipas llojit të burimit të </w:t>
      </w:r>
      <w:r>
        <w:rPr>
          <w:rFonts w:eastAsia="SimSun" w:cs="Calibri"/>
          <w:szCs w:val="18"/>
          <w:lang w:val="sq-AL"/>
        </w:rPr>
        <w:t>tyre</w:t>
      </w:r>
      <w:r w:rsidRPr="00692262">
        <w:rPr>
          <w:rFonts w:eastAsia="SimSun" w:cs="Calibri"/>
          <w:szCs w:val="18"/>
          <w:lang w:val="sq-AL"/>
        </w:rPr>
        <w:t>. Pas një ngadalësimi ekonomik gjatë 2020, në vitin 2021 është rikthyer trendi rritës</w:t>
      </w:r>
      <w:r>
        <w:rPr>
          <w:rFonts w:eastAsia="SimSun" w:cs="Calibri"/>
          <w:szCs w:val="18"/>
          <w:lang w:val="sq-AL"/>
        </w:rPr>
        <w:t xml:space="preserve"> i</w:t>
      </w:r>
      <w:r w:rsidRPr="00692262">
        <w:rPr>
          <w:rFonts w:eastAsia="SimSun" w:cs="Calibri"/>
          <w:szCs w:val="18"/>
          <w:lang w:val="sq-AL"/>
        </w:rPr>
        <w:t xml:space="preserve"> realizimit të këtyre burimeve për njësitë e vetëqeverisjes vendore që reflekt</w:t>
      </w:r>
      <w:r>
        <w:rPr>
          <w:rFonts w:eastAsia="SimSun" w:cs="Calibri"/>
          <w:szCs w:val="18"/>
          <w:lang w:val="sq-AL"/>
        </w:rPr>
        <w:t>ohet edhe në grafikun e mëposhtëm, ku</w:t>
      </w:r>
      <w:r w:rsidRPr="00692262">
        <w:rPr>
          <w:rFonts w:eastAsia="SimSun" w:cs="Calibri"/>
          <w:szCs w:val="18"/>
          <w:lang w:val="sq-AL"/>
        </w:rPr>
        <w:t xml:space="preserve"> konstatohet një rritje rreth 5.2 miliard lekë i të ardhurave të NJVQV-ve në total, nga “Taksa mbi pasurinë e paluajtshme” </w:t>
      </w:r>
      <w:r>
        <w:rPr>
          <w:rFonts w:eastAsia="SimSun" w:cs="Calibri"/>
          <w:szCs w:val="18"/>
          <w:lang w:val="sq-AL"/>
        </w:rPr>
        <w:t xml:space="preserve">ka një </w:t>
      </w:r>
      <w:r w:rsidRPr="00692262">
        <w:rPr>
          <w:rFonts w:eastAsia="SimSun" w:cs="Calibri"/>
          <w:szCs w:val="18"/>
          <w:lang w:val="sq-AL"/>
        </w:rPr>
        <w:t>rritj</w:t>
      </w:r>
      <w:r>
        <w:rPr>
          <w:rFonts w:eastAsia="SimSun" w:cs="Calibri"/>
          <w:szCs w:val="18"/>
          <w:lang w:val="sq-AL"/>
        </w:rPr>
        <w:t>e</w:t>
      </w:r>
      <w:r w:rsidRPr="00692262">
        <w:rPr>
          <w:rFonts w:eastAsia="SimSun" w:cs="Calibri"/>
          <w:szCs w:val="18"/>
          <w:lang w:val="sq-AL"/>
        </w:rPr>
        <w:t xml:space="preserve"> </w:t>
      </w:r>
      <w:r>
        <w:rPr>
          <w:rFonts w:eastAsia="SimSun" w:cs="Calibri"/>
          <w:szCs w:val="18"/>
          <w:lang w:val="sq-AL"/>
        </w:rPr>
        <w:t>me</w:t>
      </w:r>
      <w:r w:rsidRPr="00692262">
        <w:rPr>
          <w:rFonts w:eastAsia="SimSun" w:cs="Calibri"/>
          <w:szCs w:val="18"/>
          <w:lang w:val="sq-AL"/>
        </w:rPr>
        <w:t xml:space="preserve"> rreth 20%, “Tarifat e shërbimeve vendore” kanë nj</w:t>
      </w:r>
      <w:r>
        <w:rPr>
          <w:rFonts w:eastAsia="SimSun" w:cs="Calibri"/>
          <w:szCs w:val="18"/>
          <w:lang w:val="sq-AL"/>
        </w:rPr>
        <w:t>ë</w:t>
      </w:r>
      <w:r w:rsidRPr="00692262">
        <w:rPr>
          <w:rFonts w:eastAsia="SimSun" w:cs="Calibri"/>
          <w:szCs w:val="18"/>
          <w:lang w:val="sq-AL"/>
        </w:rPr>
        <w:t xml:space="preserve"> rritje me rreth 2</w:t>
      </w:r>
      <w:r>
        <w:rPr>
          <w:rFonts w:eastAsia="SimSun" w:cs="Calibri"/>
          <w:szCs w:val="18"/>
          <w:lang w:val="sq-AL"/>
        </w:rPr>
        <w:t>0</w:t>
      </w:r>
      <w:r w:rsidRPr="00692262">
        <w:rPr>
          <w:rFonts w:eastAsia="SimSun" w:cs="Calibri"/>
          <w:szCs w:val="18"/>
          <w:lang w:val="sq-AL"/>
        </w:rPr>
        <w:t xml:space="preserve">%, “Taksa e ndikimit në infrastrukture” </w:t>
      </w:r>
      <w:r>
        <w:rPr>
          <w:rFonts w:eastAsia="SimSun" w:cs="Calibri"/>
          <w:szCs w:val="18"/>
          <w:lang w:val="sq-AL"/>
        </w:rPr>
        <w:t xml:space="preserve">ka një </w:t>
      </w:r>
      <w:r w:rsidRPr="00692262">
        <w:rPr>
          <w:rFonts w:eastAsia="SimSun" w:cs="Calibri"/>
          <w:szCs w:val="18"/>
          <w:lang w:val="sq-AL"/>
        </w:rPr>
        <w:t>rritj</w:t>
      </w:r>
      <w:r>
        <w:rPr>
          <w:rFonts w:eastAsia="SimSun" w:cs="Calibri"/>
          <w:szCs w:val="18"/>
          <w:lang w:val="sq-AL"/>
        </w:rPr>
        <w:t>e</w:t>
      </w:r>
      <w:r w:rsidRPr="00692262">
        <w:rPr>
          <w:rFonts w:eastAsia="SimSun" w:cs="Calibri"/>
          <w:szCs w:val="18"/>
          <w:lang w:val="sq-AL"/>
        </w:rPr>
        <w:t xml:space="preserve"> </w:t>
      </w:r>
      <w:r>
        <w:rPr>
          <w:rFonts w:eastAsia="SimSun" w:cs="Calibri"/>
          <w:szCs w:val="18"/>
          <w:lang w:val="sq-AL"/>
        </w:rPr>
        <w:t>me</w:t>
      </w:r>
      <w:r w:rsidRPr="00692262">
        <w:rPr>
          <w:rFonts w:eastAsia="SimSun" w:cs="Calibri"/>
          <w:szCs w:val="18"/>
          <w:lang w:val="sq-AL"/>
        </w:rPr>
        <w:t xml:space="preserve"> rreth 20%, “të ardhurat të tjera vendore</w:t>
      </w:r>
      <w:r>
        <w:rPr>
          <w:rFonts w:eastAsia="SimSun" w:cs="Calibri"/>
          <w:szCs w:val="18"/>
          <w:lang w:val="sq-AL"/>
        </w:rPr>
        <w:t>”</w:t>
      </w:r>
      <w:r w:rsidRPr="00692262">
        <w:rPr>
          <w:rFonts w:eastAsia="SimSun" w:cs="Calibri"/>
          <w:szCs w:val="18"/>
          <w:lang w:val="sq-AL"/>
        </w:rPr>
        <w:t xml:space="preserve"> gjithashtu rritje me rreth 29%. Kjo ecuri e të ardhurave fiskale vendore ndikon në përmirësimin e eficiencës së shërbimeve vendore</w:t>
      </w:r>
      <w:r>
        <w:rPr>
          <w:rFonts w:eastAsia="SimSun" w:cs="Calibri"/>
          <w:szCs w:val="18"/>
          <w:lang w:val="sq-AL"/>
        </w:rPr>
        <w:t>.</w:t>
      </w:r>
    </w:p>
    <w:p w:rsidR="00D80BC1" w:rsidRPr="00476D2E" w:rsidRDefault="00FE66EC" w:rsidP="00FE66EC">
      <w:pPr>
        <w:pStyle w:val="Caption"/>
      </w:pPr>
      <w:bookmarkStart w:id="161" w:name="_Toc104984060"/>
      <w:r>
        <w:t xml:space="preserve">Grafiku </w:t>
      </w:r>
      <w:r w:rsidR="00EA28E4">
        <w:fldChar w:fldCharType="begin"/>
      </w:r>
      <w:r w:rsidR="00EA28E4">
        <w:instrText xml:space="preserve"> SEQ Grafiku \* ARABIC </w:instrText>
      </w:r>
      <w:r w:rsidR="00EA28E4">
        <w:fldChar w:fldCharType="separate"/>
      </w:r>
      <w:r>
        <w:rPr>
          <w:noProof/>
        </w:rPr>
        <w:t>41</w:t>
      </w:r>
      <w:r w:rsidR="00EA28E4">
        <w:rPr>
          <w:noProof/>
        </w:rPr>
        <w:fldChar w:fldCharType="end"/>
      </w:r>
      <w:r>
        <w:t xml:space="preserve"> </w:t>
      </w:r>
      <w:r w:rsidR="00D80BC1" w:rsidRPr="00476D2E">
        <w:rPr>
          <w:rFonts w:cs="Calibri"/>
          <w:i w:val="0"/>
          <w:iCs w:val="0"/>
          <w:lang w:val="sq-AL"/>
        </w:rPr>
        <w:t>Të ardhurat e veta të pushtetit vendor sipas burimit në vite</w:t>
      </w:r>
      <w:bookmarkEnd w:id="161"/>
    </w:p>
    <w:p w:rsidR="00D80BC1" w:rsidRPr="00692262" w:rsidRDefault="009062F2" w:rsidP="00D80BC1">
      <w:pPr>
        <w:spacing w:before="0"/>
        <w:jc w:val="center"/>
        <w:rPr>
          <w:rFonts w:eastAsia="SimSun" w:cs="Calibri"/>
          <w:szCs w:val="18"/>
          <w:lang w:val="sq-AL"/>
        </w:rPr>
      </w:pPr>
      <w:r w:rsidRPr="001F5B72">
        <w:rPr>
          <w:rFonts w:asciiTheme="majorHAnsi" w:hAnsiTheme="majorHAnsi" w:cstheme="majorHAnsi"/>
          <w:noProof/>
          <w:sz w:val="16"/>
          <w:szCs w:val="16"/>
        </w:rPr>
        <w:drawing>
          <wp:inline distT="0" distB="0" distL="0" distR="0" wp14:anchorId="1BA6A6B0" wp14:editId="63555C3E">
            <wp:extent cx="6179185" cy="2308860"/>
            <wp:effectExtent l="0" t="0" r="12065" b="15240"/>
            <wp:docPr id="33" name="Chart 33">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6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80BC1" w:rsidRPr="00476D2E" w:rsidRDefault="00D80BC1" w:rsidP="00D80BC1">
      <w:pPr>
        <w:spacing w:before="0"/>
        <w:ind w:firstLine="720"/>
        <w:rPr>
          <w:rFonts w:eastAsia="SimSun" w:cs="Calibri"/>
          <w:i/>
          <w:sz w:val="18"/>
          <w:szCs w:val="18"/>
          <w:lang w:val="sq-AL"/>
        </w:rPr>
      </w:pPr>
      <w:r>
        <w:rPr>
          <w:rFonts w:eastAsia="SimSun" w:cs="Calibri"/>
          <w:i/>
          <w:sz w:val="18"/>
          <w:szCs w:val="18"/>
          <w:lang w:val="sq-AL"/>
        </w:rPr>
        <w:t>Burimi: Ministria e Financave dhe Ekonomisë (2022)</w:t>
      </w:r>
    </w:p>
    <w:p w:rsidR="00D80BC1" w:rsidRPr="00033436" w:rsidRDefault="00D80BC1" w:rsidP="00D80BC1">
      <w:pPr>
        <w:rPr>
          <w:rFonts w:eastAsia="MS Mincho" w:cs="Calibri"/>
          <w:lang w:val="sq-AL"/>
        </w:rPr>
      </w:pPr>
      <w:r w:rsidRPr="00033436">
        <w:rPr>
          <w:rFonts w:eastAsia="MS Mincho" w:cs="Calibri"/>
          <w:lang w:val="sq-AL"/>
        </w:rPr>
        <w:t xml:space="preserve">Ndër vite të ardhurat e pushtetit vendor kanë pësuar ndryshime si në vlerë ashtu edhe në strukturën e burimit të këtyre të ardhurave. Në </w:t>
      </w:r>
      <w:r>
        <w:rPr>
          <w:rFonts w:eastAsia="MS Mincho" w:cs="Calibri"/>
          <w:lang w:val="sq-AL"/>
        </w:rPr>
        <w:t>G</w:t>
      </w:r>
      <w:r w:rsidRPr="00033436">
        <w:rPr>
          <w:rFonts w:eastAsia="MS Mincho" w:cs="Calibri"/>
          <w:lang w:val="sq-AL"/>
        </w:rPr>
        <w:t xml:space="preserve">rafikun </w:t>
      </w:r>
      <w:r>
        <w:rPr>
          <w:rFonts w:eastAsia="MS Mincho" w:cs="Calibri"/>
          <w:lang w:val="sq-AL"/>
        </w:rPr>
        <w:t>nr.6</w:t>
      </w:r>
      <w:r w:rsidRPr="00033436">
        <w:rPr>
          <w:rFonts w:eastAsia="MS Mincho" w:cs="Calibri"/>
          <w:lang w:val="sq-AL"/>
        </w:rPr>
        <w:t xml:space="preserve"> paraqitet ndryshimi i strukturës së të ardhurave të buxhetit vendor, ku vërehet rritja e peshës që taksat lokale zënë në tërësinë e të ardhurave vendore, sikurse edhe e taksës mbi pasurinë. </w:t>
      </w:r>
    </w:p>
    <w:p w:rsidR="00D80BC1" w:rsidRPr="00E0365D" w:rsidRDefault="00D80BC1" w:rsidP="00D80BC1">
      <w:pPr>
        <w:rPr>
          <w:rFonts w:eastAsia="MS Mincho" w:cs="Calibri"/>
          <w:i/>
          <w:u w:val="single"/>
          <w:lang w:val="sq-AL"/>
        </w:rPr>
      </w:pPr>
      <w:r w:rsidRPr="00E0365D">
        <w:rPr>
          <w:rFonts w:eastAsia="MS Mincho" w:cs="Calibri"/>
          <w:i/>
          <w:u w:val="single"/>
          <w:lang w:val="sq-AL"/>
        </w:rPr>
        <w:t xml:space="preserve">Taksa mbi pasurinë </w:t>
      </w:r>
    </w:p>
    <w:p w:rsidR="00D80BC1" w:rsidRDefault="00D80BC1" w:rsidP="00D80BC1">
      <w:pPr>
        <w:rPr>
          <w:rFonts w:eastAsia="MS Mincho" w:cs="Calibri"/>
          <w:lang w:val="sq-AL"/>
        </w:rPr>
      </w:pPr>
      <w:r w:rsidRPr="00E0365D">
        <w:rPr>
          <w:rFonts w:eastAsia="MS Mincho" w:cs="Calibri"/>
          <w:lang w:val="sq-AL"/>
        </w:rPr>
        <w:t xml:space="preserve">Taksa mbi pasurinë, është një burim mjaft i rëndësishëm vendor përmes së cilës njësitë e vetëqeverisjes vendore mund të zhvillojnë politika vendore nën diskrecionin e plotë të përdorimit. Vitet e fundit në politikat qeveritare, hartimi i metodologjisë së vendosjes së kësaj takse në bazë vlere por dhe ndërtimi i një kadastre të detajuar mbi pronën, përbëjnë thelbin e reformës mbi këtë burim financimi të njësive të vetëqeverisjes vendore. Duke ju referuar të dhënave të treguesve fiskalë, duke filluar nga viti 2014 e në vazhdim kjo taksë ka patur trend rritës, ndërkohë që në raport me një vit më parë janë mbledhur 992 milion lekë më shumë ose </w:t>
      </w:r>
      <w:r w:rsidR="008205C2">
        <w:rPr>
          <w:rFonts w:eastAsia="MS Mincho" w:cs="Calibri"/>
          <w:lang w:val="sq-AL"/>
        </w:rPr>
        <w:t>rritja është 19</w:t>
      </w:r>
      <w:r w:rsidRPr="00E0365D">
        <w:rPr>
          <w:rFonts w:eastAsia="MS Mincho" w:cs="Calibri"/>
          <w:lang w:val="sq-AL"/>
        </w:rPr>
        <w:t xml:space="preserve"> përqind.</w:t>
      </w:r>
    </w:p>
    <w:p w:rsidR="00D80BC1" w:rsidRPr="00E0365D" w:rsidRDefault="00D80BC1" w:rsidP="00D80BC1">
      <w:pPr>
        <w:rPr>
          <w:rFonts w:eastAsia="MS Mincho" w:cs="Calibri"/>
          <w:i/>
          <w:u w:val="single"/>
          <w:lang w:val="sq-AL"/>
        </w:rPr>
      </w:pPr>
      <w:r w:rsidRPr="00E0365D">
        <w:rPr>
          <w:rFonts w:eastAsia="MS Mincho" w:cs="Calibri"/>
          <w:i/>
          <w:u w:val="single"/>
          <w:lang w:val="sq-AL"/>
        </w:rPr>
        <w:lastRenderedPageBreak/>
        <w:t>Taksa e Biznesit të vogël</w:t>
      </w:r>
    </w:p>
    <w:p w:rsidR="00D80BC1" w:rsidRDefault="00D80BC1" w:rsidP="00D80BC1">
      <w:pPr>
        <w:rPr>
          <w:rFonts w:eastAsia="MS Mincho" w:cs="Calibri"/>
          <w:lang w:val="sq-AL"/>
        </w:rPr>
      </w:pPr>
      <w:r w:rsidRPr="00E0365D">
        <w:rPr>
          <w:rFonts w:eastAsia="MS Mincho" w:cs="Calibri"/>
          <w:lang w:val="sq-AL"/>
        </w:rPr>
        <w:t>Tatimi mbi biznesin e vogël në vite si pasojë e ndryshimeve fiskale, ka patur një rënie në peshën që zë në buxhetin vendor. Në vitin 2021 të ardhurat e mbledhura nga kjo taksë përbëjnë vetëm 1.4% të totalit të burimeve tatimore të pushtetit vendor.</w:t>
      </w:r>
    </w:p>
    <w:p w:rsidR="00D80BC1" w:rsidRPr="002F029D" w:rsidRDefault="00D80BC1" w:rsidP="00D80BC1">
      <w:pPr>
        <w:rPr>
          <w:rFonts w:eastAsia="MS Mincho" w:cs="Calibri"/>
          <w:i/>
          <w:u w:val="single"/>
          <w:lang w:val="sq-AL"/>
        </w:rPr>
      </w:pPr>
      <w:r w:rsidRPr="002F029D">
        <w:rPr>
          <w:rFonts w:eastAsia="MS Mincho" w:cs="Calibri"/>
          <w:i/>
          <w:u w:val="single"/>
          <w:lang w:val="sq-AL"/>
        </w:rPr>
        <w:t>Taksat Lokale</w:t>
      </w:r>
    </w:p>
    <w:p w:rsidR="00D80BC1" w:rsidRDefault="00D80BC1" w:rsidP="00D80BC1">
      <w:pPr>
        <w:rPr>
          <w:rFonts w:eastAsia="MS Mincho" w:cs="Calibri"/>
          <w:lang w:val="sq-AL"/>
        </w:rPr>
      </w:pPr>
      <w:r w:rsidRPr="00E0365D">
        <w:rPr>
          <w:rFonts w:eastAsia="MS Mincho" w:cs="Calibri"/>
          <w:lang w:val="sq-AL"/>
        </w:rPr>
        <w:t>Njësitë e vetëqeverisjes vendore gjithmonë e më shumë po konsolidohen në këndvështimin financiar dhe këtë e dëshmon rritja e të ardhurave nga taksa lokale, si një ndër burimet më të rëndësishme të financimit. Në total për vitin 2021, të ardhurat nga taksat lokale zënë rreth 75.6% të të ardhurave të veta vendore, të cilat  gjat këtij viti kanë arritur në masën rreth 20.2 miliard lekë, ose rreth 3,698 milion lekë më shumë se një vit më parë. Kjo rritje me rreth 22% tregon rimëkëmbjen e situatës ekonomike pas vështirësive të krijuara nga situata e pandemisë dhe gjithashtu rolin e rëndësishëm që kanë patur njësitë e vetëqeverisjes vendore në përballimin me sukses të situatës.</w:t>
      </w:r>
    </w:p>
    <w:p w:rsidR="007E0F26" w:rsidRDefault="00D80BC1" w:rsidP="00D80BC1">
      <w:pPr>
        <w:rPr>
          <w:rFonts w:eastAsia="MS Mincho" w:cs="Calibri"/>
          <w:lang w:val="sq-AL"/>
        </w:rPr>
      </w:pPr>
      <w:r w:rsidRPr="00AC7391">
        <w:rPr>
          <w:rFonts w:eastAsia="MS Mincho" w:cs="Calibri"/>
          <w:lang w:val="sq-AL"/>
        </w:rPr>
        <w:t xml:space="preserve">Burimi që zë peshën më të madhe në të ardhurat nga taksat lokale është </w:t>
      </w:r>
      <w:r w:rsidRPr="00AC7391">
        <w:rPr>
          <w:rFonts w:eastAsia="MS Mincho" w:cs="Calibri"/>
          <w:i/>
          <w:lang w:val="sq-AL"/>
        </w:rPr>
        <w:t>taksa e ndikimit në infrastrukturë nga ndërtimet e reja</w:t>
      </w:r>
      <w:r w:rsidRPr="00AC7391">
        <w:rPr>
          <w:rFonts w:eastAsia="MS Mincho" w:cs="Calibri"/>
          <w:lang w:val="sq-AL"/>
        </w:rPr>
        <w:t xml:space="preserve">, me rreth 47% të totalit të taksave lokale ose me rreth 36% të totalit të të ardhurave, e ndjekur nga </w:t>
      </w:r>
      <w:r w:rsidRPr="00AC7391">
        <w:rPr>
          <w:rFonts w:eastAsia="MS Mincho" w:cs="Calibri"/>
          <w:i/>
          <w:lang w:val="sq-AL"/>
        </w:rPr>
        <w:t>taksa e ndërtesës</w:t>
      </w:r>
      <w:r w:rsidRPr="00AC7391">
        <w:rPr>
          <w:rFonts w:eastAsia="MS Mincho" w:cs="Calibri"/>
          <w:lang w:val="sq-AL"/>
        </w:rPr>
        <w:t xml:space="preserve"> dhe </w:t>
      </w:r>
      <w:r w:rsidRPr="00AC7391">
        <w:rPr>
          <w:rFonts w:eastAsia="MS Mincho" w:cs="Calibri"/>
          <w:i/>
          <w:lang w:val="sq-AL"/>
        </w:rPr>
        <w:t>tarifat e pastrimit</w:t>
      </w:r>
      <w:r w:rsidRPr="00AC7391">
        <w:rPr>
          <w:rFonts w:eastAsia="MS Mincho" w:cs="Calibri"/>
          <w:lang w:val="sq-AL"/>
        </w:rPr>
        <w:t>, me përkatësisht 23% dhe 16% të totalit të të ardhurave të pushtetit vendor</w:t>
      </w:r>
      <w:r w:rsidR="00E0365D">
        <w:rPr>
          <w:rFonts w:eastAsia="MS Mincho" w:cs="Calibri"/>
          <w:lang w:val="sq-AL"/>
        </w:rPr>
        <w:t>.</w:t>
      </w:r>
    </w:p>
    <w:p w:rsidR="00316AE2" w:rsidRPr="00476D2E" w:rsidRDefault="00316AE2" w:rsidP="009C06A1"/>
    <w:p w:rsidR="002C4FAF" w:rsidRPr="00476D2E" w:rsidRDefault="002C4FAF" w:rsidP="002C4FAF">
      <w:pPr>
        <w:pStyle w:val="Fiskale2"/>
        <w:rPr>
          <w:rFonts w:ascii="Calibri" w:hAnsi="Calibri" w:cs="Calibri"/>
        </w:rPr>
      </w:pPr>
      <w:bookmarkStart w:id="162" w:name="_Toc104980340"/>
      <w:r w:rsidRPr="00476D2E">
        <w:rPr>
          <w:rFonts w:ascii="Calibri" w:hAnsi="Calibri" w:cs="Calibri"/>
        </w:rPr>
        <w:t xml:space="preserve">Shpenzimet e </w:t>
      </w:r>
      <w:r w:rsidR="0052551F" w:rsidRPr="00476D2E">
        <w:rPr>
          <w:rFonts w:ascii="Calibri" w:hAnsi="Calibri" w:cs="Calibri"/>
        </w:rPr>
        <w:t>n</w:t>
      </w:r>
      <w:r w:rsidRPr="00476D2E">
        <w:rPr>
          <w:rFonts w:ascii="Calibri" w:hAnsi="Calibri" w:cs="Calibri"/>
        </w:rPr>
        <w:t xml:space="preserve">jësive të </w:t>
      </w:r>
      <w:r w:rsidR="0052551F" w:rsidRPr="00476D2E">
        <w:rPr>
          <w:rFonts w:ascii="Calibri" w:hAnsi="Calibri" w:cs="Calibri"/>
        </w:rPr>
        <w:t>v</w:t>
      </w:r>
      <w:r w:rsidRPr="00476D2E">
        <w:rPr>
          <w:rFonts w:ascii="Calibri" w:hAnsi="Calibri" w:cs="Calibri"/>
        </w:rPr>
        <w:t xml:space="preserve">etëqeverisjes </w:t>
      </w:r>
      <w:r w:rsidR="0052551F" w:rsidRPr="00476D2E">
        <w:rPr>
          <w:rFonts w:ascii="Calibri" w:hAnsi="Calibri" w:cs="Calibri"/>
        </w:rPr>
        <w:t>v</w:t>
      </w:r>
      <w:r w:rsidRPr="00476D2E">
        <w:rPr>
          <w:rFonts w:ascii="Calibri" w:hAnsi="Calibri" w:cs="Calibri"/>
        </w:rPr>
        <w:t>endore</w:t>
      </w:r>
      <w:bookmarkEnd w:id="162"/>
      <w:r w:rsidRPr="00476D2E">
        <w:rPr>
          <w:rFonts w:ascii="Calibri" w:hAnsi="Calibri" w:cs="Calibri"/>
        </w:rPr>
        <w:t xml:space="preserve"> </w:t>
      </w:r>
    </w:p>
    <w:p w:rsidR="000C27BF" w:rsidRDefault="000C27BF" w:rsidP="000C27BF">
      <w:pPr>
        <w:spacing w:before="0"/>
        <w:rPr>
          <w:rFonts w:eastAsia="SimSun" w:cs="Calibri"/>
          <w:lang w:val="sq-AL"/>
        </w:rPr>
      </w:pPr>
      <w:r w:rsidRPr="00AC7391">
        <w:rPr>
          <w:rFonts w:eastAsia="SimSun" w:cs="Calibri"/>
          <w:lang w:val="sq-AL"/>
        </w:rPr>
        <w:t xml:space="preserve">Niveli i shpenzimeve për pushtetin vendor, për vitin 2021, arriti në masën rreth 52.6 miliard lekë, nga 51.6 miliard lekë një vit më parë. Kjo nënkupton një rritje prej rreth 2 </w:t>
      </w:r>
      <w:r>
        <w:rPr>
          <w:rFonts w:eastAsia="SimSun" w:cs="Calibri"/>
          <w:lang w:val="sq-AL"/>
        </w:rPr>
        <w:t>përqind</w:t>
      </w:r>
      <w:r w:rsidRPr="00AC7391">
        <w:rPr>
          <w:rFonts w:eastAsia="SimSun" w:cs="Calibri"/>
          <w:lang w:val="sq-AL"/>
        </w:rPr>
        <w:t xml:space="preserve"> në krahasim me shpenzimet vendore të vitit 2020</w:t>
      </w:r>
      <w:r>
        <w:rPr>
          <w:rFonts w:eastAsia="SimSun" w:cs="Calibri"/>
          <w:lang w:val="sq-AL"/>
        </w:rPr>
        <w:t>, kurse në raport me PBB-në</w:t>
      </w:r>
      <w:r w:rsidRPr="00AC7391">
        <w:rPr>
          <w:rFonts w:eastAsia="SimSun" w:cs="Calibri"/>
          <w:lang w:val="sq-AL"/>
        </w:rPr>
        <w:t xml:space="preserve"> një rënie të lehtë prej 0.16%. Efektet e pandemisë COVID-19 dhe procesi i rindërtimit kanë vazhduar të shkaktojnë luhatje në shpenzimet e pushtetit vendor, edhe gjatë vitit 2021. Shumë procese të menaxhimit financiar publik në nivel vendor u ndikuan si pasojë e bllokimit të proceseve normale të zh</w:t>
      </w:r>
      <w:r>
        <w:rPr>
          <w:rFonts w:eastAsia="SimSun" w:cs="Calibri"/>
          <w:lang w:val="sq-AL"/>
        </w:rPr>
        <w:t>villimit ekonomik në tërësi. Pa</w:t>
      </w:r>
      <w:r w:rsidRPr="00AC7391">
        <w:rPr>
          <w:rFonts w:eastAsia="SimSun" w:cs="Calibri"/>
          <w:lang w:val="sq-AL"/>
        </w:rPr>
        <w:t>varësisht kësaj, në vitin 2021 u vu re që në muajt e parë</w:t>
      </w:r>
      <w:r>
        <w:rPr>
          <w:rFonts w:eastAsia="SimSun" w:cs="Calibri"/>
          <w:lang w:val="sq-AL"/>
        </w:rPr>
        <w:t>,</w:t>
      </w:r>
      <w:r w:rsidRPr="00AC7391">
        <w:rPr>
          <w:rFonts w:eastAsia="SimSun" w:cs="Calibri"/>
          <w:lang w:val="sq-AL"/>
        </w:rPr>
        <w:t xml:space="preserve"> trendi rritës në shpenzimet e pushtetit vendor</w:t>
      </w:r>
      <w:r>
        <w:rPr>
          <w:rFonts w:eastAsia="SimSun" w:cs="Calibri"/>
          <w:lang w:val="sq-AL"/>
        </w:rPr>
        <w:t>,</w:t>
      </w:r>
      <w:r w:rsidRPr="00AC7391">
        <w:rPr>
          <w:rFonts w:eastAsia="SimSun" w:cs="Calibri"/>
          <w:lang w:val="sq-AL"/>
        </w:rPr>
        <w:t xml:space="preserve"> gjë që dëshmoi rimëkëmbjen e ekonomisë pas situatave të jashtëzakonshme të viteve të mëparshme.</w:t>
      </w:r>
      <w:r>
        <w:rPr>
          <w:rFonts w:eastAsia="SimSun" w:cs="Calibri"/>
          <w:lang w:val="sq-AL"/>
        </w:rPr>
        <w:t xml:space="preserve"> Sipas burimit të financimit, shpenzimet faktike të pushtetit vendor në vite, </w:t>
      </w:r>
      <w:r w:rsidRPr="00AC7391">
        <w:rPr>
          <w:rFonts w:eastAsia="SimSun" w:cs="Calibri"/>
          <w:lang w:val="sq-AL"/>
        </w:rPr>
        <w:t>të financuara këto nga transferta e pakushtëzuar</w:t>
      </w:r>
      <w:r>
        <w:rPr>
          <w:rFonts w:eastAsia="SimSun"/>
        </w:rPr>
        <w:t xml:space="preserve"> e përgjithshme dhe sektoriale, taksat e ndara </w:t>
      </w:r>
      <w:r w:rsidRPr="00AC7391">
        <w:rPr>
          <w:rFonts w:eastAsia="SimSun"/>
        </w:rPr>
        <w:t>si dhe të ardhurat nga burimet e veta</w:t>
      </w:r>
      <w:r>
        <w:rPr>
          <w:rFonts w:eastAsia="SimSun" w:cs="Calibri"/>
          <w:lang w:val="sq-AL"/>
        </w:rPr>
        <w:t>, grafikisht paraqiten si më poshtë:</w:t>
      </w:r>
    </w:p>
    <w:p w:rsidR="000C27BF" w:rsidRPr="00FE66EC" w:rsidRDefault="00FE66EC" w:rsidP="00FE66EC">
      <w:pPr>
        <w:pStyle w:val="Caption"/>
      </w:pPr>
      <w:bookmarkStart w:id="163" w:name="_Toc104984061"/>
      <w:r>
        <w:t xml:space="preserve">Grafiku </w:t>
      </w:r>
      <w:r w:rsidR="00EA28E4">
        <w:fldChar w:fldCharType="begin"/>
      </w:r>
      <w:r w:rsidR="00EA28E4">
        <w:instrText xml:space="preserve"> SEQ Grafiku \* ARABIC </w:instrText>
      </w:r>
      <w:r w:rsidR="00EA28E4">
        <w:fldChar w:fldCharType="separate"/>
      </w:r>
      <w:r>
        <w:rPr>
          <w:noProof/>
        </w:rPr>
        <w:t>42</w:t>
      </w:r>
      <w:r w:rsidR="00EA28E4">
        <w:rPr>
          <w:noProof/>
        </w:rPr>
        <w:fldChar w:fldCharType="end"/>
      </w:r>
      <w:r>
        <w:t xml:space="preserve"> </w:t>
      </w:r>
      <w:r w:rsidR="000C27BF" w:rsidRPr="00CF34F9">
        <w:rPr>
          <w:rFonts w:cs="Calibri"/>
          <w:lang w:val="sq-AL"/>
        </w:rPr>
        <w:t>Shpenzimet e buxhetit vendor sipas burimit të financimit në vite</w:t>
      </w:r>
      <w:bookmarkEnd w:id="163"/>
    </w:p>
    <w:p w:rsidR="000C27BF" w:rsidRPr="00A059B8" w:rsidRDefault="000C27BF" w:rsidP="000C27BF">
      <w:pPr>
        <w:spacing w:before="0"/>
        <w:jc w:val="center"/>
        <w:rPr>
          <w:rFonts w:eastAsia="MS Mincho" w:cs="Calibri"/>
          <w:color w:val="FF0000"/>
          <w:lang w:val="sq-AL"/>
        </w:rPr>
      </w:pPr>
      <w:r w:rsidRPr="00A059B8">
        <w:rPr>
          <w:noProof/>
          <w:color w:val="FF0000"/>
        </w:rPr>
        <w:drawing>
          <wp:inline distT="0" distB="0" distL="0" distR="0" wp14:anchorId="7E7A192B" wp14:editId="2D247FDB">
            <wp:extent cx="6515100" cy="2385060"/>
            <wp:effectExtent l="0" t="0" r="0" b="15240"/>
            <wp:docPr id="650" name="Chart 65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6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C27BF" w:rsidRPr="001C10DC" w:rsidRDefault="000C27BF" w:rsidP="000C27BF">
      <w:pPr>
        <w:spacing w:before="0"/>
        <w:ind w:firstLine="720"/>
        <w:rPr>
          <w:rFonts w:eastAsia="SimSun" w:cs="Calibri"/>
          <w:i/>
          <w:sz w:val="18"/>
          <w:szCs w:val="18"/>
          <w:lang w:val="sq-AL"/>
        </w:rPr>
      </w:pPr>
      <w:r w:rsidRPr="001C10DC">
        <w:rPr>
          <w:rFonts w:eastAsia="SimSun" w:cs="Calibri"/>
          <w:i/>
          <w:sz w:val="18"/>
          <w:szCs w:val="18"/>
          <w:lang w:val="sq-AL"/>
        </w:rPr>
        <w:t>Burimi: Ministria e Financave dhe Ekonomisë (2022)</w:t>
      </w:r>
    </w:p>
    <w:p w:rsidR="000C27BF" w:rsidRDefault="000C27BF" w:rsidP="000C27BF">
      <w:pPr>
        <w:spacing w:before="0"/>
        <w:rPr>
          <w:rFonts w:eastAsia="SimSun" w:cs="Calibri"/>
          <w:lang w:val="sq-AL"/>
        </w:rPr>
      </w:pPr>
      <w:r w:rsidRPr="00AC7391">
        <w:rPr>
          <w:rFonts w:eastAsia="SimSun" w:cs="Calibri"/>
          <w:lang w:val="sq-AL"/>
        </w:rPr>
        <w:lastRenderedPageBreak/>
        <w:t>Gjatë vitit 2021, pushteti vendor ka një rritje rreth 2% në raport me një vit më parë të shpenzimeve faktike</w:t>
      </w:r>
      <w:r>
        <w:rPr>
          <w:rFonts w:eastAsia="SimSun" w:cs="Calibri"/>
          <w:lang w:val="sq-AL"/>
        </w:rPr>
        <w:t>:</w:t>
      </w:r>
      <w:r w:rsidRPr="00AC7391">
        <w:rPr>
          <w:rFonts w:eastAsia="SimSun" w:cs="Calibri"/>
          <w:lang w:val="sq-AL"/>
        </w:rPr>
        <w:t xml:space="preserve"> </w:t>
      </w:r>
    </w:p>
    <w:p w:rsidR="000C27BF" w:rsidRPr="00476D2E" w:rsidRDefault="000C27BF" w:rsidP="000C27BF">
      <w:pPr>
        <w:pStyle w:val="Caption"/>
        <w:keepNext/>
        <w:spacing w:after="0"/>
        <w:rPr>
          <w:rFonts w:cs="Calibri"/>
          <w:lang w:val="sq-AL"/>
        </w:rPr>
      </w:pPr>
      <w:bookmarkStart w:id="164" w:name="_Toc104984062"/>
      <w:r w:rsidRPr="00476D2E">
        <w:rPr>
          <w:rFonts w:cs="Calibri"/>
          <w:lang w:val="sq-AL"/>
        </w:rPr>
        <w:t xml:space="preserve">Grafiku </w:t>
      </w:r>
      <w:r w:rsidRPr="00476D2E">
        <w:rPr>
          <w:rFonts w:cs="Calibri"/>
          <w:lang w:val="sq-AL"/>
        </w:rPr>
        <w:fldChar w:fldCharType="begin"/>
      </w:r>
      <w:r w:rsidRPr="00476D2E">
        <w:rPr>
          <w:rFonts w:cs="Calibri"/>
          <w:lang w:val="sq-AL"/>
        </w:rPr>
        <w:instrText xml:space="preserve"> SEQ Grafiku \* ARABIC </w:instrText>
      </w:r>
      <w:r w:rsidRPr="00476D2E">
        <w:rPr>
          <w:rFonts w:cs="Calibri"/>
          <w:lang w:val="sq-AL"/>
        </w:rPr>
        <w:fldChar w:fldCharType="separate"/>
      </w:r>
      <w:r w:rsidR="001A1B6A">
        <w:rPr>
          <w:rFonts w:cs="Calibri"/>
          <w:noProof/>
          <w:lang w:val="sq-AL"/>
        </w:rPr>
        <w:t>43</w:t>
      </w:r>
      <w:r w:rsidRPr="00476D2E">
        <w:rPr>
          <w:rFonts w:cs="Calibri"/>
          <w:lang w:val="sq-AL"/>
        </w:rPr>
        <w:fldChar w:fldCharType="end"/>
      </w:r>
      <w:r w:rsidRPr="00476D2E">
        <w:rPr>
          <w:rFonts w:cs="Calibri"/>
          <w:lang w:val="sq-AL"/>
        </w:rPr>
        <w:t xml:space="preserve"> Shpenzimet e pushtetit vendor në rritje dhe ritmi i rritjes së tyre (në miliardë lekë)</w:t>
      </w:r>
      <w:bookmarkEnd w:id="164"/>
    </w:p>
    <w:p w:rsidR="000C27BF" w:rsidRPr="00476D2E" w:rsidRDefault="000C27BF" w:rsidP="000C27BF">
      <w:pPr>
        <w:spacing w:before="0"/>
        <w:jc w:val="center"/>
        <w:rPr>
          <w:rFonts w:eastAsia="SimSun" w:cs="Calibri"/>
          <w:lang w:val="sq-AL"/>
        </w:rPr>
      </w:pPr>
      <w:r w:rsidRPr="00AC7391">
        <w:rPr>
          <w:noProof/>
        </w:rPr>
        <w:drawing>
          <wp:inline distT="0" distB="0" distL="0" distR="0" wp14:anchorId="6C49CA59" wp14:editId="65E4B7B5">
            <wp:extent cx="5960853" cy="2095500"/>
            <wp:effectExtent l="0" t="0" r="1905" b="0"/>
            <wp:docPr id="65" name="Chart 6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C27BF" w:rsidRDefault="000C27BF" w:rsidP="000C27BF">
      <w:pPr>
        <w:spacing w:before="0"/>
        <w:ind w:firstLine="720"/>
        <w:rPr>
          <w:rFonts w:eastAsia="SimSun" w:cs="Calibri"/>
          <w:i/>
          <w:sz w:val="18"/>
          <w:szCs w:val="18"/>
          <w:lang w:val="sq-AL"/>
        </w:rPr>
      </w:pPr>
      <w:r>
        <w:rPr>
          <w:rFonts w:eastAsia="SimSun" w:cs="Calibri"/>
          <w:i/>
          <w:sz w:val="18"/>
          <w:szCs w:val="18"/>
          <w:lang w:val="sq-AL"/>
        </w:rPr>
        <w:t>Burimi: Ministria e Financave dhe Ekonomisë (2022)</w:t>
      </w:r>
      <w:r w:rsidRPr="00476D2E">
        <w:rPr>
          <w:rFonts w:eastAsia="SimSun" w:cs="Calibri"/>
          <w:i/>
          <w:sz w:val="18"/>
          <w:szCs w:val="18"/>
          <w:lang w:val="sq-AL"/>
        </w:rPr>
        <w:t xml:space="preserve"> </w:t>
      </w:r>
    </w:p>
    <w:p w:rsidR="000C27BF" w:rsidRPr="000C27BF" w:rsidRDefault="000C27BF" w:rsidP="000C27BF">
      <w:pPr>
        <w:spacing w:before="0"/>
        <w:ind w:firstLine="720"/>
        <w:rPr>
          <w:rFonts w:eastAsia="SimSun" w:cs="Calibri"/>
          <w:i/>
          <w:sz w:val="4"/>
          <w:szCs w:val="18"/>
          <w:lang w:val="sq-AL"/>
        </w:rPr>
      </w:pPr>
    </w:p>
    <w:p w:rsidR="000C27BF" w:rsidRPr="006C5937" w:rsidRDefault="000C27BF" w:rsidP="000C27BF">
      <w:pPr>
        <w:ind w:right="-43"/>
        <w:rPr>
          <w:rFonts w:eastAsia="MS Mincho" w:cs="Calibri"/>
          <w:lang w:val="sq-AL"/>
        </w:rPr>
      </w:pPr>
      <w:bookmarkStart w:id="165" w:name="_Toc515446557"/>
      <w:r w:rsidRPr="006C5937">
        <w:rPr>
          <w:rFonts w:eastAsia="MS Mincho" w:cs="Calibri"/>
          <w:lang w:val="sq-AL"/>
        </w:rPr>
        <w:t xml:space="preserve">Sipas natyrës ekonomike, peshën më të madhe të shpenzimeve vendore gjatë vitit 2021 e zënë shpenzimet për paga dhe sigurime (45.9% të totalit). Në raport me një vit më parë konstatohet që shpenzimet për investime kanë një rënie me rreth 1,630 milion lekë, ndërkohë që shpenzimet e personelit dhe ato operative kanë një rritje të lehtë përkatësisht me 1,728 milion lekë dhe 533 milion lekë krahasuar me shpenzimet e vitit 2020. Shpenzimet kapitale pësuan një ulje prej 13% përkundrejt vitit 2020, si pasojë e riorientimit të prioriteteve drejt menaxhimit të situatës së vështirë financiare të krijuar nga pandemia dhe tërmeti. </w:t>
      </w:r>
    </w:p>
    <w:p w:rsidR="000C27BF" w:rsidRDefault="000C27BF" w:rsidP="000C27BF">
      <w:pPr>
        <w:ind w:right="-43"/>
        <w:rPr>
          <w:rFonts w:eastAsia="SimSun" w:cs="Calibri"/>
          <w:lang w:val="sq-AL"/>
        </w:rPr>
      </w:pPr>
      <w:r w:rsidRPr="006C5937">
        <w:rPr>
          <w:rFonts w:eastAsia="MS Mincho" w:cs="Calibri"/>
          <w:lang w:val="sq-AL"/>
        </w:rPr>
        <w:t>Shpenzimet e pushtetit vendor në vite, sipas strukturës, nuk kanë pësuar ndryshime të mëdha, por vihet re një tendencë pozitive e qendrueshmërisë së shpenzimeve për investime dhe zgjerimi i shpenzimeve të mirëmbajtjes së aseteve që njësitë vendore zotërojnë, përmes përdorimit në formën e shpenzimeve operative. Sipas të dhënave në nivel llogarie ekonomike, struktura e shpenzimeve 2021 krahasuar me vitin 2020, rezulton si në grafikun mëposhtë</w:t>
      </w:r>
      <w:r>
        <w:rPr>
          <w:rFonts w:eastAsia="SimSun" w:cs="Calibri"/>
          <w:lang w:val="sq-AL"/>
        </w:rPr>
        <w:t>:</w:t>
      </w:r>
    </w:p>
    <w:p w:rsidR="000C27BF" w:rsidRPr="00476D2E" w:rsidRDefault="000C27BF" w:rsidP="000C27BF">
      <w:pPr>
        <w:keepNext/>
        <w:rPr>
          <w:rFonts w:eastAsia="MS Mincho" w:cs="Calibri"/>
          <w:iCs/>
          <w:color w:val="1F497D"/>
          <w:sz w:val="18"/>
          <w:szCs w:val="18"/>
          <w:lang w:val="sq-AL"/>
        </w:rPr>
      </w:pPr>
      <w:bookmarkStart w:id="166" w:name="_Toc104984063"/>
      <w:r w:rsidRPr="00476D2E">
        <w:rPr>
          <w:rFonts w:eastAsia="MS Mincho" w:cs="Calibri"/>
          <w:iCs/>
          <w:color w:val="1F497D"/>
          <w:sz w:val="18"/>
          <w:szCs w:val="18"/>
          <w:lang w:val="sq-AL"/>
        </w:rPr>
        <w:t xml:space="preserve">Grafiku </w:t>
      </w:r>
      <w:r w:rsidRPr="00476D2E">
        <w:rPr>
          <w:rFonts w:eastAsia="MS Mincho" w:cs="Calibri"/>
          <w:iCs/>
          <w:color w:val="1F497D"/>
          <w:sz w:val="18"/>
          <w:szCs w:val="18"/>
          <w:lang w:val="sq-AL"/>
        </w:rPr>
        <w:fldChar w:fldCharType="begin"/>
      </w:r>
      <w:r w:rsidRPr="00476D2E">
        <w:rPr>
          <w:rFonts w:eastAsia="MS Mincho" w:cs="Calibri"/>
          <w:iCs/>
          <w:color w:val="1F497D"/>
          <w:sz w:val="18"/>
          <w:szCs w:val="18"/>
          <w:lang w:val="sq-AL"/>
        </w:rPr>
        <w:instrText xml:space="preserve"> SEQ Grafiku \* ARABIC </w:instrText>
      </w:r>
      <w:r w:rsidRPr="00476D2E">
        <w:rPr>
          <w:rFonts w:eastAsia="MS Mincho" w:cs="Calibri"/>
          <w:iCs/>
          <w:color w:val="1F497D"/>
          <w:sz w:val="18"/>
          <w:szCs w:val="18"/>
          <w:lang w:val="sq-AL"/>
        </w:rPr>
        <w:fldChar w:fldCharType="separate"/>
      </w:r>
      <w:r w:rsidR="00FE66EC">
        <w:rPr>
          <w:rFonts w:eastAsia="MS Mincho" w:cs="Calibri"/>
          <w:iCs/>
          <w:noProof/>
          <w:color w:val="1F497D"/>
          <w:sz w:val="18"/>
          <w:szCs w:val="18"/>
          <w:lang w:val="sq-AL"/>
        </w:rPr>
        <w:t>44</w:t>
      </w:r>
      <w:r w:rsidRPr="00476D2E">
        <w:rPr>
          <w:rFonts w:eastAsia="MS Mincho" w:cs="Calibri"/>
          <w:iCs/>
          <w:color w:val="1F497D"/>
          <w:sz w:val="18"/>
          <w:szCs w:val="18"/>
          <w:lang w:val="sq-AL"/>
        </w:rPr>
        <w:fldChar w:fldCharType="end"/>
      </w:r>
      <w:r w:rsidRPr="00476D2E">
        <w:rPr>
          <w:rFonts w:eastAsia="MS Mincho" w:cs="Calibri"/>
          <w:iCs/>
          <w:color w:val="1F497D"/>
          <w:sz w:val="18"/>
          <w:szCs w:val="18"/>
          <w:lang w:val="sq-AL"/>
        </w:rPr>
        <w:t xml:space="preserve"> Shpenzimet e pushtetit vendor sipas klasifikimit ekonomik (në milionë lekë)</w:t>
      </w:r>
      <w:bookmarkEnd w:id="166"/>
    </w:p>
    <w:p w:rsidR="000C27BF" w:rsidRPr="00476D2E" w:rsidRDefault="000C27BF" w:rsidP="000C27BF">
      <w:pPr>
        <w:jc w:val="center"/>
        <w:rPr>
          <w:rFonts w:eastAsia="MS Mincho" w:cs="Calibri"/>
          <w:lang w:val="sq-AL"/>
        </w:rPr>
      </w:pPr>
      <w:r w:rsidRPr="00AC7391">
        <w:rPr>
          <w:noProof/>
          <w:sz w:val="20"/>
          <w:szCs w:val="20"/>
        </w:rPr>
        <w:drawing>
          <wp:inline distT="0" distB="0" distL="0" distR="0" wp14:anchorId="126892DE" wp14:editId="50D708A4">
            <wp:extent cx="6019800" cy="2148840"/>
            <wp:effectExtent l="0" t="0" r="0" b="3810"/>
            <wp:docPr id="66" name="Chart 6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C27BF" w:rsidRDefault="000C27BF" w:rsidP="000C27BF">
      <w:pPr>
        <w:spacing w:before="0"/>
        <w:ind w:firstLine="720"/>
        <w:rPr>
          <w:rFonts w:eastAsia="SimSun" w:cs="Calibri"/>
          <w:i/>
          <w:sz w:val="18"/>
          <w:szCs w:val="18"/>
          <w:lang w:val="sq-AL"/>
        </w:rPr>
      </w:pPr>
      <w:r>
        <w:rPr>
          <w:rFonts w:eastAsia="SimSun" w:cs="Calibri"/>
          <w:i/>
          <w:sz w:val="18"/>
          <w:szCs w:val="18"/>
          <w:lang w:val="sq-AL"/>
        </w:rPr>
        <w:t>Burimi: Ministria e Financave dhe Ekonomisë (2022)</w:t>
      </w:r>
    </w:p>
    <w:p w:rsidR="000C27BF" w:rsidRDefault="000C27BF" w:rsidP="000C27BF">
      <w:pPr>
        <w:rPr>
          <w:rFonts w:eastAsia="SimSun" w:cs="Calibri"/>
          <w:szCs w:val="18"/>
          <w:lang w:val="sq-AL"/>
        </w:rPr>
      </w:pPr>
      <w:r w:rsidRPr="006C5937">
        <w:rPr>
          <w:rFonts w:eastAsia="SimSun" w:cs="Calibri"/>
          <w:szCs w:val="18"/>
          <w:lang w:val="sq-AL"/>
        </w:rPr>
        <w:t>Pas miratimit të reformës në vitin 2015 janë bërë përpjekje për të analizuar vazhdimisht sjelljen e shpenzimeve vendore në raport me shpenzimet para reformës. Më poshtë janë paraqitur në mënyrë të përmbledhur tabela e ndryshimeve të të ardhurave dhe shpenzimeve në financat publike vendore gjatë vitit 2021 dhe vitit 2020</w:t>
      </w:r>
      <w:r>
        <w:rPr>
          <w:rFonts w:eastAsia="SimSun" w:cs="Calibri"/>
          <w:szCs w:val="18"/>
          <w:lang w:val="sq-AL"/>
        </w:rPr>
        <w:t>.</w:t>
      </w:r>
    </w:p>
    <w:p w:rsidR="000C27BF" w:rsidRPr="006C5937" w:rsidRDefault="000C27BF" w:rsidP="000C27BF">
      <w:pPr>
        <w:rPr>
          <w:rFonts w:eastAsia="SimSun" w:cs="Calibri"/>
          <w:szCs w:val="18"/>
          <w:lang w:val="sq-AL"/>
        </w:rPr>
      </w:pPr>
    </w:p>
    <w:p w:rsidR="000C27BF" w:rsidRPr="00276062" w:rsidRDefault="000C27BF" w:rsidP="00276062">
      <w:pPr>
        <w:pStyle w:val="Caption"/>
        <w:keepNext/>
        <w:spacing w:after="0"/>
        <w:jc w:val="left"/>
      </w:pPr>
      <w:bookmarkStart w:id="167" w:name="_Toc104984083"/>
      <w:r w:rsidRPr="00276062">
        <w:lastRenderedPageBreak/>
        <w:t xml:space="preserve">Tabela </w:t>
      </w:r>
      <w:r w:rsidR="00EA28E4">
        <w:fldChar w:fldCharType="begin"/>
      </w:r>
      <w:r w:rsidR="00EA28E4">
        <w:instrText xml:space="preserve"> SEQ Tabela \* ARABIC </w:instrText>
      </w:r>
      <w:r w:rsidR="00EA28E4">
        <w:fldChar w:fldCharType="separate"/>
      </w:r>
      <w:r w:rsidR="00276062">
        <w:rPr>
          <w:noProof/>
        </w:rPr>
        <w:t>11</w:t>
      </w:r>
      <w:r w:rsidR="00EA28E4">
        <w:rPr>
          <w:noProof/>
        </w:rPr>
        <w:fldChar w:fldCharType="end"/>
      </w:r>
      <w:r w:rsidRPr="00276062">
        <w:t xml:space="preserve">  Të ardhurat dhe shpenzimet e pushtetit vendor, sipas natyrës</w:t>
      </w:r>
      <w:bookmarkEnd w:id="165"/>
      <w:bookmarkEnd w:id="167"/>
      <w:r w:rsidRPr="00276062">
        <w:t xml:space="preserve"> </w:t>
      </w:r>
    </w:p>
    <w:tbl>
      <w:tblPr>
        <w:tblW w:w="10065" w:type="dxa"/>
        <w:jc w:val="center"/>
        <w:tblBorders>
          <w:top w:val="dotted" w:sz="4" w:space="0" w:color="0F6FC6" w:themeColor="accent1"/>
          <w:left w:val="dotted" w:sz="4" w:space="0" w:color="0F6FC6" w:themeColor="accent1"/>
          <w:bottom w:val="dotted" w:sz="4" w:space="0" w:color="0F6FC6" w:themeColor="accent1"/>
          <w:right w:val="dotted" w:sz="4" w:space="0" w:color="0F6FC6" w:themeColor="accent1"/>
          <w:insideH w:val="dotted" w:sz="4" w:space="0" w:color="0F6FC6" w:themeColor="accent1"/>
          <w:insideV w:val="dotted" w:sz="4" w:space="0" w:color="0F6FC6" w:themeColor="accent1"/>
        </w:tblBorders>
        <w:tblLook w:val="04A0" w:firstRow="1" w:lastRow="0" w:firstColumn="1" w:lastColumn="0" w:noHBand="0" w:noVBand="1"/>
      </w:tblPr>
      <w:tblGrid>
        <w:gridCol w:w="738"/>
        <w:gridCol w:w="4499"/>
        <w:gridCol w:w="1206"/>
        <w:gridCol w:w="1208"/>
        <w:gridCol w:w="1206"/>
        <w:gridCol w:w="1208"/>
      </w:tblGrid>
      <w:tr w:rsidR="000C27BF" w:rsidRPr="00AA0674" w:rsidTr="00276062">
        <w:trPr>
          <w:trHeight w:val="401"/>
          <w:jc w:val="center"/>
        </w:trPr>
        <w:tc>
          <w:tcPr>
            <w:tcW w:w="738" w:type="dxa"/>
            <w:vMerge w:val="restart"/>
            <w:shd w:val="clear" w:color="000000" w:fill="C5D9F1"/>
            <w:noWrap/>
            <w:vAlign w:val="center"/>
            <w:hideMark/>
          </w:tcPr>
          <w:p w:rsidR="000C27BF" w:rsidRPr="00AA0674" w:rsidRDefault="000C27BF" w:rsidP="00276062">
            <w:pPr>
              <w:spacing w:before="0" w:line="240" w:lineRule="auto"/>
              <w:jc w:val="center"/>
              <w:rPr>
                <w:rFonts w:asciiTheme="majorHAnsi" w:hAnsiTheme="majorHAnsi" w:cstheme="minorHAnsi"/>
                <w:b/>
                <w:bCs/>
                <w:sz w:val="18"/>
                <w:szCs w:val="20"/>
              </w:rPr>
            </w:pPr>
            <w:r w:rsidRPr="00AA0674">
              <w:rPr>
                <w:rFonts w:asciiTheme="majorHAnsi" w:hAnsiTheme="majorHAnsi" w:cstheme="minorHAnsi"/>
                <w:b/>
                <w:bCs/>
                <w:sz w:val="18"/>
                <w:szCs w:val="20"/>
              </w:rPr>
              <w:t>Nr</w:t>
            </w:r>
          </w:p>
        </w:tc>
        <w:tc>
          <w:tcPr>
            <w:tcW w:w="4499" w:type="dxa"/>
            <w:vMerge w:val="restart"/>
            <w:shd w:val="clear" w:color="000000" w:fill="C5D9F1"/>
            <w:noWrap/>
            <w:vAlign w:val="center"/>
            <w:hideMark/>
          </w:tcPr>
          <w:p w:rsidR="000C27BF" w:rsidRPr="00AA0674" w:rsidRDefault="000C27BF" w:rsidP="00276062">
            <w:pPr>
              <w:spacing w:before="0" w:line="240" w:lineRule="auto"/>
              <w:jc w:val="center"/>
              <w:rPr>
                <w:rFonts w:asciiTheme="majorHAnsi" w:hAnsiTheme="majorHAnsi" w:cstheme="minorHAnsi"/>
                <w:b/>
                <w:bCs/>
                <w:sz w:val="18"/>
                <w:szCs w:val="20"/>
              </w:rPr>
            </w:pPr>
            <w:r w:rsidRPr="00AA0674">
              <w:rPr>
                <w:rFonts w:asciiTheme="majorHAnsi" w:hAnsiTheme="majorHAnsi" w:cstheme="minorHAnsi"/>
                <w:b/>
                <w:bCs/>
                <w:sz w:val="18"/>
                <w:szCs w:val="20"/>
              </w:rPr>
              <w:t>E  M  Ë  R  T  I  M  I</w:t>
            </w:r>
          </w:p>
        </w:tc>
        <w:tc>
          <w:tcPr>
            <w:tcW w:w="2414" w:type="dxa"/>
            <w:gridSpan w:val="2"/>
            <w:shd w:val="clear" w:color="000000" w:fill="C5D9F1"/>
            <w:vAlign w:val="center"/>
            <w:hideMark/>
          </w:tcPr>
          <w:p w:rsidR="000C27BF" w:rsidRPr="00AA0674" w:rsidRDefault="000C27BF" w:rsidP="00276062">
            <w:pPr>
              <w:spacing w:before="0" w:line="240" w:lineRule="auto"/>
              <w:jc w:val="center"/>
              <w:rPr>
                <w:rFonts w:asciiTheme="majorHAnsi" w:hAnsiTheme="majorHAnsi" w:cstheme="minorHAnsi"/>
                <w:b/>
                <w:bCs/>
                <w:sz w:val="18"/>
                <w:szCs w:val="20"/>
              </w:rPr>
            </w:pPr>
            <w:r w:rsidRPr="00AA0674">
              <w:rPr>
                <w:rFonts w:asciiTheme="majorHAnsi" w:hAnsiTheme="majorHAnsi" w:cstheme="minorHAnsi"/>
                <w:b/>
                <w:bCs/>
                <w:sz w:val="18"/>
                <w:szCs w:val="20"/>
              </w:rPr>
              <w:t>Fakt 12 mujori</w:t>
            </w:r>
          </w:p>
        </w:tc>
        <w:tc>
          <w:tcPr>
            <w:tcW w:w="2414" w:type="dxa"/>
            <w:gridSpan w:val="2"/>
            <w:shd w:val="clear" w:color="000000" w:fill="C5D9F1"/>
            <w:vAlign w:val="center"/>
            <w:hideMark/>
          </w:tcPr>
          <w:p w:rsidR="000C27BF" w:rsidRPr="00AA0674" w:rsidRDefault="000C27BF" w:rsidP="00276062">
            <w:pPr>
              <w:spacing w:before="0" w:line="240" w:lineRule="auto"/>
              <w:jc w:val="center"/>
              <w:rPr>
                <w:rFonts w:asciiTheme="majorHAnsi" w:hAnsiTheme="majorHAnsi" w:cstheme="minorHAnsi"/>
                <w:b/>
                <w:bCs/>
                <w:sz w:val="18"/>
                <w:szCs w:val="20"/>
              </w:rPr>
            </w:pPr>
            <w:r w:rsidRPr="00AA0674">
              <w:rPr>
                <w:rFonts w:asciiTheme="majorHAnsi" w:hAnsiTheme="majorHAnsi" w:cstheme="minorHAnsi"/>
                <w:b/>
                <w:bCs/>
                <w:sz w:val="18"/>
                <w:szCs w:val="20"/>
              </w:rPr>
              <w:t>Diferenca 2021/2020</w:t>
            </w:r>
          </w:p>
        </w:tc>
      </w:tr>
      <w:tr w:rsidR="000C27BF" w:rsidRPr="00AA0674" w:rsidTr="00276062">
        <w:trPr>
          <w:trHeight w:val="385"/>
          <w:jc w:val="center"/>
        </w:trPr>
        <w:tc>
          <w:tcPr>
            <w:tcW w:w="738" w:type="dxa"/>
            <w:vMerge/>
            <w:vAlign w:val="center"/>
            <w:hideMark/>
          </w:tcPr>
          <w:p w:rsidR="000C27BF" w:rsidRPr="00AA0674" w:rsidRDefault="000C27BF" w:rsidP="00276062">
            <w:pPr>
              <w:spacing w:before="0" w:line="240" w:lineRule="auto"/>
              <w:jc w:val="left"/>
              <w:rPr>
                <w:rFonts w:asciiTheme="majorHAnsi" w:hAnsiTheme="majorHAnsi" w:cstheme="minorHAnsi"/>
                <w:b/>
                <w:bCs/>
                <w:sz w:val="18"/>
                <w:szCs w:val="20"/>
              </w:rPr>
            </w:pPr>
          </w:p>
        </w:tc>
        <w:tc>
          <w:tcPr>
            <w:tcW w:w="4499" w:type="dxa"/>
            <w:vMerge/>
            <w:vAlign w:val="center"/>
            <w:hideMark/>
          </w:tcPr>
          <w:p w:rsidR="000C27BF" w:rsidRPr="00AA0674" w:rsidRDefault="000C27BF" w:rsidP="00276062">
            <w:pPr>
              <w:spacing w:before="0" w:line="240" w:lineRule="auto"/>
              <w:jc w:val="left"/>
              <w:rPr>
                <w:rFonts w:asciiTheme="majorHAnsi" w:hAnsiTheme="majorHAnsi" w:cstheme="minorHAnsi"/>
                <w:b/>
                <w:bCs/>
                <w:sz w:val="18"/>
                <w:szCs w:val="20"/>
              </w:rPr>
            </w:pPr>
          </w:p>
        </w:tc>
        <w:tc>
          <w:tcPr>
            <w:tcW w:w="1206" w:type="dxa"/>
            <w:shd w:val="clear" w:color="000000" w:fill="C5D9F1"/>
            <w:vAlign w:val="center"/>
            <w:hideMark/>
          </w:tcPr>
          <w:p w:rsidR="000C27BF" w:rsidRPr="00AA0674" w:rsidRDefault="000C27BF" w:rsidP="00276062">
            <w:pPr>
              <w:spacing w:before="0" w:line="240" w:lineRule="auto"/>
              <w:jc w:val="center"/>
              <w:rPr>
                <w:rFonts w:asciiTheme="majorHAnsi" w:hAnsiTheme="majorHAnsi" w:cstheme="minorHAnsi"/>
                <w:b/>
                <w:bCs/>
                <w:sz w:val="18"/>
                <w:szCs w:val="20"/>
              </w:rPr>
            </w:pPr>
            <w:r w:rsidRPr="00AA0674">
              <w:rPr>
                <w:rFonts w:asciiTheme="majorHAnsi" w:hAnsiTheme="majorHAnsi" w:cstheme="minorHAnsi"/>
                <w:b/>
                <w:bCs/>
                <w:sz w:val="18"/>
                <w:szCs w:val="20"/>
              </w:rPr>
              <w:t>2021</w:t>
            </w:r>
          </w:p>
        </w:tc>
        <w:tc>
          <w:tcPr>
            <w:tcW w:w="1207" w:type="dxa"/>
            <w:shd w:val="clear" w:color="000000" w:fill="C5D9F1"/>
            <w:vAlign w:val="center"/>
            <w:hideMark/>
          </w:tcPr>
          <w:p w:rsidR="000C27BF" w:rsidRPr="00AA0674" w:rsidRDefault="000C27BF" w:rsidP="00276062">
            <w:pPr>
              <w:spacing w:before="0" w:line="240" w:lineRule="auto"/>
              <w:jc w:val="center"/>
              <w:rPr>
                <w:rFonts w:asciiTheme="majorHAnsi" w:hAnsiTheme="majorHAnsi" w:cstheme="minorHAnsi"/>
                <w:b/>
                <w:bCs/>
                <w:sz w:val="18"/>
                <w:szCs w:val="20"/>
              </w:rPr>
            </w:pPr>
            <w:r w:rsidRPr="00AA0674">
              <w:rPr>
                <w:rFonts w:asciiTheme="majorHAnsi" w:hAnsiTheme="majorHAnsi" w:cstheme="minorHAnsi"/>
                <w:b/>
                <w:bCs/>
                <w:sz w:val="18"/>
                <w:szCs w:val="20"/>
              </w:rPr>
              <w:t>2020</w:t>
            </w:r>
          </w:p>
        </w:tc>
        <w:tc>
          <w:tcPr>
            <w:tcW w:w="1206" w:type="dxa"/>
            <w:shd w:val="clear" w:color="000000" w:fill="C5D9F1"/>
            <w:vAlign w:val="center"/>
            <w:hideMark/>
          </w:tcPr>
          <w:p w:rsidR="000C27BF" w:rsidRPr="00AA0674" w:rsidRDefault="000C27BF" w:rsidP="00276062">
            <w:pPr>
              <w:spacing w:before="0" w:line="240" w:lineRule="auto"/>
              <w:jc w:val="center"/>
              <w:rPr>
                <w:rFonts w:asciiTheme="majorHAnsi" w:hAnsiTheme="majorHAnsi" w:cstheme="minorHAnsi"/>
                <w:b/>
                <w:bCs/>
                <w:sz w:val="18"/>
                <w:szCs w:val="20"/>
              </w:rPr>
            </w:pPr>
            <w:r w:rsidRPr="00AA0674">
              <w:rPr>
                <w:rFonts w:asciiTheme="majorHAnsi" w:hAnsiTheme="majorHAnsi" w:cstheme="minorHAnsi"/>
                <w:b/>
                <w:bCs/>
                <w:sz w:val="18"/>
                <w:szCs w:val="20"/>
              </w:rPr>
              <w:t>në vlerë</w:t>
            </w:r>
          </w:p>
        </w:tc>
        <w:tc>
          <w:tcPr>
            <w:tcW w:w="1207" w:type="dxa"/>
            <w:shd w:val="clear" w:color="000000" w:fill="C5D9F1"/>
            <w:vAlign w:val="center"/>
            <w:hideMark/>
          </w:tcPr>
          <w:p w:rsidR="000C27BF" w:rsidRPr="00AA0674" w:rsidRDefault="000C27BF" w:rsidP="00276062">
            <w:pPr>
              <w:spacing w:before="0" w:line="240" w:lineRule="auto"/>
              <w:jc w:val="center"/>
              <w:rPr>
                <w:rFonts w:asciiTheme="majorHAnsi" w:hAnsiTheme="majorHAnsi" w:cstheme="minorHAnsi"/>
                <w:b/>
                <w:bCs/>
                <w:sz w:val="18"/>
                <w:szCs w:val="20"/>
              </w:rPr>
            </w:pPr>
            <w:r w:rsidRPr="00AA0674">
              <w:rPr>
                <w:rFonts w:asciiTheme="majorHAnsi" w:hAnsiTheme="majorHAnsi" w:cstheme="minorHAnsi"/>
                <w:b/>
                <w:bCs/>
                <w:sz w:val="18"/>
                <w:szCs w:val="20"/>
              </w:rPr>
              <w:t>në %</w:t>
            </w:r>
          </w:p>
        </w:tc>
      </w:tr>
      <w:tr w:rsidR="000C27BF" w:rsidRPr="00AA0674" w:rsidTr="00276062">
        <w:trPr>
          <w:trHeight w:val="250"/>
          <w:jc w:val="center"/>
        </w:trPr>
        <w:tc>
          <w:tcPr>
            <w:tcW w:w="738" w:type="dxa"/>
            <w:shd w:val="clear" w:color="auto" w:fill="auto"/>
            <w:noWrap/>
            <w:vAlign w:val="center"/>
            <w:hideMark/>
          </w:tcPr>
          <w:p w:rsidR="000C27BF" w:rsidRPr="00AA0674" w:rsidRDefault="000C27BF" w:rsidP="00276062">
            <w:pPr>
              <w:spacing w:before="0" w:line="240" w:lineRule="auto"/>
              <w:jc w:val="center"/>
              <w:rPr>
                <w:rFonts w:asciiTheme="majorHAnsi" w:hAnsiTheme="majorHAnsi" w:cstheme="minorHAnsi"/>
                <w:b/>
                <w:bCs/>
                <w:sz w:val="18"/>
                <w:szCs w:val="20"/>
              </w:rPr>
            </w:pPr>
            <w:r w:rsidRPr="00AA0674">
              <w:rPr>
                <w:rFonts w:asciiTheme="majorHAnsi" w:hAnsiTheme="majorHAnsi" w:cstheme="minorHAnsi"/>
                <w:b/>
                <w:bCs/>
                <w:sz w:val="18"/>
                <w:szCs w:val="20"/>
              </w:rPr>
              <w:t>I.</w:t>
            </w:r>
          </w:p>
        </w:tc>
        <w:tc>
          <w:tcPr>
            <w:tcW w:w="4499" w:type="dxa"/>
            <w:shd w:val="clear" w:color="auto" w:fill="auto"/>
            <w:noWrap/>
            <w:vAlign w:val="center"/>
            <w:hideMark/>
          </w:tcPr>
          <w:p w:rsidR="000C27BF" w:rsidRPr="00AA0674" w:rsidRDefault="000C27BF" w:rsidP="00276062">
            <w:pPr>
              <w:spacing w:before="0" w:line="240" w:lineRule="auto"/>
              <w:jc w:val="left"/>
              <w:rPr>
                <w:rFonts w:asciiTheme="majorHAnsi" w:hAnsiTheme="majorHAnsi" w:cstheme="minorHAnsi"/>
                <w:b/>
                <w:bCs/>
                <w:sz w:val="18"/>
                <w:szCs w:val="20"/>
              </w:rPr>
            </w:pPr>
            <w:r w:rsidRPr="00AA0674">
              <w:rPr>
                <w:rFonts w:asciiTheme="majorHAnsi" w:hAnsiTheme="majorHAnsi" w:cstheme="minorHAnsi"/>
                <w:b/>
                <w:bCs/>
                <w:sz w:val="18"/>
                <w:szCs w:val="20"/>
              </w:rPr>
              <w:t>Të ardhura nga Pushteti vendor</w:t>
            </w:r>
          </w:p>
        </w:tc>
        <w:tc>
          <w:tcPr>
            <w:tcW w:w="1206" w:type="dxa"/>
            <w:shd w:val="clear" w:color="auto" w:fill="auto"/>
            <w:noWrap/>
            <w:vAlign w:val="center"/>
            <w:hideMark/>
          </w:tcPr>
          <w:p w:rsidR="000C27BF" w:rsidRPr="00AA0674" w:rsidRDefault="000C27BF" w:rsidP="00276062">
            <w:pPr>
              <w:spacing w:before="0" w:line="240" w:lineRule="auto"/>
              <w:jc w:val="right"/>
              <w:rPr>
                <w:rFonts w:asciiTheme="majorHAnsi" w:hAnsiTheme="majorHAnsi" w:cstheme="minorHAnsi"/>
                <w:b/>
                <w:bCs/>
                <w:sz w:val="18"/>
                <w:szCs w:val="20"/>
              </w:rPr>
            </w:pPr>
            <w:r w:rsidRPr="00AA0674">
              <w:rPr>
                <w:rFonts w:asciiTheme="majorHAnsi" w:hAnsiTheme="majorHAnsi" w:cstheme="minorHAnsi"/>
                <w:b/>
                <w:bCs/>
                <w:sz w:val="18"/>
                <w:szCs w:val="20"/>
              </w:rPr>
              <w:t>26,666</w:t>
            </w:r>
          </w:p>
        </w:tc>
        <w:tc>
          <w:tcPr>
            <w:tcW w:w="1207" w:type="dxa"/>
            <w:shd w:val="clear" w:color="auto" w:fill="auto"/>
            <w:noWrap/>
            <w:vAlign w:val="center"/>
            <w:hideMark/>
          </w:tcPr>
          <w:p w:rsidR="000C27BF" w:rsidRPr="00AA0674" w:rsidRDefault="000C27BF" w:rsidP="00276062">
            <w:pPr>
              <w:spacing w:before="0" w:line="240" w:lineRule="auto"/>
              <w:jc w:val="right"/>
              <w:rPr>
                <w:rFonts w:asciiTheme="majorHAnsi" w:hAnsiTheme="majorHAnsi" w:cstheme="minorHAnsi"/>
                <w:b/>
                <w:bCs/>
                <w:sz w:val="18"/>
                <w:szCs w:val="20"/>
              </w:rPr>
            </w:pPr>
            <w:r w:rsidRPr="00AA0674">
              <w:rPr>
                <w:rFonts w:asciiTheme="majorHAnsi" w:hAnsiTheme="majorHAnsi" w:cstheme="minorHAnsi"/>
                <w:b/>
                <w:bCs/>
                <w:sz w:val="18"/>
                <w:szCs w:val="20"/>
              </w:rPr>
              <w:t>21,976</w:t>
            </w:r>
          </w:p>
        </w:tc>
        <w:tc>
          <w:tcPr>
            <w:tcW w:w="1206" w:type="dxa"/>
            <w:shd w:val="clear" w:color="auto" w:fill="auto"/>
            <w:noWrap/>
            <w:vAlign w:val="center"/>
            <w:hideMark/>
          </w:tcPr>
          <w:p w:rsidR="000C27BF" w:rsidRPr="00AA0674" w:rsidRDefault="000C27BF" w:rsidP="00276062">
            <w:pPr>
              <w:spacing w:before="0" w:line="240" w:lineRule="auto"/>
              <w:jc w:val="center"/>
              <w:rPr>
                <w:rFonts w:asciiTheme="majorHAnsi" w:hAnsiTheme="majorHAnsi" w:cstheme="minorHAnsi"/>
                <w:b/>
                <w:bCs/>
                <w:sz w:val="18"/>
                <w:szCs w:val="20"/>
              </w:rPr>
            </w:pPr>
            <w:r w:rsidRPr="00AA0674">
              <w:rPr>
                <w:rFonts w:asciiTheme="majorHAnsi" w:hAnsiTheme="majorHAnsi" w:cstheme="minorHAnsi"/>
                <w:b/>
                <w:bCs/>
                <w:sz w:val="18"/>
                <w:szCs w:val="20"/>
              </w:rPr>
              <w:t>4,690</w:t>
            </w:r>
          </w:p>
        </w:tc>
        <w:tc>
          <w:tcPr>
            <w:tcW w:w="1207" w:type="dxa"/>
            <w:shd w:val="clear" w:color="auto" w:fill="auto"/>
            <w:noWrap/>
            <w:vAlign w:val="center"/>
            <w:hideMark/>
          </w:tcPr>
          <w:p w:rsidR="000C27BF" w:rsidRPr="00AA0674" w:rsidRDefault="000C27BF" w:rsidP="00276062">
            <w:pPr>
              <w:spacing w:before="0" w:line="240" w:lineRule="auto"/>
              <w:jc w:val="center"/>
              <w:rPr>
                <w:rFonts w:asciiTheme="majorHAnsi" w:hAnsiTheme="majorHAnsi" w:cstheme="minorHAnsi"/>
                <w:b/>
                <w:bCs/>
                <w:sz w:val="18"/>
                <w:szCs w:val="20"/>
              </w:rPr>
            </w:pPr>
            <w:r w:rsidRPr="00AA0674">
              <w:rPr>
                <w:rFonts w:asciiTheme="majorHAnsi" w:hAnsiTheme="majorHAnsi" w:cstheme="minorHAnsi"/>
                <w:b/>
                <w:bCs/>
                <w:sz w:val="18"/>
                <w:szCs w:val="20"/>
              </w:rPr>
              <w:t>121%</w:t>
            </w:r>
          </w:p>
        </w:tc>
      </w:tr>
      <w:tr w:rsidR="000C27BF" w:rsidRPr="00AA0674" w:rsidTr="00276062">
        <w:trPr>
          <w:trHeight w:val="196"/>
          <w:jc w:val="center"/>
        </w:trPr>
        <w:tc>
          <w:tcPr>
            <w:tcW w:w="738" w:type="dxa"/>
            <w:shd w:val="clear" w:color="auto" w:fill="auto"/>
            <w:noWrap/>
            <w:vAlign w:val="center"/>
            <w:hideMark/>
          </w:tcPr>
          <w:p w:rsidR="000C27BF" w:rsidRPr="00AA0674" w:rsidRDefault="000C27BF" w:rsidP="00276062">
            <w:pPr>
              <w:spacing w:before="0" w:line="240" w:lineRule="auto"/>
              <w:jc w:val="right"/>
              <w:rPr>
                <w:rFonts w:asciiTheme="majorHAnsi" w:hAnsiTheme="majorHAnsi" w:cstheme="minorHAnsi"/>
                <w:sz w:val="18"/>
                <w:szCs w:val="20"/>
              </w:rPr>
            </w:pPr>
            <w:r w:rsidRPr="00AA0674">
              <w:rPr>
                <w:rFonts w:asciiTheme="majorHAnsi" w:hAnsiTheme="majorHAnsi" w:cstheme="minorHAnsi"/>
                <w:sz w:val="18"/>
                <w:szCs w:val="20"/>
              </w:rPr>
              <w:t>I.1</w:t>
            </w:r>
          </w:p>
        </w:tc>
        <w:tc>
          <w:tcPr>
            <w:tcW w:w="4499" w:type="dxa"/>
            <w:shd w:val="clear" w:color="auto" w:fill="auto"/>
            <w:noWrap/>
            <w:vAlign w:val="center"/>
            <w:hideMark/>
          </w:tcPr>
          <w:p w:rsidR="000C27BF" w:rsidRPr="00AA0674" w:rsidRDefault="000C27BF" w:rsidP="00276062">
            <w:pPr>
              <w:spacing w:before="0" w:line="240" w:lineRule="auto"/>
              <w:rPr>
                <w:rFonts w:asciiTheme="majorHAnsi" w:hAnsiTheme="majorHAnsi" w:cstheme="minorHAnsi"/>
                <w:i/>
                <w:iCs/>
                <w:sz w:val="18"/>
                <w:szCs w:val="20"/>
              </w:rPr>
            </w:pPr>
            <w:r w:rsidRPr="00AA0674">
              <w:rPr>
                <w:rFonts w:asciiTheme="majorHAnsi" w:hAnsiTheme="majorHAnsi" w:cstheme="minorHAnsi"/>
                <w:i/>
                <w:iCs/>
                <w:sz w:val="18"/>
                <w:szCs w:val="20"/>
              </w:rPr>
              <w:t>Taksa mbi pasurinë</w:t>
            </w:r>
          </w:p>
        </w:tc>
        <w:tc>
          <w:tcPr>
            <w:tcW w:w="1206" w:type="dxa"/>
            <w:shd w:val="clear" w:color="auto" w:fill="auto"/>
            <w:noWrap/>
            <w:vAlign w:val="center"/>
            <w:hideMark/>
          </w:tcPr>
          <w:p w:rsidR="000C27BF" w:rsidRPr="00AA0674" w:rsidRDefault="000C27BF" w:rsidP="00276062">
            <w:pPr>
              <w:spacing w:before="0" w:line="240" w:lineRule="auto"/>
              <w:jc w:val="right"/>
              <w:rPr>
                <w:rFonts w:asciiTheme="majorHAnsi" w:hAnsiTheme="majorHAnsi" w:cstheme="minorHAnsi"/>
                <w:sz w:val="18"/>
                <w:szCs w:val="20"/>
              </w:rPr>
            </w:pPr>
            <w:r w:rsidRPr="00AA0674">
              <w:rPr>
                <w:rFonts w:asciiTheme="majorHAnsi" w:hAnsiTheme="majorHAnsi" w:cstheme="minorHAnsi"/>
                <w:sz w:val="18"/>
                <w:szCs w:val="20"/>
              </w:rPr>
              <w:t>6,116</w:t>
            </w:r>
          </w:p>
        </w:tc>
        <w:tc>
          <w:tcPr>
            <w:tcW w:w="1207" w:type="dxa"/>
            <w:shd w:val="clear" w:color="auto" w:fill="auto"/>
            <w:noWrap/>
            <w:vAlign w:val="center"/>
            <w:hideMark/>
          </w:tcPr>
          <w:p w:rsidR="000C27BF" w:rsidRPr="00AA0674" w:rsidRDefault="000C27BF" w:rsidP="00276062">
            <w:pPr>
              <w:spacing w:before="0" w:line="240" w:lineRule="auto"/>
              <w:jc w:val="right"/>
              <w:rPr>
                <w:rFonts w:asciiTheme="majorHAnsi" w:hAnsiTheme="majorHAnsi" w:cstheme="minorHAnsi"/>
                <w:sz w:val="18"/>
                <w:szCs w:val="20"/>
              </w:rPr>
            </w:pPr>
            <w:r w:rsidRPr="00AA0674">
              <w:rPr>
                <w:rFonts w:asciiTheme="majorHAnsi" w:hAnsiTheme="majorHAnsi" w:cstheme="minorHAnsi"/>
                <w:sz w:val="18"/>
                <w:szCs w:val="20"/>
              </w:rPr>
              <w:t>5,124</w:t>
            </w:r>
          </w:p>
        </w:tc>
        <w:tc>
          <w:tcPr>
            <w:tcW w:w="1206" w:type="dxa"/>
            <w:shd w:val="clear" w:color="auto" w:fill="auto"/>
            <w:noWrap/>
            <w:vAlign w:val="center"/>
            <w:hideMark/>
          </w:tcPr>
          <w:p w:rsidR="000C27BF" w:rsidRPr="00AA0674" w:rsidRDefault="000C27BF" w:rsidP="00276062">
            <w:pPr>
              <w:spacing w:before="0" w:line="240" w:lineRule="auto"/>
              <w:jc w:val="center"/>
              <w:rPr>
                <w:rFonts w:asciiTheme="majorHAnsi" w:hAnsiTheme="majorHAnsi" w:cstheme="minorHAnsi"/>
                <w:sz w:val="18"/>
                <w:szCs w:val="20"/>
              </w:rPr>
            </w:pPr>
            <w:r w:rsidRPr="00AA0674">
              <w:rPr>
                <w:rFonts w:asciiTheme="majorHAnsi" w:hAnsiTheme="majorHAnsi" w:cstheme="minorHAnsi"/>
                <w:sz w:val="18"/>
                <w:szCs w:val="20"/>
              </w:rPr>
              <w:t>992</w:t>
            </w:r>
          </w:p>
        </w:tc>
        <w:tc>
          <w:tcPr>
            <w:tcW w:w="1207" w:type="dxa"/>
            <w:shd w:val="clear" w:color="auto" w:fill="auto"/>
            <w:noWrap/>
            <w:vAlign w:val="center"/>
            <w:hideMark/>
          </w:tcPr>
          <w:p w:rsidR="000C27BF" w:rsidRPr="00AA0674" w:rsidRDefault="000C27BF" w:rsidP="00276062">
            <w:pPr>
              <w:spacing w:before="0" w:line="240" w:lineRule="auto"/>
              <w:jc w:val="center"/>
              <w:rPr>
                <w:rFonts w:asciiTheme="majorHAnsi" w:hAnsiTheme="majorHAnsi" w:cstheme="minorHAnsi"/>
                <w:sz w:val="18"/>
                <w:szCs w:val="20"/>
              </w:rPr>
            </w:pPr>
            <w:r w:rsidRPr="00AA0674">
              <w:rPr>
                <w:rFonts w:asciiTheme="majorHAnsi" w:hAnsiTheme="majorHAnsi" w:cstheme="minorHAnsi"/>
                <w:sz w:val="18"/>
                <w:szCs w:val="20"/>
              </w:rPr>
              <w:t>119%</w:t>
            </w:r>
          </w:p>
        </w:tc>
      </w:tr>
      <w:tr w:rsidR="000C27BF" w:rsidRPr="00AA0674" w:rsidTr="00276062">
        <w:trPr>
          <w:trHeight w:val="228"/>
          <w:jc w:val="center"/>
        </w:trPr>
        <w:tc>
          <w:tcPr>
            <w:tcW w:w="738" w:type="dxa"/>
            <w:shd w:val="clear" w:color="auto" w:fill="auto"/>
            <w:noWrap/>
            <w:vAlign w:val="center"/>
            <w:hideMark/>
          </w:tcPr>
          <w:p w:rsidR="000C27BF" w:rsidRPr="00AA0674" w:rsidRDefault="000C27BF" w:rsidP="00276062">
            <w:pPr>
              <w:spacing w:before="0" w:line="240" w:lineRule="auto"/>
              <w:jc w:val="right"/>
              <w:rPr>
                <w:rFonts w:asciiTheme="majorHAnsi" w:hAnsiTheme="majorHAnsi" w:cstheme="minorHAnsi"/>
                <w:sz w:val="18"/>
                <w:szCs w:val="20"/>
              </w:rPr>
            </w:pPr>
            <w:r w:rsidRPr="00AA0674">
              <w:rPr>
                <w:rFonts w:asciiTheme="majorHAnsi" w:hAnsiTheme="majorHAnsi" w:cstheme="minorHAnsi"/>
                <w:sz w:val="18"/>
                <w:szCs w:val="20"/>
              </w:rPr>
              <w:t>I.2</w:t>
            </w:r>
          </w:p>
        </w:tc>
        <w:tc>
          <w:tcPr>
            <w:tcW w:w="4499" w:type="dxa"/>
            <w:shd w:val="clear" w:color="auto" w:fill="auto"/>
            <w:noWrap/>
            <w:vAlign w:val="center"/>
            <w:hideMark/>
          </w:tcPr>
          <w:p w:rsidR="000C27BF" w:rsidRPr="00AA0674" w:rsidRDefault="000C27BF" w:rsidP="00276062">
            <w:pPr>
              <w:spacing w:before="0" w:line="240" w:lineRule="auto"/>
              <w:rPr>
                <w:rFonts w:asciiTheme="majorHAnsi" w:hAnsiTheme="majorHAnsi" w:cstheme="minorHAnsi"/>
                <w:i/>
                <w:iCs/>
                <w:sz w:val="18"/>
                <w:szCs w:val="20"/>
              </w:rPr>
            </w:pPr>
            <w:r w:rsidRPr="00AA0674">
              <w:rPr>
                <w:rFonts w:asciiTheme="majorHAnsi" w:hAnsiTheme="majorHAnsi" w:cstheme="minorHAnsi"/>
                <w:i/>
                <w:iCs/>
                <w:sz w:val="18"/>
                <w:szCs w:val="20"/>
              </w:rPr>
              <w:t>Taksa e biznesit të vogël</w:t>
            </w:r>
          </w:p>
        </w:tc>
        <w:tc>
          <w:tcPr>
            <w:tcW w:w="1206" w:type="dxa"/>
            <w:shd w:val="clear" w:color="auto" w:fill="auto"/>
            <w:noWrap/>
            <w:vAlign w:val="center"/>
            <w:hideMark/>
          </w:tcPr>
          <w:p w:rsidR="000C27BF" w:rsidRPr="00AA0674" w:rsidRDefault="000C27BF" w:rsidP="00276062">
            <w:pPr>
              <w:spacing w:before="0" w:line="240" w:lineRule="auto"/>
              <w:jc w:val="right"/>
              <w:rPr>
                <w:rFonts w:asciiTheme="majorHAnsi" w:hAnsiTheme="majorHAnsi" w:cstheme="minorHAnsi"/>
                <w:i/>
                <w:iCs/>
                <w:sz w:val="18"/>
                <w:szCs w:val="20"/>
              </w:rPr>
            </w:pPr>
            <w:r w:rsidRPr="00AA0674">
              <w:rPr>
                <w:rFonts w:asciiTheme="majorHAnsi" w:hAnsiTheme="majorHAnsi" w:cstheme="minorHAnsi"/>
                <w:i/>
                <w:iCs/>
                <w:sz w:val="18"/>
                <w:szCs w:val="20"/>
              </w:rPr>
              <w:t>385</w:t>
            </w:r>
          </w:p>
        </w:tc>
        <w:tc>
          <w:tcPr>
            <w:tcW w:w="1207" w:type="dxa"/>
            <w:shd w:val="clear" w:color="auto" w:fill="auto"/>
            <w:noWrap/>
            <w:vAlign w:val="center"/>
            <w:hideMark/>
          </w:tcPr>
          <w:p w:rsidR="000C27BF" w:rsidRPr="00AA0674" w:rsidRDefault="000C27BF" w:rsidP="00276062">
            <w:pPr>
              <w:spacing w:before="0" w:line="240" w:lineRule="auto"/>
              <w:jc w:val="right"/>
              <w:rPr>
                <w:rFonts w:asciiTheme="majorHAnsi" w:hAnsiTheme="majorHAnsi" w:cstheme="minorHAnsi"/>
                <w:i/>
                <w:iCs/>
                <w:sz w:val="18"/>
                <w:szCs w:val="20"/>
              </w:rPr>
            </w:pPr>
            <w:r w:rsidRPr="00AA0674">
              <w:rPr>
                <w:rFonts w:asciiTheme="majorHAnsi" w:hAnsiTheme="majorHAnsi" w:cstheme="minorHAnsi"/>
                <w:i/>
                <w:iCs/>
                <w:sz w:val="18"/>
                <w:szCs w:val="20"/>
              </w:rPr>
              <w:t>384</w:t>
            </w:r>
          </w:p>
        </w:tc>
        <w:tc>
          <w:tcPr>
            <w:tcW w:w="1206" w:type="dxa"/>
            <w:shd w:val="clear" w:color="auto" w:fill="auto"/>
            <w:noWrap/>
            <w:vAlign w:val="center"/>
            <w:hideMark/>
          </w:tcPr>
          <w:p w:rsidR="000C27BF" w:rsidRPr="00AA0674" w:rsidRDefault="000C27BF" w:rsidP="00276062">
            <w:pPr>
              <w:spacing w:before="0" w:line="240" w:lineRule="auto"/>
              <w:jc w:val="center"/>
              <w:rPr>
                <w:rFonts w:asciiTheme="majorHAnsi" w:hAnsiTheme="majorHAnsi" w:cstheme="minorHAnsi"/>
                <w:i/>
                <w:iCs/>
                <w:sz w:val="18"/>
                <w:szCs w:val="20"/>
              </w:rPr>
            </w:pPr>
            <w:r w:rsidRPr="00AA0674">
              <w:rPr>
                <w:rFonts w:asciiTheme="majorHAnsi" w:hAnsiTheme="majorHAnsi" w:cstheme="minorHAnsi"/>
                <w:i/>
                <w:iCs/>
                <w:sz w:val="18"/>
                <w:szCs w:val="20"/>
              </w:rPr>
              <w:t>1</w:t>
            </w:r>
          </w:p>
        </w:tc>
        <w:tc>
          <w:tcPr>
            <w:tcW w:w="1207" w:type="dxa"/>
            <w:shd w:val="clear" w:color="auto" w:fill="auto"/>
            <w:noWrap/>
            <w:vAlign w:val="center"/>
            <w:hideMark/>
          </w:tcPr>
          <w:p w:rsidR="000C27BF" w:rsidRPr="00AA0674" w:rsidRDefault="000C27BF" w:rsidP="00276062">
            <w:pPr>
              <w:spacing w:before="0" w:line="240" w:lineRule="auto"/>
              <w:jc w:val="center"/>
              <w:rPr>
                <w:rFonts w:asciiTheme="majorHAnsi" w:hAnsiTheme="majorHAnsi" w:cstheme="minorHAnsi"/>
                <w:sz w:val="18"/>
                <w:szCs w:val="20"/>
              </w:rPr>
            </w:pPr>
            <w:r w:rsidRPr="00AA0674">
              <w:rPr>
                <w:rFonts w:asciiTheme="majorHAnsi" w:hAnsiTheme="majorHAnsi" w:cstheme="minorHAnsi"/>
                <w:sz w:val="18"/>
                <w:szCs w:val="20"/>
              </w:rPr>
              <w:t>100%</w:t>
            </w:r>
          </w:p>
        </w:tc>
      </w:tr>
      <w:tr w:rsidR="000C27BF" w:rsidRPr="00AA0674" w:rsidTr="00276062">
        <w:trPr>
          <w:trHeight w:val="281"/>
          <w:jc w:val="center"/>
        </w:trPr>
        <w:tc>
          <w:tcPr>
            <w:tcW w:w="738" w:type="dxa"/>
            <w:shd w:val="clear" w:color="auto" w:fill="auto"/>
            <w:noWrap/>
            <w:vAlign w:val="center"/>
            <w:hideMark/>
          </w:tcPr>
          <w:p w:rsidR="000C27BF" w:rsidRPr="00AA0674" w:rsidRDefault="000C27BF" w:rsidP="00276062">
            <w:pPr>
              <w:spacing w:before="0" w:line="240" w:lineRule="auto"/>
              <w:jc w:val="right"/>
              <w:rPr>
                <w:rFonts w:asciiTheme="majorHAnsi" w:hAnsiTheme="majorHAnsi" w:cstheme="minorHAnsi"/>
                <w:sz w:val="18"/>
                <w:szCs w:val="20"/>
              </w:rPr>
            </w:pPr>
            <w:r w:rsidRPr="00AA0674">
              <w:rPr>
                <w:rFonts w:asciiTheme="majorHAnsi" w:hAnsiTheme="majorHAnsi" w:cstheme="minorHAnsi"/>
                <w:sz w:val="18"/>
                <w:szCs w:val="20"/>
              </w:rPr>
              <w:t>I.3</w:t>
            </w:r>
          </w:p>
        </w:tc>
        <w:tc>
          <w:tcPr>
            <w:tcW w:w="4499" w:type="dxa"/>
            <w:shd w:val="clear" w:color="auto" w:fill="auto"/>
            <w:noWrap/>
            <w:vAlign w:val="center"/>
            <w:hideMark/>
          </w:tcPr>
          <w:p w:rsidR="000C27BF" w:rsidRPr="00AA0674" w:rsidRDefault="000C27BF" w:rsidP="00276062">
            <w:pPr>
              <w:spacing w:before="0" w:line="240" w:lineRule="auto"/>
              <w:jc w:val="left"/>
              <w:rPr>
                <w:rFonts w:asciiTheme="majorHAnsi" w:hAnsiTheme="majorHAnsi" w:cstheme="minorHAnsi"/>
                <w:i/>
                <w:iCs/>
                <w:sz w:val="18"/>
                <w:szCs w:val="20"/>
              </w:rPr>
            </w:pPr>
            <w:r w:rsidRPr="00AA0674">
              <w:rPr>
                <w:rFonts w:asciiTheme="majorHAnsi" w:hAnsiTheme="majorHAnsi" w:cstheme="minorHAnsi"/>
                <w:i/>
                <w:iCs/>
                <w:sz w:val="18"/>
                <w:szCs w:val="20"/>
              </w:rPr>
              <w:t>Taksa Lokale</w:t>
            </w:r>
          </w:p>
        </w:tc>
        <w:tc>
          <w:tcPr>
            <w:tcW w:w="1206" w:type="dxa"/>
            <w:shd w:val="clear" w:color="auto" w:fill="auto"/>
            <w:noWrap/>
            <w:vAlign w:val="center"/>
            <w:hideMark/>
          </w:tcPr>
          <w:p w:rsidR="000C27BF" w:rsidRPr="00AA0674" w:rsidRDefault="000C27BF" w:rsidP="00276062">
            <w:pPr>
              <w:spacing w:before="0" w:line="240" w:lineRule="auto"/>
              <w:jc w:val="right"/>
              <w:rPr>
                <w:rFonts w:asciiTheme="majorHAnsi" w:hAnsiTheme="majorHAnsi" w:cstheme="minorHAnsi"/>
                <w:i/>
                <w:iCs/>
                <w:sz w:val="18"/>
                <w:szCs w:val="20"/>
              </w:rPr>
            </w:pPr>
            <w:r w:rsidRPr="00AA0674">
              <w:rPr>
                <w:rFonts w:asciiTheme="majorHAnsi" w:hAnsiTheme="majorHAnsi" w:cstheme="minorHAnsi"/>
                <w:i/>
                <w:iCs/>
                <w:sz w:val="18"/>
                <w:szCs w:val="20"/>
              </w:rPr>
              <w:t>20,166</w:t>
            </w:r>
          </w:p>
        </w:tc>
        <w:tc>
          <w:tcPr>
            <w:tcW w:w="1207" w:type="dxa"/>
            <w:shd w:val="clear" w:color="auto" w:fill="auto"/>
            <w:noWrap/>
            <w:vAlign w:val="center"/>
            <w:hideMark/>
          </w:tcPr>
          <w:p w:rsidR="000C27BF" w:rsidRPr="00AA0674" w:rsidRDefault="000C27BF" w:rsidP="00276062">
            <w:pPr>
              <w:spacing w:before="0" w:line="240" w:lineRule="auto"/>
              <w:jc w:val="right"/>
              <w:rPr>
                <w:rFonts w:asciiTheme="majorHAnsi" w:hAnsiTheme="majorHAnsi" w:cstheme="minorHAnsi"/>
                <w:i/>
                <w:iCs/>
                <w:sz w:val="18"/>
                <w:szCs w:val="20"/>
              </w:rPr>
            </w:pPr>
            <w:r w:rsidRPr="00AA0674">
              <w:rPr>
                <w:rFonts w:asciiTheme="majorHAnsi" w:hAnsiTheme="majorHAnsi" w:cstheme="minorHAnsi"/>
                <w:i/>
                <w:iCs/>
                <w:sz w:val="18"/>
                <w:szCs w:val="20"/>
              </w:rPr>
              <w:t>16,468</w:t>
            </w:r>
          </w:p>
        </w:tc>
        <w:tc>
          <w:tcPr>
            <w:tcW w:w="1206" w:type="dxa"/>
            <w:shd w:val="clear" w:color="auto" w:fill="auto"/>
            <w:noWrap/>
            <w:vAlign w:val="center"/>
            <w:hideMark/>
          </w:tcPr>
          <w:p w:rsidR="000C27BF" w:rsidRPr="00AA0674" w:rsidRDefault="000C27BF" w:rsidP="00276062">
            <w:pPr>
              <w:spacing w:before="0" w:line="240" w:lineRule="auto"/>
              <w:jc w:val="center"/>
              <w:rPr>
                <w:rFonts w:asciiTheme="majorHAnsi" w:hAnsiTheme="majorHAnsi" w:cstheme="minorHAnsi"/>
                <w:i/>
                <w:iCs/>
                <w:sz w:val="18"/>
                <w:szCs w:val="20"/>
              </w:rPr>
            </w:pPr>
            <w:r w:rsidRPr="00AA0674">
              <w:rPr>
                <w:rFonts w:asciiTheme="majorHAnsi" w:hAnsiTheme="majorHAnsi" w:cstheme="minorHAnsi"/>
                <w:i/>
                <w:iCs/>
                <w:sz w:val="18"/>
                <w:szCs w:val="20"/>
              </w:rPr>
              <w:t>3,698</w:t>
            </w:r>
          </w:p>
        </w:tc>
        <w:tc>
          <w:tcPr>
            <w:tcW w:w="1207" w:type="dxa"/>
            <w:shd w:val="clear" w:color="auto" w:fill="auto"/>
            <w:noWrap/>
            <w:vAlign w:val="center"/>
            <w:hideMark/>
          </w:tcPr>
          <w:p w:rsidR="000C27BF" w:rsidRPr="00AA0674" w:rsidRDefault="000C27BF" w:rsidP="00276062">
            <w:pPr>
              <w:spacing w:before="0" w:line="240" w:lineRule="auto"/>
              <w:jc w:val="center"/>
              <w:rPr>
                <w:rFonts w:asciiTheme="majorHAnsi" w:hAnsiTheme="majorHAnsi" w:cstheme="minorHAnsi"/>
                <w:sz w:val="18"/>
                <w:szCs w:val="20"/>
              </w:rPr>
            </w:pPr>
            <w:r w:rsidRPr="00AA0674">
              <w:rPr>
                <w:rFonts w:asciiTheme="majorHAnsi" w:hAnsiTheme="majorHAnsi" w:cstheme="minorHAnsi"/>
                <w:sz w:val="18"/>
                <w:szCs w:val="20"/>
              </w:rPr>
              <w:t>122%</w:t>
            </w:r>
          </w:p>
        </w:tc>
      </w:tr>
      <w:tr w:rsidR="000C27BF" w:rsidRPr="00AA0674" w:rsidTr="00276062">
        <w:trPr>
          <w:trHeight w:val="185"/>
          <w:jc w:val="center"/>
        </w:trPr>
        <w:tc>
          <w:tcPr>
            <w:tcW w:w="738" w:type="dxa"/>
            <w:shd w:val="clear" w:color="auto" w:fill="auto"/>
            <w:noWrap/>
            <w:vAlign w:val="center"/>
            <w:hideMark/>
          </w:tcPr>
          <w:p w:rsidR="000C27BF" w:rsidRPr="00AA0674" w:rsidRDefault="000C27BF" w:rsidP="00276062">
            <w:pPr>
              <w:spacing w:before="0" w:line="240" w:lineRule="auto"/>
              <w:jc w:val="center"/>
              <w:rPr>
                <w:rFonts w:asciiTheme="majorHAnsi" w:hAnsiTheme="majorHAnsi" w:cstheme="minorHAnsi"/>
                <w:b/>
                <w:bCs/>
                <w:sz w:val="18"/>
                <w:szCs w:val="20"/>
              </w:rPr>
            </w:pPr>
            <w:r w:rsidRPr="00AA0674">
              <w:rPr>
                <w:rFonts w:asciiTheme="majorHAnsi" w:hAnsiTheme="majorHAnsi" w:cstheme="minorHAnsi"/>
                <w:b/>
                <w:bCs/>
                <w:sz w:val="18"/>
                <w:szCs w:val="20"/>
              </w:rPr>
              <w:t>II.</w:t>
            </w:r>
          </w:p>
        </w:tc>
        <w:tc>
          <w:tcPr>
            <w:tcW w:w="4499" w:type="dxa"/>
            <w:shd w:val="clear" w:color="auto" w:fill="auto"/>
            <w:noWrap/>
            <w:vAlign w:val="center"/>
            <w:hideMark/>
          </w:tcPr>
          <w:p w:rsidR="000C27BF" w:rsidRPr="00AA0674" w:rsidRDefault="000C27BF" w:rsidP="00276062">
            <w:pPr>
              <w:spacing w:before="0" w:line="240" w:lineRule="auto"/>
              <w:rPr>
                <w:rFonts w:asciiTheme="majorHAnsi" w:hAnsiTheme="majorHAnsi" w:cstheme="minorHAnsi"/>
                <w:b/>
                <w:bCs/>
                <w:sz w:val="18"/>
                <w:szCs w:val="20"/>
              </w:rPr>
            </w:pPr>
            <w:r w:rsidRPr="00AA0674">
              <w:rPr>
                <w:rFonts w:asciiTheme="majorHAnsi" w:hAnsiTheme="majorHAnsi" w:cstheme="minorHAnsi"/>
                <w:b/>
                <w:bCs/>
                <w:sz w:val="18"/>
                <w:szCs w:val="20"/>
              </w:rPr>
              <w:t>Shpenzime nga Pushtetit Vendor</w:t>
            </w:r>
          </w:p>
        </w:tc>
        <w:tc>
          <w:tcPr>
            <w:tcW w:w="1206" w:type="dxa"/>
            <w:shd w:val="clear" w:color="auto" w:fill="auto"/>
            <w:noWrap/>
            <w:vAlign w:val="center"/>
            <w:hideMark/>
          </w:tcPr>
          <w:p w:rsidR="000C27BF" w:rsidRPr="00AA0674" w:rsidRDefault="000C27BF" w:rsidP="00276062">
            <w:pPr>
              <w:spacing w:before="0" w:line="240" w:lineRule="auto"/>
              <w:jc w:val="right"/>
              <w:rPr>
                <w:rFonts w:asciiTheme="majorHAnsi" w:hAnsiTheme="majorHAnsi" w:cstheme="minorHAnsi"/>
                <w:b/>
                <w:bCs/>
                <w:sz w:val="18"/>
                <w:szCs w:val="20"/>
              </w:rPr>
            </w:pPr>
            <w:r w:rsidRPr="00AA0674">
              <w:rPr>
                <w:rFonts w:asciiTheme="majorHAnsi" w:hAnsiTheme="majorHAnsi" w:cstheme="minorHAnsi"/>
                <w:b/>
                <w:bCs/>
                <w:sz w:val="18"/>
                <w:szCs w:val="20"/>
              </w:rPr>
              <w:t>52,593</w:t>
            </w:r>
          </w:p>
        </w:tc>
        <w:tc>
          <w:tcPr>
            <w:tcW w:w="1207" w:type="dxa"/>
            <w:shd w:val="clear" w:color="auto" w:fill="auto"/>
            <w:noWrap/>
            <w:vAlign w:val="center"/>
            <w:hideMark/>
          </w:tcPr>
          <w:p w:rsidR="000C27BF" w:rsidRPr="00AA0674" w:rsidRDefault="000C27BF" w:rsidP="00276062">
            <w:pPr>
              <w:spacing w:before="0" w:line="240" w:lineRule="auto"/>
              <w:jc w:val="right"/>
              <w:rPr>
                <w:rFonts w:asciiTheme="majorHAnsi" w:hAnsiTheme="majorHAnsi" w:cstheme="minorHAnsi"/>
                <w:b/>
                <w:bCs/>
                <w:sz w:val="18"/>
                <w:szCs w:val="20"/>
              </w:rPr>
            </w:pPr>
            <w:r w:rsidRPr="00AA0674">
              <w:rPr>
                <w:rFonts w:asciiTheme="majorHAnsi" w:hAnsiTheme="majorHAnsi" w:cstheme="minorHAnsi"/>
                <w:b/>
                <w:bCs/>
                <w:sz w:val="18"/>
                <w:szCs w:val="20"/>
              </w:rPr>
              <w:t>51,626</w:t>
            </w:r>
          </w:p>
        </w:tc>
        <w:tc>
          <w:tcPr>
            <w:tcW w:w="1206" w:type="dxa"/>
            <w:shd w:val="clear" w:color="auto" w:fill="auto"/>
            <w:noWrap/>
            <w:vAlign w:val="center"/>
            <w:hideMark/>
          </w:tcPr>
          <w:p w:rsidR="000C27BF" w:rsidRPr="00AA0674" w:rsidRDefault="000C27BF" w:rsidP="00276062">
            <w:pPr>
              <w:spacing w:before="0" w:line="240" w:lineRule="auto"/>
              <w:jc w:val="center"/>
              <w:rPr>
                <w:rFonts w:asciiTheme="majorHAnsi" w:hAnsiTheme="majorHAnsi" w:cstheme="minorHAnsi"/>
                <w:b/>
                <w:bCs/>
                <w:sz w:val="18"/>
                <w:szCs w:val="20"/>
              </w:rPr>
            </w:pPr>
            <w:r w:rsidRPr="00AA0674">
              <w:rPr>
                <w:rFonts w:asciiTheme="majorHAnsi" w:hAnsiTheme="majorHAnsi" w:cstheme="minorHAnsi"/>
                <w:b/>
                <w:bCs/>
                <w:sz w:val="18"/>
                <w:szCs w:val="20"/>
              </w:rPr>
              <w:t>967</w:t>
            </w:r>
          </w:p>
        </w:tc>
        <w:tc>
          <w:tcPr>
            <w:tcW w:w="1207" w:type="dxa"/>
            <w:shd w:val="clear" w:color="auto" w:fill="auto"/>
            <w:noWrap/>
            <w:vAlign w:val="center"/>
            <w:hideMark/>
          </w:tcPr>
          <w:p w:rsidR="000C27BF" w:rsidRPr="00AA0674" w:rsidRDefault="000C27BF" w:rsidP="00276062">
            <w:pPr>
              <w:spacing w:before="0" w:line="240" w:lineRule="auto"/>
              <w:jc w:val="center"/>
              <w:rPr>
                <w:rFonts w:asciiTheme="majorHAnsi" w:hAnsiTheme="majorHAnsi" w:cstheme="minorHAnsi"/>
                <w:b/>
                <w:bCs/>
                <w:sz w:val="18"/>
                <w:szCs w:val="20"/>
              </w:rPr>
            </w:pPr>
            <w:r w:rsidRPr="00AA0674">
              <w:rPr>
                <w:rFonts w:asciiTheme="majorHAnsi" w:hAnsiTheme="majorHAnsi" w:cstheme="minorHAnsi"/>
                <w:b/>
                <w:bCs/>
                <w:sz w:val="18"/>
                <w:szCs w:val="20"/>
              </w:rPr>
              <w:t>102%</w:t>
            </w:r>
          </w:p>
        </w:tc>
      </w:tr>
      <w:tr w:rsidR="000C27BF" w:rsidRPr="00AA0674" w:rsidTr="00276062">
        <w:trPr>
          <w:trHeight w:val="290"/>
          <w:jc w:val="center"/>
        </w:trPr>
        <w:tc>
          <w:tcPr>
            <w:tcW w:w="738" w:type="dxa"/>
            <w:shd w:val="clear" w:color="auto" w:fill="auto"/>
            <w:noWrap/>
            <w:vAlign w:val="center"/>
            <w:hideMark/>
          </w:tcPr>
          <w:p w:rsidR="000C27BF" w:rsidRPr="00AA0674" w:rsidRDefault="000C27BF" w:rsidP="00276062">
            <w:pPr>
              <w:spacing w:before="0" w:line="240" w:lineRule="auto"/>
              <w:jc w:val="right"/>
              <w:rPr>
                <w:rFonts w:asciiTheme="majorHAnsi" w:hAnsiTheme="majorHAnsi" w:cstheme="minorHAnsi"/>
                <w:sz w:val="18"/>
                <w:szCs w:val="20"/>
              </w:rPr>
            </w:pPr>
            <w:r w:rsidRPr="00AA0674">
              <w:rPr>
                <w:rFonts w:asciiTheme="majorHAnsi" w:hAnsiTheme="majorHAnsi" w:cstheme="minorHAnsi"/>
                <w:sz w:val="18"/>
                <w:szCs w:val="20"/>
              </w:rPr>
              <w:t>II.1</w:t>
            </w:r>
          </w:p>
        </w:tc>
        <w:tc>
          <w:tcPr>
            <w:tcW w:w="4499" w:type="dxa"/>
            <w:shd w:val="clear" w:color="auto" w:fill="auto"/>
            <w:noWrap/>
            <w:vAlign w:val="center"/>
            <w:hideMark/>
          </w:tcPr>
          <w:p w:rsidR="000C27BF" w:rsidRPr="00AA0674" w:rsidRDefault="000C27BF" w:rsidP="00276062">
            <w:pPr>
              <w:spacing w:before="0" w:line="240" w:lineRule="auto"/>
              <w:rPr>
                <w:rFonts w:asciiTheme="majorHAnsi" w:hAnsiTheme="majorHAnsi" w:cstheme="minorHAnsi"/>
                <w:b/>
                <w:bCs/>
                <w:i/>
                <w:iCs/>
                <w:sz w:val="18"/>
                <w:szCs w:val="20"/>
              </w:rPr>
            </w:pPr>
            <w:r w:rsidRPr="00AA0674">
              <w:rPr>
                <w:rFonts w:asciiTheme="majorHAnsi" w:hAnsiTheme="majorHAnsi" w:cstheme="minorHAnsi"/>
                <w:b/>
                <w:bCs/>
                <w:i/>
                <w:iCs/>
                <w:sz w:val="18"/>
                <w:szCs w:val="20"/>
              </w:rPr>
              <w:t>Shpenzime Korente</w:t>
            </w:r>
          </w:p>
        </w:tc>
        <w:tc>
          <w:tcPr>
            <w:tcW w:w="1206" w:type="dxa"/>
            <w:shd w:val="clear" w:color="auto" w:fill="auto"/>
            <w:noWrap/>
            <w:vAlign w:val="center"/>
            <w:hideMark/>
          </w:tcPr>
          <w:p w:rsidR="000C27BF" w:rsidRPr="00AA0674" w:rsidRDefault="000C27BF" w:rsidP="00276062">
            <w:pPr>
              <w:spacing w:before="0" w:line="240" w:lineRule="auto"/>
              <w:jc w:val="right"/>
              <w:rPr>
                <w:rFonts w:asciiTheme="majorHAnsi" w:hAnsiTheme="majorHAnsi" w:cstheme="minorHAnsi"/>
                <w:sz w:val="18"/>
                <w:szCs w:val="20"/>
              </w:rPr>
            </w:pPr>
            <w:r w:rsidRPr="00AA0674">
              <w:rPr>
                <w:rFonts w:asciiTheme="majorHAnsi" w:hAnsiTheme="majorHAnsi" w:cstheme="minorHAnsi"/>
                <w:sz w:val="18"/>
                <w:szCs w:val="20"/>
              </w:rPr>
              <w:t>41,311</w:t>
            </w:r>
          </w:p>
        </w:tc>
        <w:tc>
          <w:tcPr>
            <w:tcW w:w="1207" w:type="dxa"/>
            <w:shd w:val="clear" w:color="auto" w:fill="auto"/>
            <w:noWrap/>
            <w:vAlign w:val="center"/>
            <w:hideMark/>
          </w:tcPr>
          <w:p w:rsidR="000C27BF" w:rsidRPr="00AA0674" w:rsidRDefault="000C27BF" w:rsidP="00276062">
            <w:pPr>
              <w:spacing w:before="0" w:line="240" w:lineRule="auto"/>
              <w:jc w:val="right"/>
              <w:rPr>
                <w:rFonts w:asciiTheme="majorHAnsi" w:hAnsiTheme="majorHAnsi" w:cstheme="minorHAnsi"/>
                <w:sz w:val="18"/>
                <w:szCs w:val="20"/>
              </w:rPr>
            </w:pPr>
            <w:r w:rsidRPr="00AA0674">
              <w:rPr>
                <w:rFonts w:asciiTheme="majorHAnsi" w:hAnsiTheme="majorHAnsi" w:cstheme="minorHAnsi"/>
                <w:sz w:val="18"/>
                <w:szCs w:val="20"/>
              </w:rPr>
              <w:t>38,714</w:t>
            </w:r>
          </w:p>
        </w:tc>
        <w:tc>
          <w:tcPr>
            <w:tcW w:w="1206" w:type="dxa"/>
            <w:shd w:val="clear" w:color="auto" w:fill="auto"/>
            <w:noWrap/>
            <w:vAlign w:val="center"/>
            <w:hideMark/>
          </w:tcPr>
          <w:p w:rsidR="000C27BF" w:rsidRPr="00AA0674" w:rsidRDefault="000C27BF" w:rsidP="00276062">
            <w:pPr>
              <w:spacing w:before="0" w:line="240" w:lineRule="auto"/>
              <w:jc w:val="center"/>
              <w:rPr>
                <w:rFonts w:asciiTheme="majorHAnsi" w:hAnsiTheme="majorHAnsi" w:cstheme="minorHAnsi"/>
                <w:sz w:val="18"/>
                <w:szCs w:val="20"/>
              </w:rPr>
            </w:pPr>
            <w:r w:rsidRPr="00AA0674">
              <w:rPr>
                <w:rFonts w:asciiTheme="majorHAnsi" w:hAnsiTheme="majorHAnsi" w:cstheme="minorHAnsi"/>
                <w:sz w:val="18"/>
                <w:szCs w:val="20"/>
              </w:rPr>
              <w:t>2,597</w:t>
            </w:r>
          </w:p>
        </w:tc>
        <w:tc>
          <w:tcPr>
            <w:tcW w:w="1207" w:type="dxa"/>
            <w:shd w:val="clear" w:color="auto" w:fill="auto"/>
            <w:noWrap/>
            <w:vAlign w:val="center"/>
            <w:hideMark/>
          </w:tcPr>
          <w:p w:rsidR="000C27BF" w:rsidRPr="00AA0674" w:rsidRDefault="000C27BF" w:rsidP="00276062">
            <w:pPr>
              <w:spacing w:before="0" w:line="240" w:lineRule="auto"/>
              <w:jc w:val="center"/>
              <w:rPr>
                <w:rFonts w:asciiTheme="majorHAnsi" w:hAnsiTheme="majorHAnsi" w:cstheme="minorHAnsi"/>
                <w:sz w:val="18"/>
                <w:szCs w:val="20"/>
              </w:rPr>
            </w:pPr>
            <w:r w:rsidRPr="00AA0674">
              <w:rPr>
                <w:rFonts w:asciiTheme="majorHAnsi" w:hAnsiTheme="majorHAnsi" w:cstheme="minorHAnsi"/>
                <w:sz w:val="18"/>
                <w:szCs w:val="20"/>
              </w:rPr>
              <w:t>107%</w:t>
            </w:r>
          </w:p>
        </w:tc>
      </w:tr>
      <w:tr w:rsidR="000C27BF" w:rsidRPr="00AA0674" w:rsidTr="00276062">
        <w:trPr>
          <w:trHeight w:val="196"/>
          <w:jc w:val="center"/>
        </w:trPr>
        <w:tc>
          <w:tcPr>
            <w:tcW w:w="738" w:type="dxa"/>
            <w:shd w:val="clear" w:color="auto" w:fill="auto"/>
            <w:noWrap/>
            <w:vAlign w:val="center"/>
            <w:hideMark/>
          </w:tcPr>
          <w:p w:rsidR="000C27BF" w:rsidRPr="00AA0674" w:rsidRDefault="000C27BF" w:rsidP="00276062">
            <w:pPr>
              <w:spacing w:before="0" w:line="240" w:lineRule="auto"/>
              <w:jc w:val="right"/>
              <w:rPr>
                <w:rFonts w:asciiTheme="majorHAnsi" w:hAnsiTheme="majorHAnsi" w:cstheme="minorHAnsi"/>
                <w:sz w:val="18"/>
                <w:szCs w:val="20"/>
              </w:rPr>
            </w:pPr>
            <w:r w:rsidRPr="00AA0674">
              <w:rPr>
                <w:rFonts w:asciiTheme="majorHAnsi" w:hAnsiTheme="majorHAnsi" w:cstheme="minorHAnsi"/>
                <w:sz w:val="18"/>
                <w:szCs w:val="20"/>
              </w:rPr>
              <w:t> </w:t>
            </w:r>
          </w:p>
        </w:tc>
        <w:tc>
          <w:tcPr>
            <w:tcW w:w="4499" w:type="dxa"/>
            <w:shd w:val="clear" w:color="auto" w:fill="auto"/>
            <w:noWrap/>
            <w:vAlign w:val="center"/>
            <w:hideMark/>
          </w:tcPr>
          <w:p w:rsidR="000C27BF" w:rsidRPr="00AA0674" w:rsidRDefault="000C27BF" w:rsidP="00276062">
            <w:pPr>
              <w:spacing w:before="0" w:line="240" w:lineRule="auto"/>
              <w:rPr>
                <w:rFonts w:asciiTheme="majorHAnsi" w:hAnsiTheme="majorHAnsi" w:cstheme="minorHAnsi"/>
                <w:i/>
                <w:iCs/>
                <w:sz w:val="18"/>
                <w:szCs w:val="20"/>
              </w:rPr>
            </w:pPr>
            <w:r w:rsidRPr="00AA0674">
              <w:rPr>
                <w:rFonts w:asciiTheme="majorHAnsi" w:hAnsiTheme="majorHAnsi" w:cstheme="minorHAnsi"/>
                <w:i/>
                <w:iCs/>
                <w:sz w:val="18"/>
                <w:szCs w:val="20"/>
              </w:rPr>
              <w:t xml:space="preserve">Personeli </w:t>
            </w:r>
          </w:p>
        </w:tc>
        <w:tc>
          <w:tcPr>
            <w:tcW w:w="1206" w:type="dxa"/>
            <w:shd w:val="clear" w:color="auto" w:fill="auto"/>
            <w:noWrap/>
            <w:vAlign w:val="center"/>
            <w:hideMark/>
          </w:tcPr>
          <w:p w:rsidR="000C27BF" w:rsidRPr="00AA0674" w:rsidRDefault="000C27BF" w:rsidP="00276062">
            <w:pPr>
              <w:spacing w:before="0" w:line="240" w:lineRule="auto"/>
              <w:jc w:val="right"/>
              <w:rPr>
                <w:rFonts w:asciiTheme="majorHAnsi" w:hAnsiTheme="majorHAnsi" w:cstheme="minorHAnsi"/>
                <w:i/>
                <w:iCs/>
                <w:sz w:val="18"/>
                <w:szCs w:val="20"/>
              </w:rPr>
            </w:pPr>
            <w:r w:rsidRPr="00AA0674">
              <w:rPr>
                <w:rFonts w:asciiTheme="majorHAnsi" w:hAnsiTheme="majorHAnsi" w:cstheme="minorHAnsi"/>
                <w:i/>
                <w:iCs/>
                <w:sz w:val="18"/>
                <w:szCs w:val="20"/>
              </w:rPr>
              <w:t>24,118</w:t>
            </w:r>
          </w:p>
        </w:tc>
        <w:tc>
          <w:tcPr>
            <w:tcW w:w="1207" w:type="dxa"/>
            <w:shd w:val="clear" w:color="auto" w:fill="auto"/>
            <w:noWrap/>
            <w:vAlign w:val="center"/>
            <w:hideMark/>
          </w:tcPr>
          <w:p w:rsidR="000C27BF" w:rsidRPr="00AA0674" w:rsidRDefault="000C27BF" w:rsidP="00276062">
            <w:pPr>
              <w:spacing w:before="0" w:line="240" w:lineRule="auto"/>
              <w:jc w:val="right"/>
              <w:rPr>
                <w:rFonts w:asciiTheme="majorHAnsi" w:hAnsiTheme="majorHAnsi" w:cstheme="minorHAnsi"/>
                <w:i/>
                <w:iCs/>
                <w:sz w:val="18"/>
                <w:szCs w:val="20"/>
              </w:rPr>
            </w:pPr>
            <w:r w:rsidRPr="00AA0674">
              <w:rPr>
                <w:rFonts w:asciiTheme="majorHAnsi" w:hAnsiTheme="majorHAnsi" w:cstheme="minorHAnsi"/>
                <w:i/>
                <w:iCs/>
                <w:sz w:val="18"/>
                <w:szCs w:val="20"/>
              </w:rPr>
              <w:t>22,390</w:t>
            </w:r>
          </w:p>
        </w:tc>
        <w:tc>
          <w:tcPr>
            <w:tcW w:w="1206" w:type="dxa"/>
            <w:shd w:val="clear" w:color="auto" w:fill="auto"/>
            <w:noWrap/>
            <w:vAlign w:val="center"/>
            <w:hideMark/>
          </w:tcPr>
          <w:p w:rsidR="000C27BF" w:rsidRPr="00AA0674" w:rsidRDefault="000C27BF" w:rsidP="00276062">
            <w:pPr>
              <w:spacing w:before="0" w:line="240" w:lineRule="auto"/>
              <w:jc w:val="center"/>
              <w:rPr>
                <w:rFonts w:asciiTheme="majorHAnsi" w:hAnsiTheme="majorHAnsi" w:cstheme="minorHAnsi"/>
                <w:sz w:val="18"/>
                <w:szCs w:val="20"/>
              </w:rPr>
            </w:pPr>
            <w:r w:rsidRPr="00AA0674">
              <w:rPr>
                <w:rFonts w:asciiTheme="majorHAnsi" w:hAnsiTheme="majorHAnsi" w:cstheme="minorHAnsi"/>
                <w:sz w:val="18"/>
                <w:szCs w:val="20"/>
              </w:rPr>
              <w:t>1,728</w:t>
            </w:r>
          </w:p>
        </w:tc>
        <w:tc>
          <w:tcPr>
            <w:tcW w:w="1207" w:type="dxa"/>
            <w:shd w:val="clear" w:color="auto" w:fill="auto"/>
            <w:noWrap/>
            <w:vAlign w:val="center"/>
            <w:hideMark/>
          </w:tcPr>
          <w:p w:rsidR="000C27BF" w:rsidRPr="00AA0674" w:rsidRDefault="000C27BF" w:rsidP="00276062">
            <w:pPr>
              <w:spacing w:before="0" w:line="240" w:lineRule="auto"/>
              <w:jc w:val="center"/>
              <w:rPr>
                <w:rFonts w:asciiTheme="majorHAnsi" w:hAnsiTheme="majorHAnsi" w:cstheme="minorHAnsi"/>
                <w:sz w:val="18"/>
                <w:szCs w:val="20"/>
              </w:rPr>
            </w:pPr>
            <w:r w:rsidRPr="00AA0674">
              <w:rPr>
                <w:rFonts w:asciiTheme="majorHAnsi" w:hAnsiTheme="majorHAnsi" w:cstheme="minorHAnsi"/>
                <w:sz w:val="18"/>
                <w:szCs w:val="20"/>
              </w:rPr>
              <w:t>108%</w:t>
            </w:r>
          </w:p>
        </w:tc>
      </w:tr>
      <w:tr w:rsidR="000C27BF" w:rsidRPr="00AA0674" w:rsidTr="00276062">
        <w:trPr>
          <w:trHeight w:val="250"/>
          <w:jc w:val="center"/>
        </w:trPr>
        <w:tc>
          <w:tcPr>
            <w:tcW w:w="738" w:type="dxa"/>
            <w:shd w:val="clear" w:color="auto" w:fill="auto"/>
            <w:noWrap/>
            <w:vAlign w:val="center"/>
            <w:hideMark/>
          </w:tcPr>
          <w:p w:rsidR="000C27BF" w:rsidRPr="00AA0674" w:rsidRDefault="000C27BF" w:rsidP="00276062">
            <w:pPr>
              <w:spacing w:before="0" w:line="240" w:lineRule="auto"/>
              <w:jc w:val="right"/>
              <w:rPr>
                <w:rFonts w:asciiTheme="majorHAnsi" w:hAnsiTheme="majorHAnsi" w:cstheme="minorHAnsi"/>
                <w:sz w:val="18"/>
                <w:szCs w:val="20"/>
              </w:rPr>
            </w:pPr>
            <w:r w:rsidRPr="00AA0674">
              <w:rPr>
                <w:rFonts w:asciiTheme="majorHAnsi" w:hAnsiTheme="majorHAnsi" w:cstheme="minorHAnsi"/>
                <w:sz w:val="18"/>
                <w:szCs w:val="20"/>
              </w:rPr>
              <w:t> </w:t>
            </w:r>
          </w:p>
        </w:tc>
        <w:tc>
          <w:tcPr>
            <w:tcW w:w="4499" w:type="dxa"/>
            <w:shd w:val="clear" w:color="auto" w:fill="auto"/>
            <w:noWrap/>
            <w:vAlign w:val="center"/>
            <w:hideMark/>
          </w:tcPr>
          <w:p w:rsidR="000C27BF" w:rsidRPr="00AA0674" w:rsidRDefault="000C27BF" w:rsidP="00276062">
            <w:pPr>
              <w:spacing w:before="0" w:line="240" w:lineRule="auto"/>
              <w:jc w:val="left"/>
              <w:rPr>
                <w:rFonts w:asciiTheme="majorHAnsi" w:hAnsiTheme="majorHAnsi" w:cstheme="minorHAnsi"/>
                <w:i/>
                <w:iCs/>
                <w:sz w:val="18"/>
                <w:szCs w:val="20"/>
              </w:rPr>
            </w:pPr>
            <w:r w:rsidRPr="00AA0674">
              <w:rPr>
                <w:rFonts w:asciiTheme="majorHAnsi" w:hAnsiTheme="majorHAnsi" w:cstheme="minorHAnsi"/>
                <w:i/>
                <w:iCs/>
                <w:sz w:val="18"/>
                <w:szCs w:val="20"/>
              </w:rPr>
              <w:t>Shpenzime Operative dhe Mirëmbajtje</w:t>
            </w:r>
          </w:p>
        </w:tc>
        <w:tc>
          <w:tcPr>
            <w:tcW w:w="1206" w:type="dxa"/>
            <w:shd w:val="clear" w:color="auto" w:fill="auto"/>
            <w:noWrap/>
            <w:vAlign w:val="center"/>
            <w:hideMark/>
          </w:tcPr>
          <w:p w:rsidR="000C27BF" w:rsidRPr="00AA0674" w:rsidRDefault="000C27BF" w:rsidP="00276062">
            <w:pPr>
              <w:spacing w:before="0" w:line="240" w:lineRule="auto"/>
              <w:jc w:val="right"/>
              <w:rPr>
                <w:rFonts w:asciiTheme="majorHAnsi" w:hAnsiTheme="majorHAnsi" w:cstheme="minorHAnsi"/>
                <w:i/>
                <w:iCs/>
                <w:sz w:val="18"/>
                <w:szCs w:val="20"/>
              </w:rPr>
            </w:pPr>
            <w:r w:rsidRPr="00AA0674">
              <w:rPr>
                <w:rFonts w:asciiTheme="majorHAnsi" w:hAnsiTheme="majorHAnsi" w:cstheme="minorHAnsi"/>
                <w:i/>
                <w:iCs/>
                <w:sz w:val="18"/>
                <w:szCs w:val="20"/>
              </w:rPr>
              <w:t>15,701</w:t>
            </w:r>
          </w:p>
        </w:tc>
        <w:tc>
          <w:tcPr>
            <w:tcW w:w="1207" w:type="dxa"/>
            <w:shd w:val="clear" w:color="auto" w:fill="auto"/>
            <w:noWrap/>
            <w:vAlign w:val="center"/>
            <w:hideMark/>
          </w:tcPr>
          <w:p w:rsidR="000C27BF" w:rsidRPr="00AA0674" w:rsidRDefault="000C27BF" w:rsidP="00276062">
            <w:pPr>
              <w:spacing w:before="0" w:line="240" w:lineRule="auto"/>
              <w:jc w:val="right"/>
              <w:rPr>
                <w:rFonts w:asciiTheme="majorHAnsi" w:hAnsiTheme="majorHAnsi" w:cstheme="minorHAnsi"/>
                <w:i/>
                <w:iCs/>
                <w:sz w:val="18"/>
                <w:szCs w:val="20"/>
              </w:rPr>
            </w:pPr>
            <w:r w:rsidRPr="00AA0674">
              <w:rPr>
                <w:rFonts w:asciiTheme="majorHAnsi" w:hAnsiTheme="majorHAnsi" w:cstheme="minorHAnsi"/>
                <w:i/>
                <w:iCs/>
                <w:sz w:val="18"/>
                <w:szCs w:val="20"/>
              </w:rPr>
              <w:t>15,168</w:t>
            </w:r>
          </w:p>
        </w:tc>
        <w:tc>
          <w:tcPr>
            <w:tcW w:w="1206" w:type="dxa"/>
            <w:shd w:val="clear" w:color="auto" w:fill="auto"/>
            <w:noWrap/>
            <w:vAlign w:val="center"/>
            <w:hideMark/>
          </w:tcPr>
          <w:p w:rsidR="000C27BF" w:rsidRPr="00AA0674" w:rsidRDefault="000C27BF" w:rsidP="00276062">
            <w:pPr>
              <w:spacing w:before="0" w:line="240" w:lineRule="auto"/>
              <w:jc w:val="center"/>
              <w:rPr>
                <w:rFonts w:asciiTheme="majorHAnsi" w:hAnsiTheme="majorHAnsi" w:cstheme="minorHAnsi"/>
                <w:sz w:val="18"/>
                <w:szCs w:val="20"/>
              </w:rPr>
            </w:pPr>
            <w:r w:rsidRPr="00AA0674">
              <w:rPr>
                <w:rFonts w:asciiTheme="majorHAnsi" w:hAnsiTheme="majorHAnsi" w:cstheme="minorHAnsi"/>
                <w:sz w:val="18"/>
                <w:szCs w:val="20"/>
              </w:rPr>
              <w:t>533</w:t>
            </w:r>
          </w:p>
        </w:tc>
        <w:tc>
          <w:tcPr>
            <w:tcW w:w="1207" w:type="dxa"/>
            <w:shd w:val="clear" w:color="auto" w:fill="auto"/>
            <w:noWrap/>
            <w:vAlign w:val="center"/>
            <w:hideMark/>
          </w:tcPr>
          <w:p w:rsidR="000C27BF" w:rsidRPr="00AA0674" w:rsidRDefault="000C27BF" w:rsidP="00276062">
            <w:pPr>
              <w:spacing w:before="0" w:line="240" w:lineRule="auto"/>
              <w:jc w:val="center"/>
              <w:rPr>
                <w:rFonts w:asciiTheme="majorHAnsi" w:hAnsiTheme="majorHAnsi" w:cstheme="minorHAnsi"/>
                <w:sz w:val="18"/>
                <w:szCs w:val="20"/>
              </w:rPr>
            </w:pPr>
            <w:r w:rsidRPr="00AA0674">
              <w:rPr>
                <w:rFonts w:asciiTheme="majorHAnsi" w:hAnsiTheme="majorHAnsi" w:cstheme="minorHAnsi"/>
                <w:sz w:val="18"/>
                <w:szCs w:val="20"/>
              </w:rPr>
              <w:t>104%</w:t>
            </w:r>
          </w:p>
        </w:tc>
      </w:tr>
      <w:tr w:rsidR="000C27BF" w:rsidRPr="00AA0674" w:rsidTr="00276062">
        <w:trPr>
          <w:trHeight w:val="196"/>
          <w:jc w:val="center"/>
        </w:trPr>
        <w:tc>
          <w:tcPr>
            <w:tcW w:w="738" w:type="dxa"/>
            <w:shd w:val="clear" w:color="auto" w:fill="auto"/>
            <w:noWrap/>
            <w:vAlign w:val="center"/>
            <w:hideMark/>
          </w:tcPr>
          <w:p w:rsidR="000C27BF" w:rsidRPr="00AA0674" w:rsidRDefault="000C27BF" w:rsidP="00276062">
            <w:pPr>
              <w:spacing w:before="0" w:line="240" w:lineRule="auto"/>
              <w:jc w:val="right"/>
              <w:rPr>
                <w:rFonts w:asciiTheme="majorHAnsi" w:hAnsiTheme="majorHAnsi" w:cstheme="minorHAnsi"/>
                <w:sz w:val="18"/>
                <w:szCs w:val="20"/>
              </w:rPr>
            </w:pPr>
            <w:r w:rsidRPr="00AA0674">
              <w:rPr>
                <w:rFonts w:asciiTheme="majorHAnsi" w:hAnsiTheme="majorHAnsi" w:cstheme="minorHAnsi"/>
                <w:sz w:val="18"/>
                <w:szCs w:val="20"/>
              </w:rPr>
              <w:t> </w:t>
            </w:r>
          </w:p>
        </w:tc>
        <w:tc>
          <w:tcPr>
            <w:tcW w:w="4499" w:type="dxa"/>
            <w:shd w:val="clear" w:color="auto" w:fill="auto"/>
            <w:noWrap/>
            <w:vAlign w:val="center"/>
            <w:hideMark/>
          </w:tcPr>
          <w:p w:rsidR="000C27BF" w:rsidRPr="00AA0674" w:rsidRDefault="000C27BF" w:rsidP="00276062">
            <w:pPr>
              <w:spacing w:before="0" w:line="240" w:lineRule="auto"/>
              <w:jc w:val="left"/>
              <w:rPr>
                <w:rFonts w:asciiTheme="majorHAnsi" w:hAnsiTheme="majorHAnsi" w:cstheme="minorHAnsi"/>
                <w:i/>
                <w:iCs/>
                <w:sz w:val="18"/>
                <w:szCs w:val="20"/>
              </w:rPr>
            </w:pPr>
            <w:r w:rsidRPr="00AA0674">
              <w:rPr>
                <w:rFonts w:asciiTheme="majorHAnsi" w:hAnsiTheme="majorHAnsi" w:cstheme="minorHAnsi"/>
                <w:i/>
                <w:iCs/>
                <w:sz w:val="18"/>
                <w:szCs w:val="20"/>
              </w:rPr>
              <w:t>Subvencione</w:t>
            </w:r>
          </w:p>
        </w:tc>
        <w:tc>
          <w:tcPr>
            <w:tcW w:w="1206" w:type="dxa"/>
            <w:shd w:val="clear" w:color="auto" w:fill="auto"/>
            <w:noWrap/>
            <w:vAlign w:val="center"/>
            <w:hideMark/>
          </w:tcPr>
          <w:p w:rsidR="000C27BF" w:rsidRPr="00AA0674" w:rsidRDefault="000C27BF" w:rsidP="00276062">
            <w:pPr>
              <w:spacing w:before="0" w:line="240" w:lineRule="auto"/>
              <w:jc w:val="right"/>
              <w:rPr>
                <w:rFonts w:asciiTheme="majorHAnsi" w:hAnsiTheme="majorHAnsi" w:cstheme="minorHAnsi"/>
                <w:i/>
                <w:iCs/>
                <w:sz w:val="18"/>
                <w:szCs w:val="20"/>
              </w:rPr>
            </w:pPr>
            <w:r w:rsidRPr="00AA0674">
              <w:rPr>
                <w:rFonts w:asciiTheme="majorHAnsi" w:hAnsiTheme="majorHAnsi" w:cstheme="minorHAnsi"/>
                <w:i/>
                <w:iCs/>
                <w:sz w:val="18"/>
                <w:szCs w:val="20"/>
              </w:rPr>
              <w:t>145</w:t>
            </w:r>
          </w:p>
        </w:tc>
        <w:tc>
          <w:tcPr>
            <w:tcW w:w="1207" w:type="dxa"/>
            <w:shd w:val="clear" w:color="auto" w:fill="auto"/>
            <w:noWrap/>
            <w:vAlign w:val="center"/>
            <w:hideMark/>
          </w:tcPr>
          <w:p w:rsidR="000C27BF" w:rsidRPr="00AA0674" w:rsidRDefault="000C27BF" w:rsidP="00276062">
            <w:pPr>
              <w:spacing w:before="0" w:line="240" w:lineRule="auto"/>
              <w:jc w:val="right"/>
              <w:rPr>
                <w:rFonts w:asciiTheme="majorHAnsi" w:hAnsiTheme="majorHAnsi" w:cstheme="minorHAnsi"/>
                <w:i/>
                <w:iCs/>
                <w:sz w:val="18"/>
                <w:szCs w:val="20"/>
              </w:rPr>
            </w:pPr>
            <w:r w:rsidRPr="00AA0674">
              <w:rPr>
                <w:rFonts w:asciiTheme="majorHAnsi" w:hAnsiTheme="majorHAnsi" w:cstheme="minorHAnsi"/>
                <w:i/>
                <w:iCs/>
                <w:sz w:val="18"/>
                <w:szCs w:val="20"/>
              </w:rPr>
              <w:t>152</w:t>
            </w:r>
          </w:p>
        </w:tc>
        <w:tc>
          <w:tcPr>
            <w:tcW w:w="1206" w:type="dxa"/>
            <w:shd w:val="clear" w:color="auto" w:fill="auto"/>
            <w:noWrap/>
            <w:vAlign w:val="center"/>
            <w:hideMark/>
          </w:tcPr>
          <w:p w:rsidR="000C27BF" w:rsidRPr="00AA0674" w:rsidRDefault="000C27BF" w:rsidP="00276062">
            <w:pPr>
              <w:spacing w:before="0" w:line="240" w:lineRule="auto"/>
              <w:jc w:val="center"/>
              <w:rPr>
                <w:rFonts w:asciiTheme="majorHAnsi" w:hAnsiTheme="majorHAnsi" w:cstheme="minorHAnsi"/>
                <w:sz w:val="18"/>
                <w:szCs w:val="20"/>
              </w:rPr>
            </w:pPr>
            <w:r w:rsidRPr="00AA0674">
              <w:rPr>
                <w:rFonts w:asciiTheme="majorHAnsi" w:hAnsiTheme="majorHAnsi" w:cstheme="minorHAnsi"/>
                <w:sz w:val="18"/>
                <w:szCs w:val="20"/>
              </w:rPr>
              <w:t>-7</w:t>
            </w:r>
          </w:p>
        </w:tc>
        <w:tc>
          <w:tcPr>
            <w:tcW w:w="1207" w:type="dxa"/>
            <w:shd w:val="clear" w:color="auto" w:fill="auto"/>
            <w:noWrap/>
            <w:vAlign w:val="center"/>
            <w:hideMark/>
          </w:tcPr>
          <w:p w:rsidR="000C27BF" w:rsidRPr="00AA0674" w:rsidRDefault="000C27BF" w:rsidP="00276062">
            <w:pPr>
              <w:spacing w:before="0" w:line="240" w:lineRule="auto"/>
              <w:jc w:val="center"/>
              <w:rPr>
                <w:rFonts w:asciiTheme="majorHAnsi" w:hAnsiTheme="majorHAnsi" w:cstheme="minorHAnsi"/>
                <w:sz w:val="18"/>
                <w:szCs w:val="20"/>
              </w:rPr>
            </w:pPr>
            <w:r w:rsidRPr="00AA0674">
              <w:rPr>
                <w:rFonts w:asciiTheme="majorHAnsi" w:hAnsiTheme="majorHAnsi" w:cstheme="minorHAnsi"/>
                <w:sz w:val="18"/>
                <w:szCs w:val="20"/>
              </w:rPr>
              <w:t>95%</w:t>
            </w:r>
          </w:p>
        </w:tc>
      </w:tr>
      <w:tr w:rsidR="000C27BF" w:rsidRPr="00AA0674" w:rsidTr="00276062">
        <w:trPr>
          <w:trHeight w:val="250"/>
          <w:jc w:val="center"/>
        </w:trPr>
        <w:tc>
          <w:tcPr>
            <w:tcW w:w="738" w:type="dxa"/>
            <w:shd w:val="clear" w:color="auto" w:fill="auto"/>
            <w:noWrap/>
            <w:vAlign w:val="center"/>
            <w:hideMark/>
          </w:tcPr>
          <w:p w:rsidR="000C27BF" w:rsidRPr="00AA0674" w:rsidRDefault="000C27BF" w:rsidP="00276062">
            <w:pPr>
              <w:spacing w:before="0" w:line="240" w:lineRule="auto"/>
              <w:jc w:val="right"/>
              <w:rPr>
                <w:rFonts w:asciiTheme="majorHAnsi" w:hAnsiTheme="majorHAnsi" w:cstheme="minorHAnsi"/>
                <w:sz w:val="18"/>
                <w:szCs w:val="20"/>
              </w:rPr>
            </w:pPr>
            <w:r w:rsidRPr="00AA0674">
              <w:rPr>
                <w:rFonts w:asciiTheme="majorHAnsi" w:hAnsiTheme="majorHAnsi" w:cstheme="minorHAnsi"/>
                <w:sz w:val="18"/>
                <w:szCs w:val="20"/>
              </w:rPr>
              <w:t> </w:t>
            </w:r>
          </w:p>
        </w:tc>
        <w:tc>
          <w:tcPr>
            <w:tcW w:w="4499" w:type="dxa"/>
            <w:shd w:val="clear" w:color="auto" w:fill="auto"/>
            <w:noWrap/>
            <w:vAlign w:val="center"/>
            <w:hideMark/>
          </w:tcPr>
          <w:p w:rsidR="000C27BF" w:rsidRPr="00AA0674" w:rsidRDefault="000C27BF" w:rsidP="00276062">
            <w:pPr>
              <w:spacing w:before="0" w:line="240" w:lineRule="auto"/>
              <w:jc w:val="left"/>
              <w:rPr>
                <w:rFonts w:asciiTheme="majorHAnsi" w:hAnsiTheme="majorHAnsi" w:cstheme="minorHAnsi"/>
                <w:i/>
                <w:iCs/>
                <w:sz w:val="18"/>
                <w:szCs w:val="20"/>
              </w:rPr>
            </w:pPr>
            <w:r w:rsidRPr="00AA0674">
              <w:rPr>
                <w:rFonts w:asciiTheme="majorHAnsi" w:hAnsiTheme="majorHAnsi" w:cstheme="minorHAnsi"/>
                <w:i/>
                <w:iCs/>
                <w:sz w:val="18"/>
                <w:szCs w:val="20"/>
              </w:rPr>
              <w:t>Te tjera</w:t>
            </w:r>
          </w:p>
        </w:tc>
        <w:tc>
          <w:tcPr>
            <w:tcW w:w="1206" w:type="dxa"/>
            <w:shd w:val="clear" w:color="auto" w:fill="auto"/>
            <w:noWrap/>
            <w:vAlign w:val="center"/>
            <w:hideMark/>
          </w:tcPr>
          <w:p w:rsidR="000C27BF" w:rsidRPr="00AA0674" w:rsidRDefault="000C27BF" w:rsidP="00276062">
            <w:pPr>
              <w:spacing w:before="0" w:line="240" w:lineRule="auto"/>
              <w:jc w:val="right"/>
              <w:rPr>
                <w:rFonts w:asciiTheme="majorHAnsi" w:hAnsiTheme="majorHAnsi" w:cstheme="minorHAnsi"/>
                <w:i/>
                <w:iCs/>
                <w:sz w:val="18"/>
                <w:szCs w:val="20"/>
              </w:rPr>
            </w:pPr>
            <w:r w:rsidRPr="00AA0674">
              <w:rPr>
                <w:rFonts w:asciiTheme="majorHAnsi" w:hAnsiTheme="majorHAnsi" w:cstheme="minorHAnsi"/>
                <w:i/>
                <w:iCs/>
                <w:sz w:val="18"/>
                <w:szCs w:val="20"/>
              </w:rPr>
              <w:t>1,347</w:t>
            </w:r>
          </w:p>
        </w:tc>
        <w:tc>
          <w:tcPr>
            <w:tcW w:w="1207" w:type="dxa"/>
            <w:shd w:val="clear" w:color="auto" w:fill="auto"/>
            <w:noWrap/>
            <w:vAlign w:val="center"/>
            <w:hideMark/>
          </w:tcPr>
          <w:p w:rsidR="000C27BF" w:rsidRPr="00AA0674" w:rsidRDefault="000C27BF" w:rsidP="00276062">
            <w:pPr>
              <w:spacing w:before="0" w:line="240" w:lineRule="auto"/>
              <w:jc w:val="right"/>
              <w:rPr>
                <w:rFonts w:asciiTheme="majorHAnsi" w:hAnsiTheme="majorHAnsi" w:cstheme="minorHAnsi"/>
                <w:i/>
                <w:iCs/>
                <w:sz w:val="18"/>
                <w:szCs w:val="20"/>
              </w:rPr>
            </w:pPr>
            <w:r w:rsidRPr="00AA0674">
              <w:rPr>
                <w:rFonts w:asciiTheme="majorHAnsi" w:hAnsiTheme="majorHAnsi" w:cstheme="minorHAnsi"/>
                <w:i/>
                <w:iCs/>
                <w:sz w:val="18"/>
                <w:szCs w:val="20"/>
              </w:rPr>
              <w:t>1,004</w:t>
            </w:r>
          </w:p>
        </w:tc>
        <w:tc>
          <w:tcPr>
            <w:tcW w:w="1206" w:type="dxa"/>
            <w:shd w:val="clear" w:color="auto" w:fill="auto"/>
            <w:noWrap/>
            <w:vAlign w:val="center"/>
            <w:hideMark/>
          </w:tcPr>
          <w:p w:rsidR="000C27BF" w:rsidRPr="00AA0674" w:rsidRDefault="000C27BF" w:rsidP="00276062">
            <w:pPr>
              <w:spacing w:before="0" w:line="240" w:lineRule="auto"/>
              <w:jc w:val="center"/>
              <w:rPr>
                <w:rFonts w:asciiTheme="majorHAnsi" w:hAnsiTheme="majorHAnsi" w:cstheme="minorHAnsi"/>
                <w:sz w:val="18"/>
                <w:szCs w:val="20"/>
              </w:rPr>
            </w:pPr>
            <w:r w:rsidRPr="00AA0674">
              <w:rPr>
                <w:rFonts w:asciiTheme="majorHAnsi" w:hAnsiTheme="majorHAnsi" w:cstheme="minorHAnsi"/>
                <w:sz w:val="18"/>
                <w:szCs w:val="20"/>
              </w:rPr>
              <w:t>343</w:t>
            </w:r>
          </w:p>
        </w:tc>
        <w:tc>
          <w:tcPr>
            <w:tcW w:w="1207" w:type="dxa"/>
            <w:shd w:val="clear" w:color="auto" w:fill="auto"/>
            <w:noWrap/>
            <w:vAlign w:val="center"/>
            <w:hideMark/>
          </w:tcPr>
          <w:p w:rsidR="000C27BF" w:rsidRPr="00AA0674" w:rsidRDefault="000C27BF" w:rsidP="00276062">
            <w:pPr>
              <w:spacing w:before="0" w:line="240" w:lineRule="auto"/>
              <w:jc w:val="center"/>
              <w:rPr>
                <w:rFonts w:asciiTheme="majorHAnsi" w:hAnsiTheme="majorHAnsi" w:cstheme="minorHAnsi"/>
                <w:sz w:val="18"/>
                <w:szCs w:val="20"/>
              </w:rPr>
            </w:pPr>
            <w:r w:rsidRPr="00AA0674">
              <w:rPr>
                <w:rFonts w:asciiTheme="majorHAnsi" w:hAnsiTheme="majorHAnsi" w:cstheme="minorHAnsi"/>
                <w:sz w:val="18"/>
                <w:szCs w:val="20"/>
              </w:rPr>
              <w:t>134%</w:t>
            </w:r>
          </w:p>
        </w:tc>
      </w:tr>
      <w:tr w:rsidR="000C27BF" w:rsidRPr="00AA0674" w:rsidTr="00276062">
        <w:trPr>
          <w:trHeight w:val="217"/>
          <w:jc w:val="center"/>
        </w:trPr>
        <w:tc>
          <w:tcPr>
            <w:tcW w:w="738" w:type="dxa"/>
            <w:shd w:val="clear" w:color="auto" w:fill="auto"/>
            <w:noWrap/>
            <w:vAlign w:val="center"/>
            <w:hideMark/>
          </w:tcPr>
          <w:p w:rsidR="000C27BF" w:rsidRPr="00AA0674" w:rsidRDefault="000C27BF" w:rsidP="00276062">
            <w:pPr>
              <w:spacing w:before="0" w:line="240" w:lineRule="auto"/>
              <w:jc w:val="right"/>
              <w:rPr>
                <w:rFonts w:asciiTheme="majorHAnsi" w:hAnsiTheme="majorHAnsi" w:cstheme="minorHAnsi"/>
                <w:sz w:val="18"/>
                <w:szCs w:val="20"/>
              </w:rPr>
            </w:pPr>
            <w:r w:rsidRPr="00AA0674">
              <w:rPr>
                <w:rFonts w:asciiTheme="majorHAnsi" w:hAnsiTheme="majorHAnsi" w:cstheme="minorHAnsi"/>
                <w:sz w:val="18"/>
                <w:szCs w:val="20"/>
              </w:rPr>
              <w:t>II.2</w:t>
            </w:r>
          </w:p>
        </w:tc>
        <w:tc>
          <w:tcPr>
            <w:tcW w:w="4499" w:type="dxa"/>
            <w:shd w:val="clear" w:color="auto" w:fill="auto"/>
            <w:noWrap/>
            <w:vAlign w:val="center"/>
            <w:hideMark/>
          </w:tcPr>
          <w:p w:rsidR="000C27BF" w:rsidRPr="00AA0674" w:rsidRDefault="000C27BF" w:rsidP="00276062">
            <w:pPr>
              <w:spacing w:before="0" w:line="240" w:lineRule="auto"/>
              <w:rPr>
                <w:rFonts w:asciiTheme="majorHAnsi" w:hAnsiTheme="majorHAnsi" w:cstheme="minorHAnsi"/>
                <w:b/>
                <w:bCs/>
                <w:i/>
                <w:iCs/>
                <w:sz w:val="18"/>
                <w:szCs w:val="20"/>
              </w:rPr>
            </w:pPr>
            <w:r w:rsidRPr="00AA0674">
              <w:rPr>
                <w:rFonts w:asciiTheme="majorHAnsi" w:hAnsiTheme="majorHAnsi" w:cstheme="minorHAnsi"/>
                <w:b/>
                <w:bCs/>
                <w:i/>
                <w:iCs/>
                <w:sz w:val="18"/>
                <w:szCs w:val="20"/>
              </w:rPr>
              <w:t>Shpenzime Kapitale</w:t>
            </w:r>
          </w:p>
        </w:tc>
        <w:tc>
          <w:tcPr>
            <w:tcW w:w="1206" w:type="dxa"/>
            <w:shd w:val="clear" w:color="auto" w:fill="auto"/>
            <w:noWrap/>
            <w:vAlign w:val="center"/>
            <w:hideMark/>
          </w:tcPr>
          <w:p w:rsidR="000C27BF" w:rsidRPr="00AA0674" w:rsidRDefault="000C27BF" w:rsidP="00276062">
            <w:pPr>
              <w:spacing w:before="0" w:line="240" w:lineRule="auto"/>
              <w:jc w:val="right"/>
              <w:rPr>
                <w:rFonts w:asciiTheme="majorHAnsi" w:hAnsiTheme="majorHAnsi" w:cstheme="minorHAnsi"/>
                <w:sz w:val="18"/>
                <w:szCs w:val="20"/>
              </w:rPr>
            </w:pPr>
            <w:r w:rsidRPr="00AA0674">
              <w:rPr>
                <w:rFonts w:asciiTheme="majorHAnsi" w:hAnsiTheme="majorHAnsi" w:cstheme="minorHAnsi"/>
                <w:sz w:val="18"/>
                <w:szCs w:val="20"/>
              </w:rPr>
              <w:t>11,282</w:t>
            </w:r>
          </w:p>
        </w:tc>
        <w:tc>
          <w:tcPr>
            <w:tcW w:w="1207" w:type="dxa"/>
            <w:shd w:val="clear" w:color="auto" w:fill="auto"/>
            <w:noWrap/>
            <w:vAlign w:val="center"/>
            <w:hideMark/>
          </w:tcPr>
          <w:p w:rsidR="000C27BF" w:rsidRPr="00AA0674" w:rsidRDefault="000C27BF" w:rsidP="00276062">
            <w:pPr>
              <w:spacing w:before="0" w:line="240" w:lineRule="auto"/>
              <w:jc w:val="right"/>
              <w:rPr>
                <w:rFonts w:asciiTheme="majorHAnsi" w:hAnsiTheme="majorHAnsi" w:cstheme="minorHAnsi"/>
                <w:sz w:val="18"/>
                <w:szCs w:val="20"/>
              </w:rPr>
            </w:pPr>
            <w:r w:rsidRPr="00AA0674">
              <w:rPr>
                <w:rFonts w:asciiTheme="majorHAnsi" w:hAnsiTheme="majorHAnsi" w:cstheme="minorHAnsi"/>
                <w:sz w:val="18"/>
                <w:szCs w:val="20"/>
              </w:rPr>
              <w:t>12,912</w:t>
            </w:r>
          </w:p>
        </w:tc>
        <w:tc>
          <w:tcPr>
            <w:tcW w:w="1206" w:type="dxa"/>
            <w:shd w:val="clear" w:color="auto" w:fill="auto"/>
            <w:noWrap/>
            <w:vAlign w:val="center"/>
            <w:hideMark/>
          </w:tcPr>
          <w:p w:rsidR="000C27BF" w:rsidRPr="00AA0674" w:rsidRDefault="000C27BF" w:rsidP="00276062">
            <w:pPr>
              <w:spacing w:before="0" w:line="240" w:lineRule="auto"/>
              <w:jc w:val="center"/>
              <w:rPr>
                <w:rFonts w:asciiTheme="majorHAnsi" w:hAnsiTheme="majorHAnsi" w:cstheme="minorHAnsi"/>
                <w:sz w:val="18"/>
                <w:szCs w:val="20"/>
              </w:rPr>
            </w:pPr>
            <w:r w:rsidRPr="00AA0674">
              <w:rPr>
                <w:rFonts w:asciiTheme="majorHAnsi" w:hAnsiTheme="majorHAnsi" w:cstheme="minorHAnsi"/>
                <w:sz w:val="18"/>
                <w:szCs w:val="20"/>
              </w:rPr>
              <w:t>-1,630</w:t>
            </w:r>
          </w:p>
        </w:tc>
        <w:tc>
          <w:tcPr>
            <w:tcW w:w="1207" w:type="dxa"/>
            <w:shd w:val="clear" w:color="auto" w:fill="auto"/>
            <w:noWrap/>
            <w:vAlign w:val="center"/>
            <w:hideMark/>
          </w:tcPr>
          <w:p w:rsidR="000C27BF" w:rsidRPr="00AA0674" w:rsidRDefault="000C27BF" w:rsidP="00276062">
            <w:pPr>
              <w:spacing w:before="0" w:line="240" w:lineRule="auto"/>
              <w:jc w:val="center"/>
              <w:rPr>
                <w:rFonts w:asciiTheme="majorHAnsi" w:hAnsiTheme="majorHAnsi" w:cstheme="minorHAnsi"/>
                <w:sz w:val="18"/>
                <w:szCs w:val="20"/>
              </w:rPr>
            </w:pPr>
            <w:r w:rsidRPr="00AA0674">
              <w:rPr>
                <w:rFonts w:asciiTheme="majorHAnsi" w:hAnsiTheme="majorHAnsi" w:cstheme="minorHAnsi"/>
                <w:sz w:val="18"/>
                <w:szCs w:val="20"/>
              </w:rPr>
              <w:t>87%</w:t>
            </w:r>
          </w:p>
        </w:tc>
      </w:tr>
    </w:tbl>
    <w:p w:rsidR="000C27BF" w:rsidRDefault="000C27BF" w:rsidP="000C27BF">
      <w:pPr>
        <w:spacing w:before="0"/>
        <w:ind w:firstLine="720"/>
        <w:rPr>
          <w:rFonts w:eastAsia="SimSun" w:cs="Calibri"/>
          <w:i/>
          <w:sz w:val="18"/>
          <w:szCs w:val="18"/>
          <w:lang w:val="sq-AL"/>
        </w:rPr>
      </w:pPr>
      <w:r>
        <w:rPr>
          <w:rFonts w:eastAsia="SimSun" w:cs="Calibri"/>
          <w:i/>
          <w:sz w:val="18"/>
          <w:szCs w:val="18"/>
          <w:lang w:val="sq-AL"/>
        </w:rPr>
        <w:t>Burimi: Ministria e Financave dhe Ekonomisë (2022)</w:t>
      </w:r>
    </w:p>
    <w:p w:rsidR="000C27BF" w:rsidRPr="00476D2E" w:rsidRDefault="000C27BF" w:rsidP="000C27BF">
      <w:pPr>
        <w:rPr>
          <w:rFonts w:eastAsia="MS Mincho" w:cs="Calibri"/>
          <w:lang w:val="sq-AL"/>
        </w:rPr>
      </w:pPr>
      <w:r w:rsidRPr="00476D2E">
        <w:rPr>
          <w:rFonts w:eastAsia="MS Mincho" w:cs="Calibri"/>
          <w:i/>
          <w:u w:val="single"/>
          <w:lang w:val="sq-AL"/>
        </w:rPr>
        <w:t>Shpenzimet vendore të personelit</w:t>
      </w:r>
      <w:r w:rsidRPr="00476D2E">
        <w:rPr>
          <w:rFonts w:eastAsia="MS Mincho" w:cs="Calibri"/>
          <w:lang w:val="sq-AL"/>
        </w:rPr>
        <w:t xml:space="preserve"> </w:t>
      </w:r>
      <w:r w:rsidRPr="00AC7391">
        <w:rPr>
          <w:rFonts w:eastAsia="MS Mincho" w:cs="Calibri"/>
          <w:lang w:val="sq-AL"/>
        </w:rPr>
        <w:t>përbëjnë një pjesë të konsiderueshme të shpenzimeve totale të NJVQV. Për vitin 2021, këto shpenzime janë realizuar në masën 24.1 miliard lekë, që rezulton në rritje prej 8% ose rreth 1.7 miliard lekë më shumë se viti 2020. Rritja e shpenzimeve të personelit nga njësitë e vetëqeverisjes vendore nuk përbën ndryshim të ndjeshëm, por është një trend natyror i rritjes që njësitë vendore realizojnë me qëllim rritjen e cilësisë së shërbimeve. Këto shpenzime për vitin 2021 zënë rreth 46% të totalit të shpenzimeve të pushetit vendor, trend i cili ka qënë brenda një intervali thuajse të qëndrueshëm, krahasuar edhe me vitet paraardhëse. Me rritjen e kompetencave që pushteti vendor ka për të ushtruar në shërbim të qytetarëve, ka lindur nevoja për rritjen e personelit në funksion të mbulimit me shërbime cilësore ndaj qytetarëve</w:t>
      </w:r>
      <w:r w:rsidRPr="00476D2E">
        <w:rPr>
          <w:rFonts w:eastAsia="MS Mincho" w:cs="Calibri"/>
          <w:lang w:val="sq-AL"/>
        </w:rPr>
        <w:t>.</w:t>
      </w:r>
    </w:p>
    <w:p w:rsidR="000C27BF" w:rsidRPr="00476D2E" w:rsidRDefault="000C27BF" w:rsidP="000C27BF">
      <w:pPr>
        <w:rPr>
          <w:rFonts w:eastAsia="MS Mincho" w:cs="Calibri"/>
          <w:lang w:val="sq-AL"/>
        </w:rPr>
      </w:pPr>
      <w:r w:rsidRPr="00476D2E">
        <w:rPr>
          <w:rFonts w:eastAsia="MS Mincho" w:cs="Calibri"/>
          <w:i/>
          <w:u w:val="single"/>
          <w:lang w:val="sq-AL"/>
        </w:rPr>
        <w:t>Shpenzimet vendore operative</w:t>
      </w:r>
      <w:r w:rsidRPr="00476D2E">
        <w:rPr>
          <w:rFonts w:eastAsia="MS Mincho" w:cs="Calibri"/>
          <w:lang w:val="sq-AL"/>
        </w:rPr>
        <w:t xml:space="preserve"> </w:t>
      </w:r>
      <w:r w:rsidRPr="00AC7391">
        <w:rPr>
          <w:rFonts w:eastAsia="MS Mincho" w:cs="Calibri"/>
          <w:lang w:val="sq-AL"/>
        </w:rPr>
        <w:t>janë shumë të rëndësishme për mbarëvajtjen dhe ushtrimin e funksioneve. Për vitin 2021, këto shpenzime janë realizuar në masën 15,7 miliard lekë dhe rezultojnë më një rritje të lehtë prej 4% në raport me një vit më parë ose rreth 533 milion lekë. Shpenzimet operative përbëjnë rreth 30% të shpenzimeve të pushtetit vendor për vitin 2021, trend i cili është i njëjtë në raport me vitin 2020 (</w:t>
      </w:r>
      <w:r w:rsidRPr="006C5937">
        <w:rPr>
          <w:rFonts w:eastAsia="MS Mincho" w:cs="Calibri"/>
          <w:i/>
          <w:lang w:val="sq-AL"/>
        </w:rPr>
        <w:t>vetëm me rritje rreth 0.5% në përqindje ndaj shpenzimeve të përgjithshme vendore</w:t>
      </w:r>
      <w:r w:rsidRPr="00AC7391">
        <w:rPr>
          <w:rFonts w:eastAsia="MS Mincho" w:cs="Calibri"/>
          <w:lang w:val="sq-AL"/>
        </w:rPr>
        <w:t>)</w:t>
      </w:r>
      <w:r w:rsidRPr="00476D2E">
        <w:rPr>
          <w:rFonts w:eastAsia="MS Mincho" w:cs="Calibri"/>
          <w:lang w:val="sq-AL"/>
        </w:rPr>
        <w:t>.</w:t>
      </w:r>
    </w:p>
    <w:p w:rsidR="000C27BF" w:rsidRPr="00476D2E" w:rsidRDefault="000C27BF" w:rsidP="000C27BF">
      <w:pPr>
        <w:rPr>
          <w:rFonts w:eastAsia="MS Mincho" w:cs="Calibri"/>
          <w:lang w:val="sq-AL"/>
        </w:rPr>
      </w:pPr>
      <w:r w:rsidRPr="00476D2E">
        <w:rPr>
          <w:rFonts w:eastAsia="MS Mincho" w:cs="Calibri"/>
          <w:i/>
          <w:u w:val="single"/>
          <w:lang w:val="sq-AL"/>
        </w:rPr>
        <w:t>Shpenzimet vendore për subvencione dhe të tjera</w:t>
      </w:r>
      <w:r w:rsidRPr="00476D2E">
        <w:rPr>
          <w:rFonts w:eastAsia="MS Mincho" w:cs="Calibri"/>
          <w:lang w:val="sq-AL"/>
        </w:rPr>
        <w:t xml:space="preserve"> </w:t>
      </w:r>
      <w:r w:rsidRPr="00AC7391">
        <w:rPr>
          <w:rFonts w:eastAsia="MS Mincho" w:cs="Calibri"/>
          <w:lang w:val="sq-AL"/>
        </w:rPr>
        <w:t>janë shpenzimet që zhvillojnë NJVQV për të subvencionuar dhe mbuluar funksione të tjera administrative, të cilat në vitin 2021 kanë pësuar një rënie me rreth 7 milion lekë, ndërkohë që në përqindje janë në të njëjtin nivel me vitin 2020 në raport me shpenzimet e përgjithshme vendore. Tashmë njësitë vendore duhet të planifikojnë në periudhë afatgjatë dhe mbështetur mbi strategji të qarta zhvillimi dhe ofrimi të shërbimit publik, që në mënyrë vazhdueshme të mbështesin me subvencione zhvillimin ekonomik të zonës nën juridiksionin e tyre</w:t>
      </w:r>
      <w:r w:rsidRPr="00476D2E">
        <w:rPr>
          <w:rFonts w:eastAsia="MS Mincho" w:cs="Calibri"/>
          <w:lang w:val="sq-AL"/>
        </w:rPr>
        <w:t>.</w:t>
      </w:r>
    </w:p>
    <w:p w:rsidR="000C27BF" w:rsidRDefault="000C27BF" w:rsidP="000C27BF">
      <w:pPr>
        <w:rPr>
          <w:rFonts w:eastAsia="MS Mincho" w:cs="Calibri"/>
          <w:lang w:val="sq-AL"/>
        </w:rPr>
      </w:pPr>
      <w:r w:rsidRPr="00476D2E">
        <w:rPr>
          <w:rFonts w:eastAsia="MS Mincho" w:cs="Calibri"/>
          <w:i/>
          <w:u w:val="single"/>
          <w:lang w:val="sq-AL"/>
        </w:rPr>
        <w:t>Shpenzimet kapitale vendore</w:t>
      </w:r>
      <w:r w:rsidRPr="00476D2E">
        <w:rPr>
          <w:rFonts w:eastAsia="MS Mincho" w:cs="Calibri"/>
          <w:lang w:val="sq-AL"/>
        </w:rPr>
        <w:t xml:space="preserve"> </w:t>
      </w:r>
      <w:r w:rsidRPr="00AC7391">
        <w:rPr>
          <w:rFonts w:eastAsia="MS Mincho" w:cs="Calibri"/>
          <w:lang w:val="sq-AL"/>
        </w:rPr>
        <w:t>rezultojnë në një vlerë të konsiderueshme prej rreth 11.3 miliard lekë, ose 21.5% të totalit të shpenzimeve të pushtetit vendor. Ndërkohë, që sipas të dhënave shpenzimet për investime janë ato që kanë pësuar rënien më të madhe krahasuar me vitin 2020 me rreth 1.6 miliard lekë më pak</w:t>
      </w:r>
      <w:r w:rsidRPr="00476D2E">
        <w:rPr>
          <w:rFonts w:eastAsia="MS Mincho" w:cs="Calibri"/>
          <w:lang w:val="sq-AL"/>
        </w:rPr>
        <w:t xml:space="preserve">. </w:t>
      </w:r>
    </w:p>
    <w:p w:rsidR="006C5937" w:rsidRPr="006C5937" w:rsidRDefault="000C27BF" w:rsidP="000C27BF">
      <w:pPr>
        <w:rPr>
          <w:rFonts w:eastAsia="MS Mincho" w:cs="Calibri"/>
          <w:lang w:val="sq-AL"/>
        </w:rPr>
      </w:pPr>
      <w:r w:rsidRPr="006C5937">
        <w:rPr>
          <w:rFonts w:eastAsia="MS Mincho" w:cs="Calibri"/>
          <w:lang w:val="sq-AL"/>
        </w:rPr>
        <w:t>Në përgjithësi për vitin 2021 vlen të theksohet fakti që për të ardhurat kryesore, treguesit e vitit 2021 krahasuar me vitin 2020 janë të gjithë në rritje, duke shënuar kështu rikuperim e duke treguar rimëkëmbje të ekonomisë brenda një periudhe një vjeçare, me efekte pozitive në përballimin e  problematikave të krijuara një vit më parë si pasojë e ngjarjeve së jashtëzakonshme të krijuar nga pandemia dhe tërmeti</w:t>
      </w:r>
    </w:p>
    <w:p w:rsidR="002C4FAF" w:rsidRPr="00D06183" w:rsidRDefault="002C4FAF" w:rsidP="009A526E">
      <w:pPr>
        <w:rPr>
          <w:rFonts w:eastAsia="MS Mincho" w:cs="Calibri"/>
          <w:sz w:val="16"/>
          <w:lang w:val="sq-AL"/>
        </w:rPr>
      </w:pPr>
    </w:p>
    <w:p w:rsidR="00EB1E75" w:rsidRDefault="00EB1E75" w:rsidP="00D06183">
      <w:pPr>
        <w:spacing w:before="0"/>
        <w:rPr>
          <w:rFonts w:eastAsia="SimSun" w:cs="Calibri"/>
          <w:i/>
          <w:sz w:val="18"/>
          <w:lang w:val="sq-AL"/>
        </w:rPr>
      </w:pPr>
    </w:p>
    <w:p w:rsidR="00A94670" w:rsidRPr="00AA0674" w:rsidRDefault="005F1700" w:rsidP="006960DB">
      <w:pPr>
        <w:pStyle w:val="Fiskale1"/>
        <w:rPr>
          <w:rFonts w:ascii="Calibri" w:hAnsi="Calibri" w:cs="Calibri"/>
        </w:rPr>
      </w:pPr>
      <w:bookmarkStart w:id="168" w:name="_Toc10033282"/>
      <w:bookmarkStart w:id="169" w:name="_Toc10721419"/>
      <w:bookmarkStart w:id="170" w:name="_Toc104980341"/>
      <w:r w:rsidRPr="00AA0674">
        <w:rPr>
          <w:rFonts w:ascii="Calibri" w:hAnsi="Calibri" w:cs="Calibri"/>
        </w:rPr>
        <w:lastRenderedPageBreak/>
        <w:t>MENAXHIMI I BORXHIT PUBLI</w:t>
      </w:r>
      <w:bookmarkEnd w:id="168"/>
      <w:bookmarkEnd w:id="169"/>
      <w:r w:rsidRPr="00AA0674">
        <w:rPr>
          <w:rFonts w:ascii="Calibri" w:hAnsi="Calibri" w:cs="Calibri"/>
        </w:rPr>
        <w:t>K</w:t>
      </w:r>
      <w:bookmarkEnd w:id="170"/>
    </w:p>
    <w:p w:rsidR="00FD1603" w:rsidRPr="00FD1603" w:rsidRDefault="00A5095F" w:rsidP="00FD1603">
      <w:pPr>
        <w:shd w:val="clear" w:color="auto" w:fill="FFFFFF"/>
        <w:tabs>
          <w:tab w:val="left" w:pos="8647"/>
          <w:tab w:val="left" w:pos="8789"/>
        </w:tabs>
        <w:ind w:right="-46"/>
        <w:rPr>
          <w:rFonts w:asciiTheme="majorHAnsi" w:eastAsia="Calibri" w:hAnsiTheme="majorHAnsi"/>
          <w:noProof/>
          <w:lang w:eastAsia="ja-JP"/>
        </w:rPr>
      </w:pPr>
      <w:bookmarkStart w:id="171" w:name="_Toc10033283"/>
      <w:bookmarkStart w:id="172" w:name="_Toc10721420"/>
      <w:bookmarkStart w:id="173" w:name="_GoBack"/>
      <w:r w:rsidRPr="00FD1603">
        <w:rPr>
          <w:rFonts w:asciiTheme="majorHAnsi" w:hAnsiTheme="majorHAnsi" w:cs="Calibri"/>
          <w:i/>
          <w:szCs w:val="22"/>
          <w:lang w:val="sq-AL"/>
        </w:rPr>
        <w:t>Borxhi publik</w:t>
      </w:r>
      <w:r w:rsidRPr="00FD1603">
        <w:rPr>
          <w:rFonts w:asciiTheme="majorHAnsi" w:hAnsiTheme="majorHAnsi" w:cs="Calibri"/>
          <w:szCs w:val="22"/>
          <w:lang w:val="sq-AL"/>
        </w:rPr>
        <w:t xml:space="preserve"> gjatë vitit 202</w:t>
      </w:r>
      <w:r w:rsidR="005B5BD5">
        <w:rPr>
          <w:rFonts w:asciiTheme="majorHAnsi" w:hAnsiTheme="majorHAnsi" w:cs="Calibri"/>
          <w:szCs w:val="22"/>
          <w:lang w:val="sq-AL"/>
        </w:rPr>
        <w:t>1</w:t>
      </w:r>
      <w:r w:rsidRPr="00FD1603">
        <w:rPr>
          <w:rFonts w:asciiTheme="majorHAnsi" w:hAnsiTheme="majorHAnsi" w:cs="Calibri"/>
          <w:szCs w:val="22"/>
          <w:lang w:val="sq-AL"/>
        </w:rPr>
        <w:t xml:space="preserve"> </w:t>
      </w:r>
      <w:r w:rsidR="00FD1603" w:rsidRPr="00FD1603">
        <w:rPr>
          <w:rFonts w:asciiTheme="majorHAnsi" w:eastAsia="Calibri" w:hAnsiTheme="majorHAnsi"/>
          <w:noProof/>
          <w:lang w:eastAsia="ja-JP"/>
        </w:rPr>
        <w:t>përgjithësisht u karakterizua nga një ecuri pozitive, duke qenë në përputhje me objektivat makro-fiskale, buxhetin e planifikuar për vitin 2021 dhe objektivat e Strategjisë Afatmesme të Menaxhimit të Borxhit</w:t>
      </w:r>
      <w:r w:rsidR="00FD1603" w:rsidRPr="00FD1603">
        <w:rPr>
          <w:rFonts w:asciiTheme="majorHAnsi" w:eastAsia="Calibri" w:hAnsiTheme="majorHAnsi"/>
          <w:i/>
          <w:noProof/>
          <w:lang w:eastAsia="ja-JP"/>
        </w:rPr>
        <w:t xml:space="preserve">. </w:t>
      </w:r>
      <w:r w:rsidR="00FD1603" w:rsidRPr="00FD1603">
        <w:rPr>
          <w:rFonts w:asciiTheme="majorHAnsi" w:eastAsia="Calibri" w:hAnsiTheme="majorHAnsi"/>
          <w:noProof/>
          <w:lang w:eastAsia="ja-JP"/>
        </w:rPr>
        <w:t>Në fund të vitit 2021, borxhi publik u vlerësua në nivelin 1,383.0 miliard Lekë ose 73.2% e PBB. Rishikimi i projeksioneve për rritjen nominale të rritjes ekonomike ka sjellë një rishikim dhe të treguesit të borxhit ndaj PBB, kur për vitin 2021 borxhi u vlerësua në nivelin 73.2% e PBB, nga 78.1% që ishte sipas parashikimeve të Ministrisë së Financave dhe Ekonomisë me PBB fillestare. Në vitet në vijim, duke filluar nga viti 2022 raporti i borxhit publik ndaj PBB do të planifikohet më i ulët se niveli i vlerësuar për vitin pararendës, deri atëherë kur niveli borxhit të arrijë dhe qëndrojë poshtë nivelit 45% e PBB.</w:t>
      </w:r>
    </w:p>
    <w:p w:rsidR="00FD1603" w:rsidRPr="00FD1603" w:rsidRDefault="00FD1603" w:rsidP="00FD1603">
      <w:pPr>
        <w:tabs>
          <w:tab w:val="left" w:pos="8789"/>
        </w:tabs>
        <w:ind w:right="-188"/>
        <w:rPr>
          <w:rFonts w:asciiTheme="majorHAnsi" w:hAnsiTheme="majorHAnsi"/>
          <w:noProof/>
        </w:rPr>
      </w:pPr>
      <w:r w:rsidRPr="00FD1603">
        <w:rPr>
          <w:rFonts w:asciiTheme="majorHAnsi" w:hAnsiTheme="majorHAnsi"/>
          <w:noProof/>
        </w:rPr>
        <w:t>Nevojat për hua vijuan të jenë të larta në krahasim me periudha të zakonshme, si rezultat i situatës së krijuar pas tërmetit të vitit 2019, pandemisë Covid-19, si dhe nevojës për të stimuluar rimëkëmbjen e ekonomisë pas rënies së madhe që pati në vitin 2020. Pavarësisht nevojave për financim të rritura, huamarrja ka arritur të përmbushë plotësisht nevojat buxhetore, si edhe të gjitha nevojat që burojnë nga detyrimet e borxhit ekzistues.</w:t>
      </w:r>
      <w:r w:rsidRPr="00FD1603">
        <w:rPr>
          <w:rFonts w:asciiTheme="majorHAnsi" w:hAnsiTheme="majorHAnsi"/>
          <w:sz w:val="20"/>
        </w:rPr>
        <w:t xml:space="preserve"> </w:t>
      </w:r>
      <w:r w:rsidRPr="00FD1603">
        <w:rPr>
          <w:rFonts w:asciiTheme="majorHAnsi" w:hAnsiTheme="majorHAnsi"/>
          <w:noProof/>
        </w:rPr>
        <w:t>Huamarrja në terma bruto u realizua në vlerën 481.2 miliard Lekë, nga të cilat 71.7% (ose 345.1 miliard Lekë) u financuan nëpërmjet burimeve të brendshme dhe 28.3% (ose 136.1 miliard Lekë) nëpërmjet burimeve të huaja.</w:t>
      </w:r>
    </w:p>
    <w:p w:rsidR="00FD1603" w:rsidRPr="00FD1603" w:rsidRDefault="00FD1603" w:rsidP="00FD1603">
      <w:pPr>
        <w:autoSpaceDE w:val="0"/>
        <w:autoSpaceDN w:val="0"/>
        <w:adjustRightInd w:val="0"/>
        <w:ind w:right="-46"/>
        <w:rPr>
          <w:rFonts w:asciiTheme="majorHAnsi" w:hAnsiTheme="majorHAnsi"/>
          <w:noProof/>
          <w:color w:val="000000"/>
          <w:szCs w:val="23"/>
        </w:rPr>
      </w:pPr>
      <w:r w:rsidRPr="00FD1603">
        <w:rPr>
          <w:rFonts w:asciiTheme="majorHAnsi" w:hAnsiTheme="majorHAnsi"/>
          <w:noProof/>
        </w:rPr>
        <w:t xml:space="preserve">Kushtet e favorshme në tregjet e brendshme dhe të jashtme përsa i përket kërkesës për borxh si dhe mjedisi i favorshëm i normave të interesit, shoqëruar me një strategji huamarrje të mbështetur kryesisht në titujt afatgjatë me norma interesi fikse, mundësuan reduktimin e mëtejshëm të ekspozimit ndaj risqeve si edhe mbajtjen e kostos nën kontrroll. </w:t>
      </w:r>
      <w:r w:rsidRPr="00FD1603">
        <w:rPr>
          <w:rFonts w:asciiTheme="majorHAnsi" w:hAnsiTheme="majorHAnsi"/>
          <w:noProof/>
          <w:color w:val="000000"/>
          <w:szCs w:val="23"/>
        </w:rPr>
        <w:t>Kosto për njësi e portofolit të borxhit shtetëror ka vazhduar tendencën rënëse, ku kosto mesatare e borxhit të jashtëm ka pësuar një ulje me rreth 0.31 pp dhe kosto mesatare e borxhit të brendshëm është ulur me 0.12 pp. Ulja e kostos mesatare të borxhit të brendshëm ka ardhur kryesisht si rezultat i normave të interesit në nivele ende të ulëta në tregun e brendshëm gjatë vitit 2021, shoqëruar me rifinancimin e borxhit që maturohet (</w:t>
      </w:r>
      <w:r w:rsidRPr="00FD1603">
        <w:rPr>
          <w:rFonts w:asciiTheme="majorHAnsi" w:hAnsiTheme="majorHAnsi"/>
          <w:i/>
          <w:noProof/>
          <w:color w:val="000000"/>
          <w:szCs w:val="23"/>
        </w:rPr>
        <w:t>kryesisht atij afatgjatë</w:t>
      </w:r>
      <w:r w:rsidRPr="00FD1603">
        <w:rPr>
          <w:rFonts w:asciiTheme="majorHAnsi" w:hAnsiTheme="majorHAnsi"/>
          <w:noProof/>
          <w:color w:val="000000"/>
          <w:szCs w:val="23"/>
        </w:rPr>
        <w:t xml:space="preserve">) me borxh më pak të kushtueshëm. </w:t>
      </w:r>
    </w:p>
    <w:p w:rsidR="00FD1603" w:rsidRPr="00FD1603" w:rsidRDefault="00FD1603" w:rsidP="00FD1603">
      <w:pPr>
        <w:shd w:val="clear" w:color="auto" w:fill="FFFFFF"/>
        <w:tabs>
          <w:tab w:val="left" w:pos="8647"/>
          <w:tab w:val="left" w:pos="8789"/>
        </w:tabs>
        <w:ind w:right="-46"/>
        <w:rPr>
          <w:rFonts w:asciiTheme="majorHAnsi" w:hAnsiTheme="majorHAnsi"/>
          <w:noProof/>
          <w:szCs w:val="23"/>
        </w:rPr>
      </w:pPr>
      <w:r w:rsidRPr="00FD1603">
        <w:rPr>
          <w:rFonts w:asciiTheme="majorHAnsi" w:eastAsia="Calibri" w:hAnsiTheme="majorHAnsi"/>
          <w:noProof/>
          <w:lang w:eastAsia="ja-JP"/>
        </w:rPr>
        <w:t xml:space="preserve">Në përputhje me objektivat e Strategjisë Afatmesme të Menaxhimit të Borxhit, gjatë vitit 2021 u vijua me aktivitete në drejtim të zhvillimit të tregut të titujve shtetërorë. </w:t>
      </w:r>
      <w:r w:rsidRPr="00FD1603">
        <w:rPr>
          <w:rFonts w:asciiTheme="majorHAnsi" w:hAnsiTheme="majorHAnsi"/>
          <w:noProof/>
          <w:color w:val="000000"/>
          <w:szCs w:val="23"/>
        </w:rPr>
        <w:t>Në vazhdim të angazhimit të ndërmarrë në lidhje me përmirësimin e mëtejshëm të tregut primar dhe zhvillimin e tregut sekondar të titujve shtetërorë, përgjatë këtij viti është vijuar me praktikat që kontribuojnë në krijimin e madhësive referencë dhe konsolidimin e kurbës së yield-it.</w:t>
      </w:r>
      <w:r w:rsidRPr="00FD1603">
        <w:rPr>
          <w:rFonts w:asciiTheme="majorHAnsi" w:hAnsiTheme="majorHAnsi"/>
          <w:noProof/>
          <w:szCs w:val="23"/>
        </w:rPr>
        <w:t xml:space="preserve"> Kërkesa për tituj shtetërorë, megjithëse mbetet ende jo shumë e diversifikuar dhe e bazuar kryesisht tek sektori bankar, gjatë vitit 2021 ka qenë e kënaqshme dhe ka mbuluar plotësisht nevojat e qeverisë për huamarrje të brendshme, edhe pse nevojat edhe këtë vit kanë qenë të larta krahasuar me një vit normal. </w:t>
      </w:r>
    </w:p>
    <w:p w:rsidR="00FD1603" w:rsidRPr="00FD1603" w:rsidRDefault="00FD1603" w:rsidP="00FD1603">
      <w:pPr>
        <w:ind w:right="-46"/>
        <w:rPr>
          <w:rFonts w:asciiTheme="majorHAnsi" w:hAnsiTheme="majorHAnsi"/>
        </w:rPr>
      </w:pPr>
      <w:r w:rsidRPr="00FD1603">
        <w:rPr>
          <w:rFonts w:asciiTheme="majorHAnsi" w:hAnsiTheme="majorHAnsi"/>
        </w:rPr>
        <w:t>Gjatë vitit 2021, normat e interesit në tregun e letrave me vlerë kanë shënuar ulje krahasuar me ato të vitit 2020, pavarësisht nga nevoja e lartë për financim. Normat e interesit të instrumenteve me maturitet më të gjatë (5Vj, 7Vj dhe 10Vj) kanë qenë më të ulta se vitin e kaluar. Instrumentat afatshkurtër, bonot e thesarit kanë pësuar gjithashtu një ulje të lehtë të normës. Instrumentat me maturitet afatmesëm (2VJ dhe 3VJ) gjatë 2021 kanë shfaqur norma lehtësisht më të larta krahasur me ato të vitit 2020. Gjithashtu në muajin tetor të vitit 2021 është prezantuar për herë të parë obligacioni 15 vjeçar me një normë interesi 5.88%.</w:t>
      </w:r>
    </w:p>
    <w:bookmarkEnd w:id="173"/>
    <w:p w:rsidR="000964B4" w:rsidRDefault="000964B4" w:rsidP="000964B4">
      <w:pPr>
        <w:spacing w:before="0"/>
        <w:rPr>
          <w:rFonts w:cs="Calibri"/>
          <w:lang w:val="sq-AL"/>
        </w:rPr>
      </w:pPr>
    </w:p>
    <w:p w:rsidR="000964B4" w:rsidRPr="001D35B2" w:rsidRDefault="000964B4" w:rsidP="000964B4">
      <w:pPr>
        <w:spacing w:before="0"/>
        <w:rPr>
          <w:rFonts w:cs="Calibri"/>
          <w:lang w:val="sq-AL"/>
        </w:rPr>
      </w:pPr>
      <w:r w:rsidRPr="001D35B2">
        <w:rPr>
          <w:rFonts w:cs="Calibri"/>
          <w:lang w:val="sq-AL"/>
        </w:rPr>
        <w:t xml:space="preserve">Informacion </w:t>
      </w:r>
      <w:r>
        <w:rPr>
          <w:rFonts w:cs="Calibri"/>
          <w:lang w:val="sq-AL"/>
        </w:rPr>
        <w:t xml:space="preserve">më të detajuar dhe </w:t>
      </w:r>
      <w:r w:rsidRPr="001D35B2">
        <w:rPr>
          <w:rFonts w:cs="Calibri"/>
          <w:lang w:val="sq-AL"/>
        </w:rPr>
        <w:t>gjith</w:t>
      </w:r>
      <w:r>
        <w:rPr>
          <w:rFonts w:cs="Calibri"/>
          <w:lang w:val="sq-AL"/>
        </w:rPr>
        <w:t>ë</w:t>
      </w:r>
      <w:r w:rsidRPr="001D35B2">
        <w:rPr>
          <w:rFonts w:cs="Calibri"/>
          <w:lang w:val="sq-AL"/>
        </w:rPr>
        <w:t>p</w:t>
      </w:r>
      <w:r>
        <w:rPr>
          <w:rFonts w:cs="Calibri"/>
          <w:lang w:val="sq-AL"/>
        </w:rPr>
        <w:t>ë</w:t>
      </w:r>
      <w:r w:rsidRPr="001D35B2">
        <w:rPr>
          <w:rFonts w:cs="Calibri"/>
          <w:lang w:val="sq-AL"/>
        </w:rPr>
        <w:t>rfshir</w:t>
      </w:r>
      <w:r>
        <w:rPr>
          <w:rFonts w:cs="Calibri"/>
          <w:lang w:val="sq-AL"/>
        </w:rPr>
        <w:t>ë</w:t>
      </w:r>
      <w:r w:rsidRPr="001D35B2">
        <w:rPr>
          <w:rFonts w:cs="Calibri"/>
          <w:lang w:val="sq-AL"/>
        </w:rPr>
        <w:t>s</w:t>
      </w:r>
      <w:r>
        <w:rPr>
          <w:rFonts w:cs="Calibri"/>
          <w:lang w:val="sq-AL"/>
        </w:rPr>
        <w:t xml:space="preserve"> për këtë qëllim, do të gjeni në “</w:t>
      </w:r>
      <w:r w:rsidRPr="000964B4">
        <w:rPr>
          <w:rFonts w:cs="Calibri"/>
          <w:b/>
          <w:lang w:val="sq-AL"/>
        </w:rPr>
        <w:t>Raporti</w:t>
      </w:r>
      <w:r>
        <w:rPr>
          <w:rFonts w:cs="Calibri"/>
          <w:b/>
          <w:lang w:val="sq-AL"/>
        </w:rPr>
        <w:t>n</w:t>
      </w:r>
      <w:r w:rsidRPr="000964B4">
        <w:rPr>
          <w:rFonts w:cs="Calibri"/>
          <w:b/>
          <w:lang w:val="sq-AL"/>
        </w:rPr>
        <w:t xml:space="preserve"> per Borxhin Publik dhe përbërjen e tij, për vitin 2021</w:t>
      </w:r>
      <w:r>
        <w:rPr>
          <w:rFonts w:cs="Calibri"/>
          <w:b/>
          <w:lang w:val="sq-AL"/>
        </w:rPr>
        <w:t>”</w:t>
      </w:r>
      <w:r>
        <w:rPr>
          <w:rFonts w:cs="Calibri"/>
          <w:lang w:val="sq-AL"/>
        </w:rPr>
        <w:t xml:space="preserve"> që i bashkëlidhet këtij relacioni.</w:t>
      </w:r>
      <w:r w:rsidRPr="001D35B2">
        <w:rPr>
          <w:rFonts w:cs="Calibri"/>
          <w:lang w:val="sq-AL"/>
        </w:rPr>
        <w:t xml:space="preserve"> </w:t>
      </w:r>
    </w:p>
    <w:p w:rsidR="00CF660F" w:rsidRPr="00FD1603" w:rsidRDefault="00CF660F" w:rsidP="00FD1603">
      <w:pPr>
        <w:tabs>
          <w:tab w:val="left" w:pos="2730"/>
        </w:tabs>
        <w:spacing w:line="240" w:lineRule="auto"/>
        <w:rPr>
          <w:rFonts w:asciiTheme="majorHAnsi" w:hAnsiTheme="majorHAnsi" w:cs="Calibri"/>
          <w:szCs w:val="22"/>
          <w:lang w:val="sq-AL"/>
        </w:rPr>
      </w:pPr>
    </w:p>
    <w:p w:rsidR="00A94670" w:rsidRPr="00F969E2" w:rsidRDefault="008F621A" w:rsidP="006960DB">
      <w:pPr>
        <w:pStyle w:val="Fiskale1"/>
        <w:rPr>
          <w:rFonts w:ascii="Calibri" w:hAnsi="Calibri" w:cs="Calibri"/>
        </w:rPr>
      </w:pPr>
      <w:bookmarkStart w:id="174" w:name="_Toc104980342"/>
      <w:r w:rsidRPr="00F969E2">
        <w:rPr>
          <w:rFonts w:ascii="Calibri" w:hAnsi="Calibri" w:cs="Calibri"/>
        </w:rPr>
        <w:lastRenderedPageBreak/>
        <w:t>RREZIQET FISKALE DHE DETYRIMET KONTIGJENTE</w:t>
      </w:r>
      <w:bookmarkEnd w:id="171"/>
      <w:bookmarkEnd w:id="172"/>
      <w:bookmarkEnd w:id="174"/>
      <w:r w:rsidRPr="00F969E2">
        <w:rPr>
          <w:rFonts w:ascii="Calibri" w:hAnsi="Calibri" w:cs="Calibri"/>
        </w:rPr>
        <w:t xml:space="preserve"> </w:t>
      </w:r>
    </w:p>
    <w:p w:rsidR="001C245C" w:rsidRPr="00476D2E" w:rsidRDefault="001C245C" w:rsidP="001C245C">
      <w:pPr>
        <w:spacing w:before="240"/>
        <w:rPr>
          <w:rFonts w:cs="Calibri"/>
          <w:lang w:val="sq-AL"/>
        </w:rPr>
      </w:pPr>
      <w:r w:rsidRPr="00476D2E">
        <w:rPr>
          <w:rFonts w:cs="Calibri"/>
          <w:lang w:val="sq-AL"/>
        </w:rPr>
        <w:t xml:space="preserve">Me qëllim ndjekjen e performancës të zbatimit të buxhetit të shtetit, Ministria e Financave dhe Ekonomisë me mbështetjen e FMN dhe BB që prej vitit 2017 ka </w:t>
      </w:r>
      <w:r w:rsidR="002E4773" w:rsidRPr="00476D2E">
        <w:rPr>
          <w:rFonts w:cs="Calibri"/>
          <w:lang w:val="sq-AL"/>
        </w:rPr>
        <w:t>nisur</w:t>
      </w:r>
      <w:r w:rsidRPr="00476D2E">
        <w:rPr>
          <w:rFonts w:cs="Calibri"/>
          <w:lang w:val="sq-AL"/>
        </w:rPr>
        <w:t xml:space="preserve"> monitorimin e risqeve që shoqërojnë zbatimin e tij. Ky proces ka për qëllim që, në bazë të analizave të thelluara, të rekomandojë zbutjen dhe/apo parandalimin në kohë të rreziqeve fiskale, pasuar nga një vendimarrje k</w:t>
      </w:r>
      <w:r w:rsidR="00560062" w:rsidRPr="00476D2E">
        <w:rPr>
          <w:rFonts w:cs="Calibri"/>
          <w:lang w:val="sq-AL"/>
        </w:rPr>
        <w:t xml:space="preserve">oherente. </w:t>
      </w:r>
      <w:r w:rsidRPr="00476D2E">
        <w:rPr>
          <w:rFonts w:cs="Calibri"/>
          <w:lang w:val="sq-AL"/>
        </w:rPr>
        <w:t xml:space="preserve">Risqet fiskale janë faktorë që mund të shkaktojnë devijim nga parashikimet fiskale dhe buxhetore gjatë ciklit të buxhetit, si rrjedhojë e disa ngjarjeve të paparashikuara. Ato mund të lindin si pasojë e supozimeve dhe zhvillimeve makroekonomike, vendimeve </w:t>
      </w:r>
      <w:r w:rsidRPr="00476D2E">
        <w:rPr>
          <w:rFonts w:cs="Calibri"/>
          <w:i/>
          <w:lang w:val="sq-AL"/>
        </w:rPr>
        <w:t>ad-hoc</w:t>
      </w:r>
      <w:r w:rsidRPr="00476D2E">
        <w:rPr>
          <w:rFonts w:cs="Calibri"/>
          <w:lang w:val="sq-AL"/>
        </w:rPr>
        <w:t xml:space="preserve"> mbi politikën fiskale dhe/ose materializi</w:t>
      </w:r>
      <w:r w:rsidR="00560062" w:rsidRPr="00476D2E">
        <w:rPr>
          <w:rFonts w:cs="Calibri"/>
          <w:lang w:val="sq-AL"/>
        </w:rPr>
        <w:t xml:space="preserve">min e detyrimeve kontingjente. </w:t>
      </w:r>
      <w:r w:rsidRPr="00476D2E">
        <w:rPr>
          <w:rFonts w:cs="Calibri"/>
          <w:lang w:val="sq-AL"/>
        </w:rPr>
        <w:t xml:space="preserve">Vlerësimi i probabilitetit dhe ndikimit të risqeve fiskale kryhet në bazë të analizave të thelluara dhe parashikimeve në kuadër të Buxhetit </w:t>
      </w:r>
      <w:r w:rsidR="00127C01" w:rsidRPr="00476D2E">
        <w:rPr>
          <w:rFonts w:cs="Calibri"/>
          <w:lang w:val="sq-AL"/>
        </w:rPr>
        <w:t>a</w:t>
      </w:r>
      <w:r w:rsidRPr="00476D2E">
        <w:rPr>
          <w:rFonts w:cs="Calibri"/>
          <w:lang w:val="sq-AL"/>
        </w:rPr>
        <w:t xml:space="preserve">fatmesëm. Përkatësisht vlerësohen </w:t>
      </w:r>
      <w:r w:rsidR="00E61050">
        <w:rPr>
          <w:rFonts w:cs="Calibri"/>
          <w:lang w:val="sq-AL"/>
        </w:rPr>
        <w:t xml:space="preserve">                   </w:t>
      </w:r>
      <w:r w:rsidRPr="00476D2E">
        <w:rPr>
          <w:rFonts w:cs="Calibri"/>
          <w:u w:val="single"/>
          <w:lang w:val="sq-AL"/>
        </w:rPr>
        <w:t>dy kategori risqesh</w:t>
      </w:r>
      <w:r w:rsidRPr="00476D2E">
        <w:rPr>
          <w:rFonts w:cs="Calibri"/>
          <w:lang w:val="sq-AL"/>
        </w:rPr>
        <w:t>:</w:t>
      </w:r>
    </w:p>
    <w:p w:rsidR="00560062" w:rsidRPr="00476D2E" w:rsidRDefault="00560062" w:rsidP="00560062">
      <w:pPr>
        <w:pStyle w:val="ListParagraph"/>
        <w:spacing w:before="0"/>
        <w:ind w:left="540"/>
        <w:rPr>
          <w:rFonts w:cs="Calibri"/>
          <w:i/>
          <w:sz w:val="8"/>
          <w:szCs w:val="8"/>
          <w:lang w:val="sq-AL"/>
        </w:rPr>
      </w:pPr>
    </w:p>
    <w:p w:rsidR="001C245C" w:rsidRPr="00476D2E" w:rsidRDefault="001C245C" w:rsidP="00560062">
      <w:pPr>
        <w:pStyle w:val="ListParagraph"/>
        <w:numPr>
          <w:ilvl w:val="1"/>
          <w:numId w:val="6"/>
        </w:numPr>
        <w:spacing w:before="0"/>
        <w:ind w:left="540"/>
        <w:rPr>
          <w:rFonts w:cs="Calibri"/>
          <w:i/>
          <w:lang w:val="sq-AL"/>
        </w:rPr>
      </w:pPr>
      <w:r w:rsidRPr="00476D2E">
        <w:rPr>
          <w:rFonts w:cs="Calibri"/>
          <w:i/>
          <w:u w:val="single"/>
          <w:lang w:val="sq-AL"/>
        </w:rPr>
        <w:t>Eksplicite”</w:t>
      </w:r>
      <w:r w:rsidRPr="00476D2E">
        <w:rPr>
          <w:rFonts w:cs="Calibri"/>
          <w:i/>
          <w:lang w:val="sq-AL"/>
        </w:rPr>
        <w:t>, Detyrime të njohura nga qeveria dhe të bazuara në legjislacionin në fuqi apo kontrata të ndryshme të cilat mund të lidhen me supozimet dhe zhvillimet makroekonomike, të ardhurat e qeverisë, shpenzimet e përgjithshme të qeverisë, shpenzimet dhe menaxhimin e borxhit, etj.</w:t>
      </w:r>
    </w:p>
    <w:p w:rsidR="00560062" w:rsidRPr="00476D2E" w:rsidRDefault="00560062" w:rsidP="00560062">
      <w:pPr>
        <w:pStyle w:val="ListParagraph"/>
        <w:ind w:left="540"/>
        <w:rPr>
          <w:rFonts w:cs="Calibri"/>
          <w:i/>
          <w:sz w:val="8"/>
          <w:szCs w:val="8"/>
          <w:lang w:val="sq-AL"/>
        </w:rPr>
      </w:pPr>
    </w:p>
    <w:p w:rsidR="001C245C" w:rsidRPr="00476D2E" w:rsidRDefault="001C245C" w:rsidP="00560062">
      <w:pPr>
        <w:pStyle w:val="ListParagraph"/>
        <w:numPr>
          <w:ilvl w:val="1"/>
          <w:numId w:val="6"/>
        </w:numPr>
        <w:ind w:left="540"/>
        <w:rPr>
          <w:rFonts w:cs="Calibri"/>
          <w:i/>
          <w:lang w:val="sq-AL"/>
        </w:rPr>
      </w:pPr>
      <w:r w:rsidRPr="00476D2E">
        <w:rPr>
          <w:rFonts w:cs="Calibri"/>
          <w:i/>
          <w:u w:val="single"/>
          <w:lang w:val="sq-AL"/>
        </w:rPr>
        <w:t>“Implicite”</w:t>
      </w:r>
      <w:r w:rsidRPr="00476D2E">
        <w:rPr>
          <w:rFonts w:cs="Calibri"/>
          <w:i/>
          <w:lang w:val="sq-AL"/>
        </w:rPr>
        <w:t>, kontingjente, Detyrime (indirekte) që mund të lindin si pasojë e presionit politik apo presionit të grupeve të ndryshme të interesit si detyrimet e lidhura me PPP-të, ato të vetëqeverisjes vendore, ndërmarrjet publike me kapital shtetëror, risqe të tjera si vendime gjyqësore, fatkeqësi natyrore dhe sektori financiar apo risqet afatgjata.</w:t>
      </w:r>
    </w:p>
    <w:p w:rsidR="001C245C" w:rsidRPr="00276062" w:rsidRDefault="001C245C" w:rsidP="00276062">
      <w:pPr>
        <w:pStyle w:val="Caption"/>
        <w:keepNext/>
        <w:spacing w:after="0"/>
        <w:jc w:val="left"/>
      </w:pPr>
      <w:bookmarkStart w:id="175" w:name="_Toc104984084"/>
      <w:r w:rsidRPr="00276062">
        <w:t xml:space="preserve">Tabela </w:t>
      </w:r>
      <w:r w:rsidR="00EA28E4">
        <w:fldChar w:fldCharType="begin"/>
      </w:r>
      <w:r w:rsidR="00EA28E4">
        <w:instrText xml:space="preserve"> SEQ Tabela \* ARABIC </w:instrText>
      </w:r>
      <w:r w:rsidR="00EA28E4">
        <w:fldChar w:fldCharType="separate"/>
      </w:r>
      <w:r w:rsidR="00276062">
        <w:rPr>
          <w:noProof/>
        </w:rPr>
        <w:t>12</w:t>
      </w:r>
      <w:r w:rsidR="00EA28E4">
        <w:rPr>
          <w:noProof/>
        </w:rPr>
        <w:fldChar w:fldCharType="end"/>
      </w:r>
      <w:r w:rsidRPr="00276062">
        <w:t xml:space="preserve"> Matrica e riskut</w:t>
      </w:r>
      <w:bookmarkEnd w:id="175"/>
    </w:p>
    <w:tbl>
      <w:tblPr>
        <w:tblStyle w:val="GridTable4-Accent11"/>
        <w:tblW w:w="5023" w:type="pct"/>
        <w:jc w:val="center"/>
        <w:tblLook w:val="04A0" w:firstRow="1" w:lastRow="0" w:firstColumn="1" w:lastColumn="0" w:noHBand="0" w:noVBand="1"/>
      </w:tblPr>
      <w:tblGrid>
        <w:gridCol w:w="3804"/>
        <w:gridCol w:w="6991"/>
      </w:tblGrid>
      <w:tr w:rsidR="001C245C" w:rsidRPr="00476D2E" w:rsidTr="001766F3">
        <w:trPr>
          <w:cnfStyle w:val="100000000000" w:firstRow="1" w:lastRow="0" w:firstColumn="0" w:lastColumn="0" w:oddVBand="0" w:evenVBand="0" w:oddHBand="0" w:evenHBand="0" w:firstRowFirstColumn="0" w:firstRowLastColumn="0" w:lastRowFirstColumn="0" w:lastRowLastColumn="0"/>
          <w:trHeight w:val="76"/>
          <w:jc w:val="center"/>
        </w:trPr>
        <w:tc>
          <w:tcPr>
            <w:cnfStyle w:val="001000000000" w:firstRow="0" w:lastRow="0" w:firstColumn="1" w:lastColumn="0" w:oddVBand="0" w:evenVBand="0" w:oddHBand="0" w:evenHBand="0" w:firstRowFirstColumn="0" w:firstRowLastColumn="0" w:lastRowFirstColumn="0" w:lastRowLastColumn="0"/>
            <w:tcW w:w="1762" w:type="pct"/>
            <w:tcBorders>
              <w:bottom w:val="single" w:sz="4" w:space="0" w:color="59A9F2" w:themeColor="accent1" w:themeTint="99"/>
            </w:tcBorders>
            <w:shd w:val="clear" w:color="auto" w:fill="0B5294" w:themeFill="accent1" w:themeFillShade="BF"/>
            <w:hideMark/>
          </w:tcPr>
          <w:p w:rsidR="001C245C" w:rsidRPr="00476D2E" w:rsidRDefault="001C245C" w:rsidP="00D90F7B">
            <w:pPr>
              <w:spacing w:before="0"/>
              <w:jc w:val="center"/>
              <w:rPr>
                <w:rFonts w:cs="Calibri"/>
                <w:sz w:val="19"/>
                <w:szCs w:val="19"/>
                <w:lang w:val="sq-AL" w:eastAsia="nb-NO"/>
              </w:rPr>
            </w:pPr>
            <w:r w:rsidRPr="00476D2E">
              <w:rPr>
                <w:rFonts w:cs="Calibri"/>
                <w:kern w:val="24"/>
                <w:sz w:val="19"/>
                <w:szCs w:val="19"/>
                <w:lang w:val="sq-AL" w:eastAsia="nb-NO"/>
              </w:rPr>
              <w:t>Lloji i rrezikut</w:t>
            </w:r>
          </w:p>
        </w:tc>
        <w:tc>
          <w:tcPr>
            <w:tcW w:w="3238" w:type="pct"/>
            <w:tcBorders>
              <w:bottom w:val="single" w:sz="4" w:space="0" w:color="59A9F2" w:themeColor="accent1" w:themeTint="99"/>
            </w:tcBorders>
            <w:shd w:val="clear" w:color="auto" w:fill="0B5294" w:themeFill="accent1" w:themeFillShade="BF"/>
            <w:hideMark/>
          </w:tcPr>
          <w:p w:rsidR="001C245C" w:rsidRPr="00476D2E" w:rsidRDefault="001C245C" w:rsidP="00D90F7B">
            <w:pPr>
              <w:spacing w:before="0"/>
              <w:jc w:val="center"/>
              <w:cnfStyle w:val="100000000000" w:firstRow="1" w:lastRow="0" w:firstColumn="0" w:lastColumn="0" w:oddVBand="0" w:evenVBand="0" w:oddHBand="0" w:evenHBand="0" w:firstRowFirstColumn="0" w:firstRowLastColumn="0" w:lastRowFirstColumn="0" w:lastRowLastColumn="0"/>
              <w:rPr>
                <w:rFonts w:cs="Calibri"/>
                <w:sz w:val="19"/>
                <w:szCs w:val="19"/>
                <w:lang w:val="sq-AL" w:eastAsia="nb-NO"/>
              </w:rPr>
            </w:pPr>
            <w:r w:rsidRPr="00476D2E">
              <w:rPr>
                <w:rFonts w:cs="Calibri"/>
                <w:kern w:val="24"/>
                <w:sz w:val="19"/>
                <w:szCs w:val="19"/>
                <w:lang w:val="sq-AL" w:eastAsia="nb-NO"/>
              </w:rPr>
              <w:t>Skenarët e mundshëm</w:t>
            </w:r>
          </w:p>
        </w:tc>
      </w:tr>
      <w:tr w:rsidR="001C245C" w:rsidRPr="00476D2E" w:rsidTr="001766F3">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hideMark/>
          </w:tcPr>
          <w:p w:rsidR="001C245C" w:rsidRPr="00476D2E" w:rsidRDefault="001C245C" w:rsidP="00D90F7B">
            <w:pPr>
              <w:spacing w:before="0"/>
              <w:jc w:val="center"/>
              <w:rPr>
                <w:rFonts w:cs="Calibri"/>
                <w:b w:val="0"/>
                <w:bCs w:val="0"/>
                <w:color w:val="C00000"/>
                <w:kern w:val="24"/>
                <w:sz w:val="19"/>
                <w:szCs w:val="19"/>
                <w:lang w:val="sq-AL" w:eastAsia="nb-NO"/>
              </w:rPr>
            </w:pPr>
            <w:r w:rsidRPr="00476D2E">
              <w:rPr>
                <w:rFonts w:cs="Calibri"/>
                <w:color w:val="C00000"/>
                <w:kern w:val="24"/>
                <w:sz w:val="19"/>
                <w:szCs w:val="19"/>
                <w:lang w:val="sq-AL" w:eastAsia="nb-NO"/>
              </w:rPr>
              <w:t xml:space="preserve">Risqet dhe detyrimet </w:t>
            </w:r>
            <w:r w:rsidRPr="00476D2E">
              <w:rPr>
                <w:rFonts w:cs="Calibri"/>
                <w:color w:val="C00000"/>
                <w:kern w:val="24"/>
                <w:sz w:val="19"/>
                <w:szCs w:val="19"/>
                <w:u w:val="single"/>
                <w:lang w:val="sq-AL" w:eastAsia="nb-NO"/>
              </w:rPr>
              <w:t>eksplicite</w:t>
            </w:r>
          </w:p>
        </w:tc>
      </w:tr>
      <w:tr w:rsidR="001C245C" w:rsidRPr="00476D2E" w:rsidTr="001766F3">
        <w:trPr>
          <w:trHeight w:val="80"/>
          <w:jc w:val="center"/>
        </w:trPr>
        <w:tc>
          <w:tcPr>
            <w:cnfStyle w:val="001000000000" w:firstRow="0" w:lastRow="0" w:firstColumn="1" w:lastColumn="0" w:oddVBand="0" w:evenVBand="0" w:oddHBand="0" w:evenHBand="0" w:firstRowFirstColumn="0" w:firstRowLastColumn="0" w:lastRowFirstColumn="0" w:lastRowLastColumn="0"/>
            <w:tcW w:w="1762" w:type="pct"/>
            <w:shd w:val="clear" w:color="auto" w:fill="auto"/>
            <w:hideMark/>
          </w:tcPr>
          <w:p w:rsidR="001C245C" w:rsidRPr="00476D2E" w:rsidRDefault="001C245C" w:rsidP="00D90F7B">
            <w:pPr>
              <w:spacing w:before="0"/>
              <w:jc w:val="center"/>
              <w:rPr>
                <w:rFonts w:cs="Calibri"/>
                <w:sz w:val="19"/>
                <w:szCs w:val="19"/>
                <w:lang w:val="sq-AL" w:eastAsia="nb-NO"/>
              </w:rPr>
            </w:pPr>
            <w:r w:rsidRPr="00476D2E">
              <w:rPr>
                <w:rFonts w:cs="Calibri"/>
                <w:color w:val="000000"/>
                <w:kern w:val="24"/>
                <w:sz w:val="19"/>
                <w:szCs w:val="19"/>
                <w:lang w:val="sq-AL" w:eastAsia="nb-NO"/>
              </w:rPr>
              <w:t>Goditje Makroekonomike</w:t>
            </w:r>
          </w:p>
        </w:tc>
        <w:tc>
          <w:tcPr>
            <w:tcW w:w="3238" w:type="pct"/>
            <w:shd w:val="clear" w:color="auto" w:fill="auto"/>
            <w:hideMark/>
          </w:tcPr>
          <w:p w:rsidR="001C245C" w:rsidRPr="00476D2E" w:rsidRDefault="001C245C" w:rsidP="00D90F7B">
            <w:pPr>
              <w:spacing w:before="0"/>
              <w:jc w:val="center"/>
              <w:cnfStyle w:val="000000000000" w:firstRow="0" w:lastRow="0" w:firstColumn="0" w:lastColumn="0" w:oddVBand="0" w:evenVBand="0" w:oddHBand="0" w:evenHBand="0" w:firstRowFirstColumn="0" w:firstRowLastColumn="0" w:lastRowFirstColumn="0" w:lastRowLastColumn="0"/>
              <w:rPr>
                <w:rFonts w:cs="Calibri"/>
                <w:color w:val="000000"/>
                <w:kern w:val="24"/>
                <w:sz w:val="19"/>
                <w:szCs w:val="19"/>
                <w:lang w:val="sq-AL" w:eastAsia="nb-NO"/>
              </w:rPr>
            </w:pPr>
            <w:r w:rsidRPr="00476D2E">
              <w:rPr>
                <w:rFonts w:cs="Calibri"/>
                <w:color w:val="000000"/>
                <w:kern w:val="24"/>
                <w:sz w:val="19"/>
                <w:szCs w:val="19"/>
                <w:lang w:val="sq-AL" w:eastAsia="nb-NO"/>
              </w:rPr>
              <w:t>Zhvillime  makroekonomike të paparashikuara, që mund të ndryshojnë perspektivën e rritjes ekonomike dhe pozicionin fiskal</w:t>
            </w:r>
          </w:p>
        </w:tc>
      </w:tr>
      <w:tr w:rsidR="001C245C" w:rsidRPr="00476D2E" w:rsidTr="001766F3">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1762" w:type="pct"/>
            <w:shd w:val="clear" w:color="auto" w:fill="auto"/>
            <w:hideMark/>
          </w:tcPr>
          <w:p w:rsidR="001C245C" w:rsidRPr="00476D2E" w:rsidRDefault="001C245C" w:rsidP="00D90F7B">
            <w:pPr>
              <w:spacing w:before="0"/>
              <w:jc w:val="center"/>
              <w:rPr>
                <w:rFonts w:cs="Calibri"/>
                <w:sz w:val="19"/>
                <w:szCs w:val="19"/>
                <w:lang w:val="sq-AL" w:eastAsia="nb-NO"/>
              </w:rPr>
            </w:pPr>
            <w:r w:rsidRPr="00476D2E">
              <w:rPr>
                <w:rFonts w:cs="Calibri"/>
                <w:color w:val="000000"/>
                <w:kern w:val="24"/>
                <w:sz w:val="19"/>
                <w:szCs w:val="19"/>
                <w:lang w:val="sq-AL" w:eastAsia="nb-NO"/>
              </w:rPr>
              <w:t>Parashikimi i të ardhurave</w:t>
            </w:r>
          </w:p>
        </w:tc>
        <w:tc>
          <w:tcPr>
            <w:tcW w:w="3238" w:type="pct"/>
            <w:shd w:val="clear" w:color="auto" w:fill="auto"/>
            <w:hideMark/>
          </w:tcPr>
          <w:p w:rsidR="001C245C" w:rsidRPr="00476D2E" w:rsidRDefault="001C245C" w:rsidP="00D90F7B">
            <w:pPr>
              <w:spacing w:before="0"/>
              <w:jc w:val="center"/>
              <w:cnfStyle w:val="000000100000" w:firstRow="0" w:lastRow="0" w:firstColumn="0" w:lastColumn="0" w:oddVBand="0" w:evenVBand="0" w:oddHBand="1" w:evenHBand="0" w:firstRowFirstColumn="0" w:firstRowLastColumn="0" w:lastRowFirstColumn="0" w:lastRowLastColumn="0"/>
              <w:rPr>
                <w:rFonts w:cs="Calibri"/>
                <w:color w:val="000000"/>
                <w:kern w:val="24"/>
                <w:sz w:val="19"/>
                <w:szCs w:val="19"/>
                <w:lang w:val="sq-AL" w:eastAsia="nb-NO"/>
              </w:rPr>
            </w:pPr>
            <w:r w:rsidRPr="00476D2E">
              <w:rPr>
                <w:rFonts w:cs="Calibri"/>
                <w:color w:val="000000"/>
                <w:kern w:val="24"/>
                <w:sz w:val="19"/>
                <w:szCs w:val="19"/>
                <w:lang w:val="sq-AL" w:eastAsia="nb-NO"/>
              </w:rPr>
              <w:t>Mosrealizimi i të ardhurave, që mund të sjellë përkeqësimin e bilancit fiskal</w:t>
            </w:r>
          </w:p>
        </w:tc>
      </w:tr>
      <w:tr w:rsidR="001C245C" w:rsidRPr="00476D2E" w:rsidTr="001766F3">
        <w:trPr>
          <w:trHeight w:val="80"/>
          <w:jc w:val="center"/>
        </w:trPr>
        <w:tc>
          <w:tcPr>
            <w:cnfStyle w:val="001000000000" w:firstRow="0" w:lastRow="0" w:firstColumn="1" w:lastColumn="0" w:oddVBand="0" w:evenVBand="0" w:oddHBand="0" w:evenHBand="0" w:firstRowFirstColumn="0" w:firstRowLastColumn="0" w:lastRowFirstColumn="0" w:lastRowLastColumn="0"/>
            <w:tcW w:w="1762" w:type="pct"/>
            <w:shd w:val="clear" w:color="auto" w:fill="auto"/>
            <w:hideMark/>
          </w:tcPr>
          <w:p w:rsidR="001C245C" w:rsidRPr="00476D2E" w:rsidRDefault="001C245C" w:rsidP="00D90F7B">
            <w:pPr>
              <w:spacing w:before="0"/>
              <w:jc w:val="center"/>
              <w:rPr>
                <w:rFonts w:cs="Calibri"/>
                <w:sz w:val="19"/>
                <w:szCs w:val="19"/>
                <w:lang w:val="sq-AL" w:eastAsia="nb-NO"/>
              </w:rPr>
            </w:pPr>
            <w:r w:rsidRPr="00476D2E">
              <w:rPr>
                <w:rFonts w:cs="Calibri"/>
                <w:color w:val="000000"/>
                <w:kern w:val="24"/>
                <w:sz w:val="19"/>
                <w:szCs w:val="19"/>
                <w:lang w:val="sq-AL" w:eastAsia="nb-NO"/>
              </w:rPr>
              <w:t>Shpenzime të paplanifikuara</w:t>
            </w:r>
          </w:p>
        </w:tc>
        <w:tc>
          <w:tcPr>
            <w:tcW w:w="3238" w:type="pct"/>
            <w:shd w:val="clear" w:color="auto" w:fill="auto"/>
            <w:hideMark/>
          </w:tcPr>
          <w:p w:rsidR="001C245C" w:rsidRPr="00476D2E" w:rsidRDefault="001C245C" w:rsidP="00D90F7B">
            <w:pPr>
              <w:spacing w:before="0"/>
              <w:jc w:val="center"/>
              <w:cnfStyle w:val="000000000000" w:firstRow="0" w:lastRow="0" w:firstColumn="0" w:lastColumn="0" w:oddVBand="0" w:evenVBand="0" w:oddHBand="0" w:evenHBand="0" w:firstRowFirstColumn="0" w:firstRowLastColumn="0" w:lastRowFirstColumn="0" w:lastRowLastColumn="0"/>
              <w:rPr>
                <w:rFonts w:cs="Calibri"/>
                <w:color w:val="000000"/>
                <w:kern w:val="24"/>
                <w:sz w:val="19"/>
                <w:szCs w:val="19"/>
                <w:lang w:val="sq-AL" w:eastAsia="nb-NO"/>
              </w:rPr>
            </w:pPr>
            <w:r w:rsidRPr="00476D2E">
              <w:rPr>
                <w:rFonts w:cs="Calibri"/>
                <w:color w:val="000000"/>
                <w:kern w:val="24"/>
                <w:sz w:val="19"/>
                <w:szCs w:val="19"/>
                <w:lang w:val="sq-AL" w:eastAsia="nb-NO"/>
              </w:rPr>
              <w:t>Detyrime ligjore ose presione politike, që mund të sjellin rishpërndarje të shpenzimeve</w:t>
            </w:r>
          </w:p>
        </w:tc>
      </w:tr>
      <w:tr w:rsidR="001C245C" w:rsidRPr="00476D2E" w:rsidTr="001766F3">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1762" w:type="pct"/>
            <w:shd w:val="clear" w:color="auto" w:fill="auto"/>
            <w:hideMark/>
          </w:tcPr>
          <w:p w:rsidR="001C245C" w:rsidRPr="00476D2E" w:rsidRDefault="001C245C" w:rsidP="00D90F7B">
            <w:pPr>
              <w:spacing w:before="0"/>
              <w:jc w:val="center"/>
              <w:rPr>
                <w:rFonts w:cs="Calibri"/>
                <w:sz w:val="19"/>
                <w:szCs w:val="19"/>
                <w:lang w:val="sq-AL" w:eastAsia="nb-NO"/>
              </w:rPr>
            </w:pPr>
            <w:r w:rsidRPr="00476D2E">
              <w:rPr>
                <w:rFonts w:cs="Calibri"/>
                <w:color w:val="000000"/>
                <w:kern w:val="24"/>
                <w:sz w:val="19"/>
                <w:szCs w:val="19"/>
                <w:lang w:val="sq-AL" w:eastAsia="nb-NO"/>
              </w:rPr>
              <w:t>Borxhi publik</w:t>
            </w:r>
          </w:p>
        </w:tc>
        <w:tc>
          <w:tcPr>
            <w:tcW w:w="3238" w:type="pct"/>
            <w:shd w:val="clear" w:color="auto" w:fill="auto"/>
            <w:hideMark/>
          </w:tcPr>
          <w:p w:rsidR="001C245C" w:rsidRPr="00476D2E" w:rsidRDefault="001C245C" w:rsidP="00D90F7B">
            <w:pPr>
              <w:spacing w:before="0"/>
              <w:jc w:val="center"/>
              <w:cnfStyle w:val="000000100000" w:firstRow="0" w:lastRow="0" w:firstColumn="0" w:lastColumn="0" w:oddVBand="0" w:evenVBand="0" w:oddHBand="1" w:evenHBand="0" w:firstRowFirstColumn="0" w:firstRowLastColumn="0" w:lastRowFirstColumn="0" w:lastRowLastColumn="0"/>
              <w:rPr>
                <w:rFonts w:cs="Calibri"/>
                <w:color w:val="000000"/>
                <w:kern w:val="24"/>
                <w:sz w:val="19"/>
                <w:szCs w:val="19"/>
                <w:lang w:val="sq-AL" w:eastAsia="nb-NO"/>
              </w:rPr>
            </w:pPr>
            <w:r w:rsidRPr="00476D2E">
              <w:rPr>
                <w:rFonts w:cs="Calibri"/>
                <w:color w:val="000000"/>
                <w:kern w:val="24"/>
                <w:sz w:val="19"/>
                <w:szCs w:val="19"/>
                <w:lang w:val="sq-AL" w:eastAsia="nb-NO"/>
              </w:rPr>
              <w:t>Zhvillime të papritura të tregut, ndryshime në normën e interesit ose në kursin e këmbimit, që mund të rrisin nivelin e borxhit publik</w:t>
            </w:r>
          </w:p>
        </w:tc>
      </w:tr>
      <w:tr w:rsidR="001C245C" w:rsidRPr="00476D2E" w:rsidTr="001766F3">
        <w:trPr>
          <w:trHeight w:val="43"/>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rsidR="00127C01" w:rsidRPr="00476D2E" w:rsidRDefault="001C245C" w:rsidP="00D90F7B">
            <w:pPr>
              <w:spacing w:before="0"/>
              <w:jc w:val="center"/>
              <w:rPr>
                <w:rFonts w:cs="Calibri"/>
                <w:b w:val="0"/>
                <w:color w:val="C00000"/>
                <w:kern w:val="24"/>
                <w:sz w:val="19"/>
                <w:szCs w:val="19"/>
                <w:u w:val="single"/>
                <w:lang w:val="sq-AL" w:eastAsia="nb-NO"/>
              </w:rPr>
            </w:pPr>
            <w:r w:rsidRPr="00476D2E">
              <w:rPr>
                <w:rFonts w:cs="Calibri"/>
                <w:color w:val="C00000"/>
                <w:kern w:val="24"/>
                <w:sz w:val="19"/>
                <w:szCs w:val="19"/>
                <w:lang w:val="sq-AL" w:eastAsia="nb-NO"/>
              </w:rPr>
              <w:t xml:space="preserve">Risqet </w:t>
            </w:r>
            <w:r w:rsidRPr="00476D2E">
              <w:rPr>
                <w:rFonts w:cs="Calibri"/>
                <w:color w:val="C00000"/>
                <w:kern w:val="24"/>
                <w:sz w:val="19"/>
                <w:szCs w:val="19"/>
                <w:u w:val="single"/>
                <w:lang w:val="sq-AL" w:eastAsia="nb-NO"/>
              </w:rPr>
              <w:t>implicite</w:t>
            </w:r>
            <w:r w:rsidRPr="00476D2E">
              <w:rPr>
                <w:rFonts w:cs="Calibri"/>
                <w:color w:val="C00000"/>
                <w:kern w:val="24"/>
                <w:sz w:val="19"/>
                <w:szCs w:val="19"/>
                <w:lang w:val="sq-AL" w:eastAsia="nb-NO"/>
              </w:rPr>
              <w:t xml:space="preserve"> dhe detyrimet </w:t>
            </w:r>
            <w:r w:rsidRPr="00476D2E">
              <w:rPr>
                <w:rFonts w:cs="Calibri"/>
                <w:color w:val="C00000"/>
                <w:kern w:val="24"/>
                <w:sz w:val="19"/>
                <w:szCs w:val="19"/>
                <w:u w:val="single"/>
                <w:lang w:val="sq-AL" w:eastAsia="nb-NO"/>
              </w:rPr>
              <w:t>kontigjente</w:t>
            </w:r>
          </w:p>
        </w:tc>
      </w:tr>
      <w:tr w:rsidR="001C245C" w:rsidRPr="00476D2E" w:rsidTr="001766F3">
        <w:trPr>
          <w:cnfStyle w:val="000000100000" w:firstRow="0" w:lastRow="0" w:firstColumn="0" w:lastColumn="0" w:oddVBand="0" w:evenVBand="0" w:oddHBand="1" w:evenHBand="0" w:firstRowFirstColumn="0" w:firstRowLastColumn="0" w:lastRowFirstColumn="0" w:lastRowLastColumn="0"/>
          <w:trHeight w:val="78"/>
          <w:jc w:val="center"/>
        </w:trPr>
        <w:tc>
          <w:tcPr>
            <w:cnfStyle w:val="001000000000" w:firstRow="0" w:lastRow="0" w:firstColumn="1" w:lastColumn="0" w:oddVBand="0" w:evenVBand="0" w:oddHBand="0" w:evenHBand="0" w:firstRowFirstColumn="0" w:firstRowLastColumn="0" w:lastRowFirstColumn="0" w:lastRowLastColumn="0"/>
            <w:tcW w:w="1762" w:type="pct"/>
            <w:shd w:val="clear" w:color="auto" w:fill="auto"/>
            <w:hideMark/>
          </w:tcPr>
          <w:p w:rsidR="001C245C" w:rsidRPr="00476D2E" w:rsidRDefault="001C245C" w:rsidP="00D90F7B">
            <w:pPr>
              <w:spacing w:before="0"/>
              <w:jc w:val="center"/>
              <w:rPr>
                <w:rFonts w:cs="Calibri"/>
                <w:sz w:val="19"/>
                <w:szCs w:val="19"/>
                <w:lang w:val="sq-AL" w:eastAsia="nb-NO"/>
              </w:rPr>
            </w:pPr>
            <w:r w:rsidRPr="00476D2E">
              <w:rPr>
                <w:rFonts w:cs="Calibri"/>
                <w:color w:val="000000"/>
                <w:kern w:val="24"/>
                <w:sz w:val="19"/>
                <w:szCs w:val="19"/>
                <w:lang w:val="sq-AL" w:eastAsia="nb-NO"/>
              </w:rPr>
              <w:t>Pagesat për PPP</w:t>
            </w:r>
          </w:p>
        </w:tc>
        <w:tc>
          <w:tcPr>
            <w:tcW w:w="3238" w:type="pct"/>
            <w:shd w:val="clear" w:color="auto" w:fill="auto"/>
            <w:hideMark/>
          </w:tcPr>
          <w:p w:rsidR="001C245C" w:rsidRPr="00476D2E" w:rsidRDefault="001C245C" w:rsidP="00D90F7B">
            <w:pPr>
              <w:spacing w:before="0"/>
              <w:jc w:val="center"/>
              <w:cnfStyle w:val="000000100000" w:firstRow="0" w:lastRow="0" w:firstColumn="0" w:lastColumn="0" w:oddVBand="0" w:evenVBand="0" w:oddHBand="1" w:evenHBand="0" w:firstRowFirstColumn="0" w:firstRowLastColumn="0" w:lastRowFirstColumn="0" w:lastRowLastColumn="0"/>
              <w:rPr>
                <w:rFonts w:cs="Calibri"/>
                <w:color w:val="000000"/>
                <w:kern w:val="24"/>
                <w:sz w:val="19"/>
                <w:szCs w:val="19"/>
                <w:lang w:val="sq-AL" w:eastAsia="nb-NO"/>
              </w:rPr>
            </w:pPr>
            <w:r w:rsidRPr="00476D2E">
              <w:rPr>
                <w:rFonts w:cs="Calibri"/>
                <w:color w:val="000000"/>
                <w:kern w:val="24"/>
                <w:sz w:val="19"/>
                <w:szCs w:val="19"/>
                <w:lang w:val="sq-AL" w:eastAsia="nb-NO"/>
              </w:rPr>
              <w:t>Pagesat vjetore për PPP-të, mund të tejkalojnë nivelin e lejuar ligjor prej 5% të të ardhurave tatimore faktike të vitit paraardhës</w:t>
            </w:r>
          </w:p>
        </w:tc>
      </w:tr>
      <w:tr w:rsidR="001C245C" w:rsidRPr="00476D2E" w:rsidTr="001766F3">
        <w:trPr>
          <w:trHeight w:val="52"/>
          <w:jc w:val="center"/>
        </w:trPr>
        <w:tc>
          <w:tcPr>
            <w:cnfStyle w:val="001000000000" w:firstRow="0" w:lastRow="0" w:firstColumn="1" w:lastColumn="0" w:oddVBand="0" w:evenVBand="0" w:oddHBand="0" w:evenHBand="0" w:firstRowFirstColumn="0" w:firstRowLastColumn="0" w:lastRowFirstColumn="0" w:lastRowLastColumn="0"/>
            <w:tcW w:w="1762" w:type="pct"/>
            <w:shd w:val="clear" w:color="auto" w:fill="auto"/>
            <w:hideMark/>
          </w:tcPr>
          <w:p w:rsidR="001C245C" w:rsidRPr="00476D2E" w:rsidRDefault="001C245C" w:rsidP="00D90F7B">
            <w:pPr>
              <w:spacing w:before="0"/>
              <w:jc w:val="center"/>
              <w:rPr>
                <w:rFonts w:cs="Calibri"/>
                <w:sz w:val="19"/>
                <w:szCs w:val="19"/>
                <w:lang w:val="sq-AL" w:eastAsia="nb-NO"/>
              </w:rPr>
            </w:pPr>
            <w:r w:rsidRPr="00476D2E">
              <w:rPr>
                <w:rFonts w:cs="Calibri"/>
                <w:color w:val="000000"/>
                <w:kern w:val="24"/>
                <w:sz w:val="19"/>
                <w:szCs w:val="19"/>
                <w:lang w:val="sq-AL" w:eastAsia="nb-NO"/>
              </w:rPr>
              <w:t>Vështirësia financiare e Ndërmarrjeve Shtetërore (NSH)</w:t>
            </w:r>
          </w:p>
        </w:tc>
        <w:tc>
          <w:tcPr>
            <w:tcW w:w="3238" w:type="pct"/>
            <w:shd w:val="clear" w:color="auto" w:fill="auto"/>
            <w:hideMark/>
          </w:tcPr>
          <w:p w:rsidR="001C245C" w:rsidRPr="00476D2E" w:rsidRDefault="001C245C" w:rsidP="00D90F7B">
            <w:pPr>
              <w:spacing w:before="0"/>
              <w:jc w:val="center"/>
              <w:cnfStyle w:val="000000000000" w:firstRow="0" w:lastRow="0" w:firstColumn="0" w:lastColumn="0" w:oddVBand="0" w:evenVBand="0" w:oddHBand="0" w:evenHBand="0" w:firstRowFirstColumn="0" w:firstRowLastColumn="0" w:lastRowFirstColumn="0" w:lastRowLastColumn="0"/>
              <w:rPr>
                <w:rFonts w:cs="Calibri"/>
                <w:color w:val="000000"/>
                <w:kern w:val="24"/>
                <w:sz w:val="8"/>
                <w:szCs w:val="19"/>
                <w:lang w:val="sq-AL" w:eastAsia="nb-NO"/>
              </w:rPr>
            </w:pPr>
          </w:p>
          <w:p w:rsidR="001C245C" w:rsidRPr="00476D2E" w:rsidRDefault="001C245C" w:rsidP="00D90F7B">
            <w:pPr>
              <w:spacing w:before="0"/>
              <w:jc w:val="center"/>
              <w:cnfStyle w:val="000000000000" w:firstRow="0" w:lastRow="0" w:firstColumn="0" w:lastColumn="0" w:oddVBand="0" w:evenVBand="0" w:oddHBand="0" w:evenHBand="0" w:firstRowFirstColumn="0" w:firstRowLastColumn="0" w:lastRowFirstColumn="0" w:lastRowLastColumn="0"/>
              <w:rPr>
                <w:rFonts w:cs="Calibri"/>
                <w:color w:val="000000"/>
                <w:kern w:val="24"/>
                <w:sz w:val="19"/>
                <w:szCs w:val="19"/>
                <w:lang w:val="sq-AL" w:eastAsia="nb-NO"/>
              </w:rPr>
            </w:pPr>
            <w:r w:rsidRPr="00476D2E">
              <w:rPr>
                <w:rFonts w:cs="Calibri"/>
                <w:color w:val="000000"/>
                <w:kern w:val="24"/>
                <w:sz w:val="19"/>
                <w:szCs w:val="19"/>
                <w:lang w:val="sq-AL" w:eastAsia="nb-NO"/>
              </w:rPr>
              <w:t>Qeverisë mund t’i duhet të ndërhyjë për të mbështur financiarisht NSH-të</w:t>
            </w:r>
          </w:p>
        </w:tc>
      </w:tr>
      <w:tr w:rsidR="001C245C" w:rsidRPr="00476D2E" w:rsidTr="001766F3">
        <w:trPr>
          <w:cnfStyle w:val="000000100000" w:firstRow="0" w:lastRow="0" w:firstColumn="0" w:lastColumn="0" w:oddVBand="0" w:evenVBand="0" w:oddHBand="1" w:evenHBand="0" w:firstRowFirstColumn="0" w:firstRowLastColumn="0" w:lastRowFirstColumn="0" w:lastRowLastColumn="0"/>
          <w:trHeight w:val="78"/>
          <w:jc w:val="center"/>
        </w:trPr>
        <w:tc>
          <w:tcPr>
            <w:cnfStyle w:val="001000000000" w:firstRow="0" w:lastRow="0" w:firstColumn="1" w:lastColumn="0" w:oddVBand="0" w:evenVBand="0" w:oddHBand="0" w:evenHBand="0" w:firstRowFirstColumn="0" w:firstRowLastColumn="0" w:lastRowFirstColumn="0" w:lastRowLastColumn="0"/>
            <w:tcW w:w="1762" w:type="pct"/>
            <w:shd w:val="clear" w:color="auto" w:fill="auto"/>
            <w:hideMark/>
          </w:tcPr>
          <w:p w:rsidR="001C245C" w:rsidRPr="00476D2E" w:rsidRDefault="001C245C" w:rsidP="00D90F7B">
            <w:pPr>
              <w:spacing w:before="0"/>
              <w:jc w:val="center"/>
              <w:rPr>
                <w:rFonts w:cs="Calibri"/>
                <w:sz w:val="19"/>
                <w:szCs w:val="19"/>
                <w:lang w:val="sq-AL" w:eastAsia="nb-NO"/>
              </w:rPr>
            </w:pPr>
            <w:r w:rsidRPr="00476D2E">
              <w:rPr>
                <w:rFonts w:cs="Calibri"/>
                <w:color w:val="000000"/>
                <w:kern w:val="24"/>
                <w:sz w:val="19"/>
                <w:szCs w:val="19"/>
                <w:lang w:val="sq-AL" w:eastAsia="nb-NO"/>
              </w:rPr>
              <w:t>Risqe të tjera</w:t>
            </w:r>
          </w:p>
        </w:tc>
        <w:tc>
          <w:tcPr>
            <w:tcW w:w="3238" w:type="pct"/>
            <w:shd w:val="clear" w:color="auto" w:fill="auto"/>
            <w:hideMark/>
          </w:tcPr>
          <w:p w:rsidR="001C245C" w:rsidRPr="00476D2E" w:rsidRDefault="001C245C" w:rsidP="00D90F7B">
            <w:pPr>
              <w:spacing w:before="0"/>
              <w:jc w:val="center"/>
              <w:cnfStyle w:val="000000100000" w:firstRow="0" w:lastRow="0" w:firstColumn="0" w:lastColumn="0" w:oddVBand="0" w:evenVBand="0" w:oddHBand="1" w:evenHBand="0" w:firstRowFirstColumn="0" w:firstRowLastColumn="0" w:lastRowFirstColumn="0" w:lastRowLastColumn="0"/>
              <w:rPr>
                <w:rFonts w:cs="Calibri"/>
                <w:color w:val="000000"/>
                <w:kern w:val="24"/>
                <w:sz w:val="19"/>
                <w:szCs w:val="19"/>
                <w:lang w:val="sq-AL" w:eastAsia="nb-NO"/>
              </w:rPr>
            </w:pPr>
            <w:r w:rsidRPr="00476D2E">
              <w:rPr>
                <w:rFonts w:cs="Calibri"/>
                <w:color w:val="000000"/>
                <w:kern w:val="24"/>
                <w:sz w:val="19"/>
                <w:szCs w:val="19"/>
                <w:lang w:val="sq-AL" w:eastAsia="nb-NO"/>
              </w:rPr>
              <w:t>Vendime gjyqësore, arbitrazhe ndërkombëtare, fatkeqësi natyrore, etj, që mund të sjellin kosto buxhetore shtesë në buxhetin e shtetit</w:t>
            </w:r>
          </w:p>
        </w:tc>
      </w:tr>
    </w:tbl>
    <w:p w:rsidR="001C245C" w:rsidRDefault="000661E2" w:rsidP="00127C01">
      <w:pPr>
        <w:rPr>
          <w:rFonts w:eastAsia="SimSun" w:cs="Calibri"/>
          <w:i/>
          <w:sz w:val="18"/>
          <w:szCs w:val="18"/>
          <w:lang w:val="sq-AL"/>
        </w:rPr>
      </w:pPr>
      <w:r>
        <w:rPr>
          <w:rFonts w:eastAsia="SimSun" w:cs="Calibri"/>
          <w:i/>
          <w:sz w:val="18"/>
          <w:szCs w:val="18"/>
          <w:lang w:val="sq-AL"/>
        </w:rPr>
        <w:t>Burimi: Ministria e Financave dhe Ekonomisë (2022)</w:t>
      </w:r>
    </w:p>
    <w:p w:rsidR="00D90F7B" w:rsidRPr="00D90F7B" w:rsidRDefault="00D90F7B" w:rsidP="00127C01">
      <w:pPr>
        <w:rPr>
          <w:rFonts w:eastAsia="SimSun" w:cs="Calibri"/>
          <w:i/>
          <w:sz w:val="4"/>
          <w:szCs w:val="18"/>
          <w:lang w:val="sq-AL"/>
        </w:rPr>
      </w:pPr>
    </w:p>
    <w:p w:rsidR="00D90F7B" w:rsidRDefault="00D90F7B" w:rsidP="00127C01">
      <w:pPr>
        <w:rPr>
          <w:lang w:val="sq-AL"/>
        </w:rPr>
      </w:pPr>
      <w:r>
        <w:rPr>
          <w:lang w:val="sq-AL"/>
        </w:rPr>
        <w:t>Gjatë vitit 2021</w:t>
      </w:r>
      <w:r w:rsidRPr="00476D2E">
        <w:rPr>
          <w:lang w:val="sq-AL"/>
        </w:rPr>
        <w:t>, Ministria e Financave dhe Ekonomisë vijoi monitorimin e risqeve kryesore fiskale/buxhetore, sipas Udhëzimit Plotësues të Ministrit të Financave dh</w:t>
      </w:r>
      <w:r>
        <w:rPr>
          <w:lang w:val="sq-AL"/>
        </w:rPr>
        <w:t>e Ekonomisë nr.4 datë 25.01.2021</w:t>
      </w:r>
      <w:r w:rsidRPr="00476D2E">
        <w:rPr>
          <w:lang w:val="sq-AL"/>
        </w:rPr>
        <w:t xml:space="preserve"> “Për z</w:t>
      </w:r>
      <w:r>
        <w:rPr>
          <w:lang w:val="sq-AL"/>
        </w:rPr>
        <w:t>batimin e Buxhetit të vitit 2021</w:t>
      </w:r>
      <w:r w:rsidRPr="00476D2E">
        <w:rPr>
          <w:lang w:val="sq-AL"/>
        </w:rPr>
        <w:t xml:space="preserve">” dhe Udhëzimit nr.37 datë 06.10.2020 për “Monitorimin dhe publikimin periodik të stokut të detyrimeve të prapambetura të qeverisjes së përgjithshme”, nëpërmjet strukturës së Monitorimit të Risqeve Buxhetore. </w:t>
      </w:r>
    </w:p>
    <w:p w:rsidR="00D90F7B" w:rsidRDefault="00D90F7B" w:rsidP="00127C01">
      <w:pPr>
        <w:rPr>
          <w:lang w:val="sq-AL"/>
        </w:rPr>
      </w:pPr>
    </w:p>
    <w:p w:rsidR="001C245C" w:rsidRPr="00476D2E" w:rsidRDefault="00D90F7B" w:rsidP="00127C01">
      <w:pPr>
        <w:rPr>
          <w:rFonts w:eastAsia="MS Mincho"/>
          <w:bCs/>
          <w:i/>
          <w:lang w:val="sq-AL"/>
        </w:rPr>
      </w:pPr>
      <w:r w:rsidRPr="00476D2E">
        <w:rPr>
          <w:lang w:val="sq-AL"/>
        </w:rPr>
        <w:lastRenderedPageBreak/>
        <w:t>Kryesisht, raportimi në adresë të MFE u kanalizua përmes skeduleve kohore dhe  formateve standarde të miratuara, një proces tashmë i institucionalizuar për monitorimin e risqeve, krahas intensifikimit të punës në drejtim të rritjes së cilësisë së përpunimit, raportimit dhe publikimit të informacionit të grumbulluar, me synim final</w:t>
      </w:r>
      <w:r w:rsidR="001C245C" w:rsidRPr="00476D2E">
        <w:rPr>
          <w:rFonts w:eastAsia="MS Mincho"/>
          <w:lang w:val="sq-AL"/>
        </w:rPr>
        <w:t>:</w:t>
      </w:r>
      <w:r w:rsidR="001C245C" w:rsidRPr="00476D2E">
        <w:rPr>
          <w:rFonts w:eastAsia="MS Mincho"/>
          <w:bCs/>
          <w:i/>
          <w:lang w:val="sq-AL"/>
        </w:rPr>
        <w:t xml:space="preserve">  </w:t>
      </w:r>
    </w:p>
    <w:p w:rsidR="00D90F7B" w:rsidRPr="00D90F7B" w:rsidRDefault="00D90F7B" w:rsidP="00842F80">
      <w:pPr>
        <w:pStyle w:val="ListParagraph"/>
        <w:numPr>
          <w:ilvl w:val="0"/>
          <w:numId w:val="37"/>
        </w:numPr>
        <w:spacing w:before="0"/>
        <w:rPr>
          <w:rFonts w:eastAsia="MS Mincho"/>
          <w:i/>
          <w:lang w:val="sq-AL"/>
        </w:rPr>
      </w:pPr>
      <w:r w:rsidRPr="00D90F7B">
        <w:rPr>
          <w:rFonts w:eastAsia="MS Mincho"/>
          <w:i/>
          <w:lang w:val="sq-AL"/>
        </w:rPr>
        <w:t>Monitorimin dhe raportimin periodik mbi bazë tremujore, të stokut të akumuluar të detyrimeve të prapambetura të qeverisjes së përgjithshme.</w:t>
      </w:r>
    </w:p>
    <w:p w:rsidR="00D90F7B" w:rsidRPr="00D90F7B" w:rsidRDefault="00D90F7B" w:rsidP="00842F80">
      <w:pPr>
        <w:pStyle w:val="ListParagraph"/>
        <w:numPr>
          <w:ilvl w:val="0"/>
          <w:numId w:val="37"/>
        </w:numPr>
        <w:spacing w:before="0"/>
        <w:rPr>
          <w:rFonts w:eastAsia="MS Mincho"/>
          <w:i/>
          <w:lang w:val="sq-AL"/>
        </w:rPr>
      </w:pPr>
      <w:r w:rsidRPr="00D90F7B">
        <w:rPr>
          <w:rFonts w:eastAsia="MS Mincho"/>
          <w:i/>
          <w:lang w:val="sq-AL"/>
        </w:rPr>
        <w:t xml:space="preserve">Monitorimin dhe raportimin periodik mbi bazë tremujore, të performancës financiare të ndërmarrjeve kryesore shtetërore; </w:t>
      </w:r>
    </w:p>
    <w:p w:rsidR="00D90F7B" w:rsidRPr="00D90F7B" w:rsidRDefault="00D90F7B" w:rsidP="00842F80">
      <w:pPr>
        <w:pStyle w:val="ListParagraph"/>
        <w:numPr>
          <w:ilvl w:val="0"/>
          <w:numId w:val="37"/>
        </w:numPr>
        <w:spacing w:before="0"/>
        <w:rPr>
          <w:rFonts w:eastAsia="MS Mincho"/>
          <w:i/>
          <w:lang w:val="sq-AL"/>
        </w:rPr>
      </w:pPr>
      <w:r w:rsidRPr="00D90F7B">
        <w:rPr>
          <w:rFonts w:eastAsia="MS Mincho"/>
          <w:i/>
          <w:lang w:val="sq-AL"/>
        </w:rPr>
        <w:t>Monitorimin dhe raportimin periodik mbi bazë tremujore të detyrimeve të ndërsjellta të sektorit energjitik  dhe palëve të treta.</w:t>
      </w:r>
    </w:p>
    <w:p w:rsidR="00D90F7B" w:rsidRPr="00D90F7B" w:rsidRDefault="00D90F7B" w:rsidP="00842F80">
      <w:pPr>
        <w:pStyle w:val="ListParagraph"/>
        <w:numPr>
          <w:ilvl w:val="0"/>
          <w:numId w:val="37"/>
        </w:numPr>
        <w:spacing w:before="0"/>
        <w:rPr>
          <w:rFonts w:eastAsia="MS Mincho"/>
          <w:i/>
          <w:lang w:val="sq-AL"/>
        </w:rPr>
      </w:pPr>
      <w:r w:rsidRPr="00D90F7B">
        <w:rPr>
          <w:rFonts w:eastAsia="MS Mincho"/>
          <w:i/>
          <w:lang w:val="sq-AL"/>
        </w:rPr>
        <w:t>Monitorimin dhe raportimin periodik mbi bazë mujore, të performancës së kontratave konçesionare/PPP, me mbështetje buxhetore.</w:t>
      </w:r>
    </w:p>
    <w:p w:rsidR="001C245C" w:rsidRPr="00476D2E" w:rsidRDefault="001C245C" w:rsidP="00D90F7B">
      <w:pPr>
        <w:spacing w:before="0"/>
        <w:rPr>
          <w:rFonts w:eastAsia="MS Mincho"/>
          <w:lang w:val="sq-AL"/>
        </w:rPr>
      </w:pPr>
      <w:r w:rsidRPr="00476D2E">
        <w:rPr>
          <w:rFonts w:eastAsia="MS Mincho"/>
          <w:lang w:val="sq-AL"/>
        </w:rPr>
        <w:t>Më</w:t>
      </w:r>
      <w:r w:rsidR="00127C01" w:rsidRPr="00476D2E">
        <w:rPr>
          <w:rFonts w:eastAsia="MS Mincho"/>
          <w:lang w:val="sq-AL"/>
        </w:rPr>
        <w:t xml:space="preserve"> </w:t>
      </w:r>
      <w:r w:rsidRPr="00476D2E">
        <w:rPr>
          <w:rFonts w:eastAsia="MS Mincho"/>
          <w:lang w:val="sq-AL"/>
        </w:rPr>
        <w:t>poshtë jepet një tablo e vlerësimeve mbi disa nga tipologjitë e risqeve fiskale, si rezultat i monitorimit nga njësitë përgjegjëse në MFE, për vitin 2020:</w:t>
      </w:r>
    </w:p>
    <w:p w:rsidR="00560062" w:rsidRDefault="00560062" w:rsidP="007B5FA8">
      <w:pPr>
        <w:ind w:right="525"/>
        <w:contextualSpacing/>
        <w:rPr>
          <w:rFonts w:eastAsia="MS Mincho" w:cs="Calibri"/>
          <w:bCs/>
          <w:sz w:val="28"/>
          <w:lang w:val="sq-AL" w:eastAsia="sq-AL"/>
        </w:rPr>
      </w:pPr>
    </w:p>
    <w:p w:rsidR="00A151EB" w:rsidRPr="007D4C4E" w:rsidRDefault="00A151EB" w:rsidP="007B5FA8">
      <w:pPr>
        <w:ind w:right="525"/>
        <w:contextualSpacing/>
        <w:rPr>
          <w:rFonts w:eastAsia="MS Mincho" w:cs="Calibri"/>
          <w:bCs/>
          <w:sz w:val="28"/>
          <w:lang w:val="sq-AL" w:eastAsia="sq-AL"/>
        </w:rPr>
      </w:pPr>
    </w:p>
    <w:p w:rsidR="002350D2" w:rsidRPr="00A151EB" w:rsidRDefault="001C245C" w:rsidP="006960DB">
      <w:pPr>
        <w:pStyle w:val="Fiskale2"/>
        <w:rPr>
          <w:rFonts w:ascii="Calibri" w:hAnsi="Calibri" w:cs="Calibri"/>
        </w:rPr>
      </w:pPr>
      <w:bookmarkStart w:id="176" w:name="_Toc104980343"/>
      <w:bookmarkStart w:id="177" w:name="_Toc10033284"/>
      <w:bookmarkStart w:id="178" w:name="_Toc10721421"/>
      <w:r w:rsidRPr="00A151EB">
        <w:rPr>
          <w:rFonts w:ascii="Calibri" w:hAnsi="Calibri" w:cs="Calibri"/>
        </w:rPr>
        <w:t>Nd</w:t>
      </w:r>
      <w:r w:rsidR="00086626" w:rsidRPr="00A151EB">
        <w:rPr>
          <w:rFonts w:ascii="Calibri" w:hAnsi="Calibri" w:cs="Calibri"/>
        </w:rPr>
        <w:t>ë</w:t>
      </w:r>
      <w:r w:rsidRPr="00A151EB">
        <w:rPr>
          <w:rFonts w:ascii="Calibri" w:hAnsi="Calibri" w:cs="Calibri"/>
        </w:rPr>
        <w:t>rmarrjet shtet</w:t>
      </w:r>
      <w:r w:rsidR="00086626" w:rsidRPr="00A151EB">
        <w:rPr>
          <w:rFonts w:ascii="Calibri" w:hAnsi="Calibri" w:cs="Calibri"/>
        </w:rPr>
        <w:t>ë</w:t>
      </w:r>
      <w:r w:rsidRPr="00A151EB">
        <w:rPr>
          <w:rFonts w:ascii="Calibri" w:hAnsi="Calibri" w:cs="Calibri"/>
        </w:rPr>
        <w:t>rore</w:t>
      </w:r>
      <w:bookmarkEnd w:id="176"/>
      <w:r w:rsidRPr="00A151EB">
        <w:rPr>
          <w:rFonts w:ascii="Calibri" w:hAnsi="Calibri" w:cs="Calibri"/>
        </w:rPr>
        <w:t xml:space="preserve"> </w:t>
      </w:r>
      <w:bookmarkEnd w:id="177"/>
      <w:bookmarkEnd w:id="178"/>
    </w:p>
    <w:p w:rsidR="00D90F7B" w:rsidRPr="00A151EB" w:rsidRDefault="00D90F7B" w:rsidP="00D90F7B">
      <w:pPr>
        <w:rPr>
          <w:rFonts w:cs="Calibri"/>
          <w:bCs/>
          <w:lang w:val="sq-AL" w:eastAsia="sq-AL"/>
        </w:rPr>
      </w:pPr>
      <w:r w:rsidRPr="00A151EB">
        <w:rPr>
          <w:rFonts w:cs="Calibri"/>
          <w:bCs/>
          <w:lang w:val="sq-AL" w:eastAsia="sq-AL"/>
        </w:rPr>
        <w:t xml:space="preserve">Referuar publikimit më të fundit të Instat (Shtator 2021) mbi sektorin publik në Shqipëri numri total i institucioneve jashtëbuxhetore është 196. Këto institucione ndahen si më poshtë: </w:t>
      </w:r>
    </w:p>
    <w:p w:rsidR="00D90F7B" w:rsidRPr="00A151EB" w:rsidRDefault="00D90F7B" w:rsidP="00842F80">
      <w:pPr>
        <w:numPr>
          <w:ilvl w:val="0"/>
          <w:numId w:val="38"/>
        </w:numPr>
        <w:spacing w:before="0"/>
        <w:contextualSpacing/>
        <w:rPr>
          <w:rFonts w:cs="Calibri"/>
          <w:bCs/>
          <w:i/>
          <w:lang w:val="sq-AL" w:eastAsia="sq-AL"/>
        </w:rPr>
      </w:pPr>
      <w:r w:rsidRPr="00A151EB">
        <w:rPr>
          <w:rFonts w:cs="Calibri"/>
          <w:bCs/>
          <w:i/>
          <w:lang w:val="sq-AL" w:eastAsia="sq-AL"/>
        </w:rPr>
        <w:t>58 Extra-buxhetore Qeveria qendrore</w:t>
      </w:r>
      <w:r w:rsidRPr="00A151EB">
        <w:rPr>
          <w:rFonts w:cs="Calibri"/>
          <w:bCs/>
          <w:i/>
          <w:lang w:val="sq-AL" w:eastAsia="sq-AL"/>
        </w:rPr>
        <w:tab/>
      </w:r>
    </w:p>
    <w:p w:rsidR="00D90F7B" w:rsidRPr="00A151EB" w:rsidRDefault="00D90F7B" w:rsidP="00842F80">
      <w:pPr>
        <w:numPr>
          <w:ilvl w:val="0"/>
          <w:numId w:val="38"/>
        </w:numPr>
        <w:spacing w:before="0"/>
        <w:contextualSpacing/>
        <w:rPr>
          <w:rFonts w:cs="Calibri"/>
          <w:bCs/>
          <w:i/>
          <w:lang w:val="sq-AL" w:eastAsia="sq-AL"/>
        </w:rPr>
      </w:pPr>
      <w:r w:rsidRPr="00A151EB">
        <w:rPr>
          <w:rFonts w:cs="Calibri"/>
          <w:bCs/>
          <w:i/>
          <w:lang w:val="sq-AL" w:eastAsia="sq-AL"/>
        </w:rPr>
        <w:t>109 Extra-buxhetore Qeveria lokale</w:t>
      </w:r>
      <w:r w:rsidRPr="00A151EB">
        <w:rPr>
          <w:rFonts w:cs="Calibri"/>
          <w:bCs/>
          <w:i/>
          <w:lang w:val="sq-AL" w:eastAsia="sq-AL"/>
        </w:rPr>
        <w:tab/>
      </w:r>
    </w:p>
    <w:p w:rsidR="00D90F7B" w:rsidRPr="00A151EB" w:rsidRDefault="00D90F7B" w:rsidP="00842F80">
      <w:pPr>
        <w:numPr>
          <w:ilvl w:val="0"/>
          <w:numId w:val="38"/>
        </w:numPr>
        <w:spacing w:before="0"/>
        <w:contextualSpacing/>
        <w:rPr>
          <w:rFonts w:cs="Calibri"/>
          <w:bCs/>
          <w:i/>
          <w:lang w:val="sq-AL" w:eastAsia="sq-AL"/>
        </w:rPr>
      </w:pPr>
      <w:r w:rsidRPr="00A151EB">
        <w:rPr>
          <w:rFonts w:cs="Calibri"/>
          <w:bCs/>
          <w:i/>
          <w:lang w:val="sq-AL" w:eastAsia="sq-AL"/>
        </w:rPr>
        <w:t>26 Ndërmarrje publike jo-financiare</w:t>
      </w:r>
      <w:r w:rsidRPr="00A151EB">
        <w:rPr>
          <w:rFonts w:cs="Calibri"/>
          <w:bCs/>
          <w:i/>
          <w:lang w:val="sq-AL" w:eastAsia="sq-AL"/>
        </w:rPr>
        <w:tab/>
      </w:r>
    </w:p>
    <w:p w:rsidR="00D90F7B" w:rsidRPr="00A151EB" w:rsidRDefault="00D90F7B" w:rsidP="00842F80">
      <w:pPr>
        <w:numPr>
          <w:ilvl w:val="0"/>
          <w:numId w:val="38"/>
        </w:numPr>
        <w:spacing w:before="0"/>
        <w:contextualSpacing/>
        <w:rPr>
          <w:rFonts w:cs="Calibri"/>
          <w:bCs/>
          <w:i/>
          <w:lang w:val="sq-AL" w:eastAsia="sq-AL"/>
        </w:rPr>
      </w:pPr>
      <w:r w:rsidRPr="00A151EB">
        <w:rPr>
          <w:rFonts w:cs="Calibri"/>
          <w:bCs/>
          <w:i/>
          <w:lang w:val="sq-AL" w:eastAsia="sq-AL"/>
        </w:rPr>
        <w:t>2 Ndërmarrje publike financiare</w:t>
      </w:r>
      <w:r w:rsidRPr="00A151EB">
        <w:rPr>
          <w:rFonts w:cs="Calibri"/>
          <w:bCs/>
          <w:i/>
          <w:lang w:val="sq-AL" w:eastAsia="sq-AL"/>
        </w:rPr>
        <w:tab/>
      </w:r>
    </w:p>
    <w:p w:rsidR="00D90F7B" w:rsidRDefault="00D90F7B" w:rsidP="00842F80">
      <w:pPr>
        <w:numPr>
          <w:ilvl w:val="0"/>
          <w:numId w:val="38"/>
        </w:numPr>
        <w:spacing w:before="0"/>
        <w:contextualSpacing/>
        <w:rPr>
          <w:rFonts w:cs="Calibri"/>
          <w:bCs/>
          <w:i/>
          <w:lang w:val="sq-AL" w:eastAsia="sq-AL"/>
        </w:rPr>
      </w:pPr>
      <w:r w:rsidRPr="00A151EB">
        <w:rPr>
          <w:rFonts w:cs="Calibri"/>
          <w:bCs/>
          <w:i/>
          <w:lang w:val="sq-AL" w:eastAsia="sq-AL"/>
        </w:rPr>
        <w:t>1 Banka e Shqipërisë</w:t>
      </w:r>
    </w:p>
    <w:p w:rsidR="00A151EB" w:rsidRPr="00A151EB" w:rsidRDefault="00A151EB" w:rsidP="00A151EB">
      <w:pPr>
        <w:spacing w:before="0"/>
        <w:ind w:left="720"/>
        <w:contextualSpacing/>
        <w:rPr>
          <w:rFonts w:cs="Calibri"/>
          <w:bCs/>
          <w:i/>
          <w:lang w:val="sq-AL" w:eastAsia="sq-AL"/>
        </w:rPr>
      </w:pPr>
    </w:p>
    <w:p w:rsidR="00127C01" w:rsidRPr="00476D2E" w:rsidRDefault="00127C01" w:rsidP="00D90F7B">
      <w:pPr>
        <w:pStyle w:val="Caption"/>
        <w:keepNext/>
        <w:spacing w:after="0"/>
        <w:jc w:val="left"/>
      </w:pPr>
      <w:bookmarkStart w:id="179" w:name="_Toc104984064"/>
      <w:r w:rsidRPr="00A151EB">
        <w:t xml:space="preserve">Grafiku </w:t>
      </w:r>
      <w:r w:rsidR="00E346B9" w:rsidRPr="00A151EB">
        <w:rPr>
          <w:noProof/>
        </w:rPr>
        <w:fldChar w:fldCharType="begin"/>
      </w:r>
      <w:r w:rsidR="00E346B9" w:rsidRPr="00A151EB">
        <w:rPr>
          <w:noProof/>
        </w:rPr>
        <w:instrText xml:space="preserve"> SEQ Grafiku \* ARABIC </w:instrText>
      </w:r>
      <w:r w:rsidR="00E346B9" w:rsidRPr="00A151EB">
        <w:rPr>
          <w:noProof/>
        </w:rPr>
        <w:fldChar w:fldCharType="separate"/>
      </w:r>
      <w:r w:rsidR="00FE66EC">
        <w:rPr>
          <w:noProof/>
        </w:rPr>
        <w:t>45</w:t>
      </w:r>
      <w:r w:rsidR="00E346B9" w:rsidRPr="00A151EB">
        <w:rPr>
          <w:noProof/>
        </w:rPr>
        <w:fldChar w:fldCharType="end"/>
      </w:r>
      <w:r w:rsidRPr="00A151EB">
        <w:t xml:space="preserve"> Sektori </w:t>
      </w:r>
      <w:r w:rsidR="007F3A35" w:rsidRPr="00A151EB">
        <w:t>quasi publik sipas numrit t</w:t>
      </w:r>
      <w:r w:rsidR="00086626" w:rsidRPr="00A151EB">
        <w:t>ë</w:t>
      </w:r>
      <w:r w:rsidR="007F3A35" w:rsidRPr="00A151EB">
        <w:t xml:space="preserve"> nd</w:t>
      </w:r>
      <w:r w:rsidR="00086626" w:rsidRPr="00A151EB">
        <w:t>ë</w:t>
      </w:r>
      <w:r w:rsidR="007F3A35" w:rsidRPr="00A151EB">
        <w:t>rmarrjeve</w:t>
      </w:r>
      <w:bookmarkEnd w:id="179"/>
    </w:p>
    <w:p w:rsidR="00C6090D" w:rsidRPr="00476D2E" w:rsidRDefault="00D90F7B" w:rsidP="00D90F7B">
      <w:pPr>
        <w:spacing w:before="0" w:line="240" w:lineRule="auto"/>
        <w:jc w:val="center"/>
        <w:rPr>
          <w:rFonts w:cs="Calibri"/>
          <w:bCs/>
          <w:lang w:val="sq-AL" w:eastAsia="sq-AL"/>
        </w:rPr>
      </w:pPr>
      <w:r w:rsidRPr="00716C10">
        <w:rPr>
          <w:noProof/>
        </w:rPr>
        <w:drawing>
          <wp:inline distT="0" distB="0" distL="0" distR="0" wp14:anchorId="64736C0B" wp14:editId="3B04D47D">
            <wp:extent cx="5253990" cy="2849880"/>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86295" cy="2867403"/>
                    </a:xfrm>
                    <a:prstGeom prst="rect">
                      <a:avLst/>
                    </a:prstGeom>
                    <a:noFill/>
                  </pic:spPr>
                </pic:pic>
              </a:graphicData>
            </a:graphic>
          </wp:inline>
        </w:drawing>
      </w:r>
    </w:p>
    <w:p w:rsidR="00A151EB" w:rsidRPr="00F4188A" w:rsidRDefault="00A151EB" w:rsidP="00A151EB">
      <w:pPr>
        <w:ind w:left="720" w:firstLine="720"/>
        <w:contextualSpacing/>
        <w:rPr>
          <w:rFonts w:eastAsia="Calibri" w:cs="Calibri"/>
          <w:bCs/>
          <w:i/>
          <w:sz w:val="20"/>
          <w:lang w:val="sq-AL" w:eastAsia="sq-AL"/>
        </w:rPr>
      </w:pPr>
      <w:r>
        <w:rPr>
          <w:rFonts w:eastAsia="SimSun" w:cs="Calibri"/>
          <w:i/>
          <w:sz w:val="18"/>
          <w:szCs w:val="18"/>
          <w:lang w:val="sq-AL"/>
        </w:rPr>
        <w:t>Burimi: INSTAT (2021)</w:t>
      </w:r>
    </w:p>
    <w:p w:rsidR="00560062" w:rsidRDefault="00560062" w:rsidP="00C6090D">
      <w:pPr>
        <w:contextualSpacing/>
        <w:rPr>
          <w:rFonts w:eastAsia="Calibri" w:cs="Calibri"/>
          <w:bCs/>
          <w:i/>
          <w:u w:val="single"/>
          <w:lang w:val="sq-AL" w:eastAsia="sq-AL"/>
        </w:rPr>
      </w:pPr>
    </w:p>
    <w:p w:rsidR="00C6090D" w:rsidRPr="00366408" w:rsidRDefault="00C6090D" w:rsidP="00366408">
      <w:pPr>
        <w:pStyle w:val="fiskale3"/>
        <w:rPr>
          <w:rFonts w:ascii="Calibri" w:hAnsi="Calibri" w:cs="Calibri"/>
        </w:rPr>
      </w:pPr>
      <w:bookmarkStart w:id="180" w:name="_Toc104980344"/>
      <w:r w:rsidRPr="00366408">
        <w:rPr>
          <w:rFonts w:ascii="Calibri" w:hAnsi="Calibri" w:cs="Calibri"/>
        </w:rPr>
        <w:lastRenderedPageBreak/>
        <w:t>Ndërmarrjet e Sektorit Energjetik.</w:t>
      </w:r>
      <w:bookmarkEnd w:id="180"/>
    </w:p>
    <w:p w:rsidR="007D4C4E" w:rsidRDefault="007D4C4E" w:rsidP="003135D4">
      <w:pPr>
        <w:spacing w:after="120"/>
        <w:rPr>
          <w:rFonts w:cs="Calibri"/>
          <w:bCs/>
          <w:lang w:val="sq-AL" w:eastAsia="sq-AL"/>
        </w:rPr>
      </w:pPr>
      <w:r w:rsidRPr="00716C10">
        <w:rPr>
          <w:rFonts w:cs="Calibri"/>
          <w:bCs/>
          <w:lang w:val="sq-AL" w:eastAsia="sq-AL"/>
        </w:rPr>
        <w:t xml:space="preserve">Ky sektor strategjik ka qenë dhe mbetet nën monitorimin e Ministrisë së Financave dhe Ekonomisë, duke patur parasysh ndikimin e konsiderueshëm fiskal dhe impaktin e ndjeshëm të tij në ekonomi. Ky monitorim, i cili është kryer periodikisht mbi bazë tremujore, ka konsistuar në analizimin e treguesve të performancës financiare të secilës prej tre kompanive KESH Sh.a, OSHEE Group Sh.a dhe OST Sh.a. </w:t>
      </w:r>
    </w:p>
    <w:p w:rsidR="00C6090D" w:rsidRPr="00476D2E" w:rsidRDefault="007D4C4E" w:rsidP="003135D4">
      <w:pPr>
        <w:spacing w:after="120"/>
        <w:rPr>
          <w:rFonts w:cs="Calibri"/>
          <w:bCs/>
          <w:lang w:val="sq-AL" w:eastAsia="sq-AL"/>
        </w:rPr>
      </w:pPr>
      <w:r w:rsidRPr="00716C10">
        <w:rPr>
          <w:rFonts w:cs="Calibri"/>
          <w:bCs/>
          <w:lang w:val="sq-AL" w:eastAsia="sq-AL"/>
        </w:rPr>
        <w:t xml:space="preserve">Në zbatim të Ligjit Organik të Buxhetit “Për menaxhimin e sistemit buxhetor në Republikën e Shqipërisë”, të ndryshuar”, specifikisht nenit 4/2 sipas së cilit: </w:t>
      </w:r>
      <w:r w:rsidRPr="00716C10">
        <w:rPr>
          <w:rFonts w:cs="Calibri"/>
          <w:bCs/>
          <w:i/>
          <w:lang w:val="sq-AL" w:eastAsia="sq-AL"/>
        </w:rPr>
        <w:t>“...Planet financiare vjetore dhe pasqyrat financiare mbi bazë tremujori, të çdo njësie jo të qeverisjes së përgjithshme përfituese të fondeve buxhetore dhe/ose garancive shtetërore, dorëzohen në Ministrinë e Financave...”</w:t>
      </w:r>
      <w:r w:rsidRPr="00716C10">
        <w:rPr>
          <w:rFonts w:cs="Calibri"/>
          <w:bCs/>
          <w:lang w:val="sq-AL" w:eastAsia="sq-AL"/>
        </w:rPr>
        <w:t>, dhe në zbatim të udhëzimit plotësues nr.4/2021 “Për zbatimin e Buxhetit të vitit 2021”, ndërmarrjet e sektorit energjetik, kanë detyrimin e ndarjes së planeve financiare vjetore dhe pasqyrave financiare mbi bazë tremujori me Ministrinë e Financave dhe Ekonomisë</w:t>
      </w:r>
      <w:r w:rsidR="003135D4" w:rsidRPr="00476D2E">
        <w:rPr>
          <w:rFonts w:cs="Calibri"/>
          <w:bCs/>
          <w:lang w:val="sq-AL" w:eastAsia="sq-AL"/>
        </w:rPr>
        <w:t>.</w:t>
      </w:r>
    </w:p>
    <w:p w:rsidR="00C6090D" w:rsidRPr="004E15B6" w:rsidRDefault="00C6090D" w:rsidP="00C6090D">
      <w:pPr>
        <w:keepNext/>
        <w:rPr>
          <w:rFonts w:cs="Calibri"/>
          <w:iCs/>
          <w:color w:val="1F497D"/>
          <w:sz w:val="18"/>
          <w:szCs w:val="18"/>
          <w:lang w:val="sq-AL"/>
        </w:rPr>
      </w:pPr>
      <w:bookmarkStart w:id="181" w:name="_Toc104984065"/>
      <w:r w:rsidRPr="004E15B6">
        <w:rPr>
          <w:rFonts w:cs="Calibri"/>
          <w:iCs/>
          <w:color w:val="1F497D"/>
          <w:sz w:val="18"/>
          <w:szCs w:val="18"/>
          <w:lang w:val="sq-AL"/>
        </w:rPr>
        <w:t xml:space="preserve">Grafiku </w:t>
      </w:r>
      <w:r w:rsidRPr="004E15B6">
        <w:rPr>
          <w:rFonts w:cs="Calibri"/>
          <w:iCs/>
          <w:color w:val="1F497D"/>
          <w:sz w:val="18"/>
          <w:szCs w:val="18"/>
          <w:lang w:val="sq-AL"/>
        </w:rPr>
        <w:fldChar w:fldCharType="begin"/>
      </w:r>
      <w:r w:rsidRPr="004E15B6">
        <w:rPr>
          <w:rFonts w:cs="Calibri"/>
          <w:iCs/>
          <w:color w:val="1F497D"/>
          <w:sz w:val="18"/>
          <w:szCs w:val="18"/>
          <w:lang w:val="sq-AL"/>
        </w:rPr>
        <w:instrText xml:space="preserve"> SEQ Grafiku \* ARABIC </w:instrText>
      </w:r>
      <w:r w:rsidRPr="004E15B6">
        <w:rPr>
          <w:rFonts w:cs="Calibri"/>
          <w:iCs/>
          <w:color w:val="1F497D"/>
          <w:sz w:val="18"/>
          <w:szCs w:val="18"/>
          <w:lang w:val="sq-AL"/>
        </w:rPr>
        <w:fldChar w:fldCharType="separate"/>
      </w:r>
      <w:r w:rsidR="00FE66EC">
        <w:rPr>
          <w:rFonts w:cs="Calibri"/>
          <w:iCs/>
          <w:noProof/>
          <w:color w:val="1F497D"/>
          <w:sz w:val="18"/>
          <w:szCs w:val="18"/>
          <w:lang w:val="sq-AL"/>
        </w:rPr>
        <w:t>46</w:t>
      </w:r>
      <w:r w:rsidRPr="004E15B6">
        <w:rPr>
          <w:rFonts w:cs="Calibri"/>
          <w:iCs/>
          <w:color w:val="1F497D"/>
          <w:sz w:val="18"/>
          <w:szCs w:val="18"/>
          <w:lang w:val="sq-AL"/>
        </w:rPr>
        <w:fldChar w:fldCharType="end"/>
      </w:r>
      <w:r w:rsidRPr="004E15B6">
        <w:rPr>
          <w:rFonts w:cs="Calibri"/>
          <w:iCs/>
          <w:color w:val="1F497D"/>
          <w:sz w:val="18"/>
          <w:szCs w:val="18"/>
          <w:lang w:val="sq-AL"/>
        </w:rPr>
        <w:t xml:space="preserve"> Ecuria e nivelit të arkëtimeve të OSHEE </w:t>
      </w:r>
      <w:r w:rsidR="00380C50" w:rsidRPr="004E15B6">
        <w:rPr>
          <w:rFonts w:cs="Calibri"/>
          <w:iCs/>
          <w:color w:val="1F497D"/>
          <w:sz w:val="18"/>
          <w:szCs w:val="18"/>
          <w:lang w:val="sq-AL"/>
        </w:rPr>
        <w:t xml:space="preserve">Group </w:t>
      </w:r>
      <w:r w:rsidRPr="004E15B6">
        <w:rPr>
          <w:rFonts w:cs="Calibri"/>
          <w:iCs/>
          <w:color w:val="1F497D"/>
          <w:sz w:val="18"/>
          <w:szCs w:val="18"/>
          <w:lang w:val="sq-AL"/>
        </w:rPr>
        <w:t>sh.a (në miliardë lekë)</w:t>
      </w:r>
      <w:bookmarkEnd w:id="181"/>
    </w:p>
    <w:p w:rsidR="00C6090D" w:rsidRPr="00476D2E" w:rsidRDefault="00A151EB" w:rsidP="00E87F6B">
      <w:pPr>
        <w:spacing w:before="0"/>
        <w:jc w:val="center"/>
        <w:rPr>
          <w:rFonts w:cs="Calibri"/>
          <w:bCs/>
          <w:lang w:val="sq-AL" w:eastAsia="sq-AL"/>
        </w:rPr>
      </w:pPr>
      <w:r>
        <w:rPr>
          <w:noProof/>
        </w:rPr>
        <w:drawing>
          <wp:inline distT="0" distB="0" distL="0" distR="0" wp14:anchorId="435887DE" wp14:editId="36611BED">
            <wp:extent cx="6310313" cy="2247900"/>
            <wp:effectExtent l="0" t="0" r="1460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6090D" w:rsidRDefault="000661E2" w:rsidP="00E87F6B">
      <w:pPr>
        <w:spacing w:before="0"/>
        <w:rPr>
          <w:rFonts w:eastAsia="SimSun" w:cs="Calibri"/>
          <w:i/>
          <w:sz w:val="18"/>
          <w:szCs w:val="18"/>
          <w:lang w:val="sq-AL"/>
        </w:rPr>
      </w:pPr>
      <w:r>
        <w:rPr>
          <w:rFonts w:eastAsia="SimSun" w:cs="Calibri"/>
          <w:i/>
          <w:sz w:val="18"/>
          <w:szCs w:val="18"/>
          <w:lang w:val="sq-AL"/>
        </w:rPr>
        <w:t>Burimi: Ministria e Financave dhe Ekonomisë (2022)</w:t>
      </w:r>
    </w:p>
    <w:p w:rsidR="00A92C47" w:rsidRDefault="00A92C47" w:rsidP="00C6090D">
      <w:pPr>
        <w:keepNext/>
        <w:rPr>
          <w:rFonts w:cs="Calibri"/>
          <w:i/>
          <w:iCs/>
          <w:color w:val="1F497D"/>
          <w:sz w:val="18"/>
          <w:szCs w:val="18"/>
          <w:lang w:val="sq-AL"/>
        </w:rPr>
      </w:pPr>
    </w:p>
    <w:p w:rsidR="00C6090D" w:rsidRPr="004E15B6" w:rsidRDefault="00C6090D" w:rsidP="00C6090D">
      <w:pPr>
        <w:keepNext/>
        <w:rPr>
          <w:rFonts w:cs="Calibri"/>
          <w:iCs/>
          <w:color w:val="1F497D"/>
          <w:sz w:val="18"/>
          <w:szCs w:val="18"/>
          <w:lang w:val="sq-AL"/>
        </w:rPr>
      </w:pPr>
      <w:bookmarkStart w:id="182" w:name="_Toc104984066"/>
      <w:r w:rsidRPr="004E15B6">
        <w:rPr>
          <w:rFonts w:cs="Calibri"/>
          <w:iCs/>
          <w:color w:val="1F497D"/>
          <w:sz w:val="18"/>
          <w:szCs w:val="18"/>
          <w:lang w:val="sq-AL"/>
        </w:rPr>
        <w:t xml:space="preserve">Grafiku </w:t>
      </w:r>
      <w:r w:rsidRPr="004E15B6">
        <w:rPr>
          <w:rFonts w:cs="Calibri"/>
          <w:iCs/>
          <w:color w:val="1F497D"/>
          <w:sz w:val="18"/>
          <w:szCs w:val="18"/>
          <w:lang w:val="sq-AL"/>
        </w:rPr>
        <w:fldChar w:fldCharType="begin"/>
      </w:r>
      <w:r w:rsidRPr="004E15B6">
        <w:rPr>
          <w:rFonts w:cs="Calibri"/>
          <w:iCs/>
          <w:color w:val="1F497D"/>
          <w:sz w:val="18"/>
          <w:szCs w:val="18"/>
          <w:lang w:val="sq-AL"/>
        </w:rPr>
        <w:instrText xml:space="preserve"> SEQ Grafiku \* ARABIC </w:instrText>
      </w:r>
      <w:r w:rsidRPr="004E15B6">
        <w:rPr>
          <w:rFonts w:cs="Calibri"/>
          <w:iCs/>
          <w:color w:val="1F497D"/>
          <w:sz w:val="18"/>
          <w:szCs w:val="18"/>
          <w:lang w:val="sq-AL"/>
        </w:rPr>
        <w:fldChar w:fldCharType="separate"/>
      </w:r>
      <w:r w:rsidR="00FE66EC">
        <w:rPr>
          <w:rFonts w:cs="Calibri"/>
          <w:iCs/>
          <w:noProof/>
          <w:color w:val="1F497D"/>
          <w:sz w:val="18"/>
          <w:szCs w:val="18"/>
          <w:lang w:val="sq-AL"/>
        </w:rPr>
        <w:t>47</w:t>
      </w:r>
      <w:r w:rsidRPr="004E15B6">
        <w:rPr>
          <w:rFonts w:cs="Calibri"/>
          <w:iCs/>
          <w:color w:val="1F497D"/>
          <w:sz w:val="18"/>
          <w:szCs w:val="18"/>
          <w:lang w:val="sq-AL"/>
        </w:rPr>
        <w:fldChar w:fldCharType="end"/>
      </w:r>
      <w:r w:rsidRPr="004E15B6">
        <w:rPr>
          <w:rFonts w:cs="Calibri"/>
          <w:iCs/>
          <w:color w:val="1F497D"/>
          <w:sz w:val="18"/>
          <w:szCs w:val="18"/>
          <w:lang w:val="sq-AL"/>
        </w:rPr>
        <w:t xml:space="preserve"> Ecuria e nivelit të humbjeve në rrjet për OSHEE </w:t>
      </w:r>
      <w:r w:rsidR="00380C50" w:rsidRPr="004E15B6">
        <w:rPr>
          <w:rFonts w:cs="Calibri"/>
          <w:iCs/>
          <w:color w:val="1F497D"/>
          <w:sz w:val="18"/>
          <w:szCs w:val="18"/>
          <w:lang w:val="sq-AL"/>
        </w:rPr>
        <w:t xml:space="preserve">Group </w:t>
      </w:r>
      <w:r w:rsidRPr="004E15B6">
        <w:rPr>
          <w:rFonts w:cs="Calibri"/>
          <w:iCs/>
          <w:color w:val="1F497D"/>
          <w:sz w:val="18"/>
          <w:szCs w:val="18"/>
          <w:lang w:val="sq-AL"/>
        </w:rPr>
        <w:t>sh.a (në %)</w:t>
      </w:r>
      <w:bookmarkEnd w:id="182"/>
    </w:p>
    <w:p w:rsidR="00C6090D" w:rsidRPr="00476D2E" w:rsidRDefault="00A151EB" w:rsidP="00E87F6B">
      <w:pPr>
        <w:spacing w:before="0"/>
        <w:jc w:val="center"/>
        <w:rPr>
          <w:rFonts w:cs="Calibri"/>
          <w:bCs/>
          <w:lang w:val="sq-AL" w:eastAsia="sq-AL"/>
        </w:rPr>
      </w:pPr>
      <w:r>
        <w:rPr>
          <w:noProof/>
        </w:rPr>
        <w:drawing>
          <wp:inline distT="0" distB="0" distL="0" distR="0" wp14:anchorId="4679297D" wp14:editId="31398ACF">
            <wp:extent cx="6309995" cy="2324100"/>
            <wp:effectExtent l="0" t="0" r="1460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6090D" w:rsidRDefault="000661E2" w:rsidP="00E87F6B">
      <w:pPr>
        <w:spacing w:before="0"/>
        <w:rPr>
          <w:rFonts w:eastAsia="SimSun" w:cs="Calibri"/>
          <w:i/>
          <w:sz w:val="18"/>
          <w:szCs w:val="18"/>
          <w:lang w:val="sq-AL"/>
        </w:rPr>
      </w:pPr>
      <w:r>
        <w:rPr>
          <w:rFonts w:eastAsia="SimSun" w:cs="Calibri"/>
          <w:i/>
          <w:sz w:val="18"/>
          <w:szCs w:val="18"/>
          <w:lang w:val="sq-AL"/>
        </w:rPr>
        <w:t>Burimi: Ministria e Financave dhe Ekonomisë (2022)</w:t>
      </w:r>
    </w:p>
    <w:p w:rsidR="00E87F6B" w:rsidRPr="00476D2E" w:rsidRDefault="00E87F6B" w:rsidP="00E87F6B">
      <w:pPr>
        <w:spacing w:before="0"/>
        <w:rPr>
          <w:rFonts w:eastAsia="SimSun" w:cs="Calibri"/>
          <w:i/>
          <w:sz w:val="18"/>
          <w:szCs w:val="18"/>
          <w:lang w:val="sq-AL"/>
        </w:rPr>
      </w:pPr>
    </w:p>
    <w:p w:rsidR="00E87F6B" w:rsidRDefault="00F46CBE" w:rsidP="007D4C4E">
      <w:pPr>
        <w:spacing w:after="120"/>
        <w:rPr>
          <w:rFonts w:eastAsia="SimSun" w:cs="Calibri"/>
          <w:lang w:val="sq-AL"/>
        </w:rPr>
      </w:pPr>
      <w:r w:rsidRPr="00476D2E">
        <w:rPr>
          <w:rFonts w:eastAsia="SimSun" w:cs="Calibri"/>
          <w:b/>
          <w:lang w:val="sq-AL"/>
        </w:rPr>
        <w:lastRenderedPageBreak/>
        <w:t>Projektet e investimeve me financim t</w:t>
      </w:r>
      <w:r w:rsidR="00560062" w:rsidRPr="00476D2E">
        <w:rPr>
          <w:rFonts w:eastAsia="SimSun" w:cs="Calibri"/>
          <w:b/>
          <w:lang w:val="sq-AL"/>
        </w:rPr>
        <w:t>ë</w:t>
      </w:r>
      <w:r w:rsidRPr="00476D2E">
        <w:rPr>
          <w:rFonts w:eastAsia="SimSun" w:cs="Calibri"/>
          <w:b/>
          <w:lang w:val="sq-AL"/>
        </w:rPr>
        <w:t xml:space="preserve"> huaj p</w:t>
      </w:r>
      <w:r w:rsidR="00560062" w:rsidRPr="00476D2E">
        <w:rPr>
          <w:rFonts w:eastAsia="SimSun" w:cs="Calibri"/>
          <w:b/>
          <w:lang w:val="sq-AL"/>
        </w:rPr>
        <w:t>ë</w:t>
      </w:r>
      <w:r w:rsidRPr="00476D2E">
        <w:rPr>
          <w:rFonts w:eastAsia="SimSun" w:cs="Calibri"/>
          <w:b/>
          <w:lang w:val="sq-AL"/>
        </w:rPr>
        <w:t>r Sektorin e Energjis</w:t>
      </w:r>
      <w:r w:rsidR="00560062" w:rsidRPr="00476D2E">
        <w:rPr>
          <w:rFonts w:eastAsia="SimSun" w:cs="Calibri"/>
          <w:b/>
          <w:lang w:val="sq-AL"/>
        </w:rPr>
        <w:t>ë</w:t>
      </w:r>
      <w:r w:rsidRPr="00476D2E">
        <w:rPr>
          <w:rFonts w:eastAsia="SimSun" w:cs="Calibri"/>
          <w:b/>
          <w:lang w:val="sq-AL"/>
        </w:rPr>
        <w:t xml:space="preserve"> </w:t>
      </w:r>
      <w:r w:rsidR="00C6090D" w:rsidRPr="00476D2E">
        <w:rPr>
          <w:rFonts w:eastAsia="SimSun" w:cs="Calibri"/>
          <w:b/>
          <w:lang w:val="sq-AL"/>
        </w:rPr>
        <w:t>për vitin 202</w:t>
      </w:r>
      <w:r w:rsidR="007D4C4E">
        <w:rPr>
          <w:rFonts w:eastAsia="SimSun" w:cs="Calibri"/>
          <w:b/>
          <w:lang w:val="sq-AL"/>
        </w:rPr>
        <w:t>1</w:t>
      </w:r>
      <w:r w:rsidR="00C6090D" w:rsidRPr="00476D2E">
        <w:rPr>
          <w:rFonts w:eastAsia="SimSun" w:cs="Calibri"/>
          <w:lang w:val="sq-AL"/>
        </w:rPr>
        <w:t xml:space="preserve">, </w:t>
      </w:r>
      <w:r w:rsidR="007D4C4E" w:rsidRPr="00716C10">
        <w:rPr>
          <w:rFonts w:eastAsia="SimSun" w:cs="Calibri"/>
          <w:lang w:val="sq-AL"/>
        </w:rPr>
        <w:t>u miratuan në nivelin 2.3 miliardë lekë sipas buxhetit fillestar, Aktit Normativ nr.4 datë 5.2.2021, Aktit Normativ nr.8 datë 22.3.2021, Aktit Normativ nr.18 datë 12.4.2021, Aktit Normativ nr.26 datë 22.6.2021, dhe 1.9 miliardë lekë sipas Aktit Normativ nr.34 datë 03.12.2021 “</w:t>
      </w:r>
      <w:r w:rsidR="007D4C4E" w:rsidRPr="00716C10">
        <w:rPr>
          <w:rFonts w:eastAsia="SimSun" w:cs="Calibri"/>
          <w:i/>
          <w:lang w:val="sq-AL"/>
        </w:rPr>
        <w:t>Për disa ndr</w:t>
      </w:r>
      <w:r w:rsidR="00F45B6C">
        <w:rPr>
          <w:rFonts w:eastAsia="SimSun" w:cs="Calibri"/>
          <w:i/>
          <w:lang w:val="sq-AL"/>
        </w:rPr>
        <w:t>yshime në Ligjin nr.</w:t>
      </w:r>
      <w:r w:rsidR="007D4C4E" w:rsidRPr="00716C10">
        <w:rPr>
          <w:rFonts w:eastAsia="SimSun" w:cs="Calibri"/>
          <w:i/>
          <w:lang w:val="sq-AL"/>
        </w:rPr>
        <w:t>137/2020 ‘Për buxhetin e vitit 2021, i ndryshuar’</w:t>
      </w:r>
      <w:r w:rsidR="007D4C4E" w:rsidRPr="00E87F6B">
        <w:rPr>
          <w:rFonts w:eastAsia="SimSun" w:cs="Calibri"/>
          <w:lang w:val="sq-AL"/>
        </w:rPr>
        <w:t xml:space="preserve">”. </w:t>
      </w:r>
    </w:p>
    <w:p w:rsidR="007D4C4E" w:rsidRPr="00716C10" w:rsidRDefault="007D4C4E" w:rsidP="007D4C4E">
      <w:pPr>
        <w:spacing w:after="120"/>
        <w:rPr>
          <w:rFonts w:eastAsia="SimSun" w:cs="Calibri"/>
          <w:lang w:val="sq-AL"/>
        </w:rPr>
      </w:pPr>
      <w:r w:rsidRPr="00E87F6B">
        <w:rPr>
          <w:rFonts w:eastAsia="SimSun" w:cs="Calibri"/>
          <w:lang w:val="sq-AL"/>
        </w:rPr>
        <w:t>Gjatë vitit 2021, në veçanti në tremujorin e tretë dhe të kat</w:t>
      </w:r>
      <w:r w:rsidRPr="00E87F6B">
        <w:rPr>
          <w:rFonts w:cs="Calibri"/>
          <w:bCs/>
          <w:lang w:val="sq-AL" w:eastAsia="sq-AL"/>
        </w:rPr>
        <w:t>ë</w:t>
      </w:r>
      <w:r w:rsidRPr="00E87F6B">
        <w:rPr>
          <w:rFonts w:eastAsia="SimSun" w:cs="Calibri"/>
          <w:lang w:val="sq-AL"/>
        </w:rPr>
        <w:t>rt t</w:t>
      </w:r>
      <w:r w:rsidRPr="00E87F6B">
        <w:rPr>
          <w:rFonts w:cs="Calibri"/>
          <w:bCs/>
          <w:lang w:val="sq-AL" w:eastAsia="sq-AL"/>
        </w:rPr>
        <w:t>ë</w:t>
      </w:r>
      <w:r w:rsidRPr="00E87F6B">
        <w:rPr>
          <w:rFonts w:eastAsia="SimSun" w:cs="Calibri"/>
          <w:lang w:val="sq-AL"/>
        </w:rPr>
        <w:t xml:space="preserve"> vitit, sektori u përball me një situatë aspak të favorshme që rrjedhimisht ndikoi negativisht në pozicionin financiar të sektorit. Mosplotësimi i planit të furnizimit me</w:t>
      </w:r>
      <w:r w:rsidRPr="00716C10">
        <w:rPr>
          <w:rFonts w:eastAsia="SimSun" w:cs="Calibri"/>
          <w:lang w:val="sq-AL"/>
        </w:rPr>
        <w:t xml:space="preserve"> energji elektrike, si pasojë e motit të thatë, ka detyruar OSHEE Group sh.a të plotësojë këtë mungesë me blerje në tregun e lirë. Për rrjedhojë, OSHEE Group  sh.a është përballur me një rritje të paparashikuar eksponenciale t</w:t>
      </w:r>
      <w:r w:rsidRPr="00716C10">
        <w:rPr>
          <w:rFonts w:cs="Calibri"/>
          <w:bCs/>
          <w:lang w:val="sq-AL" w:eastAsia="sq-AL"/>
        </w:rPr>
        <w:t>ë</w:t>
      </w:r>
      <w:r w:rsidRPr="00716C10">
        <w:rPr>
          <w:rFonts w:eastAsia="SimSun" w:cs="Calibri"/>
          <w:lang w:val="sq-AL"/>
        </w:rPr>
        <w:t xml:space="preserve"> çmimit të energjisë në Tregun e Lirë. Konkretisht, gjatë 12M të vitit 2021, KESH Sh.a realizoi një nivel të prodhimit publik neto prej rreth 5.34 T</w:t>
      </w:r>
      <w:r w:rsidR="00EF20CF">
        <w:rPr>
          <w:rFonts w:eastAsia="SimSun" w:cs="Calibri"/>
          <w:lang w:val="sq-AL"/>
        </w:rPr>
        <w:t>W</w:t>
      </w:r>
      <w:r w:rsidRPr="00716C10">
        <w:rPr>
          <w:rFonts w:eastAsia="SimSun" w:cs="Calibri"/>
          <w:lang w:val="sq-AL"/>
        </w:rPr>
        <w:t>h, krahasuar me 3.09 T</w:t>
      </w:r>
      <w:r w:rsidR="00EF20CF">
        <w:rPr>
          <w:rFonts w:eastAsia="SimSun" w:cs="Calibri"/>
          <w:lang w:val="sq-AL"/>
        </w:rPr>
        <w:t>W</w:t>
      </w:r>
      <w:r w:rsidRPr="00716C10">
        <w:rPr>
          <w:rFonts w:eastAsia="SimSun" w:cs="Calibri"/>
          <w:lang w:val="sq-AL"/>
        </w:rPr>
        <w:t>h realizuar në 12M e vitit 2020; një rritje kjo prej rreth 72.9 përqind. Humbjet në sistemin e shpërndarjes së energjisë elektrike rezultuan në nivelin 20.62 përqind për 12M 2021, duke shënuar një rënie të mëtej</w:t>
      </w:r>
      <w:r>
        <w:rPr>
          <w:rFonts w:eastAsia="SimSun" w:cs="Calibri"/>
          <w:lang w:val="sq-AL"/>
        </w:rPr>
        <w:t>shme të tyre krahasuar me të një</w:t>
      </w:r>
      <w:r w:rsidRPr="00716C10">
        <w:rPr>
          <w:rFonts w:eastAsia="SimSun" w:cs="Calibri"/>
          <w:lang w:val="sq-AL"/>
        </w:rPr>
        <w:t>jtën periudhë të një viti më parë. Niveli i arkëtimeve për 12M 2021 arriti vlerën prej 97.4 përqind krahasuar me nivelin prej 95.8 përqind realizuar në vitin 2020, e cila dëshmon stabilitetin e operatorit në këtë drejtim. Megjithëse treguesit e përgjithshëm për vitin 2021 duken pozitivë, shqetësuese mbetet niveli i basenëve prodhues të hidrocentraleve publike. Konkretisht niveli i basenit t</w:t>
      </w:r>
      <w:r w:rsidRPr="00716C10">
        <w:rPr>
          <w:rFonts w:cs="Calibri"/>
          <w:bCs/>
          <w:lang w:val="sq-AL" w:eastAsia="sq-AL"/>
        </w:rPr>
        <w:t>ë</w:t>
      </w:r>
      <w:r w:rsidRPr="00716C10">
        <w:rPr>
          <w:rFonts w:eastAsia="SimSun" w:cs="Calibri"/>
          <w:lang w:val="sq-AL"/>
        </w:rPr>
        <w:t xml:space="preserve"> Fierzës deri në muajin N</w:t>
      </w:r>
      <w:r w:rsidRPr="00716C10">
        <w:rPr>
          <w:rFonts w:cs="Calibri"/>
          <w:bCs/>
          <w:lang w:val="sq-AL" w:eastAsia="sq-AL"/>
        </w:rPr>
        <w:t>ë</w:t>
      </w:r>
      <w:r w:rsidRPr="00716C10">
        <w:rPr>
          <w:rFonts w:eastAsia="SimSun" w:cs="Calibri"/>
          <w:lang w:val="sq-AL"/>
        </w:rPr>
        <w:t>ntor 2021 ishte në kuotën 267.8m. Ky është niveli më i ulët për muajin N</w:t>
      </w:r>
      <w:r w:rsidRPr="00716C10">
        <w:rPr>
          <w:rFonts w:cs="Calibri"/>
          <w:bCs/>
          <w:lang w:val="sq-AL" w:eastAsia="sq-AL"/>
        </w:rPr>
        <w:t>ë</w:t>
      </w:r>
      <w:r w:rsidRPr="00716C10">
        <w:rPr>
          <w:rFonts w:eastAsia="SimSun" w:cs="Calibri"/>
          <w:lang w:val="sq-AL"/>
        </w:rPr>
        <w:t>ntor që prej vitit 2018 dhe nivel shumë më i ulët sesa kuota mesatare prej 274.7m e 30 viteve të fundit. Shqetësues është dhe fakti që niveli i basenit ka zbritur nga kuota 291.7m në fund të Qershorit, në 271.3m vetëm 3 muaj më vonë në fund të Shtatorit. Mosplotësimi i planit të furnizimit me energji elektrike si pasojë e motit të thatë ka detyruar OSHEE Group sh.a të plotësojë këtë mungesë me blerje në tregun e lirë, dhe rrjedhimisht ka ndikuar në ulje të performancës financiare dhe mungesë likuiditeti të kompanisë. Për rrjedhojë në fund të vitit, u miratua VKM Nr.584</w:t>
      </w:r>
      <w:r w:rsidR="00F45B6C">
        <w:rPr>
          <w:rFonts w:eastAsia="SimSun" w:cs="Calibri"/>
          <w:lang w:val="sq-AL"/>
        </w:rPr>
        <w:t>/</w:t>
      </w:r>
      <w:r w:rsidRPr="00716C10">
        <w:rPr>
          <w:rFonts w:eastAsia="SimSun" w:cs="Calibri"/>
          <w:lang w:val="sq-AL"/>
        </w:rPr>
        <w:t>2021 “</w:t>
      </w:r>
      <w:r w:rsidRPr="00F45B6C">
        <w:rPr>
          <w:rFonts w:eastAsia="SimSun" w:cs="Calibri"/>
          <w:i/>
          <w:sz w:val="20"/>
          <w:lang w:val="sq-AL"/>
        </w:rPr>
        <w:t>Për Shpalljen e emergjencës në furnizimin me energji elektrike</w:t>
      </w:r>
      <w:r w:rsidR="00F45B6C">
        <w:rPr>
          <w:rFonts w:eastAsia="SimSun" w:cs="Calibri"/>
          <w:lang w:val="sq-AL"/>
        </w:rPr>
        <w:t xml:space="preserve">” </w:t>
      </w:r>
      <w:r w:rsidRPr="00716C10">
        <w:rPr>
          <w:rFonts w:eastAsia="SimSun" w:cs="Calibri"/>
          <w:bCs/>
          <w:lang w:val="sq-AL"/>
        </w:rPr>
        <w:t>me qëllim sigurimin e furnizimit të pandërprerë të energjisë.</w:t>
      </w:r>
    </w:p>
    <w:p w:rsidR="007D4C4E" w:rsidRPr="00206AB0" w:rsidRDefault="007D4C4E" w:rsidP="007D4C4E">
      <w:pPr>
        <w:spacing w:after="120"/>
        <w:rPr>
          <w:rFonts w:eastAsia="SimSun" w:cs="Calibri"/>
          <w:lang w:val="sq-AL"/>
        </w:rPr>
      </w:pPr>
      <w:r w:rsidRPr="00716C10">
        <w:rPr>
          <w:rFonts w:eastAsia="SimSun" w:cs="Calibri"/>
          <w:lang w:val="sq-AL"/>
        </w:rPr>
        <w:t xml:space="preserve">Në terma të riskut fiskal, impakti i sektorit si kosto apo të ardhura të munguara në financat publike, për vitin 2021, vlerësohet </w:t>
      </w:r>
      <w:r w:rsidRPr="00E87F6B">
        <w:rPr>
          <w:rFonts w:eastAsia="SimSun" w:cs="Calibri"/>
          <w:lang w:val="sq-AL"/>
        </w:rPr>
        <w:t>rreth 5.5 miliardë lekë, nga rreth 5.2 miliardë lekë në vitin 2020, duke treguar</w:t>
      </w:r>
      <w:r w:rsidRPr="00716C10">
        <w:rPr>
          <w:rFonts w:eastAsia="SimSun" w:cs="Calibri"/>
          <w:lang w:val="sq-AL"/>
        </w:rPr>
        <w:t xml:space="preserve"> një përkeqësim të gjendjes së detyrimeve. Kjo situatë është ndikuar nga kushtet e pafavorshme atmosferike që ulën ndjeshëm në tre mujorin e fundit të vitit nivelin e prodhimit dhe gjithashtu prej rritjes të paparashikuar eksponenciale t</w:t>
      </w:r>
      <w:r w:rsidRPr="00716C10">
        <w:rPr>
          <w:rFonts w:cs="Calibri"/>
          <w:bCs/>
          <w:lang w:val="sq-AL" w:eastAsia="sq-AL"/>
        </w:rPr>
        <w:t>ë</w:t>
      </w:r>
      <w:r w:rsidRPr="00716C10">
        <w:rPr>
          <w:rFonts w:eastAsia="SimSun" w:cs="Calibri"/>
          <w:lang w:val="sq-AL"/>
        </w:rPr>
        <w:t xml:space="preserve"> çmimit të energjisë në Tregun e Lirë (kriza globale e energjisë) që për rrjedhojë ndikuan negativisht në performancën financiare të kompanive të sektorit energjitik.</w:t>
      </w:r>
      <w:r w:rsidR="00206AB0">
        <w:rPr>
          <w:rFonts w:eastAsia="SimSun" w:cs="Calibri"/>
          <w:lang w:val="sq-AL"/>
        </w:rPr>
        <w:t xml:space="preserve"> </w:t>
      </w:r>
      <w:r w:rsidRPr="00716C10">
        <w:rPr>
          <w:rFonts w:eastAsia="SimSun" w:cs="Calibri"/>
          <w:lang w:val="sq-AL"/>
        </w:rPr>
        <w:t xml:space="preserve">Një arritje e rëndësishme për vitin 2021 është edhe niveli rekord minimal i humbjeve në rrjet me 20.62 </w:t>
      </w:r>
      <w:r w:rsidR="0083794F">
        <w:rPr>
          <w:rFonts w:eastAsia="SimSun" w:cs="Calibri"/>
          <w:lang w:val="sq-AL"/>
        </w:rPr>
        <w:t>përqind</w:t>
      </w:r>
      <w:r w:rsidRPr="00716C10">
        <w:rPr>
          <w:rFonts w:eastAsia="SimSun" w:cs="Calibri"/>
          <w:lang w:val="sq-AL"/>
        </w:rPr>
        <w:t>, nga 21.48% në vitin 2020. Gjithashtu, një tregues mjaft i rëndësishëm për sektorin energjetik mbetet niveli i arkëtimeve i cili është rritur për vitin 2021 me rreth 6.5 miliardë lekë krahasuar me 2020.</w:t>
      </w:r>
    </w:p>
    <w:p w:rsidR="00AB609E" w:rsidRDefault="007D4C4E" w:rsidP="007D4C4E">
      <w:pPr>
        <w:spacing w:after="120"/>
        <w:rPr>
          <w:rFonts w:eastAsia="SimSun" w:cs="Calibri"/>
          <w:lang w:val="sq-AL"/>
        </w:rPr>
      </w:pPr>
      <w:r w:rsidRPr="00716C10">
        <w:rPr>
          <w:rFonts w:eastAsia="SimSun" w:cs="Calibri"/>
          <w:lang w:val="sq-AL"/>
        </w:rPr>
        <w:t xml:space="preserve">Në kuadër të reformës në sektorin e energjisë, në muajin Dhjetor të vitit 2020 u finalizua me sukses plani i masave për reduktimin e detyrimeve të prapambetura në sektorin e energjisë elektrike. Ky plan masash, sipas Urdhërit të përbashkët të </w:t>
      </w:r>
      <w:r w:rsidR="00E87F6B">
        <w:rPr>
          <w:rFonts w:eastAsia="SimSun" w:cs="Calibri"/>
          <w:lang w:val="sq-AL"/>
        </w:rPr>
        <w:t>MFE</w:t>
      </w:r>
      <w:r w:rsidRPr="00716C10">
        <w:rPr>
          <w:rFonts w:eastAsia="SimSun" w:cs="Calibri"/>
          <w:lang w:val="sq-AL"/>
        </w:rPr>
        <w:t xml:space="preserve"> dhe </w:t>
      </w:r>
      <w:r w:rsidR="00E87F6B">
        <w:rPr>
          <w:rFonts w:eastAsia="SimSun" w:cs="Calibri"/>
          <w:lang w:val="sq-AL"/>
        </w:rPr>
        <w:t>MIE</w:t>
      </w:r>
      <w:r w:rsidRPr="00716C10">
        <w:rPr>
          <w:rFonts w:eastAsia="SimSun" w:cs="Calibri"/>
          <w:lang w:val="sq-AL"/>
        </w:rPr>
        <w:t xml:space="preserve"> nr.304</w:t>
      </w:r>
      <w:r w:rsidR="00F45B6C">
        <w:rPr>
          <w:rFonts w:eastAsia="SimSun" w:cs="Calibri"/>
          <w:lang w:val="sq-AL"/>
        </w:rPr>
        <w:t>/</w:t>
      </w:r>
      <w:r w:rsidRPr="00716C10">
        <w:rPr>
          <w:rFonts w:eastAsia="SimSun" w:cs="Calibri"/>
          <w:lang w:val="sq-AL"/>
        </w:rPr>
        <w:t>2020 “</w:t>
      </w:r>
      <w:r w:rsidRPr="00F45B6C">
        <w:rPr>
          <w:rFonts w:eastAsia="SimSun" w:cs="Calibri"/>
          <w:i/>
          <w:sz w:val="20"/>
          <w:lang w:val="sq-AL"/>
        </w:rPr>
        <w:t>Për miratimin e planit të masave të reduktimit të detyrimeve të prapambetura në sektorin e energjisë elektrike</w:t>
      </w:r>
      <w:r w:rsidRPr="00716C10">
        <w:rPr>
          <w:rFonts w:eastAsia="SimSun" w:cs="Calibri"/>
          <w:lang w:val="sq-AL"/>
        </w:rPr>
        <w:t xml:space="preserve">”, </w:t>
      </w:r>
      <w:r w:rsidR="00E87F6B">
        <w:rPr>
          <w:rFonts w:eastAsia="SimSun" w:cs="Calibri"/>
          <w:lang w:val="sq-AL"/>
        </w:rPr>
        <w:t>i v</w:t>
      </w:r>
      <w:r w:rsidR="002111DF">
        <w:rPr>
          <w:rFonts w:eastAsia="SimSun" w:cs="Calibri"/>
          <w:lang w:val="sq-AL"/>
        </w:rPr>
        <w:t>ë</w:t>
      </w:r>
      <w:r w:rsidR="00E87F6B">
        <w:rPr>
          <w:rFonts w:eastAsia="SimSun" w:cs="Calibri"/>
          <w:lang w:val="sq-AL"/>
        </w:rPr>
        <w:t>n</w:t>
      </w:r>
      <w:r w:rsidR="002111DF">
        <w:rPr>
          <w:rFonts w:eastAsia="SimSun" w:cs="Calibri"/>
          <w:lang w:val="sq-AL"/>
        </w:rPr>
        <w:t>ë</w:t>
      </w:r>
      <w:r w:rsidR="00E87F6B">
        <w:rPr>
          <w:rFonts w:eastAsia="SimSun" w:cs="Calibri"/>
          <w:lang w:val="sq-AL"/>
        </w:rPr>
        <w:t xml:space="preserve"> n</w:t>
      </w:r>
      <w:r w:rsidR="002111DF">
        <w:rPr>
          <w:rFonts w:eastAsia="SimSun" w:cs="Calibri"/>
          <w:lang w:val="sq-AL"/>
        </w:rPr>
        <w:t>ë</w:t>
      </w:r>
      <w:r w:rsidR="00E87F6B">
        <w:rPr>
          <w:rFonts w:eastAsia="SimSun" w:cs="Calibri"/>
          <w:lang w:val="sq-AL"/>
        </w:rPr>
        <w:t xml:space="preserve"> zbatim q</w:t>
      </w:r>
      <w:r w:rsidR="002111DF">
        <w:rPr>
          <w:rFonts w:eastAsia="SimSun" w:cs="Calibri"/>
          <w:lang w:val="sq-AL"/>
        </w:rPr>
        <w:t>ë</w:t>
      </w:r>
      <w:r w:rsidR="00E87F6B">
        <w:rPr>
          <w:rFonts w:eastAsia="SimSun" w:cs="Calibri"/>
          <w:lang w:val="sq-AL"/>
        </w:rPr>
        <w:t xml:space="preserve"> prej Janarit 2021 e n</w:t>
      </w:r>
      <w:r w:rsidR="002111DF">
        <w:rPr>
          <w:rFonts w:eastAsia="SimSun" w:cs="Calibri"/>
          <w:lang w:val="sq-AL"/>
        </w:rPr>
        <w:t>ë</w:t>
      </w:r>
      <w:r w:rsidR="00E87F6B">
        <w:rPr>
          <w:rFonts w:eastAsia="SimSun" w:cs="Calibri"/>
          <w:lang w:val="sq-AL"/>
        </w:rPr>
        <w:t xml:space="preserve"> vijim, </w:t>
      </w:r>
      <w:r w:rsidRPr="00716C10">
        <w:rPr>
          <w:rFonts w:eastAsia="SimSun" w:cs="Calibri"/>
          <w:lang w:val="sq-AL"/>
        </w:rPr>
        <w:t>shërbe</w:t>
      </w:r>
      <w:r w:rsidR="00E87F6B">
        <w:rPr>
          <w:rFonts w:eastAsia="SimSun" w:cs="Calibri"/>
          <w:lang w:val="sq-AL"/>
        </w:rPr>
        <w:t>n</w:t>
      </w:r>
      <w:r w:rsidRPr="00716C10">
        <w:rPr>
          <w:rFonts w:eastAsia="SimSun" w:cs="Calibri"/>
          <w:lang w:val="sq-AL"/>
        </w:rPr>
        <w:t xml:space="preserve"> si një instrument kryesor për realizimin e një prej elementeve kryesore të reformës në këtë sektor jetik për ekonominë e vendit. Ky plan ofron një seri masash </w:t>
      </w:r>
      <w:r w:rsidR="00F45B6C">
        <w:rPr>
          <w:rFonts w:eastAsia="SimSun" w:cs="Calibri"/>
          <w:lang w:val="sq-AL"/>
        </w:rPr>
        <w:t>për</w:t>
      </w:r>
      <w:r w:rsidRPr="00716C10">
        <w:rPr>
          <w:rFonts w:eastAsia="SimSun" w:cs="Calibri"/>
          <w:lang w:val="sq-AL"/>
        </w:rPr>
        <w:t xml:space="preserve"> parandalimin e detyrimeve të prapambetura dhe disiplinimin e pagesave ndërmjet kompanive të sektorit energjitik dhe palëve kryesore të lidhura me to. Me qëllim zbatimin me sukses të këtij plani, Ministria e Financave dhe Ekonomisë dhe Ministria e Infrastrukturës dhe Energjisë, bashkëfirmosën Urdhërin e </w:t>
      </w:r>
      <w:r w:rsidR="00E87F6B">
        <w:rPr>
          <w:rFonts w:eastAsia="SimSun" w:cs="Calibri"/>
          <w:lang w:val="sq-AL"/>
        </w:rPr>
        <w:t>P</w:t>
      </w:r>
      <w:r w:rsidRPr="00716C10">
        <w:rPr>
          <w:rFonts w:eastAsia="SimSun" w:cs="Calibri"/>
          <w:lang w:val="sq-AL"/>
        </w:rPr>
        <w:t>ërbashkët nr.379</w:t>
      </w:r>
      <w:r w:rsidR="00F45B6C">
        <w:rPr>
          <w:rFonts w:eastAsia="SimSun" w:cs="Calibri"/>
          <w:lang w:val="sq-AL"/>
        </w:rPr>
        <w:t>/</w:t>
      </w:r>
      <w:r w:rsidRPr="00716C10">
        <w:rPr>
          <w:rFonts w:eastAsia="SimSun" w:cs="Calibri"/>
          <w:lang w:val="sq-AL"/>
        </w:rPr>
        <w:t>2021 “</w:t>
      </w:r>
      <w:r w:rsidRPr="00F45B6C">
        <w:rPr>
          <w:rFonts w:eastAsia="SimSun" w:cs="Calibri"/>
          <w:i/>
          <w:sz w:val="20"/>
          <w:lang w:val="sq-AL"/>
        </w:rPr>
        <w:t>Mbi zbatimin e planit të masave për reduktimin e detyrimeve të prapambetura në sektorin e energjisë elektrike</w:t>
      </w:r>
      <w:r w:rsidRPr="00716C10">
        <w:rPr>
          <w:rFonts w:eastAsia="SimSun" w:cs="Calibri"/>
          <w:lang w:val="sq-AL"/>
        </w:rPr>
        <w:t>”</w:t>
      </w:r>
      <w:r w:rsidR="00F45B6C">
        <w:rPr>
          <w:rFonts w:eastAsia="SimSun" w:cs="Calibri"/>
          <w:lang w:val="sq-AL"/>
        </w:rPr>
        <w:t>, që</w:t>
      </w:r>
      <w:r w:rsidRPr="00716C10">
        <w:rPr>
          <w:rFonts w:eastAsia="SimSun" w:cs="Calibri"/>
          <w:lang w:val="sq-AL"/>
        </w:rPr>
        <w:t xml:space="preserve"> </w:t>
      </w:r>
      <w:r w:rsidRPr="00F45B6C">
        <w:rPr>
          <w:rFonts w:eastAsia="SimSun" w:cs="Calibri"/>
          <w:lang w:val="sq-AL"/>
        </w:rPr>
        <w:t>ngarkon ndërmarrjet e sektorit energjitik për raportimin mujor nga ana e tyre, mbi shlyerjen e detyrimeve të prapambetura dhe statusin e detyrimeve ndërmjet sektorit të energjisë dhe entiteve të tjera publike</w:t>
      </w:r>
      <w:r w:rsidR="00AB609E" w:rsidRPr="00F45B6C">
        <w:rPr>
          <w:rFonts w:eastAsia="SimSun" w:cs="Calibri"/>
          <w:lang w:val="sq-AL"/>
        </w:rPr>
        <w:t>.</w:t>
      </w:r>
    </w:p>
    <w:p w:rsidR="00AB222B" w:rsidRDefault="00AB222B" w:rsidP="007D4C4E">
      <w:pPr>
        <w:spacing w:after="120"/>
        <w:rPr>
          <w:rFonts w:eastAsia="SimSun" w:cs="Calibri"/>
          <w:lang w:val="sq-AL"/>
        </w:rPr>
      </w:pPr>
      <w:r>
        <w:rPr>
          <w:rFonts w:eastAsia="SimSun" w:cs="Calibri"/>
          <w:lang w:val="sq-AL"/>
        </w:rPr>
        <w:lastRenderedPageBreak/>
        <w:t>Tabela e mëposhtme paraqet në mënyrë të detajuar detyrimet e ndërsjella në</w:t>
      </w:r>
      <w:r w:rsidR="00737045">
        <w:rPr>
          <w:rFonts w:eastAsia="SimSun" w:cs="Calibri"/>
          <w:lang w:val="sq-AL"/>
        </w:rPr>
        <w:t xml:space="preserve"> sektorin e energjisë elektrike</w:t>
      </w:r>
      <w:r>
        <w:rPr>
          <w:rFonts w:eastAsia="SimSun" w:cs="Calibri"/>
          <w:lang w:val="sq-AL"/>
        </w:rPr>
        <w:t>:</w:t>
      </w:r>
    </w:p>
    <w:tbl>
      <w:tblPr>
        <w:tblStyle w:val="TableGrid"/>
        <w:tblW w:w="9475" w:type="dxa"/>
        <w:jc w:val="center"/>
        <w:tblLook w:val="04A0" w:firstRow="1" w:lastRow="0" w:firstColumn="1" w:lastColumn="0" w:noHBand="0" w:noVBand="1"/>
      </w:tblPr>
      <w:tblGrid>
        <w:gridCol w:w="2595"/>
        <w:gridCol w:w="996"/>
        <w:gridCol w:w="1237"/>
        <w:gridCol w:w="1148"/>
        <w:gridCol w:w="874"/>
        <w:gridCol w:w="931"/>
        <w:gridCol w:w="1694"/>
      </w:tblGrid>
      <w:tr w:rsidR="00AB222B" w:rsidRPr="00AB222B" w:rsidTr="00737045">
        <w:trPr>
          <w:trHeight w:val="571"/>
          <w:jc w:val="center"/>
        </w:trPr>
        <w:tc>
          <w:tcPr>
            <w:tcW w:w="2595" w:type="dxa"/>
            <w:shd w:val="clear" w:color="auto" w:fill="B3DDF2" w:themeFill="background2" w:themeFillShade="E6"/>
            <w:vAlign w:val="center"/>
            <w:hideMark/>
          </w:tcPr>
          <w:p w:rsidR="00AB222B" w:rsidRPr="00AB222B" w:rsidRDefault="00737045" w:rsidP="00AB222B">
            <w:pPr>
              <w:spacing w:before="0" w:line="240" w:lineRule="auto"/>
              <w:jc w:val="center"/>
              <w:rPr>
                <w:rFonts w:asciiTheme="majorHAnsi" w:eastAsia="Calibri" w:hAnsiTheme="majorHAnsi"/>
                <w:b/>
                <w:color w:val="C00000"/>
                <w:sz w:val="20"/>
                <w:szCs w:val="20"/>
                <w:lang w:val="sq-AL"/>
              </w:rPr>
            </w:pPr>
            <w:r>
              <w:rPr>
                <w:rFonts w:asciiTheme="majorHAnsi" w:eastAsia="Calibri" w:hAnsiTheme="majorHAnsi"/>
                <w:b/>
                <w:color w:val="C00000"/>
                <w:sz w:val="20"/>
                <w:szCs w:val="20"/>
                <w:lang w:val="sq-AL"/>
              </w:rPr>
              <w:t xml:space="preserve">Deri në </w:t>
            </w:r>
            <w:r w:rsidR="00AB222B" w:rsidRPr="00AB222B">
              <w:rPr>
                <w:rFonts w:asciiTheme="majorHAnsi" w:eastAsia="Calibri" w:hAnsiTheme="majorHAnsi"/>
                <w:b/>
                <w:color w:val="C00000"/>
                <w:sz w:val="20"/>
                <w:szCs w:val="20"/>
                <w:lang w:val="sq-AL"/>
              </w:rPr>
              <w:t>Dhjetor 2021</w:t>
            </w:r>
          </w:p>
          <w:p w:rsidR="00AB222B" w:rsidRPr="00AB222B" w:rsidRDefault="00AB222B" w:rsidP="00AB222B">
            <w:pPr>
              <w:spacing w:before="0" w:line="240" w:lineRule="auto"/>
              <w:jc w:val="center"/>
              <w:rPr>
                <w:rFonts w:asciiTheme="majorHAnsi" w:hAnsiTheme="majorHAnsi"/>
                <w:b/>
                <w:bCs/>
                <w:color w:val="000000" w:themeColor="text1"/>
                <w:sz w:val="20"/>
                <w:szCs w:val="20"/>
              </w:rPr>
            </w:pPr>
            <w:r w:rsidRPr="00AB222B">
              <w:rPr>
                <w:rFonts w:asciiTheme="majorHAnsi" w:eastAsia="Calibri" w:hAnsiTheme="majorHAnsi"/>
                <w:b/>
                <w:color w:val="C00000"/>
                <w:sz w:val="20"/>
                <w:szCs w:val="20"/>
                <w:lang w:val="sq-AL"/>
              </w:rPr>
              <w:t>(ne mld LEK)</w:t>
            </w:r>
          </w:p>
        </w:tc>
        <w:tc>
          <w:tcPr>
            <w:tcW w:w="996" w:type="dxa"/>
            <w:shd w:val="clear" w:color="auto" w:fill="B3DDF2" w:themeFill="background2" w:themeFillShade="E6"/>
            <w:vAlign w:val="center"/>
            <w:hideMark/>
          </w:tcPr>
          <w:p w:rsidR="00AB222B" w:rsidRPr="00AB222B" w:rsidRDefault="00AB222B" w:rsidP="00AB222B">
            <w:pPr>
              <w:spacing w:before="0" w:line="240" w:lineRule="auto"/>
              <w:jc w:val="center"/>
              <w:rPr>
                <w:rFonts w:asciiTheme="majorHAnsi" w:hAnsiTheme="majorHAnsi"/>
                <w:b/>
                <w:bCs/>
                <w:color w:val="000000" w:themeColor="text1"/>
                <w:sz w:val="20"/>
                <w:szCs w:val="20"/>
              </w:rPr>
            </w:pPr>
            <w:r w:rsidRPr="00AB222B">
              <w:rPr>
                <w:rFonts w:asciiTheme="majorHAnsi" w:hAnsiTheme="majorHAnsi"/>
                <w:b/>
                <w:bCs/>
                <w:color w:val="000000" w:themeColor="text1"/>
                <w:sz w:val="20"/>
                <w:szCs w:val="20"/>
              </w:rPr>
              <w:t>KESH</w:t>
            </w:r>
          </w:p>
        </w:tc>
        <w:tc>
          <w:tcPr>
            <w:tcW w:w="1237" w:type="dxa"/>
            <w:shd w:val="clear" w:color="auto" w:fill="B3DDF2" w:themeFill="background2" w:themeFillShade="E6"/>
            <w:vAlign w:val="center"/>
            <w:hideMark/>
          </w:tcPr>
          <w:p w:rsidR="00AB222B" w:rsidRPr="00AB222B" w:rsidRDefault="00AB222B" w:rsidP="00AB222B">
            <w:pPr>
              <w:spacing w:before="0" w:line="240" w:lineRule="auto"/>
              <w:jc w:val="center"/>
              <w:rPr>
                <w:rFonts w:asciiTheme="majorHAnsi" w:hAnsiTheme="majorHAnsi"/>
                <w:b/>
                <w:bCs/>
                <w:color w:val="000000" w:themeColor="text1"/>
                <w:sz w:val="20"/>
                <w:szCs w:val="20"/>
              </w:rPr>
            </w:pPr>
            <w:r w:rsidRPr="00AB222B">
              <w:rPr>
                <w:rFonts w:asciiTheme="majorHAnsi" w:hAnsiTheme="majorHAnsi"/>
                <w:b/>
                <w:bCs/>
                <w:color w:val="000000" w:themeColor="text1"/>
                <w:sz w:val="20"/>
                <w:szCs w:val="20"/>
              </w:rPr>
              <w:t>OST</w:t>
            </w:r>
          </w:p>
        </w:tc>
        <w:tc>
          <w:tcPr>
            <w:tcW w:w="1148" w:type="dxa"/>
            <w:shd w:val="clear" w:color="auto" w:fill="B3DDF2" w:themeFill="background2" w:themeFillShade="E6"/>
            <w:vAlign w:val="center"/>
            <w:hideMark/>
          </w:tcPr>
          <w:p w:rsidR="00AB222B" w:rsidRPr="00AB222B" w:rsidRDefault="00AB222B" w:rsidP="00AB222B">
            <w:pPr>
              <w:spacing w:before="0" w:line="240" w:lineRule="auto"/>
              <w:jc w:val="center"/>
              <w:rPr>
                <w:rFonts w:asciiTheme="majorHAnsi" w:hAnsiTheme="majorHAnsi"/>
                <w:b/>
                <w:bCs/>
                <w:color w:val="000000" w:themeColor="text1"/>
                <w:sz w:val="20"/>
                <w:szCs w:val="20"/>
              </w:rPr>
            </w:pPr>
            <w:r w:rsidRPr="00AB222B">
              <w:rPr>
                <w:rFonts w:asciiTheme="majorHAnsi" w:hAnsiTheme="majorHAnsi"/>
                <w:b/>
                <w:bCs/>
                <w:color w:val="000000" w:themeColor="text1"/>
                <w:sz w:val="20"/>
                <w:szCs w:val="20"/>
              </w:rPr>
              <w:t>OSHEE</w:t>
            </w:r>
          </w:p>
        </w:tc>
        <w:tc>
          <w:tcPr>
            <w:tcW w:w="874" w:type="dxa"/>
            <w:shd w:val="clear" w:color="auto" w:fill="B3DDF2" w:themeFill="background2" w:themeFillShade="E6"/>
            <w:vAlign w:val="center"/>
            <w:hideMark/>
          </w:tcPr>
          <w:p w:rsidR="00AB222B" w:rsidRPr="00AB222B" w:rsidRDefault="00AB222B" w:rsidP="00AB222B">
            <w:pPr>
              <w:spacing w:before="0" w:line="240" w:lineRule="auto"/>
              <w:jc w:val="center"/>
              <w:rPr>
                <w:rFonts w:asciiTheme="majorHAnsi" w:hAnsiTheme="majorHAnsi"/>
                <w:b/>
                <w:bCs/>
                <w:color w:val="000000" w:themeColor="text1"/>
                <w:sz w:val="20"/>
                <w:szCs w:val="20"/>
              </w:rPr>
            </w:pPr>
            <w:r w:rsidRPr="00AB222B">
              <w:rPr>
                <w:rFonts w:asciiTheme="majorHAnsi" w:hAnsiTheme="majorHAnsi"/>
                <w:b/>
                <w:bCs/>
                <w:color w:val="000000" w:themeColor="text1"/>
                <w:sz w:val="20"/>
                <w:szCs w:val="20"/>
              </w:rPr>
              <w:t>MFE</w:t>
            </w:r>
          </w:p>
        </w:tc>
        <w:tc>
          <w:tcPr>
            <w:tcW w:w="931" w:type="dxa"/>
            <w:shd w:val="clear" w:color="auto" w:fill="B3DDF2" w:themeFill="background2" w:themeFillShade="E6"/>
            <w:vAlign w:val="center"/>
            <w:hideMark/>
          </w:tcPr>
          <w:p w:rsidR="00AB222B" w:rsidRPr="00AB222B" w:rsidRDefault="00AB222B" w:rsidP="00AB222B">
            <w:pPr>
              <w:spacing w:before="0" w:line="240" w:lineRule="auto"/>
              <w:jc w:val="center"/>
              <w:rPr>
                <w:rFonts w:asciiTheme="majorHAnsi" w:hAnsiTheme="majorHAnsi"/>
                <w:b/>
                <w:bCs/>
                <w:color w:val="000000" w:themeColor="text1"/>
                <w:sz w:val="20"/>
                <w:szCs w:val="20"/>
              </w:rPr>
            </w:pPr>
            <w:r w:rsidRPr="00AB222B">
              <w:rPr>
                <w:rFonts w:asciiTheme="majorHAnsi" w:hAnsiTheme="majorHAnsi"/>
                <w:b/>
                <w:bCs/>
                <w:color w:val="000000" w:themeColor="text1"/>
                <w:sz w:val="20"/>
                <w:szCs w:val="20"/>
              </w:rPr>
              <w:t>DPT</w:t>
            </w:r>
          </w:p>
        </w:tc>
        <w:tc>
          <w:tcPr>
            <w:tcW w:w="1694" w:type="dxa"/>
            <w:shd w:val="clear" w:color="auto" w:fill="B3DDF2" w:themeFill="background2" w:themeFillShade="E6"/>
            <w:vAlign w:val="center"/>
            <w:hideMark/>
          </w:tcPr>
          <w:p w:rsidR="00AB222B" w:rsidRPr="00AB222B" w:rsidRDefault="00AB222B" w:rsidP="00AB222B">
            <w:pPr>
              <w:spacing w:before="0" w:line="240" w:lineRule="auto"/>
              <w:jc w:val="center"/>
              <w:rPr>
                <w:rFonts w:asciiTheme="majorHAnsi" w:hAnsiTheme="majorHAnsi"/>
                <w:b/>
                <w:bCs/>
                <w:color w:val="C00000"/>
                <w:sz w:val="20"/>
                <w:szCs w:val="20"/>
              </w:rPr>
            </w:pPr>
            <w:r w:rsidRPr="00AB222B">
              <w:rPr>
                <w:rFonts w:asciiTheme="majorHAnsi" w:hAnsiTheme="majorHAnsi"/>
                <w:b/>
                <w:bCs/>
                <w:color w:val="C00000"/>
                <w:sz w:val="20"/>
                <w:szCs w:val="20"/>
              </w:rPr>
              <w:t>Total</w:t>
            </w:r>
          </w:p>
        </w:tc>
      </w:tr>
      <w:tr w:rsidR="00AB222B" w:rsidRPr="00AB222B" w:rsidTr="00737045">
        <w:trPr>
          <w:trHeight w:val="328"/>
          <w:jc w:val="center"/>
        </w:trPr>
        <w:tc>
          <w:tcPr>
            <w:tcW w:w="2595" w:type="dxa"/>
            <w:vAlign w:val="center"/>
            <w:hideMark/>
          </w:tcPr>
          <w:p w:rsidR="00AB222B" w:rsidRPr="00AB222B" w:rsidRDefault="00AB222B" w:rsidP="00AB222B">
            <w:pPr>
              <w:spacing w:before="0" w:line="240" w:lineRule="auto"/>
              <w:jc w:val="center"/>
              <w:rPr>
                <w:rFonts w:asciiTheme="majorHAnsi" w:hAnsiTheme="majorHAnsi"/>
                <w:b/>
                <w:bCs/>
                <w:color w:val="000000" w:themeColor="text1"/>
                <w:sz w:val="18"/>
                <w:szCs w:val="20"/>
              </w:rPr>
            </w:pPr>
            <w:r w:rsidRPr="00AB222B">
              <w:rPr>
                <w:rFonts w:asciiTheme="majorHAnsi" w:hAnsiTheme="majorHAnsi"/>
                <w:b/>
                <w:bCs/>
                <w:color w:val="000000" w:themeColor="text1"/>
                <w:sz w:val="18"/>
                <w:szCs w:val="20"/>
              </w:rPr>
              <w:t>KESH ndaj:</w:t>
            </w:r>
          </w:p>
        </w:tc>
        <w:tc>
          <w:tcPr>
            <w:tcW w:w="996" w:type="dxa"/>
            <w:vAlign w:val="center"/>
            <w:hideMark/>
          </w:tcPr>
          <w:p w:rsidR="00AB222B" w:rsidRPr="00AB222B" w:rsidRDefault="00AB222B" w:rsidP="00AB222B">
            <w:pPr>
              <w:spacing w:before="0" w:line="240" w:lineRule="auto"/>
              <w:jc w:val="center"/>
              <w:rPr>
                <w:rFonts w:asciiTheme="majorHAnsi" w:hAnsiTheme="majorHAnsi"/>
                <w:color w:val="000000" w:themeColor="text1"/>
                <w:sz w:val="18"/>
                <w:szCs w:val="20"/>
              </w:rPr>
            </w:pPr>
          </w:p>
        </w:tc>
        <w:tc>
          <w:tcPr>
            <w:tcW w:w="1237" w:type="dxa"/>
            <w:vAlign w:val="center"/>
            <w:hideMark/>
          </w:tcPr>
          <w:p w:rsidR="00AB222B" w:rsidRPr="00AB222B" w:rsidRDefault="00AB222B" w:rsidP="00AB222B">
            <w:pPr>
              <w:spacing w:before="0" w:line="240" w:lineRule="auto"/>
              <w:jc w:val="center"/>
              <w:rPr>
                <w:rFonts w:asciiTheme="majorHAnsi" w:hAnsiTheme="majorHAnsi"/>
                <w:color w:val="000000" w:themeColor="text1"/>
                <w:sz w:val="18"/>
                <w:szCs w:val="20"/>
              </w:rPr>
            </w:pPr>
            <w:r w:rsidRPr="00AB222B">
              <w:rPr>
                <w:rFonts w:asciiTheme="majorHAnsi" w:hAnsiTheme="majorHAnsi"/>
                <w:color w:val="000000" w:themeColor="text1"/>
                <w:sz w:val="18"/>
                <w:szCs w:val="20"/>
              </w:rPr>
              <w:t>0.40</w:t>
            </w:r>
          </w:p>
        </w:tc>
        <w:tc>
          <w:tcPr>
            <w:tcW w:w="1148" w:type="dxa"/>
            <w:vAlign w:val="center"/>
            <w:hideMark/>
          </w:tcPr>
          <w:p w:rsidR="00AB222B" w:rsidRPr="00AB222B" w:rsidRDefault="00AB222B" w:rsidP="00AB222B">
            <w:pPr>
              <w:spacing w:before="0" w:line="240" w:lineRule="auto"/>
              <w:jc w:val="center"/>
              <w:rPr>
                <w:rFonts w:asciiTheme="majorHAnsi" w:hAnsiTheme="majorHAnsi"/>
                <w:color w:val="000000" w:themeColor="text1"/>
                <w:sz w:val="18"/>
                <w:szCs w:val="20"/>
              </w:rPr>
            </w:pPr>
          </w:p>
        </w:tc>
        <w:tc>
          <w:tcPr>
            <w:tcW w:w="874" w:type="dxa"/>
            <w:vAlign w:val="center"/>
            <w:hideMark/>
          </w:tcPr>
          <w:p w:rsidR="00AB222B" w:rsidRPr="00AB222B" w:rsidRDefault="00AB222B" w:rsidP="00AB222B">
            <w:pPr>
              <w:spacing w:before="0" w:line="240" w:lineRule="auto"/>
              <w:jc w:val="center"/>
              <w:rPr>
                <w:rFonts w:asciiTheme="majorHAnsi" w:hAnsiTheme="majorHAnsi"/>
                <w:color w:val="000000" w:themeColor="text1"/>
                <w:sz w:val="18"/>
                <w:szCs w:val="20"/>
              </w:rPr>
            </w:pPr>
            <w:r w:rsidRPr="00AB222B">
              <w:rPr>
                <w:rFonts w:asciiTheme="majorHAnsi" w:hAnsiTheme="majorHAnsi"/>
                <w:color w:val="000000" w:themeColor="text1"/>
                <w:sz w:val="18"/>
                <w:szCs w:val="20"/>
              </w:rPr>
              <w:t>17.72</w:t>
            </w:r>
          </w:p>
        </w:tc>
        <w:tc>
          <w:tcPr>
            <w:tcW w:w="931" w:type="dxa"/>
            <w:vAlign w:val="center"/>
            <w:hideMark/>
          </w:tcPr>
          <w:p w:rsidR="00AB222B" w:rsidRPr="00AB222B" w:rsidRDefault="00AB222B" w:rsidP="00AB222B">
            <w:pPr>
              <w:spacing w:before="0" w:line="240" w:lineRule="auto"/>
              <w:jc w:val="center"/>
              <w:rPr>
                <w:rFonts w:asciiTheme="majorHAnsi" w:hAnsiTheme="majorHAnsi"/>
                <w:color w:val="000000" w:themeColor="text1"/>
                <w:sz w:val="18"/>
                <w:szCs w:val="20"/>
              </w:rPr>
            </w:pPr>
            <w:r w:rsidRPr="00AB222B">
              <w:rPr>
                <w:rFonts w:asciiTheme="majorHAnsi" w:hAnsiTheme="majorHAnsi"/>
                <w:color w:val="000000" w:themeColor="text1"/>
                <w:sz w:val="18"/>
                <w:szCs w:val="20"/>
              </w:rPr>
              <w:t>0.01</w:t>
            </w:r>
          </w:p>
        </w:tc>
        <w:tc>
          <w:tcPr>
            <w:tcW w:w="1694" w:type="dxa"/>
            <w:shd w:val="clear" w:color="auto" w:fill="B3DDF2" w:themeFill="background2" w:themeFillShade="E6"/>
            <w:vAlign w:val="center"/>
            <w:hideMark/>
          </w:tcPr>
          <w:p w:rsidR="00AB222B" w:rsidRPr="00AB222B" w:rsidRDefault="00AB222B" w:rsidP="00AB222B">
            <w:pPr>
              <w:spacing w:before="0" w:line="240" w:lineRule="auto"/>
              <w:jc w:val="center"/>
              <w:rPr>
                <w:rFonts w:asciiTheme="majorHAnsi" w:hAnsiTheme="majorHAnsi"/>
                <w:b/>
                <w:bCs/>
                <w:color w:val="C00000"/>
                <w:sz w:val="20"/>
                <w:szCs w:val="20"/>
              </w:rPr>
            </w:pPr>
            <w:r w:rsidRPr="00AB222B">
              <w:rPr>
                <w:rFonts w:asciiTheme="majorHAnsi" w:hAnsiTheme="majorHAnsi"/>
                <w:b/>
                <w:bCs/>
                <w:color w:val="C00000"/>
                <w:sz w:val="20"/>
                <w:szCs w:val="20"/>
              </w:rPr>
              <w:t>18.13</w:t>
            </w:r>
          </w:p>
        </w:tc>
      </w:tr>
      <w:tr w:rsidR="00AB222B" w:rsidRPr="00AB222B" w:rsidTr="00737045">
        <w:trPr>
          <w:trHeight w:val="328"/>
          <w:jc w:val="center"/>
        </w:trPr>
        <w:tc>
          <w:tcPr>
            <w:tcW w:w="2595" w:type="dxa"/>
            <w:vAlign w:val="center"/>
            <w:hideMark/>
          </w:tcPr>
          <w:p w:rsidR="00AB222B" w:rsidRPr="00AB222B" w:rsidRDefault="00AB222B" w:rsidP="00AB222B">
            <w:pPr>
              <w:spacing w:before="0" w:line="240" w:lineRule="auto"/>
              <w:jc w:val="center"/>
              <w:rPr>
                <w:rFonts w:asciiTheme="majorHAnsi" w:hAnsiTheme="majorHAnsi"/>
                <w:b/>
                <w:bCs/>
                <w:color w:val="000000" w:themeColor="text1"/>
                <w:sz w:val="18"/>
                <w:szCs w:val="20"/>
              </w:rPr>
            </w:pPr>
            <w:r w:rsidRPr="00AB222B">
              <w:rPr>
                <w:rFonts w:asciiTheme="majorHAnsi" w:hAnsiTheme="majorHAnsi"/>
                <w:b/>
                <w:bCs/>
                <w:color w:val="000000" w:themeColor="text1"/>
                <w:sz w:val="18"/>
                <w:szCs w:val="20"/>
              </w:rPr>
              <w:t>OST ndaj:</w:t>
            </w:r>
          </w:p>
        </w:tc>
        <w:tc>
          <w:tcPr>
            <w:tcW w:w="996" w:type="dxa"/>
            <w:vAlign w:val="center"/>
            <w:hideMark/>
          </w:tcPr>
          <w:p w:rsidR="00AB222B" w:rsidRPr="00AB222B" w:rsidRDefault="00AB222B" w:rsidP="00AB222B">
            <w:pPr>
              <w:spacing w:before="0" w:line="240" w:lineRule="auto"/>
              <w:jc w:val="center"/>
              <w:rPr>
                <w:rFonts w:asciiTheme="majorHAnsi" w:hAnsiTheme="majorHAnsi"/>
                <w:color w:val="000000" w:themeColor="text1"/>
                <w:sz w:val="18"/>
                <w:szCs w:val="20"/>
              </w:rPr>
            </w:pPr>
            <w:r w:rsidRPr="00AB222B">
              <w:rPr>
                <w:rFonts w:asciiTheme="majorHAnsi" w:hAnsiTheme="majorHAnsi"/>
                <w:color w:val="000000" w:themeColor="text1"/>
                <w:sz w:val="18"/>
                <w:szCs w:val="20"/>
              </w:rPr>
              <w:t>6.6</w:t>
            </w:r>
          </w:p>
        </w:tc>
        <w:tc>
          <w:tcPr>
            <w:tcW w:w="1237" w:type="dxa"/>
            <w:vAlign w:val="center"/>
            <w:hideMark/>
          </w:tcPr>
          <w:p w:rsidR="00AB222B" w:rsidRPr="00AB222B" w:rsidRDefault="00AB222B" w:rsidP="00AB222B">
            <w:pPr>
              <w:spacing w:before="0" w:line="240" w:lineRule="auto"/>
              <w:jc w:val="center"/>
              <w:rPr>
                <w:rFonts w:asciiTheme="majorHAnsi" w:hAnsiTheme="majorHAnsi"/>
                <w:color w:val="000000" w:themeColor="text1"/>
                <w:sz w:val="18"/>
                <w:szCs w:val="20"/>
              </w:rPr>
            </w:pPr>
          </w:p>
        </w:tc>
        <w:tc>
          <w:tcPr>
            <w:tcW w:w="1148" w:type="dxa"/>
            <w:vAlign w:val="center"/>
            <w:hideMark/>
          </w:tcPr>
          <w:p w:rsidR="00AB222B" w:rsidRPr="00AB222B" w:rsidRDefault="00AB222B" w:rsidP="00AB222B">
            <w:pPr>
              <w:spacing w:before="0" w:line="240" w:lineRule="auto"/>
              <w:jc w:val="center"/>
              <w:rPr>
                <w:rFonts w:asciiTheme="majorHAnsi" w:hAnsiTheme="majorHAnsi"/>
                <w:color w:val="000000" w:themeColor="text1"/>
                <w:sz w:val="18"/>
                <w:szCs w:val="20"/>
              </w:rPr>
            </w:pPr>
            <w:r w:rsidRPr="00AB222B">
              <w:rPr>
                <w:rFonts w:asciiTheme="majorHAnsi" w:hAnsiTheme="majorHAnsi"/>
                <w:color w:val="000000" w:themeColor="text1"/>
                <w:sz w:val="18"/>
                <w:szCs w:val="20"/>
              </w:rPr>
              <w:t>0.97</w:t>
            </w:r>
          </w:p>
        </w:tc>
        <w:tc>
          <w:tcPr>
            <w:tcW w:w="874" w:type="dxa"/>
            <w:vAlign w:val="center"/>
            <w:hideMark/>
          </w:tcPr>
          <w:p w:rsidR="00AB222B" w:rsidRPr="00AB222B" w:rsidRDefault="00AB222B" w:rsidP="00AB222B">
            <w:pPr>
              <w:spacing w:before="0" w:line="240" w:lineRule="auto"/>
              <w:jc w:val="center"/>
              <w:rPr>
                <w:rFonts w:asciiTheme="majorHAnsi" w:hAnsiTheme="majorHAnsi"/>
                <w:color w:val="000000" w:themeColor="text1"/>
                <w:sz w:val="18"/>
                <w:szCs w:val="20"/>
              </w:rPr>
            </w:pPr>
            <w:r w:rsidRPr="00AB222B">
              <w:rPr>
                <w:rFonts w:asciiTheme="majorHAnsi" w:hAnsiTheme="majorHAnsi"/>
                <w:color w:val="000000" w:themeColor="text1"/>
                <w:sz w:val="18"/>
                <w:szCs w:val="20"/>
              </w:rPr>
              <w:t>14.56</w:t>
            </w:r>
          </w:p>
        </w:tc>
        <w:tc>
          <w:tcPr>
            <w:tcW w:w="931" w:type="dxa"/>
            <w:vAlign w:val="center"/>
            <w:hideMark/>
          </w:tcPr>
          <w:p w:rsidR="00AB222B" w:rsidRPr="00AB222B" w:rsidRDefault="00AB222B" w:rsidP="00AB222B">
            <w:pPr>
              <w:spacing w:before="0" w:line="240" w:lineRule="auto"/>
              <w:jc w:val="center"/>
              <w:rPr>
                <w:rFonts w:asciiTheme="majorHAnsi" w:hAnsiTheme="majorHAnsi"/>
                <w:color w:val="000000" w:themeColor="text1"/>
                <w:sz w:val="18"/>
                <w:szCs w:val="20"/>
              </w:rPr>
            </w:pPr>
          </w:p>
        </w:tc>
        <w:tc>
          <w:tcPr>
            <w:tcW w:w="1694" w:type="dxa"/>
            <w:shd w:val="clear" w:color="auto" w:fill="B3DDF2" w:themeFill="background2" w:themeFillShade="E6"/>
            <w:vAlign w:val="center"/>
            <w:hideMark/>
          </w:tcPr>
          <w:p w:rsidR="00AB222B" w:rsidRPr="00AB222B" w:rsidRDefault="00AB222B" w:rsidP="00AB222B">
            <w:pPr>
              <w:spacing w:before="0" w:line="240" w:lineRule="auto"/>
              <w:jc w:val="center"/>
              <w:rPr>
                <w:rFonts w:asciiTheme="majorHAnsi" w:hAnsiTheme="majorHAnsi"/>
                <w:b/>
                <w:bCs/>
                <w:color w:val="C00000"/>
                <w:sz w:val="20"/>
                <w:szCs w:val="20"/>
              </w:rPr>
            </w:pPr>
            <w:r w:rsidRPr="00AB222B">
              <w:rPr>
                <w:rFonts w:asciiTheme="majorHAnsi" w:hAnsiTheme="majorHAnsi"/>
                <w:b/>
                <w:bCs/>
                <w:color w:val="C00000"/>
                <w:sz w:val="20"/>
                <w:szCs w:val="20"/>
              </w:rPr>
              <w:t>22.13</w:t>
            </w:r>
          </w:p>
        </w:tc>
      </w:tr>
      <w:tr w:rsidR="00AB222B" w:rsidRPr="00AB222B" w:rsidTr="00737045">
        <w:trPr>
          <w:trHeight w:val="363"/>
          <w:jc w:val="center"/>
        </w:trPr>
        <w:tc>
          <w:tcPr>
            <w:tcW w:w="2595" w:type="dxa"/>
            <w:vAlign w:val="center"/>
            <w:hideMark/>
          </w:tcPr>
          <w:p w:rsidR="00AB222B" w:rsidRPr="00AB222B" w:rsidRDefault="00AB222B" w:rsidP="00AB222B">
            <w:pPr>
              <w:spacing w:before="0" w:line="240" w:lineRule="auto"/>
              <w:jc w:val="center"/>
              <w:rPr>
                <w:rFonts w:asciiTheme="majorHAnsi" w:hAnsiTheme="majorHAnsi"/>
                <w:b/>
                <w:bCs/>
                <w:color w:val="000000" w:themeColor="text1"/>
                <w:sz w:val="18"/>
                <w:szCs w:val="20"/>
              </w:rPr>
            </w:pPr>
            <w:r w:rsidRPr="00AB222B">
              <w:rPr>
                <w:rFonts w:asciiTheme="majorHAnsi" w:hAnsiTheme="majorHAnsi"/>
                <w:b/>
                <w:bCs/>
                <w:color w:val="000000" w:themeColor="text1"/>
                <w:sz w:val="18"/>
                <w:szCs w:val="20"/>
              </w:rPr>
              <w:t>OSHEE ndaj:</w:t>
            </w:r>
          </w:p>
        </w:tc>
        <w:tc>
          <w:tcPr>
            <w:tcW w:w="996" w:type="dxa"/>
            <w:vAlign w:val="center"/>
            <w:hideMark/>
          </w:tcPr>
          <w:p w:rsidR="00AB222B" w:rsidRPr="00AB222B" w:rsidRDefault="00AB222B" w:rsidP="00AB222B">
            <w:pPr>
              <w:spacing w:before="0" w:line="240" w:lineRule="auto"/>
              <w:jc w:val="center"/>
              <w:rPr>
                <w:rFonts w:asciiTheme="majorHAnsi" w:hAnsiTheme="majorHAnsi"/>
                <w:color w:val="000000" w:themeColor="text1"/>
                <w:sz w:val="18"/>
                <w:szCs w:val="20"/>
              </w:rPr>
            </w:pPr>
            <w:r w:rsidRPr="00AB222B">
              <w:rPr>
                <w:rFonts w:asciiTheme="majorHAnsi" w:hAnsiTheme="majorHAnsi"/>
                <w:color w:val="000000" w:themeColor="text1"/>
                <w:sz w:val="18"/>
                <w:szCs w:val="20"/>
              </w:rPr>
              <w:t>51.35</w:t>
            </w:r>
          </w:p>
        </w:tc>
        <w:tc>
          <w:tcPr>
            <w:tcW w:w="1237" w:type="dxa"/>
            <w:vAlign w:val="center"/>
            <w:hideMark/>
          </w:tcPr>
          <w:p w:rsidR="00AB222B" w:rsidRPr="00AB222B" w:rsidRDefault="00AB222B" w:rsidP="00AB222B">
            <w:pPr>
              <w:spacing w:before="0" w:line="240" w:lineRule="auto"/>
              <w:jc w:val="center"/>
              <w:rPr>
                <w:rFonts w:asciiTheme="majorHAnsi" w:hAnsiTheme="majorHAnsi"/>
                <w:color w:val="000000" w:themeColor="text1"/>
                <w:sz w:val="18"/>
                <w:szCs w:val="20"/>
              </w:rPr>
            </w:pPr>
            <w:r w:rsidRPr="00AB222B">
              <w:rPr>
                <w:rFonts w:asciiTheme="majorHAnsi" w:hAnsiTheme="majorHAnsi"/>
                <w:color w:val="000000" w:themeColor="text1"/>
                <w:sz w:val="18"/>
                <w:szCs w:val="20"/>
              </w:rPr>
              <w:t>13.9</w:t>
            </w:r>
            <w:r w:rsidR="00953C0C" w:rsidRPr="00953C0C">
              <w:rPr>
                <w:rFonts w:asciiTheme="majorHAnsi" w:hAnsiTheme="majorHAnsi"/>
                <w:color w:val="C00000"/>
                <w:sz w:val="18"/>
                <w:szCs w:val="20"/>
              </w:rPr>
              <w:t>*</w:t>
            </w:r>
          </w:p>
        </w:tc>
        <w:tc>
          <w:tcPr>
            <w:tcW w:w="1148" w:type="dxa"/>
            <w:vAlign w:val="center"/>
            <w:hideMark/>
          </w:tcPr>
          <w:p w:rsidR="00AB222B" w:rsidRPr="00AB222B" w:rsidRDefault="00AB222B" w:rsidP="00AB222B">
            <w:pPr>
              <w:spacing w:before="0" w:line="240" w:lineRule="auto"/>
              <w:jc w:val="center"/>
              <w:rPr>
                <w:rFonts w:asciiTheme="majorHAnsi" w:hAnsiTheme="majorHAnsi"/>
                <w:color w:val="000000" w:themeColor="text1"/>
                <w:sz w:val="18"/>
                <w:szCs w:val="20"/>
              </w:rPr>
            </w:pPr>
          </w:p>
        </w:tc>
        <w:tc>
          <w:tcPr>
            <w:tcW w:w="874" w:type="dxa"/>
            <w:vAlign w:val="center"/>
            <w:hideMark/>
          </w:tcPr>
          <w:p w:rsidR="00AB222B" w:rsidRPr="00AB222B" w:rsidRDefault="00AB222B" w:rsidP="00AB222B">
            <w:pPr>
              <w:spacing w:before="0" w:line="240" w:lineRule="auto"/>
              <w:jc w:val="center"/>
              <w:rPr>
                <w:rFonts w:asciiTheme="majorHAnsi" w:hAnsiTheme="majorHAnsi"/>
                <w:color w:val="000000" w:themeColor="text1"/>
                <w:sz w:val="18"/>
                <w:szCs w:val="20"/>
              </w:rPr>
            </w:pPr>
            <w:r w:rsidRPr="00AB222B">
              <w:rPr>
                <w:rFonts w:asciiTheme="majorHAnsi" w:hAnsiTheme="majorHAnsi"/>
                <w:color w:val="000000" w:themeColor="text1"/>
                <w:sz w:val="18"/>
                <w:szCs w:val="20"/>
              </w:rPr>
              <w:t>4.60</w:t>
            </w:r>
          </w:p>
        </w:tc>
        <w:tc>
          <w:tcPr>
            <w:tcW w:w="931" w:type="dxa"/>
            <w:vAlign w:val="center"/>
            <w:hideMark/>
          </w:tcPr>
          <w:p w:rsidR="00AB222B" w:rsidRPr="00AB222B" w:rsidRDefault="00AB222B" w:rsidP="00AB222B">
            <w:pPr>
              <w:spacing w:before="0" w:line="240" w:lineRule="auto"/>
              <w:jc w:val="center"/>
              <w:rPr>
                <w:rFonts w:asciiTheme="majorHAnsi" w:hAnsiTheme="majorHAnsi"/>
                <w:color w:val="000000" w:themeColor="text1"/>
                <w:sz w:val="18"/>
                <w:szCs w:val="20"/>
              </w:rPr>
            </w:pPr>
            <w:r w:rsidRPr="00AB222B">
              <w:rPr>
                <w:rFonts w:asciiTheme="majorHAnsi" w:hAnsiTheme="majorHAnsi"/>
                <w:color w:val="000000" w:themeColor="text1"/>
                <w:sz w:val="18"/>
                <w:szCs w:val="20"/>
              </w:rPr>
              <w:t>6.70</w:t>
            </w:r>
          </w:p>
        </w:tc>
        <w:tc>
          <w:tcPr>
            <w:tcW w:w="1694" w:type="dxa"/>
            <w:shd w:val="clear" w:color="auto" w:fill="B3DDF2" w:themeFill="background2" w:themeFillShade="E6"/>
            <w:vAlign w:val="center"/>
            <w:hideMark/>
          </w:tcPr>
          <w:p w:rsidR="00AB222B" w:rsidRPr="00AB222B" w:rsidRDefault="00AB222B" w:rsidP="00AB222B">
            <w:pPr>
              <w:spacing w:before="0" w:line="240" w:lineRule="auto"/>
              <w:jc w:val="center"/>
              <w:rPr>
                <w:rFonts w:asciiTheme="majorHAnsi" w:hAnsiTheme="majorHAnsi"/>
                <w:b/>
                <w:bCs/>
                <w:color w:val="C00000"/>
                <w:sz w:val="20"/>
                <w:szCs w:val="20"/>
              </w:rPr>
            </w:pPr>
            <w:r w:rsidRPr="00AB222B">
              <w:rPr>
                <w:rFonts w:asciiTheme="majorHAnsi" w:hAnsiTheme="majorHAnsi"/>
                <w:b/>
                <w:bCs/>
                <w:color w:val="C00000"/>
                <w:sz w:val="20"/>
                <w:szCs w:val="20"/>
              </w:rPr>
              <w:t>76.55</w:t>
            </w:r>
          </w:p>
        </w:tc>
      </w:tr>
      <w:tr w:rsidR="00AB222B" w:rsidRPr="00AB222B" w:rsidTr="00737045">
        <w:trPr>
          <w:trHeight w:val="270"/>
          <w:jc w:val="center"/>
        </w:trPr>
        <w:tc>
          <w:tcPr>
            <w:tcW w:w="2595" w:type="dxa"/>
            <w:vAlign w:val="center"/>
            <w:hideMark/>
          </w:tcPr>
          <w:p w:rsidR="00AB222B" w:rsidRPr="00AB222B" w:rsidRDefault="00AB222B" w:rsidP="00AB222B">
            <w:pPr>
              <w:spacing w:before="0" w:line="240" w:lineRule="auto"/>
              <w:jc w:val="center"/>
              <w:rPr>
                <w:rFonts w:asciiTheme="majorHAnsi" w:hAnsiTheme="majorHAnsi"/>
                <w:b/>
                <w:bCs/>
                <w:color w:val="000000" w:themeColor="text1"/>
                <w:sz w:val="18"/>
                <w:szCs w:val="20"/>
              </w:rPr>
            </w:pPr>
            <w:r w:rsidRPr="00AB222B">
              <w:rPr>
                <w:rFonts w:asciiTheme="majorHAnsi" w:hAnsiTheme="majorHAnsi"/>
                <w:b/>
                <w:bCs/>
                <w:color w:val="000000" w:themeColor="text1"/>
                <w:sz w:val="18"/>
                <w:szCs w:val="20"/>
              </w:rPr>
              <w:t>Ndermarrjet UK ndaj:</w:t>
            </w:r>
          </w:p>
        </w:tc>
        <w:tc>
          <w:tcPr>
            <w:tcW w:w="996" w:type="dxa"/>
            <w:vAlign w:val="center"/>
            <w:hideMark/>
          </w:tcPr>
          <w:p w:rsidR="00AB222B" w:rsidRPr="00AB222B" w:rsidRDefault="00AB222B" w:rsidP="00AB222B">
            <w:pPr>
              <w:spacing w:before="0" w:line="240" w:lineRule="auto"/>
              <w:jc w:val="center"/>
              <w:rPr>
                <w:rFonts w:asciiTheme="majorHAnsi" w:hAnsiTheme="majorHAnsi"/>
                <w:color w:val="000000" w:themeColor="text1"/>
                <w:sz w:val="18"/>
                <w:szCs w:val="20"/>
              </w:rPr>
            </w:pPr>
          </w:p>
        </w:tc>
        <w:tc>
          <w:tcPr>
            <w:tcW w:w="1237" w:type="dxa"/>
            <w:vAlign w:val="center"/>
            <w:hideMark/>
          </w:tcPr>
          <w:p w:rsidR="00AB222B" w:rsidRPr="00AB222B" w:rsidRDefault="00AB222B" w:rsidP="00AB222B">
            <w:pPr>
              <w:spacing w:before="0" w:line="240" w:lineRule="auto"/>
              <w:jc w:val="center"/>
              <w:rPr>
                <w:rFonts w:asciiTheme="majorHAnsi" w:hAnsiTheme="majorHAnsi"/>
                <w:color w:val="000000" w:themeColor="text1"/>
                <w:sz w:val="18"/>
                <w:szCs w:val="20"/>
              </w:rPr>
            </w:pPr>
          </w:p>
        </w:tc>
        <w:tc>
          <w:tcPr>
            <w:tcW w:w="1148" w:type="dxa"/>
            <w:vAlign w:val="center"/>
            <w:hideMark/>
          </w:tcPr>
          <w:p w:rsidR="00AB222B" w:rsidRPr="00AB222B" w:rsidRDefault="00AB222B" w:rsidP="00AB222B">
            <w:pPr>
              <w:spacing w:before="0" w:line="240" w:lineRule="auto"/>
              <w:jc w:val="center"/>
              <w:rPr>
                <w:rFonts w:asciiTheme="majorHAnsi" w:hAnsiTheme="majorHAnsi"/>
                <w:color w:val="000000" w:themeColor="text1"/>
                <w:sz w:val="18"/>
                <w:szCs w:val="20"/>
              </w:rPr>
            </w:pPr>
            <w:r w:rsidRPr="00AB222B">
              <w:rPr>
                <w:rFonts w:asciiTheme="majorHAnsi" w:hAnsiTheme="majorHAnsi"/>
                <w:color w:val="000000" w:themeColor="text1"/>
                <w:sz w:val="18"/>
                <w:szCs w:val="20"/>
              </w:rPr>
              <w:t>21.90</w:t>
            </w:r>
          </w:p>
        </w:tc>
        <w:tc>
          <w:tcPr>
            <w:tcW w:w="874" w:type="dxa"/>
            <w:vAlign w:val="center"/>
            <w:hideMark/>
          </w:tcPr>
          <w:p w:rsidR="00AB222B" w:rsidRPr="00AB222B" w:rsidRDefault="00AB222B" w:rsidP="00AB222B">
            <w:pPr>
              <w:spacing w:before="0" w:line="240" w:lineRule="auto"/>
              <w:jc w:val="center"/>
              <w:rPr>
                <w:rFonts w:asciiTheme="majorHAnsi" w:hAnsiTheme="majorHAnsi"/>
                <w:color w:val="000000" w:themeColor="text1"/>
                <w:sz w:val="18"/>
                <w:szCs w:val="20"/>
              </w:rPr>
            </w:pPr>
          </w:p>
        </w:tc>
        <w:tc>
          <w:tcPr>
            <w:tcW w:w="931" w:type="dxa"/>
            <w:vAlign w:val="center"/>
            <w:hideMark/>
          </w:tcPr>
          <w:p w:rsidR="00AB222B" w:rsidRPr="00AB222B" w:rsidRDefault="00AB222B" w:rsidP="00AB222B">
            <w:pPr>
              <w:spacing w:before="0" w:line="240" w:lineRule="auto"/>
              <w:jc w:val="center"/>
              <w:rPr>
                <w:rFonts w:asciiTheme="majorHAnsi" w:hAnsiTheme="majorHAnsi"/>
                <w:color w:val="000000" w:themeColor="text1"/>
                <w:sz w:val="18"/>
                <w:szCs w:val="20"/>
              </w:rPr>
            </w:pPr>
          </w:p>
        </w:tc>
        <w:tc>
          <w:tcPr>
            <w:tcW w:w="1694" w:type="dxa"/>
            <w:shd w:val="clear" w:color="auto" w:fill="B3DDF2" w:themeFill="background2" w:themeFillShade="E6"/>
            <w:vAlign w:val="center"/>
            <w:hideMark/>
          </w:tcPr>
          <w:p w:rsidR="00AB222B" w:rsidRPr="00AB222B" w:rsidRDefault="00AB222B" w:rsidP="00AB222B">
            <w:pPr>
              <w:spacing w:before="0" w:line="240" w:lineRule="auto"/>
              <w:jc w:val="center"/>
              <w:rPr>
                <w:rFonts w:asciiTheme="majorHAnsi" w:hAnsiTheme="majorHAnsi"/>
                <w:b/>
                <w:bCs/>
                <w:color w:val="C00000"/>
                <w:sz w:val="20"/>
                <w:szCs w:val="20"/>
              </w:rPr>
            </w:pPr>
            <w:r w:rsidRPr="00AB222B">
              <w:rPr>
                <w:rFonts w:asciiTheme="majorHAnsi" w:hAnsiTheme="majorHAnsi"/>
                <w:b/>
                <w:bCs/>
                <w:color w:val="C00000"/>
                <w:sz w:val="20"/>
                <w:szCs w:val="20"/>
              </w:rPr>
              <w:t>21.90</w:t>
            </w:r>
          </w:p>
        </w:tc>
      </w:tr>
      <w:tr w:rsidR="00AB222B" w:rsidRPr="00AB222B" w:rsidTr="00737045">
        <w:trPr>
          <w:trHeight w:val="328"/>
          <w:jc w:val="center"/>
        </w:trPr>
        <w:tc>
          <w:tcPr>
            <w:tcW w:w="2595" w:type="dxa"/>
            <w:vAlign w:val="center"/>
            <w:hideMark/>
          </w:tcPr>
          <w:p w:rsidR="00AB222B" w:rsidRPr="00AB222B" w:rsidRDefault="00AB222B" w:rsidP="00AB222B">
            <w:pPr>
              <w:spacing w:before="0" w:line="240" w:lineRule="auto"/>
              <w:jc w:val="center"/>
              <w:rPr>
                <w:rFonts w:asciiTheme="majorHAnsi" w:hAnsiTheme="majorHAnsi"/>
                <w:b/>
                <w:bCs/>
                <w:color w:val="000000" w:themeColor="text1"/>
                <w:sz w:val="18"/>
                <w:szCs w:val="20"/>
              </w:rPr>
            </w:pPr>
            <w:r w:rsidRPr="00AB222B">
              <w:rPr>
                <w:rFonts w:asciiTheme="majorHAnsi" w:hAnsiTheme="majorHAnsi"/>
                <w:b/>
                <w:bCs/>
                <w:color w:val="000000" w:themeColor="text1"/>
                <w:sz w:val="18"/>
                <w:szCs w:val="20"/>
              </w:rPr>
              <w:t>ML/IB</w:t>
            </w:r>
          </w:p>
        </w:tc>
        <w:tc>
          <w:tcPr>
            <w:tcW w:w="996" w:type="dxa"/>
            <w:vAlign w:val="center"/>
            <w:hideMark/>
          </w:tcPr>
          <w:p w:rsidR="00AB222B" w:rsidRPr="00AB222B" w:rsidRDefault="00AB222B" w:rsidP="00AB222B">
            <w:pPr>
              <w:spacing w:before="0" w:line="240" w:lineRule="auto"/>
              <w:jc w:val="center"/>
              <w:rPr>
                <w:rFonts w:asciiTheme="majorHAnsi" w:hAnsiTheme="majorHAnsi"/>
                <w:color w:val="000000" w:themeColor="text1"/>
                <w:sz w:val="18"/>
                <w:szCs w:val="20"/>
              </w:rPr>
            </w:pPr>
          </w:p>
        </w:tc>
        <w:tc>
          <w:tcPr>
            <w:tcW w:w="1237" w:type="dxa"/>
            <w:vAlign w:val="center"/>
            <w:hideMark/>
          </w:tcPr>
          <w:p w:rsidR="00AB222B" w:rsidRPr="00AB222B" w:rsidRDefault="00AB222B" w:rsidP="00AB222B">
            <w:pPr>
              <w:spacing w:before="0" w:line="240" w:lineRule="auto"/>
              <w:jc w:val="center"/>
              <w:rPr>
                <w:rFonts w:asciiTheme="majorHAnsi" w:hAnsiTheme="majorHAnsi"/>
                <w:color w:val="000000" w:themeColor="text1"/>
                <w:sz w:val="18"/>
                <w:szCs w:val="20"/>
              </w:rPr>
            </w:pPr>
          </w:p>
        </w:tc>
        <w:tc>
          <w:tcPr>
            <w:tcW w:w="1148" w:type="dxa"/>
            <w:vAlign w:val="center"/>
            <w:hideMark/>
          </w:tcPr>
          <w:p w:rsidR="00AB222B" w:rsidRPr="00AB222B" w:rsidRDefault="00AB222B" w:rsidP="00AB222B">
            <w:pPr>
              <w:spacing w:before="0" w:line="240" w:lineRule="auto"/>
              <w:jc w:val="center"/>
              <w:rPr>
                <w:rFonts w:asciiTheme="majorHAnsi" w:hAnsiTheme="majorHAnsi"/>
                <w:color w:val="000000" w:themeColor="text1"/>
                <w:sz w:val="18"/>
                <w:szCs w:val="20"/>
              </w:rPr>
            </w:pPr>
            <w:r w:rsidRPr="00AB222B">
              <w:rPr>
                <w:rFonts w:asciiTheme="majorHAnsi" w:hAnsiTheme="majorHAnsi"/>
                <w:color w:val="000000" w:themeColor="text1"/>
                <w:sz w:val="18"/>
                <w:szCs w:val="20"/>
              </w:rPr>
              <w:t>5.50</w:t>
            </w:r>
          </w:p>
        </w:tc>
        <w:tc>
          <w:tcPr>
            <w:tcW w:w="874" w:type="dxa"/>
            <w:vAlign w:val="center"/>
            <w:hideMark/>
          </w:tcPr>
          <w:p w:rsidR="00AB222B" w:rsidRPr="00AB222B" w:rsidRDefault="00AB222B" w:rsidP="00AB222B">
            <w:pPr>
              <w:spacing w:before="0" w:line="240" w:lineRule="auto"/>
              <w:jc w:val="center"/>
              <w:rPr>
                <w:rFonts w:asciiTheme="majorHAnsi" w:hAnsiTheme="majorHAnsi"/>
                <w:color w:val="000000" w:themeColor="text1"/>
                <w:sz w:val="18"/>
                <w:szCs w:val="20"/>
              </w:rPr>
            </w:pPr>
          </w:p>
        </w:tc>
        <w:tc>
          <w:tcPr>
            <w:tcW w:w="931" w:type="dxa"/>
            <w:vAlign w:val="center"/>
            <w:hideMark/>
          </w:tcPr>
          <w:p w:rsidR="00AB222B" w:rsidRPr="00AB222B" w:rsidRDefault="00AB222B" w:rsidP="00AB222B">
            <w:pPr>
              <w:spacing w:before="0" w:line="240" w:lineRule="auto"/>
              <w:jc w:val="center"/>
              <w:rPr>
                <w:rFonts w:asciiTheme="majorHAnsi" w:hAnsiTheme="majorHAnsi"/>
                <w:color w:val="000000" w:themeColor="text1"/>
                <w:sz w:val="18"/>
                <w:szCs w:val="20"/>
              </w:rPr>
            </w:pPr>
          </w:p>
        </w:tc>
        <w:tc>
          <w:tcPr>
            <w:tcW w:w="1694" w:type="dxa"/>
            <w:shd w:val="clear" w:color="auto" w:fill="B3DDF2" w:themeFill="background2" w:themeFillShade="E6"/>
            <w:vAlign w:val="center"/>
            <w:hideMark/>
          </w:tcPr>
          <w:p w:rsidR="00AB222B" w:rsidRPr="00AB222B" w:rsidRDefault="00AB222B" w:rsidP="00AB222B">
            <w:pPr>
              <w:spacing w:before="0" w:line="240" w:lineRule="auto"/>
              <w:jc w:val="center"/>
              <w:rPr>
                <w:rFonts w:asciiTheme="majorHAnsi" w:hAnsiTheme="majorHAnsi"/>
                <w:b/>
                <w:bCs/>
                <w:color w:val="C00000"/>
                <w:sz w:val="20"/>
                <w:szCs w:val="20"/>
              </w:rPr>
            </w:pPr>
            <w:r w:rsidRPr="00AB222B">
              <w:rPr>
                <w:rFonts w:asciiTheme="majorHAnsi" w:hAnsiTheme="majorHAnsi"/>
                <w:b/>
                <w:bCs/>
                <w:color w:val="C00000"/>
                <w:sz w:val="20"/>
                <w:szCs w:val="20"/>
              </w:rPr>
              <w:t>5.50</w:t>
            </w:r>
          </w:p>
        </w:tc>
      </w:tr>
      <w:tr w:rsidR="00AB222B" w:rsidRPr="00AB222B" w:rsidTr="00737045">
        <w:trPr>
          <w:trHeight w:val="571"/>
          <w:jc w:val="center"/>
        </w:trPr>
        <w:tc>
          <w:tcPr>
            <w:tcW w:w="2595" w:type="dxa"/>
            <w:shd w:val="clear" w:color="auto" w:fill="B3DDF2" w:themeFill="background2" w:themeFillShade="E6"/>
            <w:vAlign w:val="center"/>
            <w:hideMark/>
          </w:tcPr>
          <w:p w:rsidR="00AB222B" w:rsidRPr="00AB222B" w:rsidRDefault="00AB222B" w:rsidP="00AB222B">
            <w:pPr>
              <w:spacing w:before="0" w:line="240" w:lineRule="auto"/>
              <w:jc w:val="center"/>
              <w:rPr>
                <w:rFonts w:asciiTheme="majorHAnsi" w:hAnsiTheme="majorHAnsi"/>
                <w:b/>
                <w:bCs/>
                <w:color w:val="C00000"/>
                <w:sz w:val="20"/>
                <w:szCs w:val="20"/>
              </w:rPr>
            </w:pPr>
            <w:r w:rsidRPr="00AB222B">
              <w:rPr>
                <w:rFonts w:asciiTheme="majorHAnsi" w:hAnsiTheme="majorHAnsi"/>
                <w:b/>
                <w:bCs/>
                <w:color w:val="C00000"/>
                <w:sz w:val="20"/>
                <w:szCs w:val="20"/>
              </w:rPr>
              <w:t>Total</w:t>
            </w:r>
          </w:p>
        </w:tc>
        <w:tc>
          <w:tcPr>
            <w:tcW w:w="996" w:type="dxa"/>
            <w:shd w:val="clear" w:color="auto" w:fill="B3DDF2" w:themeFill="background2" w:themeFillShade="E6"/>
            <w:vAlign w:val="center"/>
            <w:hideMark/>
          </w:tcPr>
          <w:p w:rsidR="00AB222B" w:rsidRPr="00AB222B" w:rsidRDefault="00AB222B" w:rsidP="00AB222B">
            <w:pPr>
              <w:spacing w:before="0" w:line="240" w:lineRule="auto"/>
              <w:jc w:val="center"/>
              <w:rPr>
                <w:rFonts w:asciiTheme="majorHAnsi" w:hAnsiTheme="majorHAnsi"/>
                <w:b/>
                <w:bCs/>
                <w:color w:val="C00000"/>
                <w:sz w:val="20"/>
                <w:szCs w:val="20"/>
              </w:rPr>
            </w:pPr>
            <w:r w:rsidRPr="00AB222B">
              <w:rPr>
                <w:rFonts w:asciiTheme="majorHAnsi" w:hAnsiTheme="majorHAnsi"/>
                <w:b/>
                <w:bCs/>
                <w:color w:val="C00000"/>
                <w:sz w:val="20"/>
                <w:szCs w:val="20"/>
              </w:rPr>
              <w:t>57.95</w:t>
            </w:r>
          </w:p>
        </w:tc>
        <w:tc>
          <w:tcPr>
            <w:tcW w:w="1237" w:type="dxa"/>
            <w:shd w:val="clear" w:color="auto" w:fill="B3DDF2" w:themeFill="background2" w:themeFillShade="E6"/>
            <w:vAlign w:val="center"/>
            <w:hideMark/>
          </w:tcPr>
          <w:p w:rsidR="00AB222B" w:rsidRPr="00AB222B" w:rsidRDefault="00AB222B" w:rsidP="00AB222B">
            <w:pPr>
              <w:spacing w:before="0" w:line="240" w:lineRule="auto"/>
              <w:jc w:val="center"/>
              <w:rPr>
                <w:rFonts w:asciiTheme="majorHAnsi" w:hAnsiTheme="majorHAnsi"/>
                <w:b/>
                <w:bCs/>
                <w:color w:val="C00000"/>
                <w:sz w:val="20"/>
                <w:szCs w:val="20"/>
              </w:rPr>
            </w:pPr>
            <w:r w:rsidRPr="00AB222B">
              <w:rPr>
                <w:rFonts w:asciiTheme="majorHAnsi" w:hAnsiTheme="majorHAnsi"/>
                <w:b/>
                <w:bCs/>
                <w:color w:val="C00000"/>
                <w:sz w:val="20"/>
                <w:szCs w:val="20"/>
              </w:rPr>
              <w:t>14.3</w:t>
            </w:r>
          </w:p>
        </w:tc>
        <w:tc>
          <w:tcPr>
            <w:tcW w:w="1148" w:type="dxa"/>
            <w:shd w:val="clear" w:color="auto" w:fill="B3DDF2" w:themeFill="background2" w:themeFillShade="E6"/>
            <w:vAlign w:val="center"/>
            <w:hideMark/>
          </w:tcPr>
          <w:p w:rsidR="00AB222B" w:rsidRPr="00AB222B" w:rsidRDefault="00AB222B" w:rsidP="00AB222B">
            <w:pPr>
              <w:spacing w:before="0" w:line="240" w:lineRule="auto"/>
              <w:jc w:val="center"/>
              <w:rPr>
                <w:rFonts w:asciiTheme="majorHAnsi" w:hAnsiTheme="majorHAnsi"/>
                <w:b/>
                <w:bCs/>
                <w:color w:val="C00000"/>
                <w:sz w:val="20"/>
                <w:szCs w:val="20"/>
              </w:rPr>
            </w:pPr>
            <w:r w:rsidRPr="00AB222B">
              <w:rPr>
                <w:rFonts w:asciiTheme="majorHAnsi" w:hAnsiTheme="majorHAnsi"/>
                <w:b/>
                <w:bCs/>
                <w:color w:val="C00000"/>
                <w:sz w:val="20"/>
                <w:szCs w:val="20"/>
              </w:rPr>
              <w:t>28.37</w:t>
            </w:r>
          </w:p>
        </w:tc>
        <w:tc>
          <w:tcPr>
            <w:tcW w:w="874" w:type="dxa"/>
            <w:shd w:val="clear" w:color="auto" w:fill="B3DDF2" w:themeFill="background2" w:themeFillShade="E6"/>
            <w:vAlign w:val="center"/>
            <w:hideMark/>
          </w:tcPr>
          <w:p w:rsidR="00AB222B" w:rsidRPr="00AB222B" w:rsidRDefault="00AB222B" w:rsidP="00AB222B">
            <w:pPr>
              <w:spacing w:before="0" w:line="240" w:lineRule="auto"/>
              <w:jc w:val="center"/>
              <w:rPr>
                <w:rFonts w:asciiTheme="majorHAnsi" w:hAnsiTheme="majorHAnsi"/>
                <w:b/>
                <w:bCs/>
                <w:color w:val="C00000"/>
                <w:sz w:val="20"/>
                <w:szCs w:val="20"/>
              </w:rPr>
            </w:pPr>
            <w:r w:rsidRPr="00AB222B">
              <w:rPr>
                <w:rFonts w:asciiTheme="majorHAnsi" w:hAnsiTheme="majorHAnsi"/>
                <w:b/>
                <w:bCs/>
                <w:color w:val="C00000"/>
                <w:sz w:val="20"/>
                <w:szCs w:val="20"/>
              </w:rPr>
              <w:t>36.88</w:t>
            </w:r>
          </w:p>
        </w:tc>
        <w:tc>
          <w:tcPr>
            <w:tcW w:w="931" w:type="dxa"/>
            <w:shd w:val="clear" w:color="auto" w:fill="B3DDF2" w:themeFill="background2" w:themeFillShade="E6"/>
            <w:vAlign w:val="center"/>
            <w:hideMark/>
          </w:tcPr>
          <w:p w:rsidR="00AB222B" w:rsidRPr="00AB222B" w:rsidRDefault="00AB222B" w:rsidP="00AB222B">
            <w:pPr>
              <w:spacing w:before="0" w:line="240" w:lineRule="auto"/>
              <w:jc w:val="center"/>
              <w:rPr>
                <w:rFonts w:asciiTheme="majorHAnsi" w:hAnsiTheme="majorHAnsi"/>
                <w:b/>
                <w:bCs/>
                <w:color w:val="C00000"/>
                <w:sz w:val="20"/>
                <w:szCs w:val="20"/>
              </w:rPr>
            </w:pPr>
            <w:r w:rsidRPr="00AB222B">
              <w:rPr>
                <w:rFonts w:asciiTheme="majorHAnsi" w:hAnsiTheme="majorHAnsi"/>
                <w:b/>
                <w:bCs/>
                <w:color w:val="C00000"/>
                <w:sz w:val="20"/>
                <w:szCs w:val="20"/>
              </w:rPr>
              <w:t>6.71</w:t>
            </w:r>
          </w:p>
        </w:tc>
        <w:tc>
          <w:tcPr>
            <w:tcW w:w="1694" w:type="dxa"/>
            <w:shd w:val="clear" w:color="auto" w:fill="B3DDF2" w:themeFill="background2" w:themeFillShade="E6"/>
            <w:vAlign w:val="center"/>
            <w:hideMark/>
          </w:tcPr>
          <w:p w:rsidR="00AB222B" w:rsidRPr="00AB222B" w:rsidRDefault="00AB222B" w:rsidP="00953C0C">
            <w:pPr>
              <w:spacing w:before="0" w:line="240" w:lineRule="auto"/>
              <w:jc w:val="center"/>
              <w:rPr>
                <w:rFonts w:asciiTheme="majorHAnsi" w:hAnsiTheme="majorHAnsi"/>
                <w:b/>
                <w:bCs/>
                <w:color w:val="C00000"/>
                <w:sz w:val="20"/>
                <w:szCs w:val="20"/>
              </w:rPr>
            </w:pPr>
            <w:r w:rsidRPr="00AB222B">
              <w:rPr>
                <w:rFonts w:asciiTheme="majorHAnsi" w:hAnsiTheme="majorHAnsi"/>
                <w:b/>
                <w:bCs/>
                <w:color w:val="C00000"/>
                <w:sz w:val="20"/>
                <w:szCs w:val="20"/>
              </w:rPr>
              <w:t>144.21</w:t>
            </w:r>
          </w:p>
        </w:tc>
      </w:tr>
    </w:tbl>
    <w:p w:rsidR="00AD5800" w:rsidRPr="00D356C8" w:rsidRDefault="00D356C8" w:rsidP="00953C0C">
      <w:pPr>
        <w:spacing w:before="0"/>
        <w:jc w:val="left"/>
        <w:rPr>
          <w:rFonts w:eastAsia="SimSun"/>
          <w:sz w:val="18"/>
          <w:szCs w:val="18"/>
          <w:lang w:val="sq-AL"/>
        </w:rPr>
      </w:pPr>
      <w:bookmarkStart w:id="183" w:name="_Toc104907136"/>
      <w:bookmarkStart w:id="184" w:name="_Toc104980345"/>
      <w:bookmarkStart w:id="185" w:name="_Toc76470030"/>
      <w:r>
        <w:rPr>
          <w:rFonts w:eastAsia="SimSun"/>
          <w:sz w:val="18"/>
          <w:szCs w:val="18"/>
          <w:lang w:val="sq-AL"/>
        </w:rPr>
        <w:t xml:space="preserve">        </w:t>
      </w:r>
      <w:r w:rsidR="00AD5800" w:rsidRPr="00D356C8">
        <w:rPr>
          <w:rFonts w:eastAsia="SimSun"/>
          <w:sz w:val="18"/>
          <w:szCs w:val="18"/>
          <w:lang w:val="sq-AL"/>
        </w:rPr>
        <w:t>Burimi: MFE, KESH, OST, OSHEE Group, dhe AKUM</w:t>
      </w:r>
      <w:bookmarkEnd w:id="183"/>
      <w:bookmarkEnd w:id="184"/>
    </w:p>
    <w:p w:rsidR="00AD5800" w:rsidRPr="00AD5800" w:rsidRDefault="00D356C8" w:rsidP="00953C0C">
      <w:pPr>
        <w:spacing w:before="0"/>
        <w:jc w:val="left"/>
        <w:rPr>
          <w:rFonts w:eastAsia="SimSun"/>
          <w:lang w:val="sq-AL"/>
        </w:rPr>
      </w:pPr>
      <w:bookmarkStart w:id="186" w:name="_Toc104907137"/>
      <w:bookmarkStart w:id="187" w:name="_Toc104980346"/>
      <w:r>
        <w:rPr>
          <w:rFonts w:eastAsia="SimSun"/>
          <w:sz w:val="18"/>
          <w:szCs w:val="18"/>
          <w:lang w:val="sq-AL"/>
        </w:rPr>
        <w:t xml:space="preserve">      </w:t>
      </w:r>
      <w:r w:rsidR="00AD5800" w:rsidRPr="00D356C8">
        <w:rPr>
          <w:rFonts w:eastAsia="SimSun"/>
          <w:sz w:val="18"/>
          <w:szCs w:val="18"/>
          <w:lang w:val="sq-AL"/>
        </w:rPr>
        <w:t>*Vlera e detyrimeve të ndërsjellta varion nga 13.9-17.8 mld lekë, per shkak te mosrakordimit mes kompanive</w:t>
      </w:r>
      <w:r w:rsidR="00AD5800">
        <w:rPr>
          <w:rFonts w:eastAsia="SimSun"/>
          <w:lang w:val="sq-AL"/>
        </w:rPr>
        <w:t>.</w:t>
      </w:r>
      <w:bookmarkEnd w:id="186"/>
      <w:bookmarkEnd w:id="187"/>
    </w:p>
    <w:p w:rsidR="00A92C47" w:rsidRPr="00A92C47" w:rsidRDefault="00A92C47" w:rsidP="00D356C8">
      <w:pPr>
        <w:rPr>
          <w:rFonts w:eastAsia="Calibri"/>
          <w:bCs/>
          <w:sz w:val="8"/>
          <w:u w:val="single"/>
          <w:lang w:val="sq-AL" w:eastAsia="sq-AL"/>
        </w:rPr>
      </w:pPr>
    </w:p>
    <w:p w:rsidR="00E87F6B" w:rsidRPr="00D356C8" w:rsidRDefault="00E87F6B" w:rsidP="00E87F6B">
      <w:pPr>
        <w:keepNext/>
        <w:keepLines/>
        <w:spacing w:before="200"/>
        <w:ind w:left="576" w:hanging="576"/>
        <w:outlineLvl w:val="1"/>
        <w:rPr>
          <w:rFonts w:cs="Calibri"/>
          <w:bCs/>
          <w:i/>
          <w:u w:val="single"/>
          <w:lang w:val="sq-AL" w:eastAsia="sq-AL"/>
        </w:rPr>
      </w:pPr>
      <w:bookmarkStart w:id="188" w:name="_Toc104907138"/>
      <w:bookmarkStart w:id="189" w:name="_Toc104980347"/>
      <w:r w:rsidRPr="00D356C8">
        <w:rPr>
          <w:rFonts w:cs="Calibri"/>
          <w:bCs/>
          <w:i/>
          <w:u w:val="single"/>
          <w:lang w:val="sq-AL" w:eastAsia="sq-AL"/>
        </w:rPr>
        <w:t>Të Dhëna Financiare për Sektorin Energjetik</w:t>
      </w:r>
      <w:bookmarkEnd w:id="185"/>
      <w:bookmarkEnd w:id="188"/>
      <w:bookmarkEnd w:id="189"/>
    </w:p>
    <w:p w:rsidR="00B47B01" w:rsidRPr="00716C10" w:rsidRDefault="00B47B01" w:rsidP="00B47B01">
      <w:pPr>
        <w:spacing w:after="120"/>
        <w:rPr>
          <w:rFonts w:eastAsia="SimSun" w:cs="Calibri"/>
          <w:lang w:val="sq-AL"/>
        </w:rPr>
      </w:pPr>
      <w:r w:rsidRPr="000F4149">
        <w:rPr>
          <w:rFonts w:cs="Calibri"/>
          <w:bCs/>
          <w:lang w:val="sq-AL" w:eastAsia="sq-AL"/>
        </w:rPr>
        <w:t xml:space="preserve">Në zbatim të </w:t>
      </w:r>
      <w:r>
        <w:rPr>
          <w:rFonts w:cs="Calibri"/>
          <w:bCs/>
          <w:lang w:val="sq-AL" w:eastAsia="sq-AL"/>
        </w:rPr>
        <w:t>U</w:t>
      </w:r>
      <w:r w:rsidRPr="000F4149">
        <w:rPr>
          <w:rFonts w:cs="Calibri"/>
          <w:bCs/>
          <w:lang w:val="sq-AL" w:eastAsia="sq-AL"/>
        </w:rPr>
        <w:t xml:space="preserve">dhëzimit </w:t>
      </w:r>
      <w:r>
        <w:rPr>
          <w:rFonts w:cs="Calibri"/>
          <w:bCs/>
          <w:lang w:val="sq-AL" w:eastAsia="sq-AL"/>
        </w:rPr>
        <w:t>P</w:t>
      </w:r>
      <w:r w:rsidRPr="000F4149">
        <w:rPr>
          <w:rFonts w:cs="Calibri"/>
          <w:bCs/>
          <w:lang w:val="sq-AL" w:eastAsia="sq-AL"/>
        </w:rPr>
        <w:t>lotësues nr.4/2021 “</w:t>
      </w:r>
      <w:r w:rsidRPr="00B47B01">
        <w:rPr>
          <w:rFonts w:cs="Calibri"/>
          <w:bCs/>
          <w:i/>
          <w:lang w:val="sq-AL" w:eastAsia="sq-AL"/>
        </w:rPr>
        <w:t>Për zbatimin e Buxhetit të vitit 2021</w:t>
      </w:r>
      <w:r w:rsidRPr="000F4149">
        <w:rPr>
          <w:rFonts w:cs="Calibri"/>
          <w:bCs/>
          <w:lang w:val="sq-AL" w:eastAsia="sq-AL"/>
        </w:rPr>
        <w:t>”,</w:t>
      </w:r>
      <w:r>
        <w:rPr>
          <w:rFonts w:cs="Calibri"/>
          <w:bCs/>
          <w:lang w:val="sq-AL" w:eastAsia="sq-AL"/>
        </w:rPr>
        <w:t xml:space="preserve"> </w:t>
      </w:r>
      <w:r>
        <w:rPr>
          <w:rFonts w:eastAsia="SimSun" w:cs="Calibri"/>
          <w:lang w:val="sq-AL"/>
        </w:rPr>
        <w:t>M</w:t>
      </w:r>
      <w:r w:rsidRPr="009678AD">
        <w:rPr>
          <w:rFonts w:eastAsia="SimSun" w:cs="Calibri"/>
          <w:lang w:val="sq-AL"/>
        </w:rPr>
        <w:t>inistria e Financave dhe Ekonomisë, periodikisht mbi bazë tremujore,</w:t>
      </w:r>
      <w:r w:rsidRPr="00716C10">
        <w:rPr>
          <w:rFonts w:eastAsia="SimSun" w:cs="Calibri"/>
          <w:lang w:val="sq-AL"/>
        </w:rPr>
        <w:t xml:space="preserve"> ka mbledhur, përpunuar dhe analizuar informacionin e nevojshëm në lidhje me treguesit e performancës financiare të tre </w:t>
      </w:r>
      <w:r>
        <w:rPr>
          <w:rFonts w:eastAsia="SimSun" w:cs="Calibri"/>
          <w:lang w:val="sq-AL"/>
        </w:rPr>
        <w:t>kompanive të sektorit energjitik</w:t>
      </w:r>
      <w:r w:rsidRPr="00716C10">
        <w:rPr>
          <w:rFonts w:eastAsia="SimSun" w:cs="Calibri"/>
          <w:lang w:val="sq-AL"/>
        </w:rPr>
        <w:t xml:space="preserve">. Kjo, me qëllim identifikimin, vlerësimin, monitorimin dhe raportimin e risqeve fiskale që rezultojnë nga ndërmarrjet publike me kapital shtetëror në tërësi dhe nga sektori energjetik në veçanti, duke konsideruar rëndësinë strategjike të tij dhe problematikat sensitive që e karakterizojnë. </w:t>
      </w:r>
      <w:r>
        <w:rPr>
          <w:rFonts w:eastAsia="SimSun" w:cs="Calibri"/>
          <w:lang w:val="sq-AL"/>
        </w:rPr>
        <w:t>Bazuar</w:t>
      </w:r>
      <w:r w:rsidRPr="00716C10">
        <w:rPr>
          <w:rFonts w:eastAsia="SimSun" w:cs="Calibri"/>
          <w:lang w:val="sq-AL"/>
        </w:rPr>
        <w:t xml:space="preserve"> në të dhënat më të fundit të raportuara pranë MFE-së</w:t>
      </w:r>
      <w:r>
        <w:rPr>
          <w:rFonts w:eastAsia="SimSun" w:cs="Calibri"/>
          <w:lang w:val="sq-AL"/>
        </w:rPr>
        <w:t xml:space="preserve"> për vitin 2021, më</w:t>
      </w:r>
      <w:r w:rsidRPr="00716C10">
        <w:rPr>
          <w:rFonts w:eastAsia="SimSun" w:cs="Calibri"/>
          <w:lang w:val="sq-AL"/>
        </w:rPr>
        <w:t xml:space="preserve">poshtë paraqitet performanca </w:t>
      </w:r>
      <w:r w:rsidRPr="00B47B01">
        <w:rPr>
          <w:rFonts w:eastAsia="SimSun" w:cs="Calibri"/>
          <w:lang w:val="sq-AL"/>
        </w:rPr>
        <w:t>financiare e tre ndërmarrjeve të sektorit energjitik</w:t>
      </w:r>
      <w:r w:rsidRPr="00B47B01">
        <w:rPr>
          <w:rFonts w:eastAsia="SimSun" w:cs="Calibri"/>
          <w:vertAlign w:val="superscript"/>
          <w:lang w:val="sq-AL"/>
        </w:rPr>
        <w:t xml:space="preserve"> </w:t>
      </w:r>
      <w:r w:rsidRPr="00B47B01">
        <w:rPr>
          <w:rFonts w:eastAsia="SimSun" w:cs="Calibri"/>
          <w:lang w:val="sq-AL"/>
        </w:rPr>
        <w:t xml:space="preserve"> (KESH sh.a, OSHEE Group sh.a dhe OST sh.a) mbi bazë</w:t>
      </w:r>
      <w:r>
        <w:rPr>
          <w:rFonts w:eastAsia="SimSun" w:cs="Calibri"/>
          <w:lang w:val="sq-AL"/>
        </w:rPr>
        <w:t xml:space="preserve"> krahasimore</w:t>
      </w:r>
      <w:r w:rsidRPr="00716C10">
        <w:rPr>
          <w:rFonts w:eastAsia="SimSun" w:cs="Calibri"/>
          <w:lang w:val="sq-AL"/>
        </w:rPr>
        <w:t>:</w:t>
      </w:r>
    </w:p>
    <w:p w:rsidR="00B47B01" w:rsidRPr="000F2D01" w:rsidRDefault="00B47B01" w:rsidP="00B47B01">
      <w:pPr>
        <w:pStyle w:val="Caption"/>
        <w:keepNext/>
        <w:spacing w:after="0"/>
        <w:rPr>
          <w:rFonts w:cs="Calibri"/>
          <w:lang w:val="sq-AL"/>
        </w:rPr>
      </w:pPr>
      <w:bookmarkStart w:id="190" w:name="_Toc104984085"/>
      <w:r w:rsidRPr="000F2D01">
        <w:rPr>
          <w:rFonts w:cs="Calibri"/>
          <w:lang w:val="sq-AL"/>
        </w:rPr>
        <w:t xml:space="preserve">Tabela </w:t>
      </w:r>
      <w:r w:rsidRPr="0005367A">
        <w:rPr>
          <w:rFonts w:cs="Calibri"/>
        </w:rPr>
        <w:fldChar w:fldCharType="begin"/>
      </w:r>
      <w:r w:rsidRPr="000F2D01">
        <w:rPr>
          <w:rFonts w:cs="Calibri"/>
          <w:lang w:val="sq-AL"/>
        </w:rPr>
        <w:instrText xml:space="preserve"> SEQ Tabela \* ARABIC </w:instrText>
      </w:r>
      <w:r w:rsidRPr="0005367A">
        <w:rPr>
          <w:rFonts w:cs="Calibri"/>
        </w:rPr>
        <w:fldChar w:fldCharType="separate"/>
      </w:r>
      <w:r w:rsidR="00276062">
        <w:rPr>
          <w:rFonts w:cs="Calibri"/>
          <w:noProof/>
          <w:lang w:val="sq-AL"/>
        </w:rPr>
        <w:t>13</w:t>
      </w:r>
      <w:r w:rsidRPr="0005367A">
        <w:rPr>
          <w:rFonts w:cs="Calibri"/>
        </w:rPr>
        <w:fldChar w:fldCharType="end"/>
      </w:r>
      <w:r w:rsidRPr="000F2D01">
        <w:rPr>
          <w:rFonts w:cs="Calibri"/>
          <w:lang w:val="sq-AL"/>
        </w:rPr>
        <w:t xml:space="preserve"> Të dhënat financiare për </w:t>
      </w:r>
      <w:r w:rsidRPr="000F2D01">
        <w:rPr>
          <w:rFonts w:cs="Calibri"/>
          <w:u w:val="single"/>
          <w:lang w:val="sq-AL"/>
        </w:rPr>
        <w:t>Sektorin Energjitik</w:t>
      </w:r>
      <w:r w:rsidRPr="000F2D01">
        <w:rPr>
          <w:rFonts w:cs="Calibri"/>
          <w:lang w:val="sq-AL"/>
        </w:rPr>
        <w:t xml:space="preserve"> (në mijë Lekë)</w:t>
      </w:r>
      <w:bookmarkEnd w:id="190"/>
      <w:r>
        <w:rPr>
          <w:rFonts w:eastAsia="Calibri"/>
          <w:lang w:val="sq-AL" w:eastAsia="sq-AL"/>
        </w:rPr>
        <w:t xml:space="preserve"> </w:t>
      </w:r>
      <w:r>
        <w:rPr>
          <w:rFonts w:eastAsia="Calibri"/>
          <w:lang w:val="sq-AL" w:eastAsia="sq-AL"/>
        </w:rPr>
        <w:fldChar w:fldCharType="begin"/>
      </w:r>
      <w:r>
        <w:rPr>
          <w:rFonts w:eastAsia="Calibri"/>
          <w:lang w:val="sq-AL" w:eastAsia="sq-AL"/>
        </w:rPr>
        <w:instrText xml:space="preserve"> LINK Excel.Sheet.12 "C:\\Users\\ilvis.ballvora\\Desktop\\Sectori Energjetike\\1.3 Te dhenat sektori i energjise. xlsx.xlsx" "DATA Extras 3!R79C7:R90C12" \a \f 4 \h  \* MERGEFORMAT </w:instrText>
      </w:r>
      <w:r>
        <w:rPr>
          <w:rFonts w:eastAsia="Calibri"/>
          <w:lang w:val="sq-AL" w:eastAsia="sq-AL"/>
        </w:rPr>
        <w:fldChar w:fldCharType="separate"/>
      </w:r>
    </w:p>
    <w:tbl>
      <w:tblPr>
        <w:tblW w:w="8228" w:type="dxa"/>
        <w:jc w:val="center"/>
        <w:tblBorders>
          <w:top w:val="single" w:sz="24" w:space="0" w:color="95B3D7"/>
          <w:left w:val="single" w:sz="24" w:space="0" w:color="95B3D7"/>
          <w:bottom w:val="single" w:sz="24" w:space="0" w:color="95B3D7"/>
          <w:right w:val="single" w:sz="24" w:space="0" w:color="95B3D7"/>
        </w:tblBorders>
        <w:tblLook w:val="04A0" w:firstRow="1" w:lastRow="0" w:firstColumn="1" w:lastColumn="0" w:noHBand="0" w:noVBand="1"/>
      </w:tblPr>
      <w:tblGrid>
        <w:gridCol w:w="2124"/>
        <w:gridCol w:w="2183"/>
        <w:gridCol w:w="2183"/>
        <w:gridCol w:w="1738"/>
      </w:tblGrid>
      <w:tr w:rsidR="00B47B01" w:rsidRPr="00B47B01" w:rsidTr="009475E3">
        <w:trPr>
          <w:trHeight w:val="366"/>
          <w:jc w:val="center"/>
        </w:trPr>
        <w:tc>
          <w:tcPr>
            <w:tcW w:w="2124" w:type="dxa"/>
            <w:shd w:val="clear" w:color="auto" w:fill="B3DDF2" w:themeFill="background2" w:themeFillShade="E6"/>
            <w:noWrap/>
            <w:vAlign w:val="center"/>
            <w:hideMark/>
          </w:tcPr>
          <w:p w:rsidR="00B47B01" w:rsidRPr="00B47B01" w:rsidRDefault="00B47B01" w:rsidP="00B47B01">
            <w:pPr>
              <w:spacing w:before="0" w:line="240" w:lineRule="auto"/>
              <w:jc w:val="center"/>
              <w:rPr>
                <w:rFonts w:cs="Calibri"/>
                <w:b/>
                <w:color w:val="C00000"/>
                <w:szCs w:val="22"/>
                <w:lang w:val="sq-AL"/>
              </w:rPr>
            </w:pPr>
            <w:r w:rsidRPr="00B47B01">
              <w:rPr>
                <w:rFonts w:cs="Calibri"/>
                <w:b/>
                <w:color w:val="C00000"/>
                <w:szCs w:val="22"/>
                <w:lang w:val="sq-AL"/>
              </w:rPr>
              <w:t>Zerat/Periudha</w:t>
            </w:r>
          </w:p>
        </w:tc>
        <w:tc>
          <w:tcPr>
            <w:tcW w:w="2183" w:type="dxa"/>
            <w:shd w:val="clear" w:color="auto" w:fill="B3DDF2" w:themeFill="background2" w:themeFillShade="E6"/>
            <w:noWrap/>
            <w:vAlign w:val="center"/>
            <w:hideMark/>
          </w:tcPr>
          <w:p w:rsidR="00B47B01" w:rsidRPr="00B47B01" w:rsidRDefault="00B47B01" w:rsidP="00B47B01">
            <w:pPr>
              <w:spacing w:before="0" w:line="240" w:lineRule="auto"/>
              <w:jc w:val="center"/>
              <w:rPr>
                <w:rFonts w:cs="Calibri"/>
                <w:b/>
                <w:bCs/>
                <w:color w:val="C00000"/>
                <w:szCs w:val="22"/>
              </w:rPr>
            </w:pPr>
            <w:r>
              <w:rPr>
                <w:rFonts w:cs="Calibri"/>
                <w:b/>
                <w:bCs/>
                <w:color w:val="C00000"/>
                <w:szCs w:val="22"/>
              </w:rPr>
              <w:t xml:space="preserve">12M </w:t>
            </w:r>
            <w:r w:rsidRPr="00B47B01">
              <w:rPr>
                <w:rFonts w:cs="Calibri"/>
                <w:b/>
                <w:bCs/>
                <w:color w:val="C00000"/>
                <w:szCs w:val="22"/>
              </w:rPr>
              <w:t>2019</w:t>
            </w:r>
          </w:p>
        </w:tc>
        <w:tc>
          <w:tcPr>
            <w:tcW w:w="2183" w:type="dxa"/>
            <w:shd w:val="clear" w:color="auto" w:fill="B3DDF2" w:themeFill="background2" w:themeFillShade="E6"/>
            <w:noWrap/>
            <w:vAlign w:val="center"/>
            <w:hideMark/>
          </w:tcPr>
          <w:p w:rsidR="00B47B01" w:rsidRPr="00B47B01" w:rsidRDefault="00B47B01" w:rsidP="00B47B01">
            <w:pPr>
              <w:spacing w:before="0" w:line="240" w:lineRule="auto"/>
              <w:jc w:val="center"/>
              <w:rPr>
                <w:rFonts w:cs="Calibri"/>
                <w:b/>
                <w:bCs/>
                <w:color w:val="C00000"/>
                <w:szCs w:val="22"/>
              </w:rPr>
            </w:pPr>
            <w:r>
              <w:rPr>
                <w:rFonts w:cs="Calibri"/>
                <w:b/>
                <w:bCs/>
                <w:color w:val="C00000"/>
                <w:szCs w:val="22"/>
              </w:rPr>
              <w:t xml:space="preserve">12M </w:t>
            </w:r>
            <w:r w:rsidRPr="00B47B01">
              <w:rPr>
                <w:rFonts w:cs="Calibri"/>
                <w:b/>
                <w:bCs/>
                <w:color w:val="C00000"/>
                <w:szCs w:val="22"/>
              </w:rPr>
              <w:t>2020</w:t>
            </w:r>
          </w:p>
        </w:tc>
        <w:tc>
          <w:tcPr>
            <w:tcW w:w="1738" w:type="dxa"/>
            <w:shd w:val="clear" w:color="auto" w:fill="B3DDF2" w:themeFill="background2" w:themeFillShade="E6"/>
            <w:noWrap/>
            <w:vAlign w:val="center"/>
            <w:hideMark/>
          </w:tcPr>
          <w:p w:rsidR="00B47B01" w:rsidRPr="00B47B01" w:rsidRDefault="00B47B01" w:rsidP="00B47B01">
            <w:pPr>
              <w:spacing w:before="0" w:line="240" w:lineRule="auto"/>
              <w:jc w:val="center"/>
              <w:rPr>
                <w:rFonts w:cs="Calibri"/>
                <w:b/>
                <w:bCs/>
                <w:color w:val="C00000"/>
                <w:szCs w:val="22"/>
              </w:rPr>
            </w:pPr>
            <w:r>
              <w:rPr>
                <w:rFonts w:cs="Calibri"/>
                <w:b/>
                <w:bCs/>
                <w:color w:val="C00000"/>
                <w:szCs w:val="22"/>
              </w:rPr>
              <w:t xml:space="preserve">12M </w:t>
            </w:r>
            <w:r w:rsidRPr="00B47B01">
              <w:rPr>
                <w:rFonts w:cs="Calibri"/>
                <w:b/>
                <w:bCs/>
                <w:color w:val="C00000"/>
                <w:szCs w:val="22"/>
              </w:rPr>
              <w:t>2021</w:t>
            </w:r>
            <w:r w:rsidRPr="00B47B01">
              <w:rPr>
                <w:rStyle w:val="FootnoteReference"/>
                <w:rFonts w:cs="Calibri"/>
                <w:b/>
                <w:bCs/>
                <w:color w:val="C00000"/>
                <w:szCs w:val="22"/>
              </w:rPr>
              <w:footnoteReference w:id="3"/>
            </w:r>
          </w:p>
        </w:tc>
      </w:tr>
      <w:tr w:rsidR="004B7C48" w:rsidRPr="00EF131B" w:rsidTr="009475E3">
        <w:trPr>
          <w:trHeight w:val="248"/>
          <w:jc w:val="center"/>
        </w:trPr>
        <w:tc>
          <w:tcPr>
            <w:tcW w:w="2124" w:type="dxa"/>
            <w:shd w:val="clear" w:color="auto" w:fill="auto"/>
            <w:noWrap/>
            <w:vAlign w:val="center"/>
            <w:hideMark/>
          </w:tcPr>
          <w:p w:rsidR="004B7C48" w:rsidRPr="00B47B01" w:rsidRDefault="004B7C48" w:rsidP="004B7C48">
            <w:pPr>
              <w:spacing w:before="0" w:line="240" w:lineRule="auto"/>
              <w:jc w:val="right"/>
              <w:rPr>
                <w:rFonts w:cs="Calibri"/>
                <w:i/>
                <w:color w:val="000000"/>
                <w:sz w:val="18"/>
                <w:szCs w:val="22"/>
              </w:rPr>
            </w:pPr>
            <w:r w:rsidRPr="00B47B01">
              <w:rPr>
                <w:rFonts w:cs="Calibri"/>
                <w:i/>
                <w:color w:val="000000"/>
                <w:sz w:val="18"/>
                <w:szCs w:val="22"/>
              </w:rPr>
              <w:t>Të ardhurat</w:t>
            </w:r>
          </w:p>
        </w:tc>
        <w:tc>
          <w:tcPr>
            <w:tcW w:w="2183" w:type="dxa"/>
            <w:shd w:val="clear" w:color="auto" w:fill="auto"/>
            <w:noWrap/>
            <w:vAlign w:val="center"/>
            <w:hideMark/>
          </w:tcPr>
          <w:p w:rsidR="004B7C48" w:rsidRPr="004B7C48" w:rsidRDefault="004B7C48" w:rsidP="004B7C48">
            <w:pPr>
              <w:spacing w:before="0" w:line="240" w:lineRule="auto"/>
              <w:jc w:val="right"/>
              <w:rPr>
                <w:rFonts w:cs="Calibri"/>
                <w:i/>
                <w:color w:val="000000"/>
                <w:sz w:val="18"/>
                <w:szCs w:val="22"/>
              </w:rPr>
            </w:pPr>
            <w:r w:rsidRPr="004B7C48">
              <w:rPr>
                <w:rFonts w:cs="Calibri"/>
                <w:i/>
                <w:color w:val="000000"/>
                <w:sz w:val="18"/>
                <w:szCs w:val="22"/>
              </w:rPr>
              <w:t>77,524,821</w:t>
            </w:r>
          </w:p>
        </w:tc>
        <w:tc>
          <w:tcPr>
            <w:tcW w:w="2183" w:type="dxa"/>
            <w:shd w:val="clear" w:color="auto" w:fill="auto"/>
            <w:noWrap/>
            <w:vAlign w:val="center"/>
            <w:hideMark/>
          </w:tcPr>
          <w:p w:rsidR="004B7C48" w:rsidRPr="004B7C48" w:rsidRDefault="004B7C48" w:rsidP="004B7C48">
            <w:pPr>
              <w:spacing w:before="0" w:line="240" w:lineRule="auto"/>
              <w:jc w:val="right"/>
              <w:rPr>
                <w:rFonts w:cs="Calibri"/>
                <w:i/>
                <w:color w:val="000000"/>
                <w:sz w:val="18"/>
                <w:szCs w:val="22"/>
              </w:rPr>
            </w:pPr>
            <w:r w:rsidRPr="004B7C48">
              <w:rPr>
                <w:rFonts w:cs="Calibri"/>
                <w:i/>
                <w:color w:val="000000"/>
                <w:sz w:val="18"/>
                <w:szCs w:val="22"/>
              </w:rPr>
              <w:t>78,356,614</w:t>
            </w:r>
          </w:p>
        </w:tc>
        <w:tc>
          <w:tcPr>
            <w:tcW w:w="1738" w:type="dxa"/>
            <w:shd w:val="clear" w:color="auto" w:fill="auto"/>
            <w:noWrap/>
            <w:vAlign w:val="center"/>
            <w:hideMark/>
          </w:tcPr>
          <w:p w:rsidR="004B7C48" w:rsidRPr="004B7C48" w:rsidRDefault="004B7C48" w:rsidP="004B7C48">
            <w:pPr>
              <w:spacing w:before="0" w:line="240" w:lineRule="auto"/>
              <w:jc w:val="right"/>
              <w:rPr>
                <w:rFonts w:cs="Calibri"/>
                <w:i/>
                <w:color w:val="000000"/>
                <w:sz w:val="18"/>
                <w:szCs w:val="22"/>
              </w:rPr>
            </w:pPr>
            <w:r w:rsidRPr="004B7C48">
              <w:rPr>
                <w:rFonts w:cs="Calibri"/>
                <w:i/>
                <w:color w:val="000000"/>
                <w:sz w:val="18"/>
                <w:szCs w:val="22"/>
              </w:rPr>
              <w:t>94,921,074</w:t>
            </w:r>
          </w:p>
        </w:tc>
      </w:tr>
      <w:tr w:rsidR="004B7C48" w:rsidRPr="00EF131B" w:rsidTr="009475E3">
        <w:trPr>
          <w:trHeight w:val="248"/>
          <w:jc w:val="center"/>
        </w:trPr>
        <w:tc>
          <w:tcPr>
            <w:tcW w:w="2124" w:type="dxa"/>
            <w:shd w:val="clear" w:color="auto" w:fill="auto"/>
            <w:noWrap/>
            <w:vAlign w:val="center"/>
            <w:hideMark/>
          </w:tcPr>
          <w:p w:rsidR="004B7C48" w:rsidRPr="00B47B01" w:rsidRDefault="004B7C48" w:rsidP="004B7C48">
            <w:pPr>
              <w:spacing w:before="0" w:line="240" w:lineRule="auto"/>
              <w:jc w:val="right"/>
              <w:rPr>
                <w:rFonts w:cs="Calibri"/>
                <w:i/>
                <w:color w:val="000000"/>
                <w:sz w:val="18"/>
                <w:szCs w:val="22"/>
              </w:rPr>
            </w:pPr>
            <w:r w:rsidRPr="00B47B01">
              <w:rPr>
                <w:rFonts w:cs="Calibri"/>
                <w:i/>
                <w:color w:val="000000"/>
                <w:sz w:val="18"/>
                <w:szCs w:val="22"/>
              </w:rPr>
              <w:t>Shpenzimet</w:t>
            </w:r>
          </w:p>
        </w:tc>
        <w:tc>
          <w:tcPr>
            <w:tcW w:w="2183" w:type="dxa"/>
            <w:shd w:val="clear" w:color="auto" w:fill="auto"/>
            <w:noWrap/>
            <w:vAlign w:val="center"/>
            <w:hideMark/>
          </w:tcPr>
          <w:p w:rsidR="004B7C48" w:rsidRPr="004B7C48" w:rsidRDefault="004B7C48" w:rsidP="004B7C48">
            <w:pPr>
              <w:spacing w:before="0" w:line="240" w:lineRule="auto"/>
              <w:jc w:val="right"/>
              <w:rPr>
                <w:rFonts w:cs="Calibri"/>
                <w:i/>
                <w:color w:val="000000"/>
                <w:sz w:val="18"/>
                <w:szCs w:val="22"/>
              </w:rPr>
            </w:pPr>
            <w:r w:rsidRPr="004B7C48">
              <w:rPr>
                <w:rFonts w:cs="Calibri"/>
                <w:i/>
                <w:color w:val="000000"/>
                <w:sz w:val="18"/>
                <w:szCs w:val="22"/>
              </w:rPr>
              <w:t>79,554,330</w:t>
            </w:r>
          </w:p>
        </w:tc>
        <w:tc>
          <w:tcPr>
            <w:tcW w:w="2183" w:type="dxa"/>
            <w:shd w:val="clear" w:color="auto" w:fill="auto"/>
            <w:noWrap/>
            <w:vAlign w:val="center"/>
            <w:hideMark/>
          </w:tcPr>
          <w:p w:rsidR="004B7C48" w:rsidRPr="004B7C48" w:rsidRDefault="004B7C48" w:rsidP="004B7C48">
            <w:pPr>
              <w:spacing w:before="0" w:line="240" w:lineRule="auto"/>
              <w:jc w:val="right"/>
              <w:rPr>
                <w:rFonts w:cs="Calibri"/>
                <w:i/>
                <w:color w:val="000000"/>
                <w:sz w:val="18"/>
                <w:szCs w:val="22"/>
              </w:rPr>
            </w:pPr>
            <w:r w:rsidRPr="004B7C48">
              <w:rPr>
                <w:rFonts w:cs="Calibri"/>
                <w:i/>
                <w:color w:val="000000"/>
                <w:sz w:val="18"/>
                <w:szCs w:val="22"/>
              </w:rPr>
              <w:t>81,059,571</w:t>
            </w:r>
          </w:p>
        </w:tc>
        <w:tc>
          <w:tcPr>
            <w:tcW w:w="1738" w:type="dxa"/>
            <w:shd w:val="clear" w:color="auto" w:fill="auto"/>
            <w:noWrap/>
            <w:vAlign w:val="center"/>
            <w:hideMark/>
          </w:tcPr>
          <w:p w:rsidR="004B7C48" w:rsidRPr="004B7C48" w:rsidRDefault="004B7C48" w:rsidP="004B7C48">
            <w:pPr>
              <w:spacing w:before="0" w:line="240" w:lineRule="auto"/>
              <w:jc w:val="right"/>
              <w:rPr>
                <w:rFonts w:cs="Calibri"/>
                <w:i/>
                <w:color w:val="000000"/>
                <w:sz w:val="18"/>
                <w:szCs w:val="22"/>
              </w:rPr>
            </w:pPr>
            <w:r w:rsidRPr="004B7C48">
              <w:rPr>
                <w:rFonts w:cs="Calibri"/>
                <w:i/>
                <w:color w:val="000000"/>
                <w:sz w:val="18"/>
                <w:szCs w:val="22"/>
              </w:rPr>
              <w:t>102,009,890</w:t>
            </w:r>
          </w:p>
        </w:tc>
      </w:tr>
      <w:tr w:rsidR="004B7C48" w:rsidRPr="00EF131B" w:rsidTr="009475E3">
        <w:trPr>
          <w:trHeight w:val="118"/>
          <w:jc w:val="center"/>
        </w:trPr>
        <w:tc>
          <w:tcPr>
            <w:tcW w:w="2124" w:type="dxa"/>
            <w:shd w:val="clear" w:color="auto" w:fill="auto"/>
            <w:noWrap/>
            <w:vAlign w:val="center"/>
            <w:hideMark/>
          </w:tcPr>
          <w:p w:rsidR="004B7C48" w:rsidRPr="00B47B01" w:rsidRDefault="004B7C48" w:rsidP="004B7C48">
            <w:pPr>
              <w:spacing w:before="0" w:line="240" w:lineRule="auto"/>
              <w:jc w:val="center"/>
              <w:rPr>
                <w:rFonts w:cs="Calibri"/>
                <w:b/>
                <w:bCs/>
                <w:color w:val="000000"/>
                <w:sz w:val="20"/>
                <w:szCs w:val="22"/>
              </w:rPr>
            </w:pPr>
            <w:r w:rsidRPr="00B47B01">
              <w:rPr>
                <w:rFonts w:cs="Calibri"/>
                <w:b/>
                <w:bCs/>
                <w:color w:val="000000"/>
                <w:sz w:val="20"/>
                <w:szCs w:val="22"/>
              </w:rPr>
              <w:t>Humbje/Fitim</w:t>
            </w:r>
          </w:p>
        </w:tc>
        <w:tc>
          <w:tcPr>
            <w:tcW w:w="2183" w:type="dxa"/>
            <w:shd w:val="clear" w:color="auto" w:fill="auto"/>
            <w:noWrap/>
            <w:vAlign w:val="center"/>
            <w:hideMark/>
          </w:tcPr>
          <w:p w:rsidR="004B7C48" w:rsidRPr="004B7C48" w:rsidRDefault="004B7C48" w:rsidP="004B7C48">
            <w:pPr>
              <w:spacing w:before="0" w:line="240" w:lineRule="auto"/>
              <w:jc w:val="center"/>
              <w:rPr>
                <w:rFonts w:cs="Calibri"/>
                <w:b/>
                <w:bCs/>
                <w:color w:val="000000"/>
                <w:sz w:val="20"/>
                <w:szCs w:val="22"/>
              </w:rPr>
            </w:pPr>
            <w:r w:rsidRPr="004B7C48">
              <w:rPr>
                <w:rFonts w:cs="Calibri"/>
                <w:b/>
                <w:bCs/>
                <w:color w:val="000000"/>
                <w:sz w:val="20"/>
                <w:szCs w:val="22"/>
              </w:rPr>
              <w:t>(2,029,509)</w:t>
            </w:r>
          </w:p>
        </w:tc>
        <w:tc>
          <w:tcPr>
            <w:tcW w:w="2183" w:type="dxa"/>
            <w:shd w:val="clear" w:color="auto" w:fill="auto"/>
            <w:noWrap/>
            <w:vAlign w:val="center"/>
            <w:hideMark/>
          </w:tcPr>
          <w:p w:rsidR="004B7C48" w:rsidRPr="004B7C48" w:rsidRDefault="004B7C48" w:rsidP="004B7C48">
            <w:pPr>
              <w:spacing w:before="0" w:line="240" w:lineRule="auto"/>
              <w:jc w:val="center"/>
              <w:rPr>
                <w:rFonts w:cs="Calibri"/>
                <w:b/>
                <w:bCs/>
                <w:color w:val="000000"/>
                <w:sz w:val="20"/>
                <w:szCs w:val="22"/>
              </w:rPr>
            </w:pPr>
            <w:r w:rsidRPr="004B7C48">
              <w:rPr>
                <w:rFonts w:cs="Calibri"/>
                <w:b/>
                <w:bCs/>
                <w:color w:val="000000"/>
                <w:sz w:val="20"/>
                <w:szCs w:val="22"/>
              </w:rPr>
              <w:t>(2,702,957)</w:t>
            </w:r>
          </w:p>
        </w:tc>
        <w:tc>
          <w:tcPr>
            <w:tcW w:w="1738" w:type="dxa"/>
            <w:shd w:val="clear" w:color="auto" w:fill="auto"/>
            <w:noWrap/>
            <w:vAlign w:val="center"/>
            <w:hideMark/>
          </w:tcPr>
          <w:p w:rsidR="004B7C48" w:rsidRPr="004B7C48" w:rsidRDefault="004B7C48" w:rsidP="004B7C48">
            <w:pPr>
              <w:spacing w:before="0" w:line="240" w:lineRule="auto"/>
              <w:jc w:val="center"/>
              <w:rPr>
                <w:rFonts w:cs="Calibri"/>
                <w:b/>
                <w:bCs/>
                <w:color w:val="000000"/>
                <w:sz w:val="20"/>
                <w:szCs w:val="22"/>
              </w:rPr>
            </w:pPr>
            <w:r w:rsidRPr="004B7C48">
              <w:rPr>
                <w:rFonts w:cs="Calibri"/>
                <w:b/>
                <w:bCs/>
                <w:color w:val="000000"/>
                <w:sz w:val="20"/>
                <w:szCs w:val="22"/>
              </w:rPr>
              <w:t>(7,088,816)</w:t>
            </w:r>
          </w:p>
        </w:tc>
      </w:tr>
      <w:tr w:rsidR="004B7C48" w:rsidRPr="00EF131B" w:rsidTr="009475E3">
        <w:trPr>
          <w:trHeight w:val="248"/>
          <w:jc w:val="center"/>
        </w:trPr>
        <w:tc>
          <w:tcPr>
            <w:tcW w:w="2124" w:type="dxa"/>
            <w:shd w:val="clear" w:color="auto" w:fill="auto"/>
            <w:noWrap/>
            <w:vAlign w:val="center"/>
            <w:hideMark/>
          </w:tcPr>
          <w:p w:rsidR="004B7C48" w:rsidRPr="00B47B01" w:rsidRDefault="004B7C48" w:rsidP="004B7C48">
            <w:pPr>
              <w:spacing w:before="0" w:line="240" w:lineRule="auto"/>
              <w:jc w:val="right"/>
              <w:rPr>
                <w:rFonts w:cs="Calibri"/>
                <w:i/>
                <w:color w:val="000000"/>
                <w:sz w:val="18"/>
                <w:szCs w:val="22"/>
              </w:rPr>
            </w:pPr>
            <w:r w:rsidRPr="00B47B01">
              <w:rPr>
                <w:rFonts w:cs="Calibri"/>
                <w:i/>
                <w:color w:val="000000"/>
                <w:sz w:val="18"/>
                <w:szCs w:val="22"/>
              </w:rPr>
              <w:t>Aktivet Afatshkurtra</w:t>
            </w:r>
          </w:p>
        </w:tc>
        <w:tc>
          <w:tcPr>
            <w:tcW w:w="2183" w:type="dxa"/>
            <w:shd w:val="clear" w:color="auto" w:fill="auto"/>
            <w:noWrap/>
            <w:vAlign w:val="center"/>
            <w:hideMark/>
          </w:tcPr>
          <w:p w:rsidR="004B7C48" w:rsidRPr="004B7C48" w:rsidRDefault="004B7C48" w:rsidP="004B7C48">
            <w:pPr>
              <w:spacing w:before="0" w:line="240" w:lineRule="auto"/>
              <w:jc w:val="right"/>
              <w:rPr>
                <w:rFonts w:cs="Calibri"/>
                <w:i/>
                <w:color w:val="000000"/>
                <w:sz w:val="18"/>
                <w:szCs w:val="22"/>
              </w:rPr>
            </w:pPr>
            <w:r w:rsidRPr="004B7C48">
              <w:rPr>
                <w:rFonts w:cs="Calibri"/>
                <w:i/>
                <w:color w:val="000000"/>
                <w:sz w:val="18"/>
                <w:szCs w:val="22"/>
              </w:rPr>
              <w:t>131,162,254</w:t>
            </w:r>
          </w:p>
        </w:tc>
        <w:tc>
          <w:tcPr>
            <w:tcW w:w="2183" w:type="dxa"/>
            <w:shd w:val="clear" w:color="auto" w:fill="auto"/>
            <w:noWrap/>
            <w:vAlign w:val="center"/>
            <w:hideMark/>
          </w:tcPr>
          <w:p w:rsidR="004B7C48" w:rsidRPr="004B7C48" w:rsidRDefault="004B7C48" w:rsidP="004B7C48">
            <w:pPr>
              <w:spacing w:before="0" w:line="240" w:lineRule="auto"/>
              <w:jc w:val="right"/>
              <w:rPr>
                <w:rFonts w:cs="Calibri"/>
                <w:i/>
                <w:color w:val="000000"/>
                <w:sz w:val="18"/>
                <w:szCs w:val="22"/>
              </w:rPr>
            </w:pPr>
            <w:r w:rsidRPr="004B7C48">
              <w:rPr>
                <w:rFonts w:cs="Calibri"/>
                <w:i/>
                <w:color w:val="000000"/>
                <w:sz w:val="18"/>
                <w:szCs w:val="22"/>
              </w:rPr>
              <w:t>141,518,503</w:t>
            </w:r>
          </w:p>
        </w:tc>
        <w:tc>
          <w:tcPr>
            <w:tcW w:w="1738" w:type="dxa"/>
            <w:shd w:val="clear" w:color="auto" w:fill="auto"/>
            <w:noWrap/>
            <w:vAlign w:val="center"/>
            <w:hideMark/>
          </w:tcPr>
          <w:p w:rsidR="004B7C48" w:rsidRPr="004B7C48" w:rsidRDefault="004B7C48" w:rsidP="004B7C48">
            <w:pPr>
              <w:spacing w:before="0" w:line="240" w:lineRule="auto"/>
              <w:jc w:val="right"/>
              <w:rPr>
                <w:rFonts w:cs="Calibri"/>
                <w:i/>
                <w:color w:val="000000"/>
                <w:sz w:val="18"/>
                <w:szCs w:val="22"/>
              </w:rPr>
            </w:pPr>
            <w:r w:rsidRPr="004B7C48">
              <w:rPr>
                <w:rFonts w:cs="Calibri"/>
                <w:i/>
                <w:color w:val="000000"/>
                <w:sz w:val="18"/>
                <w:szCs w:val="22"/>
              </w:rPr>
              <w:t>127,237,537</w:t>
            </w:r>
          </w:p>
        </w:tc>
      </w:tr>
      <w:tr w:rsidR="004B7C48" w:rsidRPr="00EF131B" w:rsidTr="009475E3">
        <w:trPr>
          <w:trHeight w:val="248"/>
          <w:jc w:val="center"/>
        </w:trPr>
        <w:tc>
          <w:tcPr>
            <w:tcW w:w="2124" w:type="dxa"/>
            <w:shd w:val="clear" w:color="auto" w:fill="auto"/>
            <w:noWrap/>
            <w:vAlign w:val="center"/>
            <w:hideMark/>
          </w:tcPr>
          <w:p w:rsidR="004B7C48" w:rsidRPr="00B47B01" w:rsidRDefault="004B7C48" w:rsidP="004B7C48">
            <w:pPr>
              <w:spacing w:before="0" w:line="240" w:lineRule="auto"/>
              <w:jc w:val="right"/>
              <w:rPr>
                <w:rFonts w:cs="Calibri"/>
                <w:i/>
                <w:color w:val="000000"/>
                <w:sz w:val="18"/>
                <w:szCs w:val="22"/>
              </w:rPr>
            </w:pPr>
            <w:r w:rsidRPr="00B47B01">
              <w:rPr>
                <w:rFonts w:cs="Calibri"/>
                <w:i/>
                <w:color w:val="000000"/>
                <w:sz w:val="18"/>
                <w:szCs w:val="22"/>
              </w:rPr>
              <w:t>Aktivet Afatgjata</w:t>
            </w:r>
          </w:p>
        </w:tc>
        <w:tc>
          <w:tcPr>
            <w:tcW w:w="2183" w:type="dxa"/>
            <w:shd w:val="clear" w:color="auto" w:fill="auto"/>
            <w:noWrap/>
            <w:vAlign w:val="center"/>
            <w:hideMark/>
          </w:tcPr>
          <w:p w:rsidR="004B7C48" w:rsidRPr="004B7C48" w:rsidRDefault="004B7C48" w:rsidP="004B7C48">
            <w:pPr>
              <w:spacing w:before="0" w:line="240" w:lineRule="auto"/>
              <w:jc w:val="right"/>
              <w:rPr>
                <w:rFonts w:cs="Calibri"/>
                <w:i/>
                <w:color w:val="000000"/>
                <w:sz w:val="18"/>
                <w:szCs w:val="22"/>
              </w:rPr>
            </w:pPr>
            <w:r w:rsidRPr="004B7C48">
              <w:rPr>
                <w:rFonts w:cs="Calibri"/>
                <w:i/>
                <w:color w:val="000000"/>
                <w:sz w:val="18"/>
                <w:szCs w:val="22"/>
              </w:rPr>
              <w:t>199,943,236</w:t>
            </w:r>
          </w:p>
        </w:tc>
        <w:tc>
          <w:tcPr>
            <w:tcW w:w="2183" w:type="dxa"/>
            <w:shd w:val="clear" w:color="auto" w:fill="auto"/>
            <w:noWrap/>
            <w:vAlign w:val="center"/>
            <w:hideMark/>
          </w:tcPr>
          <w:p w:rsidR="004B7C48" w:rsidRPr="004B7C48" w:rsidRDefault="004B7C48" w:rsidP="004B7C48">
            <w:pPr>
              <w:spacing w:before="0" w:line="240" w:lineRule="auto"/>
              <w:jc w:val="right"/>
              <w:rPr>
                <w:rFonts w:cs="Calibri"/>
                <w:i/>
                <w:color w:val="000000"/>
                <w:sz w:val="18"/>
                <w:szCs w:val="22"/>
              </w:rPr>
            </w:pPr>
            <w:r w:rsidRPr="004B7C48">
              <w:rPr>
                <w:rFonts w:cs="Calibri"/>
                <w:i/>
                <w:color w:val="000000"/>
                <w:sz w:val="18"/>
                <w:szCs w:val="22"/>
              </w:rPr>
              <w:t>196,268,129</w:t>
            </w:r>
          </w:p>
        </w:tc>
        <w:tc>
          <w:tcPr>
            <w:tcW w:w="1738" w:type="dxa"/>
            <w:shd w:val="clear" w:color="auto" w:fill="auto"/>
            <w:noWrap/>
            <w:vAlign w:val="center"/>
            <w:hideMark/>
          </w:tcPr>
          <w:p w:rsidR="004B7C48" w:rsidRPr="004B7C48" w:rsidRDefault="004B7C48" w:rsidP="004B7C48">
            <w:pPr>
              <w:spacing w:before="0" w:line="240" w:lineRule="auto"/>
              <w:jc w:val="right"/>
              <w:rPr>
                <w:rFonts w:cs="Calibri"/>
                <w:i/>
                <w:color w:val="000000"/>
                <w:sz w:val="18"/>
                <w:szCs w:val="22"/>
              </w:rPr>
            </w:pPr>
            <w:r w:rsidRPr="004B7C48">
              <w:rPr>
                <w:rFonts w:cs="Calibri"/>
                <w:i/>
                <w:color w:val="000000"/>
                <w:sz w:val="18"/>
                <w:szCs w:val="22"/>
              </w:rPr>
              <w:t>213,557,363</w:t>
            </w:r>
          </w:p>
        </w:tc>
      </w:tr>
      <w:tr w:rsidR="004B7C48" w:rsidRPr="00EF131B" w:rsidTr="009475E3">
        <w:trPr>
          <w:trHeight w:val="248"/>
          <w:jc w:val="center"/>
        </w:trPr>
        <w:tc>
          <w:tcPr>
            <w:tcW w:w="2124" w:type="dxa"/>
            <w:shd w:val="clear" w:color="auto" w:fill="auto"/>
            <w:noWrap/>
            <w:vAlign w:val="center"/>
            <w:hideMark/>
          </w:tcPr>
          <w:p w:rsidR="004B7C48" w:rsidRPr="00B47B01" w:rsidRDefault="004B7C48" w:rsidP="004B7C48">
            <w:pPr>
              <w:spacing w:before="0" w:line="240" w:lineRule="auto"/>
              <w:jc w:val="center"/>
              <w:rPr>
                <w:rFonts w:cs="Calibri"/>
                <w:b/>
                <w:bCs/>
                <w:color w:val="000000"/>
                <w:sz w:val="20"/>
                <w:szCs w:val="22"/>
              </w:rPr>
            </w:pPr>
            <w:r w:rsidRPr="00B47B01">
              <w:rPr>
                <w:rFonts w:cs="Calibri"/>
                <w:b/>
                <w:bCs/>
                <w:color w:val="000000"/>
                <w:sz w:val="20"/>
                <w:szCs w:val="22"/>
              </w:rPr>
              <w:t>Total Aktive</w:t>
            </w:r>
          </w:p>
        </w:tc>
        <w:tc>
          <w:tcPr>
            <w:tcW w:w="2183" w:type="dxa"/>
            <w:shd w:val="clear" w:color="auto" w:fill="auto"/>
            <w:noWrap/>
            <w:vAlign w:val="center"/>
            <w:hideMark/>
          </w:tcPr>
          <w:p w:rsidR="004B7C48" w:rsidRPr="004B7C48" w:rsidRDefault="004B7C48" w:rsidP="004B7C48">
            <w:pPr>
              <w:spacing w:before="0" w:line="240" w:lineRule="auto"/>
              <w:jc w:val="center"/>
              <w:rPr>
                <w:rFonts w:cs="Calibri"/>
                <w:b/>
                <w:bCs/>
                <w:color w:val="000000"/>
                <w:sz w:val="20"/>
                <w:szCs w:val="22"/>
              </w:rPr>
            </w:pPr>
            <w:r w:rsidRPr="004B7C48">
              <w:rPr>
                <w:rFonts w:cs="Calibri"/>
                <w:b/>
                <w:bCs/>
                <w:color w:val="000000"/>
                <w:sz w:val="20"/>
                <w:szCs w:val="22"/>
              </w:rPr>
              <w:t>331,105,490</w:t>
            </w:r>
          </w:p>
        </w:tc>
        <w:tc>
          <w:tcPr>
            <w:tcW w:w="2183" w:type="dxa"/>
            <w:shd w:val="clear" w:color="auto" w:fill="auto"/>
            <w:noWrap/>
            <w:vAlign w:val="center"/>
            <w:hideMark/>
          </w:tcPr>
          <w:p w:rsidR="004B7C48" w:rsidRPr="004B7C48" w:rsidRDefault="004B7C48" w:rsidP="004B7C48">
            <w:pPr>
              <w:spacing w:before="0" w:line="240" w:lineRule="auto"/>
              <w:jc w:val="center"/>
              <w:rPr>
                <w:rFonts w:cs="Calibri"/>
                <w:b/>
                <w:bCs/>
                <w:color w:val="000000"/>
                <w:sz w:val="20"/>
                <w:szCs w:val="22"/>
              </w:rPr>
            </w:pPr>
            <w:r w:rsidRPr="004B7C48">
              <w:rPr>
                <w:rFonts w:cs="Calibri"/>
                <w:b/>
                <w:bCs/>
                <w:color w:val="000000"/>
                <w:sz w:val="20"/>
                <w:szCs w:val="22"/>
              </w:rPr>
              <w:t>337,786,632</w:t>
            </w:r>
          </w:p>
        </w:tc>
        <w:tc>
          <w:tcPr>
            <w:tcW w:w="1738" w:type="dxa"/>
            <w:shd w:val="clear" w:color="auto" w:fill="auto"/>
            <w:noWrap/>
            <w:vAlign w:val="center"/>
            <w:hideMark/>
          </w:tcPr>
          <w:p w:rsidR="004B7C48" w:rsidRPr="004B7C48" w:rsidRDefault="004B7C48" w:rsidP="004B7C48">
            <w:pPr>
              <w:spacing w:before="0" w:line="240" w:lineRule="auto"/>
              <w:jc w:val="center"/>
              <w:rPr>
                <w:rFonts w:cs="Calibri"/>
                <w:b/>
                <w:bCs/>
                <w:color w:val="000000"/>
                <w:sz w:val="20"/>
                <w:szCs w:val="22"/>
              </w:rPr>
            </w:pPr>
            <w:r w:rsidRPr="004B7C48">
              <w:rPr>
                <w:rFonts w:cs="Calibri"/>
                <w:b/>
                <w:bCs/>
                <w:color w:val="000000"/>
                <w:sz w:val="20"/>
                <w:szCs w:val="22"/>
              </w:rPr>
              <w:t>340,794,900</w:t>
            </w:r>
          </w:p>
        </w:tc>
      </w:tr>
      <w:tr w:rsidR="004B7C48" w:rsidRPr="00EF131B" w:rsidTr="009475E3">
        <w:trPr>
          <w:trHeight w:val="248"/>
          <w:jc w:val="center"/>
        </w:trPr>
        <w:tc>
          <w:tcPr>
            <w:tcW w:w="2124" w:type="dxa"/>
            <w:shd w:val="clear" w:color="auto" w:fill="auto"/>
            <w:noWrap/>
            <w:vAlign w:val="center"/>
            <w:hideMark/>
          </w:tcPr>
          <w:p w:rsidR="004B7C48" w:rsidRPr="00B47B01" w:rsidRDefault="004B7C48" w:rsidP="004B7C48">
            <w:pPr>
              <w:spacing w:before="0" w:line="240" w:lineRule="auto"/>
              <w:jc w:val="right"/>
              <w:rPr>
                <w:rFonts w:cs="Calibri"/>
                <w:i/>
                <w:color w:val="000000"/>
                <w:sz w:val="18"/>
                <w:szCs w:val="22"/>
              </w:rPr>
            </w:pPr>
            <w:r w:rsidRPr="00B47B01">
              <w:rPr>
                <w:rFonts w:cs="Calibri"/>
                <w:i/>
                <w:color w:val="000000"/>
                <w:sz w:val="18"/>
                <w:szCs w:val="22"/>
              </w:rPr>
              <w:t>Detyrimet afatshkurtra</w:t>
            </w:r>
          </w:p>
        </w:tc>
        <w:tc>
          <w:tcPr>
            <w:tcW w:w="2183" w:type="dxa"/>
            <w:shd w:val="clear" w:color="auto" w:fill="auto"/>
            <w:noWrap/>
            <w:vAlign w:val="center"/>
            <w:hideMark/>
          </w:tcPr>
          <w:p w:rsidR="004B7C48" w:rsidRPr="004B7C48" w:rsidRDefault="004B7C48" w:rsidP="004B7C48">
            <w:pPr>
              <w:spacing w:before="0" w:line="240" w:lineRule="auto"/>
              <w:jc w:val="right"/>
              <w:rPr>
                <w:rFonts w:cs="Calibri"/>
                <w:i/>
                <w:color w:val="000000"/>
                <w:sz w:val="18"/>
                <w:szCs w:val="22"/>
              </w:rPr>
            </w:pPr>
            <w:r w:rsidRPr="004B7C48">
              <w:rPr>
                <w:rFonts w:cs="Calibri"/>
                <w:i/>
                <w:color w:val="000000"/>
                <w:sz w:val="18"/>
                <w:szCs w:val="22"/>
              </w:rPr>
              <w:t>188,095,177</w:t>
            </w:r>
          </w:p>
        </w:tc>
        <w:tc>
          <w:tcPr>
            <w:tcW w:w="2183" w:type="dxa"/>
            <w:shd w:val="clear" w:color="auto" w:fill="auto"/>
            <w:noWrap/>
            <w:vAlign w:val="center"/>
            <w:hideMark/>
          </w:tcPr>
          <w:p w:rsidR="004B7C48" w:rsidRPr="004B7C48" w:rsidRDefault="004B7C48" w:rsidP="004B7C48">
            <w:pPr>
              <w:spacing w:before="0" w:line="240" w:lineRule="auto"/>
              <w:jc w:val="right"/>
              <w:rPr>
                <w:rFonts w:cs="Calibri"/>
                <w:i/>
                <w:color w:val="000000"/>
                <w:sz w:val="18"/>
                <w:szCs w:val="22"/>
              </w:rPr>
            </w:pPr>
            <w:r w:rsidRPr="004B7C48">
              <w:rPr>
                <w:rFonts w:cs="Calibri"/>
                <w:i/>
                <w:color w:val="000000"/>
                <w:sz w:val="18"/>
                <w:szCs w:val="22"/>
              </w:rPr>
              <w:t>205,872,355</w:t>
            </w:r>
          </w:p>
        </w:tc>
        <w:tc>
          <w:tcPr>
            <w:tcW w:w="1738" w:type="dxa"/>
            <w:shd w:val="clear" w:color="auto" w:fill="auto"/>
            <w:noWrap/>
            <w:vAlign w:val="center"/>
            <w:hideMark/>
          </w:tcPr>
          <w:p w:rsidR="004B7C48" w:rsidRPr="004B7C48" w:rsidRDefault="004B7C48" w:rsidP="004B7C48">
            <w:pPr>
              <w:spacing w:before="0" w:line="240" w:lineRule="auto"/>
              <w:jc w:val="right"/>
              <w:rPr>
                <w:rFonts w:cs="Calibri"/>
                <w:i/>
                <w:color w:val="000000"/>
                <w:sz w:val="18"/>
                <w:szCs w:val="22"/>
              </w:rPr>
            </w:pPr>
            <w:r w:rsidRPr="004B7C48">
              <w:rPr>
                <w:rFonts w:cs="Calibri"/>
                <w:i/>
                <w:color w:val="000000"/>
                <w:sz w:val="18"/>
                <w:szCs w:val="22"/>
              </w:rPr>
              <w:t>166,760,126</w:t>
            </w:r>
          </w:p>
        </w:tc>
      </w:tr>
      <w:tr w:rsidR="004B7C48" w:rsidRPr="00EF131B" w:rsidTr="009475E3">
        <w:trPr>
          <w:trHeight w:val="248"/>
          <w:jc w:val="center"/>
        </w:trPr>
        <w:tc>
          <w:tcPr>
            <w:tcW w:w="2124" w:type="dxa"/>
            <w:shd w:val="clear" w:color="auto" w:fill="auto"/>
            <w:noWrap/>
            <w:vAlign w:val="center"/>
            <w:hideMark/>
          </w:tcPr>
          <w:p w:rsidR="004B7C48" w:rsidRPr="00B47B01" w:rsidRDefault="004B7C48" w:rsidP="004B7C48">
            <w:pPr>
              <w:spacing w:before="0" w:line="240" w:lineRule="auto"/>
              <w:jc w:val="right"/>
              <w:rPr>
                <w:rFonts w:cs="Calibri"/>
                <w:i/>
                <w:color w:val="000000"/>
                <w:sz w:val="18"/>
                <w:szCs w:val="22"/>
              </w:rPr>
            </w:pPr>
            <w:r w:rsidRPr="00B47B01">
              <w:rPr>
                <w:rFonts w:cs="Calibri"/>
                <w:i/>
                <w:color w:val="000000"/>
                <w:sz w:val="18"/>
                <w:szCs w:val="22"/>
              </w:rPr>
              <w:t>Detyrimet afatgjata</w:t>
            </w:r>
          </w:p>
        </w:tc>
        <w:tc>
          <w:tcPr>
            <w:tcW w:w="2183" w:type="dxa"/>
            <w:shd w:val="clear" w:color="auto" w:fill="auto"/>
            <w:noWrap/>
            <w:vAlign w:val="center"/>
            <w:hideMark/>
          </w:tcPr>
          <w:p w:rsidR="004B7C48" w:rsidRPr="004B7C48" w:rsidRDefault="004B7C48" w:rsidP="004B7C48">
            <w:pPr>
              <w:spacing w:before="0" w:line="240" w:lineRule="auto"/>
              <w:jc w:val="right"/>
              <w:rPr>
                <w:rFonts w:cs="Calibri"/>
                <w:i/>
                <w:color w:val="000000"/>
                <w:sz w:val="18"/>
                <w:szCs w:val="22"/>
              </w:rPr>
            </w:pPr>
            <w:r w:rsidRPr="004B7C48">
              <w:rPr>
                <w:rFonts w:cs="Calibri"/>
                <w:i/>
                <w:color w:val="000000"/>
                <w:sz w:val="18"/>
                <w:szCs w:val="22"/>
              </w:rPr>
              <w:t>67,342,340</w:t>
            </w:r>
          </w:p>
        </w:tc>
        <w:tc>
          <w:tcPr>
            <w:tcW w:w="2183" w:type="dxa"/>
            <w:shd w:val="clear" w:color="auto" w:fill="auto"/>
            <w:noWrap/>
            <w:vAlign w:val="center"/>
            <w:hideMark/>
          </w:tcPr>
          <w:p w:rsidR="004B7C48" w:rsidRPr="004B7C48" w:rsidRDefault="004B7C48" w:rsidP="004B7C48">
            <w:pPr>
              <w:spacing w:before="0" w:line="240" w:lineRule="auto"/>
              <w:jc w:val="right"/>
              <w:rPr>
                <w:rFonts w:cs="Calibri"/>
                <w:i/>
                <w:color w:val="000000"/>
                <w:sz w:val="18"/>
                <w:szCs w:val="22"/>
              </w:rPr>
            </w:pPr>
            <w:r w:rsidRPr="004B7C48">
              <w:rPr>
                <w:rFonts w:cs="Calibri"/>
                <w:i/>
                <w:color w:val="000000"/>
                <w:sz w:val="18"/>
                <w:szCs w:val="22"/>
              </w:rPr>
              <w:t>62,327,184</w:t>
            </w:r>
          </w:p>
        </w:tc>
        <w:tc>
          <w:tcPr>
            <w:tcW w:w="1738" w:type="dxa"/>
            <w:shd w:val="clear" w:color="auto" w:fill="auto"/>
            <w:noWrap/>
            <w:vAlign w:val="center"/>
            <w:hideMark/>
          </w:tcPr>
          <w:p w:rsidR="004B7C48" w:rsidRPr="004B7C48" w:rsidRDefault="004B7C48" w:rsidP="004B7C48">
            <w:pPr>
              <w:spacing w:before="0" w:line="240" w:lineRule="auto"/>
              <w:jc w:val="right"/>
              <w:rPr>
                <w:rFonts w:cs="Calibri"/>
                <w:i/>
                <w:color w:val="000000"/>
                <w:sz w:val="18"/>
                <w:szCs w:val="22"/>
              </w:rPr>
            </w:pPr>
            <w:r w:rsidRPr="004B7C48">
              <w:rPr>
                <w:rFonts w:cs="Calibri"/>
                <w:i/>
                <w:color w:val="000000"/>
                <w:sz w:val="18"/>
                <w:szCs w:val="22"/>
              </w:rPr>
              <w:t>110,107,864</w:t>
            </w:r>
          </w:p>
        </w:tc>
      </w:tr>
      <w:tr w:rsidR="004B7C48" w:rsidRPr="00EF131B" w:rsidTr="009475E3">
        <w:trPr>
          <w:trHeight w:val="248"/>
          <w:jc w:val="center"/>
        </w:trPr>
        <w:tc>
          <w:tcPr>
            <w:tcW w:w="2124" w:type="dxa"/>
            <w:shd w:val="clear" w:color="auto" w:fill="auto"/>
            <w:noWrap/>
            <w:vAlign w:val="center"/>
            <w:hideMark/>
          </w:tcPr>
          <w:p w:rsidR="004B7C48" w:rsidRPr="00B47B01" w:rsidRDefault="004B7C48" w:rsidP="004B7C48">
            <w:pPr>
              <w:spacing w:before="0" w:line="240" w:lineRule="auto"/>
              <w:jc w:val="center"/>
              <w:rPr>
                <w:rFonts w:cs="Calibri"/>
                <w:b/>
                <w:bCs/>
                <w:color w:val="000000"/>
                <w:sz w:val="20"/>
                <w:szCs w:val="22"/>
              </w:rPr>
            </w:pPr>
            <w:r w:rsidRPr="00B47B01">
              <w:rPr>
                <w:rFonts w:cs="Calibri"/>
                <w:b/>
                <w:bCs/>
                <w:color w:val="000000"/>
                <w:sz w:val="20"/>
                <w:szCs w:val="22"/>
              </w:rPr>
              <w:t>Total Detyrime</w:t>
            </w:r>
          </w:p>
        </w:tc>
        <w:tc>
          <w:tcPr>
            <w:tcW w:w="2183" w:type="dxa"/>
            <w:shd w:val="clear" w:color="auto" w:fill="auto"/>
            <w:noWrap/>
            <w:vAlign w:val="center"/>
            <w:hideMark/>
          </w:tcPr>
          <w:p w:rsidR="004B7C48" w:rsidRPr="004B7C48" w:rsidRDefault="004B7C48" w:rsidP="004B7C48">
            <w:pPr>
              <w:spacing w:before="0" w:line="240" w:lineRule="auto"/>
              <w:jc w:val="center"/>
              <w:rPr>
                <w:rFonts w:cs="Calibri"/>
                <w:b/>
                <w:bCs/>
                <w:color w:val="000000"/>
                <w:sz w:val="20"/>
                <w:szCs w:val="22"/>
              </w:rPr>
            </w:pPr>
            <w:r w:rsidRPr="004B7C48">
              <w:rPr>
                <w:rFonts w:cs="Calibri"/>
                <w:b/>
                <w:bCs/>
                <w:color w:val="000000"/>
                <w:sz w:val="20"/>
                <w:szCs w:val="22"/>
              </w:rPr>
              <w:t>255,437,517</w:t>
            </w:r>
          </w:p>
        </w:tc>
        <w:tc>
          <w:tcPr>
            <w:tcW w:w="2183" w:type="dxa"/>
            <w:shd w:val="clear" w:color="auto" w:fill="auto"/>
            <w:noWrap/>
            <w:vAlign w:val="center"/>
            <w:hideMark/>
          </w:tcPr>
          <w:p w:rsidR="004B7C48" w:rsidRPr="004B7C48" w:rsidRDefault="004B7C48" w:rsidP="004B7C48">
            <w:pPr>
              <w:spacing w:before="0" w:line="240" w:lineRule="auto"/>
              <w:jc w:val="center"/>
              <w:rPr>
                <w:rFonts w:cs="Calibri"/>
                <w:b/>
                <w:bCs/>
                <w:color w:val="000000"/>
                <w:sz w:val="20"/>
                <w:szCs w:val="22"/>
              </w:rPr>
            </w:pPr>
            <w:r w:rsidRPr="004B7C48">
              <w:rPr>
                <w:rFonts w:cs="Calibri"/>
                <w:b/>
                <w:bCs/>
                <w:color w:val="000000"/>
                <w:sz w:val="20"/>
                <w:szCs w:val="22"/>
              </w:rPr>
              <w:t>268,199,539</w:t>
            </w:r>
          </w:p>
        </w:tc>
        <w:tc>
          <w:tcPr>
            <w:tcW w:w="1738" w:type="dxa"/>
            <w:shd w:val="clear" w:color="auto" w:fill="auto"/>
            <w:noWrap/>
            <w:vAlign w:val="center"/>
            <w:hideMark/>
          </w:tcPr>
          <w:p w:rsidR="004B7C48" w:rsidRPr="004B7C48" w:rsidRDefault="004B7C48" w:rsidP="004B7C48">
            <w:pPr>
              <w:spacing w:before="0" w:line="240" w:lineRule="auto"/>
              <w:jc w:val="center"/>
              <w:rPr>
                <w:rFonts w:cs="Calibri"/>
                <w:b/>
                <w:bCs/>
                <w:color w:val="000000"/>
                <w:sz w:val="20"/>
                <w:szCs w:val="22"/>
              </w:rPr>
            </w:pPr>
            <w:r w:rsidRPr="004B7C48">
              <w:rPr>
                <w:rFonts w:cs="Calibri"/>
                <w:b/>
                <w:bCs/>
                <w:color w:val="000000"/>
                <w:sz w:val="20"/>
                <w:szCs w:val="22"/>
              </w:rPr>
              <w:t>276,867,989</w:t>
            </w:r>
          </w:p>
        </w:tc>
      </w:tr>
      <w:tr w:rsidR="004B7C48" w:rsidRPr="00EF131B" w:rsidTr="009475E3">
        <w:trPr>
          <w:trHeight w:val="260"/>
          <w:jc w:val="center"/>
        </w:trPr>
        <w:tc>
          <w:tcPr>
            <w:tcW w:w="2124" w:type="dxa"/>
            <w:shd w:val="clear" w:color="auto" w:fill="auto"/>
            <w:noWrap/>
            <w:vAlign w:val="center"/>
            <w:hideMark/>
          </w:tcPr>
          <w:p w:rsidR="004B7C48" w:rsidRPr="00B47B01" w:rsidRDefault="004B7C48" w:rsidP="004B7C48">
            <w:pPr>
              <w:spacing w:before="0" w:line="240" w:lineRule="auto"/>
              <w:jc w:val="center"/>
              <w:rPr>
                <w:rFonts w:cs="Calibri"/>
                <w:b/>
                <w:bCs/>
                <w:color w:val="000000"/>
                <w:sz w:val="20"/>
                <w:szCs w:val="22"/>
              </w:rPr>
            </w:pPr>
            <w:r w:rsidRPr="00B47B01">
              <w:rPr>
                <w:rFonts w:cs="Calibri"/>
                <w:b/>
                <w:bCs/>
                <w:color w:val="000000"/>
                <w:sz w:val="20"/>
                <w:szCs w:val="22"/>
              </w:rPr>
              <w:t>Kapital</w:t>
            </w:r>
          </w:p>
        </w:tc>
        <w:tc>
          <w:tcPr>
            <w:tcW w:w="2183" w:type="dxa"/>
            <w:shd w:val="clear" w:color="auto" w:fill="auto"/>
            <w:noWrap/>
            <w:vAlign w:val="center"/>
            <w:hideMark/>
          </w:tcPr>
          <w:p w:rsidR="004B7C48" w:rsidRPr="004B7C48" w:rsidRDefault="004B7C48" w:rsidP="004B7C48">
            <w:pPr>
              <w:spacing w:before="0" w:line="240" w:lineRule="auto"/>
              <w:jc w:val="center"/>
              <w:rPr>
                <w:rFonts w:cs="Calibri"/>
                <w:b/>
                <w:bCs/>
                <w:color w:val="000000"/>
                <w:sz w:val="20"/>
                <w:szCs w:val="22"/>
              </w:rPr>
            </w:pPr>
            <w:r w:rsidRPr="004B7C48">
              <w:rPr>
                <w:rFonts w:cs="Calibri"/>
                <w:b/>
                <w:bCs/>
                <w:color w:val="000000"/>
                <w:sz w:val="20"/>
                <w:szCs w:val="22"/>
              </w:rPr>
              <w:t>75,667,973</w:t>
            </w:r>
          </w:p>
        </w:tc>
        <w:tc>
          <w:tcPr>
            <w:tcW w:w="2183" w:type="dxa"/>
            <w:shd w:val="clear" w:color="auto" w:fill="auto"/>
            <w:noWrap/>
            <w:vAlign w:val="center"/>
            <w:hideMark/>
          </w:tcPr>
          <w:p w:rsidR="004B7C48" w:rsidRPr="004B7C48" w:rsidRDefault="004B7C48" w:rsidP="004B7C48">
            <w:pPr>
              <w:spacing w:before="0" w:line="240" w:lineRule="auto"/>
              <w:jc w:val="center"/>
              <w:rPr>
                <w:rFonts w:cs="Calibri"/>
                <w:b/>
                <w:bCs/>
                <w:color w:val="000000"/>
                <w:sz w:val="20"/>
                <w:szCs w:val="22"/>
              </w:rPr>
            </w:pPr>
            <w:r w:rsidRPr="004B7C48">
              <w:rPr>
                <w:rFonts w:cs="Calibri"/>
                <w:b/>
                <w:bCs/>
                <w:color w:val="000000"/>
                <w:sz w:val="20"/>
                <w:szCs w:val="22"/>
              </w:rPr>
              <w:t>69,587,093</w:t>
            </w:r>
          </w:p>
        </w:tc>
        <w:tc>
          <w:tcPr>
            <w:tcW w:w="1738" w:type="dxa"/>
            <w:shd w:val="clear" w:color="auto" w:fill="auto"/>
            <w:noWrap/>
            <w:vAlign w:val="center"/>
            <w:hideMark/>
          </w:tcPr>
          <w:p w:rsidR="004B7C48" w:rsidRPr="004B7C48" w:rsidRDefault="004B7C48" w:rsidP="004B7C48">
            <w:pPr>
              <w:spacing w:before="0" w:line="240" w:lineRule="auto"/>
              <w:jc w:val="center"/>
              <w:rPr>
                <w:rFonts w:cs="Calibri"/>
                <w:b/>
                <w:bCs/>
                <w:color w:val="000000"/>
                <w:sz w:val="20"/>
                <w:szCs w:val="22"/>
              </w:rPr>
            </w:pPr>
            <w:r w:rsidRPr="004B7C48">
              <w:rPr>
                <w:rFonts w:cs="Calibri"/>
                <w:b/>
                <w:bCs/>
                <w:color w:val="000000"/>
                <w:sz w:val="20"/>
                <w:szCs w:val="22"/>
              </w:rPr>
              <w:t>63,926,911</w:t>
            </w:r>
          </w:p>
        </w:tc>
      </w:tr>
    </w:tbl>
    <w:p w:rsidR="00C6090D" w:rsidRDefault="00B47B01" w:rsidP="00C6090D">
      <w:pPr>
        <w:contextualSpacing/>
        <w:rPr>
          <w:rFonts w:asciiTheme="majorHAnsi" w:hAnsiTheme="majorHAnsi"/>
          <w:i/>
          <w:sz w:val="18"/>
          <w:szCs w:val="28"/>
          <w:lang w:val="sq-AL"/>
        </w:rPr>
      </w:pPr>
      <w:r>
        <w:rPr>
          <w:rFonts w:eastAsia="Calibri" w:cs="Calibri"/>
          <w:bCs/>
          <w:i/>
          <w:u w:val="single"/>
          <w:lang w:val="sq-AL" w:eastAsia="sq-AL"/>
        </w:rPr>
        <w:fldChar w:fldCharType="end"/>
      </w:r>
      <w:r w:rsidR="00737045" w:rsidRPr="00737045">
        <w:rPr>
          <w:rFonts w:ascii="Times New Roman" w:hAnsi="Times New Roman"/>
          <w:i/>
          <w:sz w:val="20"/>
          <w:szCs w:val="28"/>
          <w:lang w:val="sq-AL"/>
        </w:rPr>
        <w:t xml:space="preserve"> </w:t>
      </w:r>
      <w:r w:rsidR="00737045">
        <w:rPr>
          <w:rFonts w:ascii="Times New Roman" w:hAnsi="Times New Roman"/>
          <w:i/>
          <w:sz w:val="20"/>
          <w:szCs w:val="28"/>
          <w:lang w:val="sq-AL"/>
        </w:rPr>
        <w:tab/>
      </w:r>
      <w:r w:rsidR="009475E3">
        <w:rPr>
          <w:rFonts w:ascii="Times New Roman" w:hAnsi="Times New Roman"/>
          <w:i/>
          <w:sz w:val="20"/>
          <w:szCs w:val="28"/>
          <w:lang w:val="sq-AL"/>
        </w:rPr>
        <w:tab/>
      </w:r>
      <w:r w:rsidR="00737045" w:rsidRPr="00737045">
        <w:rPr>
          <w:rFonts w:asciiTheme="majorHAnsi" w:hAnsiTheme="majorHAnsi"/>
          <w:i/>
          <w:sz w:val="18"/>
          <w:szCs w:val="28"/>
          <w:lang w:val="sq-AL"/>
        </w:rPr>
        <w:t>Burimi: OSHEE Group, OST,  KESH Sh.a.</w:t>
      </w:r>
    </w:p>
    <w:p w:rsidR="00A92C47" w:rsidRPr="00737045" w:rsidRDefault="00A92C47" w:rsidP="00C6090D">
      <w:pPr>
        <w:contextualSpacing/>
        <w:rPr>
          <w:rFonts w:asciiTheme="majorHAnsi" w:eastAsia="Calibri" w:hAnsiTheme="majorHAnsi" w:cs="Calibri"/>
          <w:bCs/>
          <w:i/>
          <w:sz w:val="20"/>
          <w:u w:val="single"/>
          <w:lang w:val="sq-AL" w:eastAsia="sq-AL"/>
        </w:rPr>
      </w:pPr>
    </w:p>
    <w:p w:rsidR="00737045" w:rsidRPr="007223E1" w:rsidRDefault="00737045" w:rsidP="00842F80">
      <w:pPr>
        <w:pStyle w:val="Caption"/>
        <w:keepNext/>
        <w:numPr>
          <w:ilvl w:val="0"/>
          <w:numId w:val="53"/>
        </w:numPr>
        <w:spacing w:after="0"/>
        <w:rPr>
          <w:iCs w:val="0"/>
          <w:color w:val="auto"/>
          <w:sz w:val="22"/>
          <w:szCs w:val="24"/>
          <w:lang w:val="sq-AL"/>
        </w:rPr>
      </w:pPr>
      <w:r w:rsidRPr="007223E1">
        <w:rPr>
          <w:iCs w:val="0"/>
          <w:color w:val="auto"/>
          <w:sz w:val="22"/>
          <w:szCs w:val="24"/>
          <w:lang w:val="sq-AL"/>
        </w:rPr>
        <w:lastRenderedPageBreak/>
        <w:t>Performanca financiare e OSHEE Group sh.a.</w:t>
      </w:r>
    </w:p>
    <w:p w:rsidR="00737045" w:rsidRPr="00276062" w:rsidRDefault="00276062" w:rsidP="00276062">
      <w:pPr>
        <w:pStyle w:val="Caption"/>
        <w:keepNext/>
      </w:pPr>
      <w:bookmarkStart w:id="191" w:name="_Toc104984086"/>
      <w:r>
        <w:t xml:space="preserve">Tabela </w:t>
      </w:r>
      <w:r w:rsidR="00EA28E4">
        <w:fldChar w:fldCharType="begin"/>
      </w:r>
      <w:r w:rsidR="00EA28E4">
        <w:instrText xml:space="preserve"> SEQ Tabela \* ARABIC </w:instrText>
      </w:r>
      <w:r w:rsidR="00EA28E4">
        <w:fldChar w:fldCharType="separate"/>
      </w:r>
      <w:r w:rsidR="00FE66EC">
        <w:rPr>
          <w:noProof/>
        </w:rPr>
        <w:t>14</w:t>
      </w:r>
      <w:r w:rsidR="00EA28E4">
        <w:rPr>
          <w:noProof/>
        </w:rPr>
        <w:fldChar w:fldCharType="end"/>
      </w:r>
      <w:r>
        <w:t xml:space="preserve"> </w:t>
      </w:r>
      <w:r w:rsidR="00737045" w:rsidRPr="00EE5118">
        <w:rPr>
          <w:rFonts w:cs="Calibri"/>
          <w:lang w:val="sq-AL"/>
        </w:rPr>
        <w:t>Të dhënat financiare 12 mujore për OSHEE Group Sh.a (në mijë Lekë)</w:t>
      </w:r>
      <w:bookmarkEnd w:id="191"/>
      <w:r w:rsidR="00737045" w:rsidRPr="00EE5118">
        <w:rPr>
          <w:rFonts w:cs="Calibri"/>
          <w:lang w:val="sq-AL"/>
        </w:rPr>
        <w:t xml:space="preserve">  </w:t>
      </w:r>
      <w:r w:rsidR="00737045">
        <w:rPr>
          <w:rFonts w:cs="Calibri"/>
          <w:lang w:val="sq-AL"/>
        </w:rPr>
        <w:fldChar w:fldCharType="begin"/>
      </w:r>
      <w:r w:rsidR="00737045" w:rsidRPr="00276062">
        <w:rPr>
          <w:rFonts w:cs="Calibri"/>
          <w:lang w:val="sq-AL"/>
        </w:rPr>
        <w:instrText xml:space="preserve"> LINK Excel.Sheet.12 "C:\\Users\\ilvis.ballvora\\Desktop\\Sectori Energjetike\\1.3 Te dhenat sektori i energjise. xlsx.xlsx" "DATA Extras 3!R94C7:R105C12" \a \f 4 \h  \* MERGEFORMAT </w:instrText>
      </w:r>
      <w:r w:rsidR="00737045">
        <w:rPr>
          <w:rFonts w:cs="Calibri"/>
          <w:lang w:val="sq-AL"/>
        </w:rPr>
        <w:fldChar w:fldCharType="separate"/>
      </w:r>
    </w:p>
    <w:tbl>
      <w:tblPr>
        <w:tblW w:w="8134" w:type="dxa"/>
        <w:jc w:val="center"/>
        <w:tblBorders>
          <w:top w:val="single" w:sz="24" w:space="0" w:color="95B3D7"/>
          <w:left w:val="single" w:sz="24" w:space="0" w:color="95B3D7"/>
          <w:bottom w:val="single" w:sz="24" w:space="0" w:color="95B3D7"/>
          <w:right w:val="single" w:sz="24" w:space="0" w:color="95B3D7"/>
        </w:tblBorders>
        <w:tblLook w:val="04A0" w:firstRow="1" w:lastRow="0" w:firstColumn="1" w:lastColumn="0" w:noHBand="0" w:noVBand="1"/>
      </w:tblPr>
      <w:tblGrid>
        <w:gridCol w:w="2525"/>
        <w:gridCol w:w="1867"/>
        <w:gridCol w:w="1867"/>
        <w:gridCol w:w="1875"/>
      </w:tblGrid>
      <w:tr w:rsidR="00E315BE" w:rsidRPr="00450D73" w:rsidTr="00E315BE">
        <w:trPr>
          <w:trHeight w:val="363"/>
          <w:jc w:val="center"/>
        </w:trPr>
        <w:tc>
          <w:tcPr>
            <w:tcW w:w="2525" w:type="dxa"/>
            <w:shd w:val="clear" w:color="auto" w:fill="B3DDF2" w:themeFill="background2" w:themeFillShade="E6"/>
            <w:noWrap/>
            <w:vAlign w:val="center"/>
            <w:hideMark/>
          </w:tcPr>
          <w:p w:rsidR="00E315BE" w:rsidRPr="000F2D01" w:rsidRDefault="00E315BE" w:rsidP="00E315BE">
            <w:pPr>
              <w:spacing w:before="0" w:line="240" w:lineRule="auto"/>
              <w:jc w:val="center"/>
              <w:rPr>
                <w:rFonts w:cs="Calibri"/>
                <w:color w:val="000000"/>
                <w:szCs w:val="22"/>
                <w:lang w:val="sq-AL"/>
              </w:rPr>
            </w:pPr>
            <w:r w:rsidRPr="00B47B01">
              <w:rPr>
                <w:rFonts w:cs="Calibri"/>
                <w:b/>
                <w:color w:val="C00000"/>
                <w:szCs w:val="22"/>
                <w:lang w:val="sq-AL"/>
              </w:rPr>
              <w:t>Zerat/Periudha</w:t>
            </w:r>
          </w:p>
        </w:tc>
        <w:tc>
          <w:tcPr>
            <w:tcW w:w="1867" w:type="dxa"/>
            <w:shd w:val="clear" w:color="auto" w:fill="B3DDF2" w:themeFill="background2" w:themeFillShade="E6"/>
            <w:noWrap/>
            <w:vAlign w:val="center"/>
            <w:hideMark/>
          </w:tcPr>
          <w:p w:rsidR="00E315BE" w:rsidRPr="00450D73" w:rsidRDefault="00E315BE" w:rsidP="00E315BE">
            <w:pPr>
              <w:spacing w:before="0" w:line="240" w:lineRule="auto"/>
              <w:jc w:val="center"/>
              <w:rPr>
                <w:rFonts w:cs="Calibri"/>
                <w:b/>
                <w:bCs/>
                <w:color w:val="000000"/>
                <w:szCs w:val="22"/>
              </w:rPr>
            </w:pPr>
            <w:r>
              <w:rPr>
                <w:rFonts w:cs="Calibri"/>
                <w:b/>
                <w:bCs/>
                <w:color w:val="C00000"/>
                <w:szCs w:val="22"/>
              </w:rPr>
              <w:t xml:space="preserve">12M </w:t>
            </w:r>
            <w:r w:rsidRPr="00B47B01">
              <w:rPr>
                <w:rFonts w:cs="Calibri"/>
                <w:b/>
                <w:bCs/>
                <w:color w:val="C00000"/>
                <w:szCs w:val="22"/>
              </w:rPr>
              <w:t>2019</w:t>
            </w:r>
          </w:p>
        </w:tc>
        <w:tc>
          <w:tcPr>
            <w:tcW w:w="1867" w:type="dxa"/>
            <w:shd w:val="clear" w:color="auto" w:fill="B3DDF2" w:themeFill="background2" w:themeFillShade="E6"/>
            <w:noWrap/>
            <w:vAlign w:val="center"/>
            <w:hideMark/>
          </w:tcPr>
          <w:p w:rsidR="00E315BE" w:rsidRPr="00450D73" w:rsidRDefault="00E315BE" w:rsidP="00E315BE">
            <w:pPr>
              <w:spacing w:before="0" w:line="240" w:lineRule="auto"/>
              <w:jc w:val="center"/>
              <w:rPr>
                <w:rFonts w:cs="Calibri"/>
                <w:b/>
                <w:bCs/>
                <w:color w:val="000000"/>
                <w:szCs w:val="22"/>
              </w:rPr>
            </w:pPr>
            <w:r>
              <w:rPr>
                <w:rFonts w:cs="Calibri"/>
                <w:b/>
                <w:bCs/>
                <w:color w:val="C00000"/>
                <w:szCs w:val="22"/>
              </w:rPr>
              <w:t xml:space="preserve">12M </w:t>
            </w:r>
            <w:r w:rsidRPr="00B47B01">
              <w:rPr>
                <w:rFonts w:cs="Calibri"/>
                <w:b/>
                <w:bCs/>
                <w:color w:val="C00000"/>
                <w:szCs w:val="22"/>
              </w:rPr>
              <w:t>2020</w:t>
            </w:r>
          </w:p>
        </w:tc>
        <w:tc>
          <w:tcPr>
            <w:tcW w:w="1875" w:type="dxa"/>
            <w:shd w:val="clear" w:color="auto" w:fill="B3DDF2" w:themeFill="background2" w:themeFillShade="E6"/>
            <w:noWrap/>
            <w:vAlign w:val="center"/>
            <w:hideMark/>
          </w:tcPr>
          <w:p w:rsidR="00E315BE" w:rsidRPr="00450D73" w:rsidRDefault="00E315BE" w:rsidP="00E315BE">
            <w:pPr>
              <w:spacing w:before="0" w:line="240" w:lineRule="auto"/>
              <w:jc w:val="center"/>
              <w:rPr>
                <w:rFonts w:cs="Calibri"/>
                <w:b/>
                <w:bCs/>
                <w:color w:val="000000"/>
                <w:szCs w:val="22"/>
              </w:rPr>
            </w:pPr>
            <w:r>
              <w:rPr>
                <w:rFonts w:cs="Calibri"/>
                <w:b/>
                <w:bCs/>
                <w:color w:val="C00000"/>
                <w:szCs w:val="22"/>
              </w:rPr>
              <w:t xml:space="preserve">12M </w:t>
            </w:r>
            <w:r w:rsidRPr="00B47B01">
              <w:rPr>
                <w:rFonts w:cs="Calibri"/>
                <w:b/>
                <w:bCs/>
                <w:color w:val="C00000"/>
                <w:szCs w:val="22"/>
              </w:rPr>
              <w:t>2021</w:t>
            </w:r>
          </w:p>
        </w:tc>
      </w:tr>
      <w:tr w:rsidR="004B7C48" w:rsidRPr="00450D73" w:rsidTr="00E315BE">
        <w:trPr>
          <w:trHeight w:val="169"/>
          <w:jc w:val="center"/>
        </w:trPr>
        <w:tc>
          <w:tcPr>
            <w:tcW w:w="2525" w:type="dxa"/>
            <w:shd w:val="clear" w:color="000000" w:fill="FFFFFF"/>
            <w:noWrap/>
            <w:vAlign w:val="center"/>
            <w:hideMark/>
          </w:tcPr>
          <w:p w:rsidR="004B7C48" w:rsidRPr="00E315BE" w:rsidRDefault="004B7C48" w:rsidP="004B7C48">
            <w:pPr>
              <w:spacing w:before="0" w:line="240" w:lineRule="auto"/>
              <w:jc w:val="right"/>
              <w:rPr>
                <w:rFonts w:cs="Calibri"/>
                <w:i/>
                <w:color w:val="000000"/>
                <w:sz w:val="18"/>
                <w:szCs w:val="22"/>
              </w:rPr>
            </w:pPr>
            <w:r w:rsidRPr="00E315BE">
              <w:rPr>
                <w:rFonts w:cs="Calibri"/>
                <w:i/>
                <w:color w:val="000000"/>
                <w:sz w:val="18"/>
                <w:szCs w:val="22"/>
              </w:rPr>
              <w:t>Të ardhurat</w:t>
            </w:r>
          </w:p>
        </w:tc>
        <w:tc>
          <w:tcPr>
            <w:tcW w:w="1867" w:type="dxa"/>
            <w:shd w:val="clear" w:color="000000" w:fill="FFFFFF"/>
            <w:noWrap/>
            <w:vAlign w:val="center"/>
            <w:hideMark/>
          </w:tcPr>
          <w:p w:rsidR="004B7C48" w:rsidRPr="004B7C48" w:rsidRDefault="004B7C48" w:rsidP="004B7C48">
            <w:pPr>
              <w:spacing w:before="0" w:line="240" w:lineRule="auto"/>
              <w:jc w:val="right"/>
              <w:rPr>
                <w:rFonts w:cs="Calibri"/>
                <w:i/>
                <w:color w:val="000000"/>
                <w:sz w:val="18"/>
                <w:szCs w:val="22"/>
              </w:rPr>
            </w:pPr>
            <w:r w:rsidRPr="004B7C48">
              <w:rPr>
                <w:rFonts w:cs="Calibri"/>
                <w:i/>
                <w:color w:val="000000"/>
                <w:sz w:val="18"/>
                <w:szCs w:val="22"/>
              </w:rPr>
              <w:t>59,623,323</w:t>
            </w:r>
          </w:p>
        </w:tc>
        <w:tc>
          <w:tcPr>
            <w:tcW w:w="1867" w:type="dxa"/>
            <w:shd w:val="clear" w:color="auto" w:fill="auto"/>
            <w:noWrap/>
            <w:vAlign w:val="center"/>
            <w:hideMark/>
          </w:tcPr>
          <w:p w:rsidR="004B7C48" w:rsidRPr="004B7C48" w:rsidRDefault="004B7C48" w:rsidP="004B7C48">
            <w:pPr>
              <w:spacing w:before="0" w:line="240" w:lineRule="auto"/>
              <w:jc w:val="right"/>
              <w:rPr>
                <w:rFonts w:cs="Calibri"/>
                <w:i/>
                <w:color w:val="000000"/>
                <w:sz w:val="18"/>
                <w:szCs w:val="22"/>
              </w:rPr>
            </w:pPr>
            <w:r w:rsidRPr="004B7C48">
              <w:rPr>
                <w:rFonts w:cs="Calibri"/>
                <w:i/>
                <w:color w:val="000000"/>
                <w:sz w:val="18"/>
                <w:szCs w:val="22"/>
              </w:rPr>
              <w:t>60,300,249</w:t>
            </w:r>
          </w:p>
        </w:tc>
        <w:tc>
          <w:tcPr>
            <w:tcW w:w="1875" w:type="dxa"/>
            <w:shd w:val="clear" w:color="000000" w:fill="FFFFFF"/>
            <w:noWrap/>
            <w:vAlign w:val="center"/>
            <w:hideMark/>
          </w:tcPr>
          <w:p w:rsidR="004B7C48" w:rsidRPr="004B7C48" w:rsidRDefault="004B7C48" w:rsidP="004B7C48">
            <w:pPr>
              <w:spacing w:before="0" w:line="240" w:lineRule="auto"/>
              <w:jc w:val="right"/>
              <w:rPr>
                <w:rFonts w:cs="Calibri"/>
                <w:i/>
                <w:color w:val="000000"/>
                <w:sz w:val="18"/>
                <w:szCs w:val="22"/>
              </w:rPr>
            </w:pPr>
            <w:r w:rsidRPr="004B7C48">
              <w:rPr>
                <w:rFonts w:cs="Calibri"/>
                <w:i/>
                <w:color w:val="000000"/>
                <w:sz w:val="18"/>
                <w:szCs w:val="22"/>
              </w:rPr>
              <w:t>66,337,830</w:t>
            </w:r>
          </w:p>
        </w:tc>
      </w:tr>
      <w:tr w:rsidR="004B7C48" w:rsidRPr="00450D73" w:rsidTr="00E315BE">
        <w:trPr>
          <w:trHeight w:val="161"/>
          <w:jc w:val="center"/>
        </w:trPr>
        <w:tc>
          <w:tcPr>
            <w:tcW w:w="2525" w:type="dxa"/>
            <w:shd w:val="clear" w:color="000000" w:fill="FFFFFF"/>
            <w:noWrap/>
            <w:vAlign w:val="center"/>
            <w:hideMark/>
          </w:tcPr>
          <w:p w:rsidR="004B7C48" w:rsidRPr="00E315BE" w:rsidRDefault="004B7C48" w:rsidP="004B7C48">
            <w:pPr>
              <w:spacing w:before="0" w:line="240" w:lineRule="auto"/>
              <w:jc w:val="right"/>
              <w:rPr>
                <w:rFonts w:cs="Calibri"/>
                <w:i/>
                <w:color w:val="000000"/>
                <w:sz w:val="18"/>
                <w:szCs w:val="22"/>
              </w:rPr>
            </w:pPr>
            <w:r w:rsidRPr="00E315BE">
              <w:rPr>
                <w:rFonts w:cs="Calibri"/>
                <w:i/>
                <w:color w:val="000000"/>
                <w:sz w:val="18"/>
                <w:szCs w:val="22"/>
              </w:rPr>
              <w:t>Shpenzimet</w:t>
            </w:r>
          </w:p>
        </w:tc>
        <w:tc>
          <w:tcPr>
            <w:tcW w:w="1867" w:type="dxa"/>
            <w:shd w:val="clear" w:color="000000" w:fill="FFFFFF"/>
            <w:noWrap/>
            <w:vAlign w:val="center"/>
            <w:hideMark/>
          </w:tcPr>
          <w:p w:rsidR="004B7C48" w:rsidRPr="004B7C48" w:rsidRDefault="004B7C48" w:rsidP="004B7C48">
            <w:pPr>
              <w:spacing w:before="0" w:line="240" w:lineRule="auto"/>
              <w:jc w:val="right"/>
              <w:rPr>
                <w:rFonts w:cs="Calibri"/>
                <w:i/>
                <w:color w:val="000000"/>
                <w:sz w:val="18"/>
                <w:szCs w:val="22"/>
              </w:rPr>
            </w:pPr>
            <w:r w:rsidRPr="004B7C48">
              <w:rPr>
                <w:rFonts w:cs="Calibri"/>
                <w:i/>
                <w:color w:val="000000"/>
                <w:sz w:val="18"/>
                <w:szCs w:val="22"/>
              </w:rPr>
              <w:t>63,799,901</w:t>
            </w:r>
          </w:p>
        </w:tc>
        <w:tc>
          <w:tcPr>
            <w:tcW w:w="1867" w:type="dxa"/>
            <w:shd w:val="clear" w:color="auto" w:fill="auto"/>
            <w:noWrap/>
            <w:vAlign w:val="center"/>
            <w:hideMark/>
          </w:tcPr>
          <w:p w:rsidR="004B7C48" w:rsidRPr="004B7C48" w:rsidRDefault="004B7C48" w:rsidP="004B7C48">
            <w:pPr>
              <w:spacing w:before="0" w:line="240" w:lineRule="auto"/>
              <w:jc w:val="right"/>
              <w:rPr>
                <w:rFonts w:cs="Calibri"/>
                <w:i/>
                <w:color w:val="000000"/>
                <w:sz w:val="18"/>
                <w:szCs w:val="22"/>
              </w:rPr>
            </w:pPr>
            <w:r w:rsidRPr="004B7C48">
              <w:rPr>
                <w:rFonts w:cs="Calibri"/>
                <w:i/>
                <w:color w:val="000000"/>
                <w:sz w:val="18"/>
                <w:szCs w:val="22"/>
              </w:rPr>
              <w:t>62,858,000</w:t>
            </w:r>
          </w:p>
        </w:tc>
        <w:tc>
          <w:tcPr>
            <w:tcW w:w="1875" w:type="dxa"/>
            <w:shd w:val="clear" w:color="000000" w:fill="FFFFFF"/>
            <w:noWrap/>
            <w:vAlign w:val="center"/>
            <w:hideMark/>
          </w:tcPr>
          <w:p w:rsidR="004B7C48" w:rsidRPr="004B7C48" w:rsidRDefault="004B7C48" w:rsidP="004B7C48">
            <w:pPr>
              <w:spacing w:before="0" w:line="240" w:lineRule="auto"/>
              <w:jc w:val="right"/>
              <w:rPr>
                <w:rFonts w:cs="Calibri"/>
                <w:i/>
                <w:color w:val="000000"/>
                <w:sz w:val="18"/>
                <w:szCs w:val="22"/>
              </w:rPr>
            </w:pPr>
            <w:r w:rsidRPr="004B7C48">
              <w:rPr>
                <w:rFonts w:cs="Calibri"/>
                <w:i/>
                <w:color w:val="000000"/>
                <w:sz w:val="18"/>
                <w:szCs w:val="22"/>
              </w:rPr>
              <w:t>79,538,356</w:t>
            </w:r>
          </w:p>
        </w:tc>
      </w:tr>
      <w:tr w:rsidR="004B7C48" w:rsidRPr="00450D73" w:rsidTr="00E315BE">
        <w:trPr>
          <w:trHeight w:val="161"/>
          <w:jc w:val="center"/>
        </w:trPr>
        <w:tc>
          <w:tcPr>
            <w:tcW w:w="2525" w:type="dxa"/>
            <w:shd w:val="clear" w:color="000000" w:fill="FFFFFF"/>
            <w:noWrap/>
            <w:vAlign w:val="center"/>
            <w:hideMark/>
          </w:tcPr>
          <w:p w:rsidR="004B7C48" w:rsidRPr="00450D73" w:rsidRDefault="004B7C48" w:rsidP="004B7C48">
            <w:pPr>
              <w:spacing w:before="0" w:line="240" w:lineRule="auto"/>
              <w:jc w:val="center"/>
              <w:rPr>
                <w:rFonts w:cs="Calibri"/>
                <w:b/>
                <w:bCs/>
                <w:color w:val="000000"/>
                <w:szCs w:val="22"/>
              </w:rPr>
            </w:pPr>
            <w:r w:rsidRPr="00450D73">
              <w:rPr>
                <w:rFonts w:cs="Calibri"/>
                <w:b/>
                <w:bCs/>
                <w:color w:val="000000"/>
                <w:szCs w:val="22"/>
              </w:rPr>
              <w:t>Humbje/Fitim</w:t>
            </w:r>
          </w:p>
        </w:tc>
        <w:tc>
          <w:tcPr>
            <w:tcW w:w="1867" w:type="dxa"/>
            <w:shd w:val="clear" w:color="000000" w:fill="FFFFFF"/>
            <w:noWrap/>
            <w:vAlign w:val="center"/>
            <w:hideMark/>
          </w:tcPr>
          <w:p w:rsidR="004B7C48" w:rsidRPr="004B7C48" w:rsidRDefault="004B7C48" w:rsidP="004B7C48">
            <w:pPr>
              <w:spacing w:before="0" w:line="240" w:lineRule="auto"/>
              <w:jc w:val="center"/>
              <w:rPr>
                <w:rFonts w:cs="Calibri"/>
                <w:b/>
                <w:bCs/>
                <w:color w:val="000000"/>
                <w:szCs w:val="22"/>
              </w:rPr>
            </w:pPr>
            <w:r w:rsidRPr="004B7C48">
              <w:rPr>
                <w:rFonts w:cs="Calibri"/>
                <w:b/>
                <w:bCs/>
                <w:color w:val="000000"/>
                <w:szCs w:val="22"/>
              </w:rPr>
              <w:t>(4,176,578)</w:t>
            </w:r>
          </w:p>
        </w:tc>
        <w:tc>
          <w:tcPr>
            <w:tcW w:w="1867" w:type="dxa"/>
            <w:shd w:val="clear" w:color="auto" w:fill="auto"/>
            <w:noWrap/>
            <w:vAlign w:val="center"/>
            <w:hideMark/>
          </w:tcPr>
          <w:p w:rsidR="004B7C48" w:rsidRPr="004B7C48" w:rsidRDefault="004B7C48" w:rsidP="004B7C48">
            <w:pPr>
              <w:spacing w:before="0" w:line="240" w:lineRule="auto"/>
              <w:jc w:val="center"/>
              <w:rPr>
                <w:rFonts w:cs="Calibri"/>
                <w:b/>
                <w:bCs/>
                <w:color w:val="000000"/>
                <w:szCs w:val="22"/>
              </w:rPr>
            </w:pPr>
            <w:r w:rsidRPr="004B7C48">
              <w:rPr>
                <w:rFonts w:cs="Calibri"/>
                <w:b/>
                <w:bCs/>
                <w:color w:val="000000"/>
                <w:szCs w:val="22"/>
              </w:rPr>
              <w:t>(2,557,751)</w:t>
            </w:r>
          </w:p>
        </w:tc>
        <w:tc>
          <w:tcPr>
            <w:tcW w:w="1875" w:type="dxa"/>
            <w:shd w:val="clear" w:color="000000" w:fill="FFFFFF"/>
            <w:noWrap/>
            <w:vAlign w:val="center"/>
            <w:hideMark/>
          </w:tcPr>
          <w:p w:rsidR="004B7C48" w:rsidRPr="004B7C48" w:rsidRDefault="004B7C48" w:rsidP="004B7C48">
            <w:pPr>
              <w:spacing w:before="0" w:line="240" w:lineRule="auto"/>
              <w:jc w:val="center"/>
              <w:rPr>
                <w:rFonts w:cs="Calibri"/>
                <w:b/>
                <w:bCs/>
                <w:color w:val="000000"/>
                <w:szCs w:val="22"/>
              </w:rPr>
            </w:pPr>
            <w:r w:rsidRPr="004B7C48">
              <w:rPr>
                <w:rFonts w:cs="Calibri"/>
                <w:b/>
                <w:bCs/>
                <w:color w:val="000000"/>
                <w:szCs w:val="22"/>
              </w:rPr>
              <w:t>(13,200,526)</w:t>
            </w:r>
          </w:p>
        </w:tc>
      </w:tr>
      <w:tr w:rsidR="004B7C48" w:rsidRPr="00450D73" w:rsidTr="00E315BE">
        <w:trPr>
          <w:trHeight w:val="161"/>
          <w:jc w:val="center"/>
        </w:trPr>
        <w:tc>
          <w:tcPr>
            <w:tcW w:w="2525" w:type="dxa"/>
            <w:shd w:val="clear" w:color="000000" w:fill="FFFFFF"/>
            <w:noWrap/>
            <w:vAlign w:val="center"/>
            <w:hideMark/>
          </w:tcPr>
          <w:p w:rsidR="004B7C48" w:rsidRPr="00E315BE" w:rsidRDefault="004B7C48" w:rsidP="004B7C48">
            <w:pPr>
              <w:spacing w:before="0" w:line="240" w:lineRule="auto"/>
              <w:jc w:val="right"/>
              <w:rPr>
                <w:rFonts w:cs="Calibri"/>
                <w:i/>
                <w:color w:val="000000"/>
                <w:sz w:val="18"/>
                <w:szCs w:val="22"/>
              </w:rPr>
            </w:pPr>
            <w:r w:rsidRPr="00E315BE">
              <w:rPr>
                <w:rFonts w:cs="Calibri"/>
                <w:i/>
                <w:color w:val="000000"/>
                <w:sz w:val="18"/>
                <w:szCs w:val="22"/>
              </w:rPr>
              <w:t>Aktivet Afatshkurtra</w:t>
            </w:r>
          </w:p>
        </w:tc>
        <w:tc>
          <w:tcPr>
            <w:tcW w:w="1867" w:type="dxa"/>
            <w:shd w:val="clear" w:color="000000" w:fill="FFFFFF"/>
            <w:noWrap/>
            <w:vAlign w:val="center"/>
            <w:hideMark/>
          </w:tcPr>
          <w:p w:rsidR="004B7C48" w:rsidRPr="004B7C48" w:rsidRDefault="004B7C48" w:rsidP="004B7C48">
            <w:pPr>
              <w:spacing w:before="0" w:line="240" w:lineRule="auto"/>
              <w:jc w:val="right"/>
              <w:rPr>
                <w:rFonts w:cs="Calibri"/>
                <w:i/>
                <w:color w:val="000000"/>
                <w:sz w:val="18"/>
                <w:szCs w:val="22"/>
              </w:rPr>
            </w:pPr>
            <w:r w:rsidRPr="004B7C48">
              <w:rPr>
                <w:rFonts w:cs="Calibri"/>
                <w:i/>
                <w:color w:val="000000"/>
                <w:sz w:val="18"/>
                <w:szCs w:val="22"/>
              </w:rPr>
              <w:t>35,210,156</w:t>
            </w:r>
          </w:p>
        </w:tc>
        <w:tc>
          <w:tcPr>
            <w:tcW w:w="1867" w:type="dxa"/>
            <w:shd w:val="clear" w:color="auto" w:fill="auto"/>
            <w:noWrap/>
            <w:vAlign w:val="center"/>
            <w:hideMark/>
          </w:tcPr>
          <w:p w:rsidR="004B7C48" w:rsidRPr="004B7C48" w:rsidRDefault="004B7C48" w:rsidP="004B7C48">
            <w:pPr>
              <w:spacing w:before="0" w:line="240" w:lineRule="auto"/>
              <w:jc w:val="right"/>
              <w:rPr>
                <w:rFonts w:cs="Calibri"/>
                <w:i/>
                <w:color w:val="000000"/>
                <w:sz w:val="18"/>
                <w:szCs w:val="22"/>
              </w:rPr>
            </w:pPr>
            <w:r w:rsidRPr="004B7C48">
              <w:rPr>
                <w:rFonts w:cs="Calibri"/>
                <w:i/>
                <w:color w:val="000000"/>
                <w:sz w:val="18"/>
                <w:szCs w:val="22"/>
              </w:rPr>
              <w:t>40,073,588</w:t>
            </w:r>
          </w:p>
        </w:tc>
        <w:tc>
          <w:tcPr>
            <w:tcW w:w="1875" w:type="dxa"/>
            <w:shd w:val="clear" w:color="000000" w:fill="FFFFFF"/>
            <w:noWrap/>
            <w:vAlign w:val="center"/>
            <w:hideMark/>
          </w:tcPr>
          <w:p w:rsidR="004B7C48" w:rsidRPr="004B7C48" w:rsidRDefault="004B7C48" w:rsidP="004B7C48">
            <w:pPr>
              <w:spacing w:before="0" w:line="240" w:lineRule="auto"/>
              <w:jc w:val="right"/>
              <w:rPr>
                <w:rFonts w:cs="Calibri"/>
                <w:i/>
                <w:color w:val="000000"/>
                <w:sz w:val="18"/>
                <w:szCs w:val="22"/>
              </w:rPr>
            </w:pPr>
            <w:r w:rsidRPr="004B7C48">
              <w:rPr>
                <w:rFonts w:cs="Calibri"/>
                <w:i/>
                <w:color w:val="000000"/>
                <w:sz w:val="18"/>
                <w:szCs w:val="22"/>
              </w:rPr>
              <w:t>31,422,600</w:t>
            </w:r>
          </w:p>
        </w:tc>
      </w:tr>
      <w:tr w:rsidR="004B7C48" w:rsidRPr="00450D73" w:rsidTr="00E315BE">
        <w:trPr>
          <w:trHeight w:val="161"/>
          <w:jc w:val="center"/>
        </w:trPr>
        <w:tc>
          <w:tcPr>
            <w:tcW w:w="2525" w:type="dxa"/>
            <w:shd w:val="clear" w:color="000000" w:fill="FFFFFF"/>
            <w:noWrap/>
            <w:vAlign w:val="center"/>
            <w:hideMark/>
          </w:tcPr>
          <w:p w:rsidR="004B7C48" w:rsidRPr="00E315BE" w:rsidRDefault="004B7C48" w:rsidP="004B7C48">
            <w:pPr>
              <w:spacing w:before="0" w:line="240" w:lineRule="auto"/>
              <w:jc w:val="right"/>
              <w:rPr>
                <w:rFonts w:cs="Calibri"/>
                <w:i/>
                <w:color w:val="000000"/>
                <w:sz w:val="18"/>
                <w:szCs w:val="22"/>
              </w:rPr>
            </w:pPr>
            <w:r w:rsidRPr="00E315BE">
              <w:rPr>
                <w:rFonts w:cs="Calibri"/>
                <w:i/>
                <w:color w:val="000000"/>
                <w:sz w:val="18"/>
                <w:szCs w:val="22"/>
              </w:rPr>
              <w:t>Aktivet Afatgjata</w:t>
            </w:r>
          </w:p>
        </w:tc>
        <w:tc>
          <w:tcPr>
            <w:tcW w:w="1867" w:type="dxa"/>
            <w:shd w:val="clear" w:color="000000" w:fill="FFFFFF"/>
            <w:noWrap/>
            <w:vAlign w:val="center"/>
            <w:hideMark/>
          </w:tcPr>
          <w:p w:rsidR="004B7C48" w:rsidRPr="004B7C48" w:rsidRDefault="004B7C48" w:rsidP="004B7C48">
            <w:pPr>
              <w:spacing w:before="0" w:line="240" w:lineRule="auto"/>
              <w:jc w:val="right"/>
              <w:rPr>
                <w:rFonts w:cs="Calibri"/>
                <w:i/>
                <w:color w:val="000000"/>
                <w:sz w:val="18"/>
                <w:szCs w:val="22"/>
              </w:rPr>
            </w:pPr>
            <w:r w:rsidRPr="004B7C48">
              <w:rPr>
                <w:rFonts w:cs="Calibri"/>
                <w:i/>
                <w:color w:val="000000"/>
                <w:sz w:val="18"/>
                <w:szCs w:val="22"/>
              </w:rPr>
              <w:t>48,878,558</w:t>
            </w:r>
          </w:p>
        </w:tc>
        <w:tc>
          <w:tcPr>
            <w:tcW w:w="1867" w:type="dxa"/>
            <w:shd w:val="clear" w:color="auto" w:fill="auto"/>
            <w:noWrap/>
            <w:vAlign w:val="center"/>
            <w:hideMark/>
          </w:tcPr>
          <w:p w:rsidR="004B7C48" w:rsidRPr="004B7C48" w:rsidRDefault="004B7C48" w:rsidP="004B7C48">
            <w:pPr>
              <w:spacing w:before="0" w:line="240" w:lineRule="auto"/>
              <w:jc w:val="right"/>
              <w:rPr>
                <w:rFonts w:cs="Calibri"/>
                <w:i/>
                <w:color w:val="000000"/>
                <w:sz w:val="18"/>
                <w:szCs w:val="22"/>
              </w:rPr>
            </w:pPr>
            <w:r w:rsidRPr="004B7C48">
              <w:rPr>
                <w:rFonts w:cs="Calibri"/>
                <w:i/>
                <w:color w:val="000000"/>
                <w:sz w:val="18"/>
                <w:szCs w:val="22"/>
              </w:rPr>
              <w:t>50,037,448</w:t>
            </w:r>
          </w:p>
        </w:tc>
        <w:tc>
          <w:tcPr>
            <w:tcW w:w="1875" w:type="dxa"/>
            <w:shd w:val="clear" w:color="000000" w:fill="FFFFFF"/>
            <w:noWrap/>
            <w:vAlign w:val="center"/>
            <w:hideMark/>
          </w:tcPr>
          <w:p w:rsidR="004B7C48" w:rsidRPr="004B7C48" w:rsidRDefault="004B7C48" w:rsidP="004B7C48">
            <w:pPr>
              <w:spacing w:before="0" w:line="240" w:lineRule="auto"/>
              <w:jc w:val="right"/>
              <w:rPr>
                <w:rFonts w:cs="Calibri"/>
                <w:i/>
                <w:color w:val="000000"/>
                <w:sz w:val="18"/>
                <w:szCs w:val="22"/>
              </w:rPr>
            </w:pPr>
            <w:r w:rsidRPr="004B7C48">
              <w:rPr>
                <w:rFonts w:cs="Calibri"/>
                <w:i/>
                <w:color w:val="000000"/>
                <w:sz w:val="18"/>
                <w:szCs w:val="22"/>
              </w:rPr>
              <w:t>57,449,476</w:t>
            </w:r>
          </w:p>
        </w:tc>
      </w:tr>
      <w:tr w:rsidR="004B7C48" w:rsidRPr="00450D73" w:rsidTr="00E315BE">
        <w:trPr>
          <w:trHeight w:val="161"/>
          <w:jc w:val="center"/>
        </w:trPr>
        <w:tc>
          <w:tcPr>
            <w:tcW w:w="2525" w:type="dxa"/>
            <w:shd w:val="clear" w:color="000000" w:fill="FFFFFF"/>
            <w:noWrap/>
            <w:vAlign w:val="center"/>
            <w:hideMark/>
          </w:tcPr>
          <w:p w:rsidR="004B7C48" w:rsidRPr="00450D73" w:rsidRDefault="004B7C48" w:rsidP="004B7C48">
            <w:pPr>
              <w:spacing w:before="0" w:line="240" w:lineRule="auto"/>
              <w:jc w:val="center"/>
              <w:rPr>
                <w:rFonts w:cs="Calibri"/>
                <w:b/>
                <w:bCs/>
                <w:color w:val="000000"/>
                <w:szCs w:val="22"/>
              </w:rPr>
            </w:pPr>
            <w:r w:rsidRPr="00450D73">
              <w:rPr>
                <w:rFonts w:cs="Calibri"/>
                <w:b/>
                <w:bCs/>
                <w:color w:val="000000"/>
                <w:szCs w:val="22"/>
              </w:rPr>
              <w:t>Total Aktive</w:t>
            </w:r>
          </w:p>
        </w:tc>
        <w:tc>
          <w:tcPr>
            <w:tcW w:w="1867" w:type="dxa"/>
            <w:shd w:val="clear" w:color="000000" w:fill="FFFFFF"/>
            <w:noWrap/>
            <w:vAlign w:val="center"/>
            <w:hideMark/>
          </w:tcPr>
          <w:p w:rsidR="004B7C48" w:rsidRPr="004B7C48" w:rsidRDefault="004B7C48" w:rsidP="004B7C48">
            <w:pPr>
              <w:spacing w:before="0" w:line="240" w:lineRule="auto"/>
              <w:jc w:val="center"/>
              <w:rPr>
                <w:rFonts w:cs="Calibri"/>
                <w:b/>
                <w:bCs/>
                <w:color w:val="000000"/>
                <w:szCs w:val="22"/>
              </w:rPr>
            </w:pPr>
            <w:r w:rsidRPr="004B7C48">
              <w:rPr>
                <w:rFonts w:cs="Calibri"/>
                <w:b/>
                <w:bCs/>
                <w:color w:val="000000"/>
                <w:szCs w:val="22"/>
              </w:rPr>
              <w:t>84,088,714</w:t>
            </w:r>
          </w:p>
        </w:tc>
        <w:tc>
          <w:tcPr>
            <w:tcW w:w="1867" w:type="dxa"/>
            <w:shd w:val="clear" w:color="auto" w:fill="auto"/>
            <w:noWrap/>
            <w:vAlign w:val="center"/>
            <w:hideMark/>
          </w:tcPr>
          <w:p w:rsidR="004B7C48" w:rsidRPr="004B7C48" w:rsidRDefault="004B7C48" w:rsidP="004B7C48">
            <w:pPr>
              <w:spacing w:before="0" w:line="240" w:lineRule="auto"/>
              <w:jc w:val="center"/>
              <w:rPr>
                <w:rFonts w:cs="Calibri"/>
                <w:b/>
                <w:bCs/>
                <w:color w:val="000000"/>
                <w:szCs w:val="22"/>
              </w:rPr>
            </w:pPr>
            <w:r w:rsidRPr="004B7C48">
              <w:rPr>
                <w:rFonts w:cs="Calibri"/>
                <w:b/>
                <w:bCs/>
                <w:color w:val="000000"/>
                <w:szCs w:val="22"/>
              </w:rPr>
              <w:t>90,111,036</w:t>
            </w:r>
          </w:p>
        </w:tc>
        <w:tc>
          <w:tcPr>
            <w:tcW w:w="1875" w:type="dxa"/>
            <w:shd w:val="clear" w:color="000000" w:fill="FFFFFF"/>
            <w:noWrap/>
            <w:vAlign w:val="center"/>
            <w:hideMark/>
          </w:tcPr>
          <w:p w:rsidR="004B7C48" w:rsidRPr="004B7C48" w:rsidRDefault="004B7C48" w:rsidP="004B7C48">
            <w:pPr>
              <w:spacing w:before="0" w:line="240" w:lineRule="auto"/>
              <w:jc w:val="center"/>
              <w:rPr>
                <w:rFonts w:cs="Calibri"/>
                <w:b/>
                <w:bCs/>
                <w:color w:val="000000"/>
                <w:szCs w:val="22"/>
              </w:rPr>
            </w:pPr>
            <w:r w:rsidRPr="004B7C48">
              <w:rPr>
                <w:rFonts w:cs="Calibri"/>
                <w:b/>
                <w:bCs/>
                <w:color w:val="000000"/>
                <w:szCs w:val="22"/>
              </w:rPr>
              <w:t>88,872,076</w:t>
            </w:r>
          </w:p>
        </w:tc>
      </w:tr>
      <w:tr w:rsidR="004B7C48" w:rsidRPr="00450D73" w:rsidTr="00E315BE">
        <w:trPr>
          <w:trHeight w:val="161"/>
          <w:jc w:val="center"/>
        </w:trPr>
        <w:tc>
          <w:tcPr>
            <w:tcW w:w="2525" w:type="dxa"/>
            <w:shd w:val="clear" w:color="000000" w:fill="FFFFFF"/>
            <w:noWrap/>
            <w:vAlign w:val="center"/>
            <w:hideMark/>
          </w:tcPr>
          <w:p w:rsidR="004B7C48" w:rsidRPr="00E315BE" w:rsidRDefault="004B7C48" w:rsidP="004B7C48">
            <w:pPr>
              <w:spacing w:before="0" w:line="240" w:lineRule="auto"/>
              <w:jc w:val="right"/>
              <w:rPr>
                <w:rFonts w:cs="Calibri"/>
                <w:i/>
                <w:color w:val="000000"/>
                <w:sz w:val="18"/>
                <w:szCs w:val="22"/>
              </w:rPr>
            </w:pPr>
            <w:r w:rsidRPr="00E315BE">
              <w:rPr>
                <w:rFonts w:cs="Calibri"/>
                <w:i/>
                <w:color w:val="000000"/>
                <w:sz w:val="18"/>
                <w:szCs w:val="22"/>
              </w:rPr>
              <w:t>Detyrimet afatshkurtra</w:t>
            </w:r>
          </w:p>
        </w:tc>
        <w:tc>
          <w:tcPr>
            <w:tcW w:w="1867" w:type="dxa"/>
            <w:shd w:val="clear" w:color="000000" w:fill="FFFFFF"/>
            <w:noWrap/>
            <w:vAlign w:val="center"/>
            <w:hideMark/>
          </w:tcPr>
          <w:p w:rsidR="004B7C48" w:rsidRPr="004B7C48" w:rsidRDefault="004B7C48" w:rsidP="004B7C48">
            <w:pPr>
              <w:spacing w:before="0" w:line="240" w:lineRule="auto"/>
              <w:jc w:val="right"/>
              <w:rPr>
                <w:rFonts w:cs="Calibri"/>
                <w:i/>
                <w:color w:val="000000"/>
                <w:sz w:val="18"/>
                <w:szCs w:val="22"/>
              </w:rPr>
            </w:pPr>
            <w:r w:rsidRPr="004B7C48">
              <w:rPr>
                <w:rFonts w:cs="Calibri"/>
                <w:i/>
                <w:color w:val="000000"/>
                <w:sz w:val="18"/>
                <w:szCs w:val="22"/>
              </w:rPr>
              <w:t>109,285,349</w:t>
            </w:r>
          </w:p>
        </w:tc>
        <w:tc>
          <w:tcPr>
            <w:tcW w:w="1867" w:type="dxa"/>
            <w:shd w:val="clear" w:color="auto" w:fill="auto"/>
            <w:noWrap/>
            <w:vAlign w:val="center"/>
            <w:hideMark/>
          </w:tcPr>
          <w:p w:rsidR="004B7C48" w:rsidRPr="004B7C48" w:rsidRDefault="004B7C48" w:rsidP="004B7C48">
            <w:pPr>
              <w:spacing w:before="0" w:line="240" w:lineRule="auto"/>
              <w:jc w:val="right"/>
              <w:rPr>
                <w:rFonts w:cs="Calibri"/>
                <w:i/>
                <w:color w:val="000000"/>
                <w:sz w:val="18"/>
                <w:szCs w:val="22"/>
              </w:rPr>
            </w:pPr>
            <w:r w:rsidRPr="004B7C48">
              <w:rPr>
                <w:rFonts w:cs="Calibri"/>
                <w:i/>
                <w:color w:val="000000"/>
                <w:sz w:val="18"/>
                <w:szCs w:val="22"/>
              </w:rPr>
              <w:t>118,024,363</w:t>
            </w:r>
          </w:p>
        </w:tc>
        <w:tc>
          <w:tcPr>
            <w:tcW w:w="1875" w:type="dxa"/>
            <w:shd w:val="clear" w:color="000000" w:fill="FFFFFF"/>
            <w:noWrap/>
            <w:vAlign w:val="center"/>
            <w:hideMark/>
          </w:tcPr>
          <w:p w:rsidR="004B7C48" w:rsidRPr="004B7C48" w:rsidRDefault="004B7C48" w:rsidP="004B7C48">
            <w:pPr>
              <w:spacing w:before="0" w:line="240" w:lineRule="auto"/>
              <w:jc w:val="right"/>
              <w:rPr>
                <w:rFonts w:cs="Calibri"/>
                <w:i/>
                <w:color w:val="000000"/>
                <w:sz w:val="18"/>
                <w:szCs w:val="22"/>
              </w:rPr>
            </w:pPr>
            <w:r w:rsidRPr="004B7C48">
              <w:rPr>
                <w:rFonts w:cs="Calibri"/>
                <w:i/>
                <w:color w:val="000000"/>
                <w:sz w:val="18"/>
                <w:szCs w:val="22"/>
              </w:rPr>
              <w:t>76,996,064</w:t>
            </w:r>
          </w:p>
        </w:tc>
      </w:tr>
      <w:tr w:rsidR="004B7C48" w:rsidRPr="00450D73" w:rsidTr="00E315BE">
        <w:trPr>
          <w:trHeight w:val="161"/>
          <w:jc w:val="center"/>
        </w:trPr>
        <w:tc>
          <w:tcPr>
            <w:tcW w:w="2525" w:type="dxa"/>
            <w:shd w:val="clear" w:color="000000" w:fill="FFFFFF"/>
            <w:noWrap/>
            <w:vAlign w:val="center"/>
            <w:hideMark/>
          </w:tcPr>
          <w:p w:rsidR="004B7C48" w:rsidRPr="00E315BE" w:rsidRDefault="004B7C48" w:rsidP="004B7C48">
            <w:pPr>
              <w:spacing w:before="0" w:line="240" w:lineRule="auto"/>
              <w:jc w:val="right"/>
              <w:rPr>
                <w:rFonts w:cs="Calibri"/>
                <w:i/>
                <w:color w:val="000000"/>
                <w:sz w:val="18"/>
                <w:szCs w:val="22"/>
              </w:rPr>
            </w:pPr>
            <w:r w:rsidRPr="00E315BE">
              <w:rPr>
                <w:rFonts w:cs="Calibri"/>
                <w:i/>
                <w:color w:val="000000"/>
                <w:sz w:val="18"/>
                <w:szCs w:val="22"/>
              </w:rPr>
              <w:t>Detyrimet afatgjata</w:t>
            </w:r>
          </w:p>
        </w:tc>
        <w:tc>
          <w:tcPr>
            <w:tcW w:w="1867" w:type="dxa"/>
            <w:shd w:val="clear" w:color="000000" w:fill="FFFFFF"/>
            <w:noWrap/>
            <w:vAlign w:val="center"/>
            <w:hideMark/>
          </w:tcPr>
          <w:p w:rsidR="004B7C48" w:rsidRPr="004B7C48" w:rsidRDefault="004B7C48" w:rsidP="004B7C48">
            <w:pPr>
              <w:spacing w:before="0" w:line="240" w:lineRule="auto"/>
              <w:jc w:val="right"/>
              <w:rPr>
                <w:rFonts w:cs="Calibri"/>
                <w:i/>
                <w:color w:val="000000"/>
                <w:sz w:val="18"/>
                <w:szCs w:val="22"/>
              </w:rPr>
            </w:pPr>
            <w:r w:rsidRPr="004B7C48">
              <w:rPr>
                <w:rFonts w:cs="Calibri"/>
                <w:i/>
                <w:color w:val="000000"/>
                <w:sz w:val="18"/>
                <w:szCs w:val="22"/>
              </w:rPr>
              <w:t>10,479,778</w:t>
            </w:r>
          </w:p>
        </w:tc>
        <w:tc>
          <w:tcPr>
            <w:tcW w:w="1867" w:type="dxa"/>
            <w:shd w:val="clear" w:color="auto" w:fill="auto"/>
            <w:noWrap/>
            <w:vAlign w:val="center"/>
            <w:hideMark/>
          </w:tcPr>
          <w:p w:rsidR="004B7C48" w:rsidRPr="004B7C48" w:rsidRDefault="004B7C48" w:rsidP="004B7C48">
            <w:pPr>
              <w:spacing w:before="0" w:line="240" w:lineRule="auto"/>
              <w:jc w:val="right"/>
              <w:rPr>
                <w:rFonts w:cs="Calibri"/>
                <w:i/>
                <w:color w:val="000000"/>
                <w:sz w:val="18"/>
                <w:szCs w:val="22"/>
              </w:rPr>
            </w:pPr>
            <w:r w:rsidRPr="004B7C48">
              <w:rPr>
                <w:rFonts w:cs="Calibri"/>
                <w:i/>
                <w:color w:val="000000"/>
                <w:sz w:val="18"/>
                <w:szCs w:val="22"/>
              </w:rPr>
              <w:t>10,218,663</w:t>
            </w:r>
          </w:p>
        </w:tc>
        <w:tc>
          <w:tcPr>
            <w:tcW w:w="1875" w:type="dxa"/>
            <w:shd w:val="clear" w:color="000000" w:fill="FFFFFF"/>
            <w:noWrap/>
            <w:vAlign w:val="center"/>
            <w:hideMark/>
          </w:tcPr>
          <w:p w:rsidR="004B7C48" w:rsidRPr="004B7C48" w:rsidRDefault="004B7C48" w:rsidP="004B7C48">
            <w:pPr>
              <w:spacing w:before="0" w:line="240" w:lineRule="auto"/>
              <w:jc w:val="right"/>
              <w:rPr>
                <w:rFonts w:cs="Calibri"/>
                <w:i/>
                <w:color w:val="000000"/>
                <w:sz w:val="18"/>
                <w:szCs w:val="22"/>
              </w:rPr>
            </w:pPr>
            <w:r w:rsidRPr="004B7C48">
              <w:rPr>
                <w:rFonts w:cs="Calibri"/>
                <w:i/>
                <w:color w:val="000000"/>
                <w:sz w:val="18"/>
                <w:szCs w:val="22"/>
              </w:rPr>
              <w:t>63,107,117</w:t>
            </w:r>
          </w:p>
        </w:tc>
      </w:tr>
      <w:tr w:rsidR="004B7C48" w:rsidRPr="00450D73" w:rsidTr="00E315BE">
        <w:trPr>
          <w:trHeight w:val="161"/>
          <w:jc w:val="center"/>
        </w:trPr>
        <w:tc>
          <w:tcPr>
            <w:tcW w:w="2525" w:type="dxa"/>
            <w:shd w:val="clear" w:color="000000" w:fill="FFFFFF"/>
            <w:noWrap/>
            <w:vAlign w:val="center"/>
            <w:hideMark/>
          </w:tcPr>
          <w:p w:rsidR="004B7C48" w:rsidRPr="00450D73" w:rsidRDefault="004B7C48" w:rsidP="004B7C48">
            <w:pPr>
              <w:spacing w:before="0" w:line="240" w:lineRule="auto"/>
              <w:jc w:val="center"/>
              <w:rPr>
                <w:rFonts w:cs="Calibri"/>
                <w:b/>
                <w:bCs/>
                <w:color w:val="000000"/>
                <w:szCs w:val="22"/>
              </w:rPr>
            </w:pPr>
            <w:r w:rsidRPr="00450D73">
              <w:rPr>
                <w:rFonts w:cs="Calibri"/>
                <w:b/>
                <w:bCs/>
                <w:color w:val="000000"/>
                <w:szCs w:val="22"/>
              </w:rPr>
              <w:t>Total Detyrime</w:t>
            </w:r>
          </w:p>
        </w:tc>
        <w:tc>
          <w:tcPr>
            <w:tcW w:w="1867" w:type="dxa"/>
            <w:shd w:val="clear" w:color="000000" w:fill="FFFFFF"/>
            <w:noWrap/>
            <w:vAlign w:val="center"/>
            <w:hideMark/>
          </w:tcPr>
          <w:p w:rsidR="004B7C48" w:rsidRPr="004B7C48" w:rsidRDefault="004B7C48" w:rsidP="004B7C48">
            <w:pPr>
              <w:spacing w:before="0" w:line="240" w:lineRule="auto"/>
              <w:jc w:val="center"/>
              <w:rPr>
                <w:rFonts w:cs="Calibri"/>
                <w:b/>
                <w:bCs/>
                <w:color w:val="000000"/>
                <w:szCs w:val="22"/>
              </w:rPr>
            </w:pPr>
            <w:r w:rsidRPr="004B7C48">
              <w:rPr>
                <w:rFonts w:cs="Calibri"/>
                <w:b/>
                <w:bCs/>
                <w:color w:val="000000"/>
                <w:szCs w:val="22"/>
              </w:rPr>
              <w:t>119,765,127</w:t>
            </w:r>
          </w:p>
        </w:tc>
        <w:tc>
          <w:tcPr>
            <w:tcW w:w="1867" w:type="dxa"/>
            <w:shd w:val="clear" w:color="auto" w:fill="auto"/>
            <w:noWrap/>
            <w:vAlign w:val="center"/>
            <w:hideMark/>
          </w:tcPr>
          <w:p w:rsidR="004B7C48" w:rsidRPr="004B7C48" w:rsidRDefault="004B7C48" w:rsidP="004B7C48">
            <w:pPr>
              <w:spacing w:before="0" w:line="240" w:lineRule="auto"/>
              <w:jc w:val="center"/>
              <w:rPr>
                <w:rFonts w:cs="Calibri"/>
                <w:b/>
                <w:bCs/>
                <w:color w:val="000000"/>
                <w:szCs w:val="22"/>
              </w:rPr>
            </w:pPr>
            <w:r w:rsidRPr="004B7C48">
              <w:rPr>
                <w:rFonts w:cs="Calibri"/>
                <w:b/>
                <w:bCs/>
                <w:color w:val="000000"/>
                <w:szCs w:val="22"/>
              </w:rPr>
              <w:t>128,243,026</w:t>
            </w:r>
          </w:p>
        </w:tc>
        <w:tc>
          <w:tcPr>
            <w:tcW w:w="1875" w:type="dxa"/>
            <w:shd w:val="clear" w:color="auto" w:fill="auto"/>
            <w:noWrap/>
            <w:vAlign w:val="center"/>
            <w:hideMark/>
          </w:tcPr>
          <w:p w:rsidR="004B7C48" w:rsidRPr="004B7C48" w:rsidRDefault="004B7C48" w:rsidP="004B7C48">
            <w:pPr>
              <w:spacing w:before="0" w:line="240" w:lineRule="auto"/>
              <w:jc w:val="center"/>
              <w:rPr>
                <w:rFonts w:cs="Calibri"/>
                <w:b/>
                <w:bCs/>
                <w:color w:val="000000"/>
                <w:szCs w:val="22"/>
              </w:rPr>
            </w:pPr>
            <w:r w:rsidRPr="004B7C48">
              <w:rPr>
                <w:rFonts w:cs="Calibri"/>
                <w:b/>
                <w:bCs/>
                <w:color w:val="000000"/>
                <w:szCs w:val="22"/>
              </w:rPr>
              <w:t>140,103,181</w:t>
            </w:r>
          </w:p>
        </w:tc>
      </w:tr>
      <w:tr w:rsidR="004B7C48" w:rsidRPr="00450D73" w:rsidTr="00E315BE">
        <w:trPr>
          <w:trHeight w:val="169"/>
          <w:jc w:val="center"/>
        </w:trPr>
        <w:tc>
          <w:tcPr>
            <w:tcW w:w="2525" w:type="dxa"/>
            <w:shd w:val="clear" w:color="000000" w:fill="FFFFFF"/>
            <w:noWrap/>
            <w:vAlign w:val="center"/>
            <w:hideMark/>
          </w:tcPr>
          <w:p w:rsidR="004B7C48" w:rsidRPr="00450D73" w:rsidRDefault="004B7C48" w:rsidP="004B7C48">
            <w:pPr>
              <w:spacing w:before="0" w:line="240" w:lineRule="auto"/>
              <w:jc w:val="center"/>
              <w:rPr>
                <w:rFonts w:cs="Calibri"/>
                <w:b/>
                <w:bCs/>
                <w:color w:val="000000"/>
                <w:szCs w:val="22"/>
              </w:rPr>
            </w:pPr>
            <w:r w:rsidRPr="00450D73">
              <w:rPr>
                <w:rFonts w:cs="Calibri"/>
                <w:b/>
                <w:bCs/>
                <w:color w:val="000000"/>
                <w:szCs w:val="22"/>
              </w:rPr>
              <w:t>Kapital</w:t>
            </w:r>
          </w:p>
        </w:tc>
        <w:tc>
          <w:tcPr>
            <w:tcW w:w="1867" w:type="dxa"/>
            <w:shd w:val="clear" w:color="000000" w:fill="FFFFFF"/>
            <w:noWrap/>
            <w:vAlign w:val="center"/>
            <w:hideMark/>
          </w:tcPr>
          <w:p w:rsidR="004B7C48" w:rsidRPr="004B7C48" w:rsidRDefault="004B7C48" w:rsidP="004B7C48">
            <w:pPr>
              <w:spacing w:before="0" w:line="240" w:lineRule="auto"/>
              <w:jc w:val="center"/>
              <w:rPr>
                <w:rFonts w:cs="Calibri"/>
                <w:b/>
                <w:bCs/>
                <w:color w:val="000000"/>
                <w:szCs w:val="22"/>
              </w:rPr>
            </w:pPr>
            <w:r w:rsidRPr="004B7C48">
              <w:rPr>
                <w:rFonts w:cs="Calibri"/>
                <w:b/>
                <w:bCs/>
                <w:color w:val="000000"/>
                <w:szCs w:val="22"/>
              </w:rPr>
              <w:t>(35,676,413)</w:t>
            </w:r>
          </w:p>
        </w:tc>
        <w:tc>
          <w:tcPr>
            <w:tcW w:w="1867" w:type="dxa"/>
            <w:shd w:val="clear" w:color="auto" w:fill="auto"/>
            <w:noWrap/>
            <w:vAlign w:val="center"/>
            <w:hideMark/>
          </w:tcPr>
          <w:p w:rsidR="004B7C48" w:rsidRPr="004B7C48" w:rsidRDefault="004B7C48" w:rsidP="004B7C48">
            <w:pPr>
              <w:spacing w:before="0" w:line="240" w:lineRule="auto"/>
              <w:jc w:val="center"/>
              <w:rPr>
                <w:rFonts w:cs="Calibri"/>
                <w:b/>
                <w:bCs/>
                <w:color w:val="000000"/>
                <w:szCs w:val="22"/>
              </w:rPr>
            </w:pPr>
            <w:r w:rsidRPr="004B7C48">
              <w:rPr>
                <w:rFonts w:cs="Calibri"/>
                <w:b/>
                <w:bCs/>
                <w:color w:val="000000"/>
                <w:szCs w:val="22"/>
              </w:rPr>
              <w:t>(38,131,990)</w:t>
            </w:r>
          </w:p>
        </w:tc>
        <w:tc>
          <w:tcPr>
            <w:tcW w:w="1875" w:type="dxa"/>
            <w:shd w:val="clear" w:color="000000" w:fill="FFFFFF"/>
            <w:noWrap/>
            <w:vAlign w:val="center"/>
            <w:hideMark/>
          </w:tcPr>
          <w:p w:rsidR="004B7C48" w:rsidRPr="004B7C48" w:rsidRDefault="004B7C48" w:rsidP="004B7C48">
            <w:pPr>
              <w:spacing w:before="0" w:line="240" w:lineRule="auto"/>
              <w:jc w:val="center"/>
              <w:rPr>
                <w:rFonts w:cs="Calibri"/>
                <w:b/>
                <w:bCs/>
                <w:color w:val="000000"/>
                <w:szCs w:val="22"/>
              </w:rPr>
            </w:pPr>
            <w:r w:rsidRPr="004B7C48">
              <w:rPr>
                <w:rFonts w:cs="Calibri"/>
                <w:b/>
                <w:bCs/>
                <w:color w:val="000000"/>
                <w:szCs w:val="22"/>
              </w:rPr>
              <w:t>(51,231,105)</w:t>
            </w:r>
          </w:p>
        </w:tc>
      </w:tr>
    </w:tbl>
    <w:p w:rsidR="00737045" w:rsidRPr="00E315BE" w:rsidRDefault="00737045" w:rsidP="00E315BE">
      <w:pPr>
        <w:spacing w:before="0" w:line="240" w:lineRule="auto"/>
        <w:rPr>
          <w:rFonts w:asciiTheme="majorHAnsi" w:hAnsiTheme="majorHAnsi"/>
          <w:i/>
          <w:sz w:val="18"/>
          <w:szCs w:val="28"/>
          <w:lang w:val="sq-AL"/>
        </w:rPr>
      </w:pPr>
      <w:r>
        <w:rPr>
          <w:lang w:val="sq-AL"/>
        </w:rPr>
        <w:fldChar w:fldCharType="end"/>
      </w:r>
      <w:r w:rsidRPr="00E315BE">
        <w:rPr>
          <w:rFonts w:asciiTheme="majorHAnsi" w:hAnsiTheme="majorHAnsi"/>
          <w:sz w:val="20"/>
          <w:lang w:val="sq-AL"/>
        </w:rPr>
        <w:t xml:space="preserve">                     </w:t>
      </w:r>
      <w:r w:rsidR="00E315BE">
        <w:rPr>
          <w:rFonts w:asciiTheme="majorHAnsi" w:hAnsiTheme="majorHAnsi"/>
          <w:sz w:val="20"/>
          <w:lang w:val="sq-AL"/>
        </w:rPr>
        <w:tab/>
      </w:r>
      <w:r w:rsidRPr="00E315BE">
        <w:rPr>
          <w:rFonts w:asciiTheme="majorHAnsi" w:hAnsiTheme="majorHAnsi"/>
          <w:i/>
          <w:sz w:val="18"/>
          <w:szCs w:val="28"/>
          <w:lang w:val="sq-AL"/>
        </w:rPr>
        <w:t xml:space="preserve">Burimi: OSHEE Group sh.a.  </w:t>
      </w:r>
    </w:p>
    <w:p w:rsidR="00737045" w:rsidRPr="00E315BE" w:rsidRDefault="00737045" w:rsidP="00737045">
      <w:pPr>
        <w:spacing w:before="240" w:line="360" w:lineRule="auto"/>
        <w:contextualSpacing/>
        <w:rPr>
          <w:i/>
          <w:sz w:val="24"/>
          <w:lang w:val="sq-AL"/>
        </w:rPr>
      </w:pPr>
    </w:p>
    <w:p w:rsidR="00737045" w:rsidRPr="007223E1" w:rsidRDefault="00737045" w:rsidP="00842F80">
      <w:pPr>
        <w:pStyle w:val="Caption"/>
        <w:keepNext/>
        <w:numPr>
          <w:ilvl w:val="0"/>
          <w:numId w:val="53"/>
        </w:numPr>
        <w:spacing w:after="0"/>
        <w:rPr>
          <w:iCs w:val="0"/>
          <w:color w:val="auto"/>
          <w:sz w:val="22"/>
          <w:szCs w:val="24"/>
          <w:lang w:val="sq-AL"/>
        </w:rPr>
      </w:pPr>
      <w:r w:rsidRPr="007223E1">
        <w:rPr>
          <w:iCs w:val="0"/>
          <w:color w:val="auto"/>
          <w:sz w:val="22"/>
          <w:szCs w:val="24"/>
          <w:lang w:val="sq-AL"/>
        </w:rPr>
        <w:t>Performanca financiare e KESH sh.a.</w:t>
      </w:r>
    </w:p>
    <w:p w:rsidR="00737045" w:rsidRPr="003F4C0A" w:rsidRDefault="00276062" w:rsidP="00276062">
      <w:pPr>
        <w:pStyle w:val="Caption"/>
        <w:rPr>
          <w:rFonts w:cs="Calibri"/>
          <w:b/>
          <w:lang w:val="sq-AL"/>
        </w:rPr>
      </w:pPr>
      <w:bookmarkStart w:id="192" w:name="_Toc104984087"/>
      <w:r>
        <w:t xml:space="preserve">Tabela </w:t>
      </w:r>
      <w:r w:rsidR="00EA28E4">
        <w:fldChar w:fldCharType="begin"/>
      </w:r>
      <w:r w:rsidR="00EA28E4">
        <w:instrText xml:space="preserve"> SEQ Tabela \* ARABIC </w:instrText>
      </w:r>
      <w:r w:rsidR="00EA28E4">
        <w:fldChar w:fldCharType="separate"/>
      </w:r>
      <w:r>
        <w:rPr>
          <w:noProof/>
        </w:rPr>
        <w:t>15</w:t>
      </w:r>
      <w:r w:rsidR="00EA28E4">
        <w:rPr>
          <w:noProof/>
        </w:rPr>
        <w:fldChar w:fldCharType="end"/>
      </w:r>
      <w:r w:rsidR="00737045" w:rsidRPr="00276062">
        <w:t xml:space="preserve">  Të dhënat financiare 12 mujore për KESH sh.a (në mijë Lekë)</w:t>
      </w:r>
      <w:bookmarkEnd w:id="192"/>
      <w:r w:rsidR="00737045">
        <w:fldChar w:fldCharType="begin"/>
      </w:r>
      <w:r w:rsidR="00737045" w:rsidRPr="000F2D01">
        <w:rPr>
          <w:lang w:val="sq-AL"/>
        </w:rPr>
        <w:instrText xml:space="preserve"> LINK Excel.Sheet.12 "C:\\Users\\ilvis.ballvora\\Desktop\\Sectori Energjetike\\1.3 Te dhenat sektori i energjise. xlsx.xlsx" "DATA Extras 3!R122C7:R133C12" \a \f 4 \h  \* MERGEFORMAT </w:instrText>
      </w:r>
      <w:r w:rsidR="00737045">
        <w:fldChar w:fldCharType="separate"/>
      </w:r>
    </w:p>
    <w:tbl>
      <w:tblPr>
        <w:tblW w:w="8338" w:type="dxa"/>
        <w:jc w:val="center"/>
        <w:tblBorders>
          <w:top w:val="single" w:sz="24" w:space="0" w:color="95B3D7"/>
          <w:left w:val="single" w:sz="24" w:space="0" w:color="95B3D7"/>
          <w:bottom w:val="single" w:sz="24" w:space="0" w:color="95B3D7"/>
          <w:right w:val="single" w:sz="24" w:space="0" w:color="95B3D7"/>
        </w:tblBorders>
        <w:tblLook w:val="04A0" w:firstRow="1" w:lastRow="0" w:firstColumn="1" w:lastColumn="0" w:noHBand="0" w:noVBand="1"/>
      </w:tblPr>
      <w:tblGrid>
        <w:gridCol w:w="2590"/>
        <w:gridCol w:w="1916"/>
        <w:gridCol w:w="1916"/>
        <w:gridCol w:w="1916"/>
      </w:tblGrid>
      <w:tr w:rsidR="00E315BE" w:rsidRPr="00450D73" w:rsidTr="00E315BE">
        <w:trPr>
          <w:trHeight w:val="426"/>
          <w:jc w:val="center"/>
        </w:trPr>
        <w:tc>
          <w:tcPr>
            <w:tcW w:w="2590" w:type="dxa"/>
            <w:shd w:val="clear" w:color="auto" w:fill="B3DDF2" w:themeFill="background2" w:themeFillShade="E6"/>
            <w:noWrap/>
            <w:vAlign w:val="center"/>
            <w:hideMark/>
          </w:tcPr>
          <w:p w:rsidR="00E315BE" w:rsidRPr="00E315BE" w:rsidRDefault="00E315BE" w:rsidP="00E315BE">
            <w:pPr>
              <w:spacing w:before="0" w:line="240" w:lineRule="auto"/>
              <w:jc w:val="center"/>
              <w:rPr>
                <w:rFonts w:cs="Calibri"/>
                <w:color w:val="000000"/>
                <w:sz w:val="20"/>
                <w:szCs w:val="22"/>
                <w:lang w:val="sq-AL"/>
              </w:rPr>
            </w:pPr>
            <w:r w:rsidRPr="00B47B01">
              <w:rPr>
                <w:rFonts w:cs="Calibri"/>
                <w:b/>
                <w:color w:val="C00000"/>
                <w:szCs w:val="22"/>
                <w:lang w:val="sq-AL"/>
              </w:rPr>
              <w:t>Zerat/Periudha</w:t>
            </w:r>
          </w:p>
        </w:tc>
        <w:tc>
          <w:tcPr>
            <w:tcW w:w="1916" w:type="dxa"/>
            <w:shd w:val="clear" w:color="auto" w:fill="B3DDF2" w:themeFill="background2" w:themeFillShade="E6"/>
            <w:noWrap/>
            <w:vAlign w:val="center"/>
            <w:hideMark/>
          </w:tcPr>
          <w:p w:rsidR="00E315BE" w:rsidRPr="00E315BE" w:rsidRDefault="00E315BE" w:rsidP="00E315BE">
            <w:pPr>
              <w:spacing w:before="0" w:line="240" w:lineRule="auto"/>
              <w:jc w:val="center"/>
              <w:rPr>
                <w:rFonts w:cs="Calibri"/>
                <w:b/>
                <w:bCs/>
                <w:color w:val="000000"/>
                <w:sz w:val="20"/>
                <w:szCs w:val="22"/>
              </w:rPr>
            </w:pPr>
            <w:r>
              <w:rPr>
                <w:rFonts w:cs="Calibri"/>
                <w:b/>
                <w:bCs/>
                <w:color w:val="C00000"/>
                <w:szCs w:val="22"/>
              </w:rPr>
              <w:t xml:space="preserve">12M </w:t>
            </w:r>
            <w:r w:rsidRPr="00B47B01">
              <w:rPr>
                <w:rFonts w:cs="Calibri"/>
                <w:b/>
                <w:bCs/>
                <w:color w:val="C00000"/>
                <w:szCs w:val="22"/>
              </w:rPr>
              <w:t>2019</w:t>
            </w:r>
          </w:p>
        </w:tc>
        <w:tc>
          <w:tcPr>
            <w:tcW w:w="1916" w:type="dxa"/>
            <w:shd w:val="clear" w:color="auto" w:fill="B3DDF2" w:themeFill="background2" w:themeFillShade="E6"/>
            <w:noWrap/>
            <w:vAlign w:val="center"/>
            <w:hideMark/>
          </w:tcPr>
          <w:p w:rsidR="00E315BE" w:rsidRPr="00E315BE" w:rsidRDefault="00E315BE" w:rsidP="00E315BE">
            <w:pPr>
              <w:spacing w:before="0" w:line="240" w:lineRule="auto"/>
              <w:jc w:val="center"/>
              <w:rPr>
                <w:rFonts w:cs="Calibri"/>
                <w:b/>
                <w:bCs/>
                <w:color w:val="000000"/>
                <w:sz w:val="20"/>
                <w:szCs w:val="22"/>
              </w:rPr>
            </w:pPr>
            <w:r>
              <w:rPr>
                <w:rFonts w:cs="Calibri"/>
                <w:b/>
                <w:bCs/>
                <w:color w:val="C00000"/>
                <w:szCs w:val="22"/>
              </w:rPr>
              <w:t xml:space="preserve">12M </w:t>
            </w:r>
            <w:r w:rsidRPr="00B47B01">
              <w:rPr>
                <w:rFonts w:cs="Calibri"/>
                <w:b/>
                <w:bCs/>
                <w:color w:val="C00000"/>
                <w:szCs w:val="22"/>
              </w:rPr>
              <w:t>2020</w:t>
            </w:r>
          </w:p>
        </w:tc>
        <w:tc>
          <w:tcPr>
            <w:tcW w:w="1916" w:type="dxa"/>
            <w:shd w:val="clear" w:color="auto" w:fill="B3DDF2" w:themeFill="background2" w:themeFillShade="E6"/>
            <w:noWrap/>
            <w:vAlign w:val="center"/>
            <w:hideMark/>
          </w:tcPr>
          <w:p w:rsidR="00E315BE" w:rsidRPr="00E315BE" w:rsidRDefault="00E315BE" w:rsidP="00E315BE">
            <w:pPr>
              <w:spacing w:before="0" w:line="240" w:lineRule="auto"/>
              <w:jc w:val="center"/>
              <w:rPr>
                <w:rFonts w:cs="Calibri"/>
                <w:b/>
                <w:bCs/>
                <w:color w:val="000000"/>
                <w:sz w:val="20"/>
                <w:szCs w:val="22"/>
              </w:rPr>
            </w:pPr>
            <w:r>
              <w:rPr>
                <w:rFonts w:cs="Calibri"/>
                <w:b/>
                <w:bCs/>
                <w:color w:val="C00000"/>
                <w:szCs w:val="22"/>
              </w:rPr>
              <w:t xml:space="preserve">12M </w:t>
            </w:r>
            <w:r w:rsidRPr="00B47B01">
              <w:rPr>
                <w:rFonts w:cs="Calibri"/>
                <w:b/>
                <w:bCs/>
                <w:color w:val="C00000"/>
                <w:szCs w:val="22"/>
              </w:rPr>
              <w:t>2021</w:t>
            </w:r>
          </w:p>
        </w:tc>
      </w:tr>
      <w:tr w:rsidR="00737045" w:rsidRPr="00450D73" w:rsidTr="00E315BE">
        <w:trPr>
          <w:trHeight w:val="160"/>
          <w:jc w:val="center"/>
        </w:trPr>
        <w:tc>
          <w:tcPr>
            <w:tcW w:w="2590" w:type="dxa"/>
            <w:shd w:val="clear" w:color="000000" w:fill="FFFFFF"/>
            <w:noWrap/>
            <w:vAlign w:val="center"/>
            <w:hideMark/>
          </w:tcPr>
          <w:p w:rsidR="00737045" w:rsidRPr="00E315BE" w:rsidRDefault="00737045" w:rsidP="00E315BE">
            <w:pPr>
              <w:spacing w:before="0" w:line="240" w:lineRule="auto"/>
              <w:jc w:val="right"/>
              <w:rPr>
                <w:rFonts w:cs="Calibri"/>
                <w:i/>
                <w:color w:val="000000"/>
                <w:sz w:val="18"/>
                <w:szCs w:val="22"/>
              </w:rPr>
            </w:pPr>
            <w:r w:rsidRPr="00E315BE">
              <w:rPr>
                <w:rFonts w:cs="Calibri"/>
                <w:i/>
                <w:color w:val="000000"/>
                <w:sz w:val="18"/>
                <w:szCs w:val="22"/>
              </w:rPr>
              <w:t>Të ardhurat</w:t>
            </w:r>
          </w:p>
        </w:tc>
        <w:tc>
          <w:tcPr>
            <w:tcW w:w="1916" w:type="dxa"/>
            <w:shd w:val="clear" w:color="000000" w:fill="FFFFFF"/>
            <w:noWrap/>
            <w:vAlign w:val="center"/>
            <w:hideMark/>
          </w:tcPr>
          <w:p w:rsidR="00737045" w:rsidRPr="00E315BE" w:rsidRDefault="00737045" w:rsidP="00E315BE">
            <w:pPr>
              <w:spacing w:before="0" w:line="240" w:lineRule="auto"/>
              <w:jc w:val="right"/>
              <w:rPr>
                <w:rFonts w:cs="Calibri"/>
                <w:i/>
                <w:color w:val="000000"/>
                <w:sz w:val="18"/>
                <w:szCs w:val="22"/>
              </w:rPr>
            </w:pPr>
            <w:r w:rsidRPr="00E315BE">
              <w:rPr>
                <w:rFonts w:cs="Calibri"/>
                <w:i/>
                <w:color w:val="000000"/>
                <w:sz w:val="18"/>
                <w:szCs w:val="22"/>
              </w:rPr>
              <w:t>10,421,281</w:t>
            </w:r>
          </w:p>
        </w:tc>
        <w:tc>
          <w:tcPr>
            <w:tcW w:w="1916" w:type="dxa"/>
            <w:shd w:val="clear" w:color="000000" w:fill="FFFFFF"/>
            <w:noWrap/>
            <w:vAlign w:val="center"/>
            <w:hideMark/>
          </w:tcPr>
          <w:p w:rsidR="00737045" w:rsidRPr="00E315BE" w:rsidRDefault="00737045" w:rsidP="00E315BE">
            <w:pPr>
              <w:spacing w:before="0" w:line="240" w:lineRule="auto"/>
              <w:jc w:val="right"/>
              <w:rPr>
                <w:rFonts w:cs="Calibri"/>
                <w:i/>
                <w:color w:val="000000"/>
                <w:sz w:val="18"/>
                <w:szCs w:val="22"/>
              </w:rPr>
            </w:pPr>
            <w:r w:rsidRPr="00E315BE">
              <w:rPr>
                <w:rFonts w:cs="Calibri"/>
                <w:i/>
                <w:color w:val="000000"/>
                <w:sz w:val="18"/>
                <w:szCs w:val="22"/>
              </w:rPr>
              <w:t>11,158,917</w:t>
            </w:r>
          </w:p>
        </w:tc>
        <w:tc>
          <w:tcPr>
            <w:tcW w:w="1916" w:type="dxa"/>
            <w:shd w:val="clear" w:color="000000" w:fill="FFFFFF"/>
            <w:noWrap/>
            <w:vAlign w:val="center"/>
            <w:hideMark/>
          </w:tcPr>
          <w:p w:rsidR="00737045" w:rsidRPr="00E315BE" w:rsidRDefault="00737045" w:rsidP="00E315BE">
            <w:pPr>
              <w:spacing w:before="0" w:line="240" w:lineRule="auto"/>
              <w:jc w:val="right"/>
              <w:rPr>
                <w:rFonts w:cs="Calibri"/>
                <w:i/>
                <w:color w:val="000000"/>
                <w:sz w:val="18"/>
                <w:szCs w:val="22"/>
              </w:rPr>
            </w:pPr>
            <w:r w:rsidRPr="00E315BE">
              <w:rPr>
                <w:rFonts w:cs="Calibri"/>
                <w:i/>
                <w:color w:val="000000"/>
                <w:sz w:val="18"/>
                <w:szCs w:val="22"/>
              </w:rPr>
              <w:t>19,200,426</w:t>
            </w:r>
          </w:p>
        </w:tc>
      </w:tr>
      <w:tr w:rsidR="00737045" w:rsidRPr="00450D73" w:rsidTr="00E315BE">
        <w:trPr>
          <w:trHeight w:val="160"/>
          <w:jc w:val="center"/>
        </w:trPr>
        <w:tc>
          <w:tcPr>
            <w:tcW w:w="2590" w:type="dxa"/>
            <w:shd w:val="clear" w:color="000000" w:fill="FFFFFF"/>
            <w:noWrap/>
            <w:vAlign w:val="center"/>
            <w:hideMark/>
          </w:tcPr>
          <w:p w:rsidR="00737045" w:rsidRPr="00E315BE" w:rsidRDefault="00737045" w:rsidP="00E315BE">
            <w:pPr>
              <w:spacing w:before="0" w:line="240" w:lineRule="auto"/>
              <w:jc w:val="right"/>
              <w:rPr>
                <w:rFonts w:cs="Calibri"/>
                <w:i/>
                <w:color w:val="000000"/>
                <w:sz w:val="18"/>
                <w:szCs w:val="22"/>
              </w:rPr>
            </w:pPr>
            <w:r w:rsidRPr="00E315BE">
              <w:rPr>
                <w:rFonts w:cs="Calibri"/>
                <w:i/>
                <w:color w:val="000000"/>
                <w:sz w:val="18"/>
                <w:szCs w:val="22"/>
              </w:rPr>
              <w:t>Shpenzimet</w:t>
            </w:r>
          </w:p>
        </w:tc>
        <w:tc>
          <w:tcPr>
            <w:tcW w:w="1916" w:type="dxa"/>
            <w:shd w:val="clear" w:color="000000" w:fill="FFFFFF"/>
            <w:noWrap/>
            <w:vAlign w:val="center"/>
            <w:hideMark/>
          </w:tcPr>
          <w:p w:rsidR="00737045" w:rsidRPr="00E315BE" w:rsidRDefault="00737045" w:rsidP="00E315BE">
            <w:pPr>
              <w:spacing w:before="0" w:line="240" w:lineRule="auto"/>
              <w:jc w:val="right"/>
              <w:rPr>
                <w:rFonts w:cs="Calibri"/>
                <w:i/>
                <w:color w:val="000000"/>
                <w:sz w:val="18"/>
                <w:szCs w:val="22"/>
              </w:rPr>
            </w:pPr>
            <w:r w:rsidRPr="00E315BE">
              <w:rPr>
                <w:rFonts w:cs="Calibri"/>
                <w:i/>
                <w:color w:val="000000"/>
                <w:sz w:val="18"/>
                <w:szCs w:val="22"/>
              </w:rPr>
              <w:t>7,639,649</w:t>
            </w:r>
          </w:p>
        </w:tc>
        <w:tc>
          <w:tcPr>
            <w:tcW w:w="1916" w:type="dxa"/>
            <w:shd w:val="clear" w:color="000000" w:fill="FFFFFF"/>
            <w:noWrap/>
            <w:vAlign w:val="center"/>
            <w:hideMark/>
          </w:tcPr>
          <w:p w:rsidR="00737045" w:rsidRPr="00E315BE" w:rsidRDefault="00737045" w:rsidP="00E315BE">
            <w:pPr>
              <w:spacing w:before="0" w:line="240" w:lineRule="auto"/>
              <w:jc w:val="right"/>
              <w:rPr>
                <w:rFonts w:cs="Calibri"/>
                <w:i/>
                <w:color w:val="000000"/>
                <w:sz w:val="18"/>
                <w:szCs w:val="22"/>
              </w:rPr>
            </w:pPr>
            <w:r w:rsidRPr="00E315BE">
              <w:rPr>
                <w:rFonts w:cs="Calibri"/>
                <w:i/>
                <w:color w:val="000000"/>
                <w:sz w:val="18"/>
                <w:szCs w:val="22"/>
              </w:rPr>
              <w:t>11,252,871</w:t>
            </w:r>
          </w:p>
        </w:tc>
        <w:tc>
          <w:tcPr>
            <w:tcW w:w="1916" w:type="dxa"/>
            <w:shd w:val="clear" w:color="000000" w:fill="FFFFFF"/>
            <w:noWrap/>
            <w:vAlign w:val="center"/>
            <w:hideMark/>
          </w:tcPr>
          <w:p w:rsidR="00737045" w:rsidRPr="00E315BE" w:rsidRDefault="00737045" w:rsidP="00E315BE">
            <w:pPr>
              <w:spacing w:before="0" w:line="240" w:lineRule="auto"/>
              <w:jc w:val="right"/>
              <w:rPr>
                <w:rFonts w:cs="Calibri"/>
                <w:i/>
                <w:color w:val="000000"/>
                <w:sz w:val="18"/>
                <w:szCs w:val="22"/>
              </w:rPr>
            </w:pPr>
            <w:r w:rsidRPr="00E315BE">
              <w:rPr>
                <w:rFonts w:cs="Calibri"/>
                <w:i/>
                <w:color w:val="000000"/>
                <w:sz w:val="18"/>
                <w:szCs w:val="22"/>
              </w:rPr>
              <w:t>13,197,021</w:t>
            </w:r>
          </w:p>
        </w:tc>
      </w:tr>
      <w:tr w:rsidR="00737045" w:rsidRPr="00450D73" w:rsidTr="00E315BE">
        <w:trPr>
          <w:trHeight w:val="160"/>
          <w:jc w:val="center"/>
        </w:trPr>
        <w:tc>
          <w:tcPr>
            <w:tcW w:w="2590" w:type="dxa"/>
            <w:shd w:val="clear" w:color="000000" w:fill="FFFFFF"/>
            <w:noWrap/>
            <w:vAlign w:val="center"/>
            <w:hideMark/>
          </w:tcPr>
          <w:p w:rsidR="00737045" w:rsidRPr="00E315BE" w:rsidRDefault="00737045" w:rsidP="00E315BE">
            <w:pPr>
              <w:spacing w:before="0" w:line="240" w:lineRule="auto"/>
              <w:jc w:val="center"/>
              <w:rPr>
                <w:rFonts w:cs="Calibri"/>
                <w:b/>
                <w:bCs/>
                <w:color w:val="000000"/>
                <w:sz w:val="20"/>
                <w:szCs w:val="22"/>
              </w:rPr>
            </w:pPr>
            <w:r w:rsidRPr="00E315BE">
              <w:rPr>
                <w:rFonts w:cs="Calibri"/>
                <w:b/>
                <w:bCs/>
                <w:color w:val="000000"/>
                <w:sz w:val="20"/>
                <w:szCs w:val="22"/>
              </w:rPr>
              <w:t>Humbje/Fitim</w:t>
            </w:r>
          </w:p>
        </w:tc>
        <w:tc>
          <w:tcPr>
            <w:tcW w:w="1916" w:type="dxa"/>
            <w:shd w:val="clear" w:color="000000" w:fill="FFFFFF"/>
            <w:noWrap/>
            <w:vAlign w:val="center"/>
            <w:hideMark/>
          </w:tcPr>
          <w:p w:rsidR="00737045" w:rsidRPr="00E315BE" w:rsidRDefault="00737045" w:rsidP="00E315BE">
            <w:pPr>
              <w:spacing w:before="0" w:line="240" w:lineRule="auto"/>
              <w:jc w:val="center"/>
              <w:rPr>
                <w:rFonts w:cs="Calibri"/>
                <w:b/>
                <w:bCs/>
                <w:color w:val="000000"/>
                <w:sz w:val="20"/>
                <w:szCs w:val="22"/>
              </w:rPr>
            </w:pPr>
            <w:r w:rsidRPr="00E315BE">
              <w:rPr>
                <w:rFonts w:cs="Calibri"/>
                <w:b/>
                <w:bCs/>
                <w:color w:val="000000"/>
                <w:sz w:val="20"/>
                <w:szCs w:val="22"/>
              </w:rPr>
              <w:t>2,781,632</w:t>
            </w:r>
          </w:p>
        </w:tc>
        <w:tc>
          <w:tcPr>
            <w:tcW w:w="1916" w:type="dxa"/>
            <w:shd w:val="clear" w:color="000000" w:fill="FFFFFF"/>
            <w:noWrap/>
            <w:vAlign w:val="center"/>
            <w:hideMark/>
          </w:tcPr>
          <w:p w:rsidR="00737045" w:rsidRPr="00E315BE" w:rsidRDefault="00737045" w:rsidP="00E315BE">
            <w:pPr>
              <w:spacing w:before="0" w:line="240" w:lineRule="auto"/>
              <w:jc w:val="center"/>
              <w:rPr>
                <w:rFonts w:cs="Calibri"/>
                <w:b/>
                <w:bCs/>
                <w:color w:val="000000"/>
                <w:sz w:val="20"/>
                <w:szCs w:val="22"/>
              </w:rPr>
            </w:pPr>
            <w:r w:rsidRPr="00E315BE">
              <w:rPr>
                <w:rFonts w:cs="Calibri"/>
                <w:b/>
                <w:bCs/>
                <w:color w:val="000000"/>
                <w:sz w:val="20"/>
                <w:szCs w:val="22"/>
              </w:rPr>
              <w:t>(93,954)</w:t>
            </w:r>
          </w:p>
        </w:tc>
        <w:tc>
          <w:tcPr>
            <w:tcW w:w="1916" w:type="dxa"/>
            <w:shd w:val="clear" w:color="000000" w:fill="FFFFFF"/>
            <w:noWrap/>
            <w:vAlign w:val="center"/>
            <w:hideMark/>
          </w:tcPr>
          <w:p w:rsidR="00737045" w:rsidRPr="00E315BE" w:rsidRDefault="00737045" w:rsidP="00E315BE">
            <w:pPr>
              <w:spacing w:before="0" w:line="240" w:lineRule="auto"/>
              <w:jc w:val="center"/>
              <w:rPr>
                <w:rFonts w:cs="Calibri"/>
                <w:b/>
                <w:bCs/>
                <w:color w:val="000000"/>
                <w:sz w:val="20"/>
                <w:szCs w:val="22"/>
              </w:rPr>
            </w:pPr>
            <w:r w:rsidRPr="00E315BE">
              <w:rPr>
                <w:rFonts w:cs="Calibri"/>
                <w:b/>
                <w:bCs/>
                <w:color w:val="000000"/>
                <w:sz w:val="20"/>
                <w:szCs w:val="22"/>
              </w:rPr>
              <w:t>6,003,405</w:t>
            </w:r>
          </w:p>
        </w:tc>
      </w:tr>
      <w:tr w:rsidR="00737045" w:rsidRPr="00450D73" w:rsidTr="00E315BE">
        <w:trPr>
          <w:trHeight w:val="160"/>
          <w:jc w:val="center"/>
        </w:trPr>
        <w:tc>
          <w:tcPr>
            <w:tcW w:w="2590" w:type="dxa"/>
            <w:shd w:val="clear" w:color="000000" w:fill="FFFFFF"/>
            <w:noWrap/>
            <w:vAlign w:val="center"/>
            <w:hideMark/>
          </w:tcPr>
          <w:p w:rsidR="00737045" w:rsidRPr="00E315BE" w:rsidRDefault="00737045" w:rsidP="00E315BE">
            <w:pPr>
              <w:spacing w:before="0" w:line="240" w:lineRule="auto"/>
              <w:jc w:val="right"/>
              <w:rPr>
                <w:rFonts w:cs="Calibri"/>
                <w:i/>
                <w:color w:val="000000"/>
                <w:sz w:val="18"/>
                <w:szCs w:val="22"/>
              </w:rPr>
            </w:pPr>
            <w:r w:rsidRPr="00E315BE">
              <w:rPr>
                <w:rFonts w:cs="Calibri"/>
                <w:i/>
                <w:color w:val="000000"/>
                <w:sz w:val="18"/>
                <w:szCs w:val="22"/>
              </w:rPr>
              <w:t>Aktivet Afatshkurtra</w:t>
            </w:r>
          </w:p>
        </w:tc>
        <w:tc>
          <w:tcPr>
            <w:tcW w:w="1916" w:type="dxa"/>
            <w:shd w:val="clear" w:color="000000" w:fill="FFFFFF"/>
            <w:noWrap/>
            <w:vAlign w:val="center"/>
            <w:hideMark/>
          </w:tcPr>
          <w:p w:rsidR="00737045" w:rsidRPr="00E315BE" w:rsidRDefault="00737045" w:rsidP="00E315BE">
            <w:pPr>
              <w:spacing w:before="0" w:line="240" w:lineRule="auto"/>
              <w:jc w:val="right"/>
              <w:rPr>
                <w:rFonts w:cs="Calibri"/>
                <w:i/>
                <w:color w:val="000000"/>
                <w:sz w:val="18"/>
                <w:szCs w:val="22"/>
              </w:rPr>
            </w:pPr>
            <w:r w:rsidRPr="00E315BE">
              <w:rPr>
                <w:rFonts w:cs="Calibri"/>
                <w:i/>
                <w:color w:val="000000"/>
                <w:sz w:val="18"/>
                <w:szCs w:val="22"/>
              </w:rPr>
              <w:t>78,423,475</w:t>
            </w:r>
          </w:p>
        </w:tc>
        <w:tc>
          <w:tcPr>
            <w:tcW w:w="1916" w:type="dxa"/>
            <w:shd w:val="clear" w:color="000000" w:fill="FFFFFF"/>
            <w:noWrap/>
            <w:vAlign w:val="center"/>
            <w:hideMark/>
          </w:tcPr>
          <w:p w:rsidR="00737045" w:rsidRPr="00E315BE" w:rsidRDefault="00737045" w:rsidP="00E315BE">
            <w:pPr>
              <w:spacing w:before="0" w:line="240" w:lineRule="auto"/>
              <w:jc w:val="right"/>
              <w:rPr>
                <w:rFonts w:cs="Calibri"/>
                <w:i/>
                <w:color w:val="000000"/>
                <w:sz w:val="18"/>
                <w:szCs w:val="22"/>
              </w:rPr>
            </w:pPr>
            <w:r w:rsidRPr="00E315BE">
              <w:rPr>
                <w:rFonts w:cs="Calibri"/>
                <w:i/>
                <w:color w:val="000000"/>
                <w:sz w:val="18"/>
                <w:szCs w:val="22"/>
              </w:rPr>
              <w:t>81,613,887</w:t>
            </w:r>
          </w:p>
        </w:tc>
        <w:tc>
          <w:tcPr>
            <w:tcW w:w="1916" w:type="dxa"/>
            <w:shd w:val="clear" w:color="000000" w:fill="FFFFFF"/>
            <w:noWrap/>
            <w:vAlign w:val="center"/>
            <w:hideMark/>
          </w:tcPr>
          <w:p w:rsidR="00737045" w:rsidRPr="00E315BE" w:rsidRDefault="00737045" w:rsidP="00E315BE">
            <w:pPr>
              <w:spacing w:before="0" w:line="240" w:lineRule="auto"/>
              <w:jc w:val="right"/>
              <w:rPr>
                <w:rFonts w:cs="Calibri"/>
                <w:i/>
                <w:color w:val="000000"/>
                <w:sz w:val="18"/>
                <w:szCs w:val="22"/>
              </w:rPr>
            </w:pPr>
            <w:r w:rsidRPr="00E315BE">
              <w:rPr>
                <w:rFonts w:cs="Calibri"/>
                <w:i/>
                <w:color w:val="000000"/>
                <w:sz w:val="18"/>
                <w:szCs w:val="22"/>
              </w:rPr>
              <w:t>79,178,996</w:t>
            </w:r>
          </w:p>
        </w:tc>
      </w:tr>
      <w:tr w:rsidR="00737045" w:rsidRPr="00450D73" w:rsidTr="00E315BE">
        <w:trPr>
          <w:trHeight w:val="160"/>
          <w:jc w:val="center"/>
        </w:trPr>
        <w:tc>
          <w:tcPr>
            <w:tcW w:w="2590" w:type="dxa"/>
            <w:shd w:val="clear" w:color="000000" w:fill="FFFFFF"/>
            <w:noWrap/>
            <w:vAlign w:val="center"/>
            <w:hideMark/>
          </w:tcPr>
          <w:p w:rsidR="00737045" w:rsidRPr="00E315BE" w:rsidRDefault="00737045" w:rsidP="00E315BE">
            <w:pPr>
              <w:spacing w:before="0" w:line="240" w:lineRule="auto"/>
              <w:jc w:val="right"/>
              <w:rPr>
                <w:rFonts w:cs="Calibri"/>
                <w:i/>
                <w:color w:val="000000"/>
                <w:sz w:val="18"/>
                <w:szCs w:val="22"/>
              </w:rPr>
            </w:pPr>
            <w:r w:rsidRPr="00E315BE">
              <w:rPr>
                <w:rFonts w:cs="Calibri"/>
                <w:i/>
                <w:color w:val="000000"/>
                <w:sz w:val="18"/>
                <w:szCs w:val="22"/>
              </w:rPr>
              <w:t>Aktivet Afatgjata</w:t>
            </w:r>
          </w:p>
        </w:tc>
        <w:tc>
          <w:tcPr>
            <w:tcW w:w="1916" w:type="dxa"/>
            <w:shd w:val="clear" w:color="000000" w:fill="FFFFFF"/>
            <w:noWrap/>
            <w:vAlign w:val="center"/>
            <w:hideMark/>
          </w:tcPr>
          <w:p w:rsidR="00737045" w:rsidRPr="00E315BE" w:rsidRDefault="00737045" w:rsidP="00E315BE">
            <w:pPr>
              <w:spacing w:before="0" w:line="240" w:lineRule="auto"/>
              <w:jc w:val="right"/>
              <w:rPr>
                <w:rFonts w:cs="Calibri"/>
                <w:i/>
                <w:color w:val="000000"/>
                <w:sz w:val="18"/>
                <w:szCs w:val="22"/>
              </w:rPr>
            </w:pPr>
            <w:r w:rsidRPr="00E315BE">
              <w:rPr>
                <w:rFonts w:cs="Calibri"/>
                <w:i/>
                <w:color w:val="000000"/>
                <w:sz w:val="18"/>
                <w:szCs w:val="22"/>
              </w:rPr>
              <w:t>96,631,509</w:t>
            </w:r>
          </w:p>
        </w:tc>
        <w:tc>
          <w:tcPr>
            <w:tcW w:w="1916" w:type="dxa"/>
            <w:shd w:val="clear" w:color="000000" w:fill="FFFFFF"/>
            <w:noWrap/>
            <w:vAlign w:val="center"/>
            <w:hideMark/>
          </w:tcPr>
          <w:p w:rsidR="00737045" w:rsidRPr="00E315BE" w:rsidRDefault="00737045" w:rsidP="00E315BE">
            <w:pPr>
              <w:spacing w:before="0" w:line="240" w:lineRule="auto"/>
              <w:jc w:val="right"/>
              <w:rPr>
                <w:rFonts w:cs="Calibri"/>
                <w:i/>
                <w:color w:val="000000"/>
                <w:sz w:val="18"/>
                <w:szCs w:val="22"/>
              </w:rPr>
            </w:pPr>
            <w:r w:rsidRPr="00E315BE">
              <w:rPr>
                <w:rFonts w:cs="Calibri"/>
                <w:i/>
                <w:color w:val="000000"/>
                <w:sz w:val="18"/>
                <w:szCs w:val="22"/>
              </w:rPr>
              <w:t>92,025,672</w:t>
            </w:r>
          </w:p>
        </w:tc>
        <w:tc>
          <w:tcPr>
            <w:tcW w:w="1916" w:type="dxa"/>
            <w:shd w:val="clear" w:color="000000" w:fill="FFFFFF"/>
            <w:noWrap/>
            <w:vAlign w:val="center"/>
            <w:hideMark/>
          </w:tcPr>
          <w:p w:rsidR="00737045" w:rsidRPr="00E315BE" w:rsidRDefault="00737045" w:rsidP="00E315BE">
            <w:pPr>
              <w:spacing w:before="0" w:line="240" w:lineRule="auto"/>
              <w:jc w:val="right"/>
              <w:rPr>
                <w:rFonts w:cs="Calibri"/>
                <w:i/>
                <w:color w:val="000000"/>
                <w:sz w:val="18"/>
                <w:szCs w:val="22"/>
              </w:rPr>
            </w:pPr>
            <w:r w:rsidRPr="00E315BE">
              <w:rPr>
                <w:rFonts w:cs="Calibri"/>
                <w:i/>
                <w:color w:val="000000"/>
                <w:sz w:val="18"/>
                <w:szCs w:val="22"/>
              </w:rPr>
              <w:t>92,097,503</w:t>
            </w:r>
          </w:p>
        </w:tc>
      </w:tr>
      <w:tr w:rsidR="00737045" w:rsidRPr="00450D73" w:rsidTr="00E315BE">
        <w:trPr>
          <w:trHeight w:val="160"/>
          <w:jc w:val="center"/>
        </w:trPr>
        <w:tc>
          <w:tcPr>
            <w:tcW w:w="2590" w:type="dxa"/>
            <w:shd w:val="clear" w:color="000000" w:fill="FFFFFF"/>
            <w:noWrap/>
            <w:vAlign w:val="center"/>
            <w:hideMark/>
          </w:tcPr>
          <w:p w:rsidR="00737045" w:rsidRPr="00E315BE" w:rsidRDefault="00737045" w:rsidP="00E315BE">
            <w:pPr>
              <w:spacing w:before="0" w:line="240" w:lineRule="auto"/>
              <w:jc w:val="center"/>
              <w:rPr>
                <w:rFonts w:cs="Calibri"/>
                <w:b/>
                <w:bCs/>
                <w:color w:val="000000"/>
                <w:sz w:val="20"/>
                <w:szCs w:val="22"/>
              </w:rPr>
            </w:pPr>
            <w:r w:rsidRPr="00E315BE">
              <w:rPr>
                <w:rFonts w:cs="Calibri"/>
                <w:b/>
                <w:bCs/>
                <w:color w:val="000000"/>
                <w:sz w:val="20"/>
                <w:szCs w:val="22"/>
              </w:rPr>
              <w:t>Total Aktive</w:t>
            </w:r>
          </w:p>
        </w:tc>
        <w:tc>
          <w:tcPr>
            <w:tcW w:w="1916" w:type="dxa"/>
            <w:shd w:val="clear" w:color="000000" w:fill="FFFFFF"/>
            <w:noWrap/>
            <w:vAlign w:val="center"/>
            <w:hideMark/>
          </w:tcPr>
          <w:p w:rsidR="00737045" w:rsidRPr="00E315BE" w:rsidRDefault="00737045" w:rsidP="00E315BE">
            <w:pPr>
              <w:spacing w:before="0" w:line="240" w:lineRule="auto"/>
              <w:jc w:val="center"/>
              <w:rPr>
                <w:rFonts w:cs="Calibri"/>
                <w:b/>
                <w:bCs/>
                <w:color w:val="000000"/>
                <w:sz w:val="20"/>
                <w:szCs w:val="22"/>
              </w:rPr>
            </w:pPr>
            <w:r w:rsidRPr="00E315BE">
              <w:rPr>
                <w:rFonts w:cs="Calibri"/>
                <w:b/>
                <w:bCs/>
                <w:color w:val="000000"/>
                <w:sz w:val="20"/>
                <w:szCs w:val="22"/>
              </w:rPr>
              <w:t>175,054,984</w:t>
            </w:r>
          </w:p>
        </w:tc>
        <w:tc>
          <w:tcPr>
            <w:tcW w:w="1916" w:type="dxa"/>
            <w:shd w:val="clear" w:color="000000" w:fill="FFFFFF"/>
            <w:noWrap/>
            <w:vAlign w:val="center"/>
            <w:hideMark/>
          </w:tcPr>
          <w:p w:rsidR="00737045" w:rsidRPr="00E315BE" w:rsidRDefault="00737045" w:rsidP="00E315BE">
            <w:pPr>
              <w:spacing w:before="0" w:line="240" w:lineRule="auto"/>
              <w:jc w:val="center"/>
              <w:rPr>
                <w:rFonts w:cs="Calibri"/>
                <w:b/>
                <w:bCs/>
                <w:color w:val="000000"/>
                <w:sz w:val="20"/>
                <w:szCs w:val="22"/>
              </w:rPr>
            </w:pPr>
            <w:r w:rsidRPr="00E315BE">
              <w:rPr>
                <w:rFonts w:cs="Calibri"/>
                <w:b/>
                <w:bCs/>
                <w:color w:val="000000"/>
                <w:sz w:val="20"/>
                <w:szCs w:val="22"/>
              </w:rPr>
              <w:t>173,639,559</w:t>
            </w:r>
          </w:p>
        </w:tc>
        <w:tc>
          <w:tcPr>
            <w:tcW w:w="1916" w:type="dxa"/>
            <w:shd w:val="clear" w:color="000000" w:fill="FFFFFF"/>
            <w:noWrap/>
            <w:vAlign w:val="center"/>
            <w:hideMark/>
          </w:tcPr>
          <w:p w:rsidR="00737045" w:rsidRPr="00E315BE" w:rsidRDefault="00737045" w:rsidP="00E315BE">
            <w:pPr>
              <w:spacing w:before="0" w:line="240" w:lineRule="auto"/>
              <w:jc w:val="center"/>
              <w:rPr>
                <w:rFonts w:cs="Calibri"/>
                <w:b/>
                <w:bCs/>
                <w:color w:val="000000"/>
                <w:sz w:val="20"/>
                <w:szCs w:val="22"/>
              </w:rPr>
            </w:pPr>
            <w:r w:rsidRPr="00E315BE">
              <w:rPr>
                <w:rFonts w:cs="Calibri"/>
                <w:b/>
                <w:bCs/>
                <w:color w:val="000000"/>
                <w:sz w:val="20"/>
                <w:szCs w:val="22"/>
              </w:rPr>
              <w:t>171,276,498</w:t>
            </w:r>
          </w:p>
        </w:tc>
      </w:tr>
      <w:tr w:rsidR="00737045" w:rsidRPr="00450D73" w:rsidTr="00E315BE">
        <w:trPr>
          <w:trHeight w:val="160"/>
          <w:jc w:val="center"/>
        </w:trPr>
        <w:tc>
          <w:tcPr>
            <w:tcW w:w="2590" w:type="dxa"/>
            <w:shd w:val="clear" w:color="000000" w:fill="FFFFFF"/>
            <w:noWrap/>
            <w:vAlign w:val="center"/>
            <w:hideMark/>
          </w:tcPr>
          <w:p w:rsidR="00737045" w:rsidRPr="00E315BE" w:rsidRDefault="00737045" w:rsidP="00E315BE">
            <w:pPr>
              <w:spacing w:before="0" w:line="240" w:lineRule="auto"/>
              <w:jc w:val="right"/>
              <w:rPr>
                <w:rFonts w:cs="Calibri"/>
                <w:i/>
                <w:color w:val="000000"/>
                <w:sz w:val="18"/>
                <w:szCs w:val="22"/>
              </w:rPr>
            </w:pPr>
            <w:r w:rsidRPr="00E315BE">
              <w:rPr>
                <w:rFonts w:cs="Calibri"/>
                <w:i/>
                <w:color w:val="000000"/>
                <w:sz w:val="18"/>
                <w:szCs w:val="22"/>
              </w:rPr>
              <w:t>Detyrimet Afatshkurtra</w:t>
            </w:r>
          </w:p>
        </w:tc>
        <w:tc>
          <w:tcPr>
            <w:tcW w:w="1916" w:type="dxa"/>
            <w:shd w:val="clear" w:color="000000" w:fill="FFFFFF"/>
            <w:noWrap/>
            <w:vAlign w:val="center"/>
            <w:hideMark/>
          </w:tcPr>
          <w:p w:rsidR="00737045" w:rsidRPr="00E315BE" w:rsidRDefault="00737045" w:rsidP="00E315BE">
            <w:pPr>
              <w:spacing w:before="0" w:line="240" w:lineRule="auto"/>
              <w:jc w:val="right"/>
              <w:rPr>
                <w:rFonts w:cs="Calibri"/>
                <w:i/>
                <w:color w:val="000000"/>
                <w:sz w:val="18"/>
                <w:szCs w:val="22"/>
              </w:rPr>
            </w:pPr>
            <w:r w:rsidRPr="00E315BE">
              <w:rPr>
                <w:rFonts w:cs="Calibri"/>
                <w:i/>
                <w:color w:val="000000"/>
                <w:sz w:val="18"/>
                <w:szCs w:val="22"/>
              </w:rPr>
              <w:t>58,701,477</w:t>
            </w:r>
          </w:p>
        </w:tc>
        <w:tc>
          <w:tcPr>
            <w:tcW w:w="1916" w:type="dxa"/>
            <w:shd w:val="clear" w:color="000000" w:fill="FFFFFF"/>
            <w:noWrap/>
            <w:vAlign w:val="center"/>
            <w:hideMark/>
          </w:tcPr>
          <w:p w:rsidR="00737045" w:rsidRPr="00E315BE" w:rsidRDefault="00737045" w:rsidP="00E315BE">
            <w:pPr>
              <w:spacing w:before="0" w:line="240" w:lineRule="auto"/>
              <w:jc w:val="right"/>
              <w:rPr>
                <w:rFonts w:cs="Calibri"/>
                <w:i/>
                <w:color w:val="000000"/>
                <w:sz w:val="18"/>
                <w:szCs w:val="22"/>
              </w:rPr>
            </w:pPr>
            <w:r w:rsidRPr="00E315BE">
              <w:rPr>
                <w:rFonts w:cs="Calibri"/>
                <w:i/>
                <w:color w:val="000000"/>
                <w:sz w:val="18"/>
                <w:szCs w:val="22"/>
              </w:rPr>
              <w:t>64,834,078</w:t>
            </w:r>
          </w:p>
        </w:tc>
        <w:tc>
          <w:tcPr>
            <w:tcW w:w="1916" w:type="dxa"/>
            <w:shd w:val="clear" w:color="000000" w:fill="FFFFFF"/>
            <w:noWrap/>
            <w:vAlign w:val="center"/>
            <w:hideMark/>
          </w:tcPr>
          <w:p w:rsidR="00737045" w:rsidRPr="00E315BE" w:rsidRDefault="00737045" w:rsidP="00E315BE">
            <w:pPr>
              <w:spacing w:before="0" w:line="240" w:lineRule="auto"/>
              <w:jc w:val="right"/>
              <w:rPr>
                <w:rFonts w:cs="Calibri"/>
                <w:i/>
                <w:color w:val="000000"/>
                <w:sz w:val="18"/>
                <w:szCs w:val="22"/>
              </w:rPr>
            </w:pPr>
            <w:r w:rsidRPr="00E315BE">
              <w:rPr>
                <w:rFonts w:cs="Calibri"/>
                <w:i/>
                <w:color w:val="000000"/>
                <w:sz w:val="18"/>
                <w:szCs w:val="22"/>
              </w:rPr>
              <w:t>62,759,012</w:t>
            </w:r>
          </w:p>
        </w:tc>
      </w:tr>
      <w:tr w:rsidR="00737045" w:rsidRPr="00450D73" w:rsidTr="00E315BE">
        <w:trPr>
          <w:trHeight w:val="160"/>
          <w:jc w:val="center"/>
        </w:trPr>
        <w:tc>
          <w:tcPr>
            <w:tcW w:w="2590" w:type="dxa"/>
            <w:shd w:val="clear" w:color="000000" w:fill="FFFFFF"/>
            <w:noWrap/>
            <w:vAlign w:val="center"/>
            <w:hideMark/>
          </w:tcPr>
          <w:p w:rsidR="00737045" w:rsidRPr="00E315BE" w:rsidRDefault="00737045" w:rsidP="00E315BE">
            <w:pPr>
              <w:spacing w:before="0" w:line="240" w:lineRule="auto"/>
              <w:jc w:val="right"/>
              <w:rPr>
                <w:rFonts w:cs="Calibri"/>
                <w:i/>
                <w:color w:val="000000"/>
                <w:sz w:val="18"/>
                <w:szCs w:val="22"/>
              </w:rPr>
            </w:pPr>
            <w:r w:rsidRPr="00E315BE">
              <w:rPr>
                <w:rFonts w:cs="Calibri"/>
                <w:i/>
                <w:color w:val="000000"/>
                <w:sz w:val="18"/>
                <w:szCs w:val="22"/>
              </w:rPr>
              <w:t>Detyrimet Afatgjata</w:t>
            </w:r>
          </w:p>
        </w:tc>
        <w:tc>
          <w:tcPr>
            <w:tcW w:w="1916" w:type="dxa"/>
            <w:shd w:val="clear" w:color="000000" w:fill="FFFFFF"/>
            <w:noWrap/>
            <w:vAlign w:val="center"/>
            <w:hideMark/>
          </w:tcPr>
          <w:p w:rsidR="00737045" w:rsidRPr="00E315BE" w:rsidRDefault="00737045" w:rsidP="00E315BE">
            <w:pPr>
              <w:spacing w:before="0" w:line="240" w:lineRule="auto"/>
              <w:jc w:val="right"/>
              <w:rPr>
                <w:rFonts w:cs="Calibri"/>
                <w:i/>
                <w:color w:val="000000"/>
                <w:sz w:val="18"/>
                <w:szCs w:val="22"/>
              </w:rPr>
            </w:pPr>
            <w:r w:rsidRPr="00E315BE">
              <w:rPr>
                <w:rFonts w:cs="Calibri"/>
                <w:i/>
                <w:color w:val="000000"/>
                <w:sz w:val="18"/>
                <w:szCs w:val="22"/>
              </w:rPr>
              <w:t>36,775,404</w:t>
            </w:r>
          </w:p>
        </w:tc>
        <w:tc>
          <w:tcPr>
            <w:tcW w:w="1916" w:type="dxa"/>
            <w:shd w:val="clear" w:color="000000" w:fill="FFFFFF"/>
            <w:noWrap/>
            <w:vAlign w:val="center"/>
            <w:hideMark/>
          </w:tcPr>
          <w:p w:rsidR="00737045" w:rsidRPr="00E315BE" w:rsidRDefault="00737045" w:rsidP="00E315BE">
            <w:pPr>
              <w:spacing w:before="0" w:line="240" w:lineRule="auto"/>
              <w:jc w:val="right"/>
              <w:rPr>
                <w:rFonts w:cs="Calibri"/>
                <w:i/>
                <w:color w:val="000000"/>
                <w:sz w:val="18"/>
                <w:szCs w:val="22"/>
              </w:rPr>
            </w:pPr>
            <w:r w:rsidRPr="00E315BE">
              <w:rPr>
                <w:rFonts w:cs="Calibri"/>
                <w:i/>
                <w:color w:val="000000"/>
                <w:sz w:val="18"/>
                <w:szCs w:val="22"/>
              </w:rPr>
              <w:t>33,406,825</w:t>
            </w:r>
          </w:p>
        </w:tc>
        <w:tc>
          <w:tcPr>
            <w:tcW w:w="1916" w:type="dxa"/>
            <w:shd w:val="clear" w:color="000000" w:fill="FFFFFF"/>
            <w:noWrap/>
            <w:vAlign w:val="center"/>
            <w:hideMark/>
          </w:tcPr>
          <w:p w:rsidR="00737045" w:rsidRPr="00E315BE" w:rsidRDefault="00737045" w:rsidP="00E315BE">
            <w:pPr>
              <w:spacing w:before="0" w:line="240" w:lineRule="auto"/>
              <w:jc w:val="right"/>
              <w:rPr>
                <w:rFonts w:cs="Calibri"/>
                <w:i/>
                <w:color w:val="000000"/>
                <w:sz w:val="18"/>
                <w:szCs w:val="22"/>
              </w:rPr>
            </w:pPr>
            <w:r w:rsidRPr="00E315BE">
              <w:rPr>
                <w:rFonts w:cs="Calibri"/>
                <w:i/>
                <w:color w:val="000000"/>
                <w:sz w:val="18"/>
                <w:szCs w:val="22"/>
              </w:rPr>
              <w:t>27,142,997</w:t>
            </w:r>
          </w:p>
        </w:tc>
      </w:tr>
      <w:tr w:rsidR="00737045" w:rsidRPr="00450D73" w:rsidTr="00E315BE">
        <w:trPr>
          <w:trHeight w:val="160"/>
          <w:jc w:val="center"/>
        </w:trPr>
        <w:tc>
          <w:tcPr>
            <w:tcW w:w="2590" w:type="dxa"/>
            <w:shd w:val="clear" w:color="000000" w:fill="FFFFFF"/>
            <w:noWrap/>
            <w:vAlign w:val="center"/>
            <w:hideMark/>
          </w:tcPr>
          <w:p w:rsidR="00737045" w:rsidRPr="00E315BE" w:rsidRDefault="00737045" w:rsidP="00E315BE">
            <w:pPr>
              <w:spacing w:before="0" w:line="240" w:lineRule="auto"/>
              <w:jc w:val="center"/>
              <w:rPr>
                <w:rFonts w:cs="Calibri"/>
                <w:b/>
                <w:bCs/>
                <w:color w:val="000000"/>
                <w:sz w:val="20"/>
                <w:szCs w:val="22"/>
              </w:rPr>
            </w:pPr>
            <w:r w:rsidRPr="00E315BE">
              <w:rPr>
                <w:rFonts w:cs="Calibri"/>
                <w:b/>
                <w:bCs/>
                <w:color w:val="000000"/>
                <w:sz w:val="20"/>
                <w:szCs w:val="22"/>
              </w:rPr>
              <w:t>Total Detyrime</w:t>
            </w:r>
          </w:p>
        </w:tc>
        <w:tc>
          <w:tcPr>
            <w:tcW w:w="1916" w:type="dxa"/>
            <w:shd w:val="clear" w:color="000000" w:fill="FFFFFF"/>
            <w:noWrap/>
            <w:vAlign w:val="center"/>
            <w:hideMark/>
          </w:tcPr>
          <w:p w:rsidR="00737045" w:rsidRPr="00E315BE" w:rsidRDefault="00737045" w:rsidP="00E315BE">
            <w:pPr>
              <w:spacing w:before="0" w:line="240" w:lineRule="auto"/>
              <w:jc w:val="center"/>
              <w:rPr>
                <w:rFonts w:cs="Calibri"/>
                <w:b/>
                <w:bCs/>
                <w:color w:val="000000"/>
                <w:sz w:val="20"/>
                <w:szCs w:val="22"/>
              </w:rPr>
            </w:pPr>
            <w:r w:rsidRPr="00E315BE">
              <w:rPr>
                <w:rFonts w:cs="Calibri"/>
                <w:b/>
                <w:bCs/>
                <w:color w:val="000000"/>
                <w:sz w:val="20"/>
                <w:szCs w:val="22"/>
              </w:rPr>
              <w:t>95,476,881</w:t>
            </w:r>
          </w:p>
        </w:tc>
        <w:tc>
          <w:tcPr>
            <w:tcW w:w="1916" w:type="dxa"/>
            <w:shd w:val="clear" w:color="000000" w:fill="FFFFFF"/>
            <w:noWrap/>
            <w:vAlign w:val="center"/>
            <w:hideMark/>
          </w:tcPr>
          <w:p w:rsidR="00737045" w:rsidRPr="00E315BE" w:rsidRDefault="00737045" w:rsidP="00E315BE">
            <w:pPr>
              <w:spacing w:before="0" w:line="240" w:lineRule="auto"/>
              <w:jc w:val="center"/>
              <w:rPr>
                <w:rFonts w:cs="Calibri"/>
                <w:b/>
                <w:bCs/>
                <w:color w:val="000000"/>
                <w:sz w:val="20"/>
                <w:szCs w:val="22"/>
              </w:rPr>
            </w:pPr>
            <w:r w:rsidRPr="00E315BE">
              <w:rPr>
                <w:rFonts w:cs="Calibri"/>
                <w:b/>
                <w:bCs/>
                <w:color w:val="000000"/>
                <w:sz w:val="20"/>
                <w:szCs w:val="22"/>
              </w:rPr>
              <w:t>98,240,903</w:t>
            </w:r>
          </w:p>
        </w:tc>
        <w:tc>
          <w:tcPr>
            <w:tcW w:w="1916" w:type="dxa"/>
            <w:shd w:val="clear" w:color="000000" w:fill="FFFFFF"/>
            <w:noWrap/>
            <w:vAlign w:val="center"/>
            <w:hideMark/>
          </w:tcPr>
          <w:p w:rsidR="00737045" w:rsidRPr="00E315BE" w:rsidRDefault="00737045" w:rsidP="00E315BE">
            <w:pPr>
              <w:spacing w:before="0" w:line="240" w:lineRule="auto"/>
              <w:jc w:val="center"/>
              <w:rPr>
                <w:rFonts w:cs="Calibri"/>
                <w:b/>
                <w:bCs/>
                <w:color w:val="000000"/>
                <w:sz w:val="20"/>
                <w:szCs w:val="22"/>
              </w:rPr>
            </w:pPr>
            <w:r w:rsidRPr="00E315BE">
              <w:rPr>
                <w:rFonts w:cs="Calibri"/>
                <w:b/>
                <w:bCs/>
                <w:color w:val="000000"/>
                <w:sz w:val="20"/>
                <w:szCs w:val="22"/>
              </w:rPr>
              <w:t>89,902,009</w:t>
            </w:r>
          </w:p>
        </w:tc>
      </w:tr>
      <w:tr w:rsidR="00737045" w:rsidRPr="00450D73" w:rsidTr="00E315BE">
        <w:trPr>
          <w:trHeight w:val="168"/>
          <w:jc w:val="center"/>
        </w:trPr>
        <w:tc>
          <w:tcPr>
            <w:tcW w:w="2590" w:type="dxa"/>
            <w:shd w:val="clear" w:color="000000" w:fill="FFFFFF"/>
            <w:noWrap/>
            <w:vAlign w:val="center"/>
            <w:hideMark/>
          </w:tcPr>
          <w:p w:rsidR="00737045" w:rsidRPr="00E315BE" w:rsidRDefault="00737045" w:rsidP="00E315BE">
            <w:pPr>
              <w:spacing w:before="0" w:line="240" w:lineRule="auto"/>
              <w:jc w:val="center"/>
              <w:rPr>
                <w:rFonts w:cs="Calibri"/>
                <w:b/>
                <w:bCs/>
                <w:color w:val="000000"/>
                <w:sz w:val="20"/>
                <w:szCs w:val="22"/>
              </w:rPr>
            </w:pPr>
            <w:r w:rsidRPr="00E315BE">
              <w:rPr>
                <w:rFonts w:cs="Calibri"/>
                <w:b/>
                <w:bCs/>
                <w:color w:val="000000"/>
                <w:sz w:val="20"/>
                <w:szCs w:val="22"/>
              </w:rPr>
              <w:t>Kapital</w:t>
            </w:r>
          </w:p>
        </w:tc>
        <w:tc>
          <w:tcPr>
            <w:tcW w:w="1916" w:type="dxa"/>
            <w:shd w:val="clear" w:color="000000" w:fill="FFFFFF"/>
            <w:noWrap/>
            <w:vAlign w:val="center"/>
            <w:hideMark/>
          </w:tcPr>
          <w:p w:rsidR="00737045" w:rsidRPr="00E315BE" w:rsidRDefault="00737045" w:rsidP="00E315BE">
            <w:pPr>
              <w:spacing w:before="0" w:line="240" w:lineRule="auto"/>
              <w:jc w:val="center"/>
              <w:rPr>
                <w:rFonts w:cs="Calibri"/>
                <w:b/>
                <w:bCs/>
                <w:color w:val="000000"/>
                <w:sz w:val="20"/>
                <w:szCs w:val="22"/>
              </w:rPr>
            </w:pPr>
            <w:r w:rsidRPr="00E315BE">
              <w:rPr>
                <w:rFonts w:cs="Calibri"/>
                <w:b/>
                <w:bCs/>
                <w:color w:val="000000"/>
                <w:sz w:val="20"/>
                <w:szCs w:val="22"/>
              </w:rPr>
              <w:t>79,578,104</w:t>
            </w:r>
          </w:p>
        </w:tc>
        <w:tc>
          <w:tcPr>
            <w:tcW w:w="1916" w:type="dxa"/>
            <w:shd w:val="clear" w:color="000000" w:fill="FFFFFF"/>
            <w:noWrap/>
            <w:vAlign w:val="center"/>
            <w:hideMark/>
          </w:tcPr>
          <w:p w:rsidR="00737045" w:rsidRPr="00E315BE" w:rsidRDefault="00737045" w:rsidP="00E315BE">
            <w:pPr>
              <w:spacing w:before="0" w:line="240" w:lineRule="auto"/>
              <w:jc w:val="center"/>
              <w:rPr>
                <w:rFonts w:cs="Calibri"/>
                <w:b/>
                <w:bCs/>
                <w:color w:val="000000"/>
                <w:sz w:val="20"/>
                <w:szCs w:val="22"/>
              </w:rPr>
            </w:pPr>
            <w:r w:rsidRPr="00E315BE">
              <w:rPr>
                <w:rFonts w:cs="Calibri"/>
                <w:b/>
                <w:bCs/>
                <w:color w:val="000000"/>
                <w:sz w:val="20"/>
                <w:szCs w:val="22"/>
              </w:rPr>
              <w:t>75,398,656</w:t>
            </w:r>
          </w:p>
        </w:tc>
        <w:tc>
          <w:tcPr>
            <w:tcW w:w="1916" w:type="dxa"/>
            <w:shd w:val="clear" w:color="000000" w:fill="FFFFFF"/>
            <w:noWrap/>
            <w:vAlign w:val="center"/>
            <w:hideMark/>
          </w:tcPr>
          <w:p w:rsidR="00737045" w:rsidRPr="00E315BE" w:rsidRDefault="00737045" w:rsidP="00E315BE">
            <w:pPr>
              <w:spacing w:before="0" w:line="240" w:lineRule="auto"/>
              <w:jc w:val="center"/>
              <w:rPr>
                <w:rFonts w:cs="Calibri"/>
                <w:b/>
                <w:bCs/>
                <w:color w:val="000000"/>
                <w:sz w:val="20"/>
                <w:szCs w:val="22"/>
              </w:rPr>
            </w:pPr>
            <w:r w:rsidRPr="00E315BE">
              <w:rPr>
                <w:rFonts w:cs="Calibri"/>
                <w:b/>
                <w:bCs/>
                <w:color w:val="000000"/>
                <w:sz w:val="20"/>
                <w:szCs w:val="22"/>
              </w:rPr>
              <w:t>81,374,489</w:t>
            </w:r>
          </w:p>
        </w:tc>
      </w:tr>
    </w:tbl>
    <w:p w:rsidR="00737045" w:rsidRDefault="00737045" w:rsidP="00737045">
      <w:pPr>
        <w:spacing w:before="240" w:line="360" w:lineRule="auto"/>
        <w:contextualSpacing/>
        <w:rPr>
          <w:rFonts w:asciiTheme="majorHAnsi" w:hAnsiTheme="majorHAnsi"/>
          <w:i/>
          <w:sz w:val="18"/>
          <w:szCs w:val="28"/>
          <w:lang w:val="sq-AL"/>
        </w:rPr>
      </w:pPr>
      <w:r>
        <w:fldChar w:fldCharType="end"/>
      </w:r>
      <w:r>
        <w:t xml:space="preserve">                  </w:t>
      </w:r>
      <w:r w:rsidR="00E315BE">
        <w:tab/>
      </w:r>
      <w:r w:rsidRPr="00E315BE">
        <w:rPr>
          <w:rFonts w:asciiTheme="majorHAnsi" w:hAnsiTheme="majorHAnsi"/>
          <w:i/>
          <w:sz w:val="18"/>
          <w:szCs w:val="28"/>
          <w:lang w:val="sq-AL"/>
        </w:rPr>
        <w:t>Burimi: KESH sh.a.</w:t>
      </w:r>
    </w:p>
    <w:p w:rsidR="00A92C47" w:rsidRPr="00E315BE" w:rsidRDefault="00A92C47" w:rsidP="00737045">
      <w:pPr>
        <w:spacing w:before="240" w:line="360" w:lineRule="auto"/>
        <w:contextualSpacing/>
        <w:rPr>
          <w:rFonts w:asciiTheme="majorHAnsi" w:hAnsiTheme="majorHAnsi"/>
          <w:i/>
          <w:sz w:val="20"/>
          <w:szCs w:val="28"/>
          <w:lang w:val="sq-AL"/>
        </w:rPr>
      </w:pPr>
    </w:p>
    <w:p w:rsidR="00737045" w:rsidRPr="007223E1" w:rsidRDefault="00737045" w:rsidP="00842F80">
      <w:pPr>
        <w:pStyle w:val="Caption"/>
        <w:keepNext/>
        <w:numPr>
          <w:ilvl w:val="0"/>
          <w:numId w:val="53"/>
        </w:numPr>
        <w:spacing w:after="0"/>
        <w:rPr>
          <w:iCs w:val="0"/>
          <w:color w:val="auto"/>
          <w:sz w:val="22"/>
          <w:szCs w:val="24"/>
          <w:lang w:val="sq-AL"/>
        </w:rPr>
      </w:pPr>
      <w:r w:rsidRPr="007223E1">
        <w:rPr>
          <w:iCs w:val="0"/>
          <w:color w:val="auto"/>
          <w:sz w:val="22"/>
          <w:szCs w:val="24"/>
          <w:lang w:val="sq-AL"/>
        </w:rPr>
        <w:t>Performanca financiare e OST sh.a.</w:t>
      </w:r>
    </w:p>
    <w:p w:rsidR="00737045" w:rsidRPr="003F4C0A" w:rsidRDefault="00276062" w:rsidP="00276062">
      <w:pPr>
        <w:pStyle w:val="Caption"/>
        <w:rPr>
          <w:rFonts w:cs="Calibri"/>
          <w:b/>
          <w:lang w:val="sq-AL"/>
        </w:rPr>
      </w:pPr>
      <w:bookmarkStart w:id="193" w:name="_Toc104984088"/>
      <w:r>
        <w:t xml:space="preserve">Tabela </w:t>
      </w:r>
      <w:r w:rsidR="00EA28E4">
        <w:fldChar w:fldCharType="begin"/>
      </w:r>
      <w:r w:rsidR="00EA28E4">
        <w:instrText xml:space="preserve"> SEQ Tabela \* ARABIC </w:instrText>
      </w:r>
      <w:r w:rsidR="00EA28E4">
        <w:fldChar w:fldCharType="separate"/>
      </w:r>
      <w:r>
        <w:rPr>
          <w:noProof/>
        </w:rPr>
        <w:t>16</w:t>
      </w:r>
      <w:r w:rsidR="00EA28E4">
        <w:rPr>
          <w:noProof/>
        </w:rPr>
        <w:fldChar w:fldCharType="end"/>
      </w:r>
      <w:r>
        <w:rPr>
          <w:rFonts w:cs="Calibri"/>
          <w:lang w:val="sq-AL"/>
        </w:rPr>
        <w:t xml:space="preserve"> </w:t>
      </w:r>
      <w:r w:rsidR="00737045" w:rsidRPr="00EE5118">
        <w:rPr>
          <w:rFonts w:cs="Calibri"/>
          <w:lang w:val="sq-AL"/>
        </w:rPr>
        <w:t>Të dhënat financiare 12 mujore për OST Sh.a (në mijë Lekë)</w:t>
      </w:r>
      <w:bookmarkEnd w:id="193"/>
      <w:r w:rsidR="00737045">
        <w:rPr>
          <w:highlight w:val="yellow"/>
          <w:lang w:val="sq-AL"/>
        </w:rPr>
        <w:fldChar w:fldCharType="begin"/>
      </w:r>
      <w:r w:rsidR="00737045">
        <w:rPr>
          <w:highlight w:val="yellow"/>
          <w:lang w:val="sq-AL"/>
        </w:rPr>
        <w:instrText xml:space="preserve"> LINK Excel.Sheet.12 "C:\\Users\\ilvis.ballvora\\Desktop\\Sectori Energjetike\\1.3 Te dhenat sektori i energjise. xlsx.xlsx" "DATA Extras 3!R108C7:R119C12" \a \f 4 \h  \* MERGEFORMAT </w:instrText>
      </w:r>
      <w:r w:rsidR="00737045">
        <w:rPr>
          <w:highlight w:val="yellow"/>
          <w:lang w:val="sq-AL"/>
        </w:rPr>
        <w:fldChar w:fldCharType="separate"/>
      </w:r>
    </w:p>
    <w:tbl>
      <w:tblPr>
        <w:tblW w:w="8484" w:type="dxa"/>
        <w:jc w:val="center"/>
        <w:tblBorders>
          <w:top w:val="single" w:sz="24" w:space="0" w:color="95B3D7"/>
          <w:left w:val="single" w:sz="24" w:space="0" w:color="95B3D7"/>
          <w:bottom w:val="single" w:sz="24" w:space="0" w:color="95B3D7"/>
          <w:right w:val="single" w:sz="24" w:space="0" w:color="95B3D7"/>
        </w:tblBorders>
        <w:tblLook w:val="04A0" w:firstRow="1" w:lastRow="0" w:firstColumn="1" w:lastColumn="0" w:noHBand="0" w:noVBand="1"/>
      </w:tblPr>
      <w:tblGrid>
        <w:gridCol w:w="2632"/>
        <w:gridCol w:w="1960"/>
        <w:gridCol w:w="1946"/>
        <w:gridCol w:w="1946"/>
      </w:tblGrid>
      <w:tr w:rsidR="00E315BE" w:rsidRPr="00E315BE" w:rsidTr="00E315BE">
        <w:trPr>
          <w:trHeight w:val="213"/>
          <w:jc w:val="center"/>
        </w:trPr>
        <w:tc>
          <w:tcPr>
            <w:tcW w:w="2632" w:type="dxa"/>
            <w:shd w:val="clear" w:color="auto" w:fill="B3DDF2" w:themeFill="background2" w:themeFillShade="E6"/>
            <w:noWrap/>
            <w:vAlign w:val="center"/>
            <w:hideMark/>
          </w:tcPr>
          <w:p w:rsidR="00E315BE" w:rsidRPr="00E315BE" w:rsidRDefault="00E315BE" w:rsidP="00E315BE">
            <w:pPr>
              <w:spacing w:before="0" w:line="240" w:lineRule="auto"/>
              <w:jc w:val="center"/>
              <w:rPr>
                <w:rFonts w:asciiTheme="majorHAnsi" w:hAnsiTheme="majorHAnsi" w:cs="Calibri"/>
                <w:color w:val="000000"/>
                <w:sz w:val="20"/>
                <w:szCs w:val="20"/>
                <w:lang w:val="sq-AL"/>
              </w:rPr>
            </w:pPr>
            <w:r w:rsidRPr="00B47B01">
              <w:rPr>
                <w:rFonts w:cs="Calibri"/>
                <w:b/>
                <w:color w:val="C00000"/>
                <w:szCs w:val="22"/>
                <w:lang w:val="sq-AL"/>
              </w:rPr>
              <w:t>Zerat/Periudha</w:t>
            </w:r>
          </w:p>
        </w:tc>
        <w:tc>
          <w:tcPr>
            <w:tcW w:w="1960" w:type="dxa"/>
            <w:shd w:val="clear" w:color="auto" w:fill="B3DDF2" w:themeFill="background2" w:themeFillShade="E6"/>
            <w:noWrap/>
            <w:vAlign w:val="center"/>
            <w:hideMark/>
          </w:tcPr>
          <w:p w:rsidR="00E315BE" w:rsidRPr="00E315BE" w:rsidRDefault="00E315BE" w:rsidP="00E315BE">
            <w:pPr>
              <w:spacing w:before="0" w:line="240" w:lineRule="auto"/>
              <w:jc w:val="center"/>
              <w:rPr>
                <w:rFonts w:asciiTheme="majorHAnsi" w:hAnsiTheme="majorHAnsi" w:cs="Calibri"/>
                <w:b/>
                <w:bCs/>
                <w:color w:val="000000"/>
                <w:sz w:val="20"/>
                <w:szCs w:val="20"/>
              </w:rPr>
            </w:pPr>
            <w:r>
              <w:rPr>
                <w:rFonts w:cs="Calibri"/>
                <w:b/>
                <w:bCs/>
                <w:color w:val="C00000"/>
                <w:szCs w:val="22"/>
              </w:rPr>
              <w:t xml:space="preserve">12M </w:t>
            </w:r>
            <w:r w:rsidRPr="00B47B01">
              <w:rPr>
                <w:rFonts w:cs="Calibri"/>
                <w:b/>
                <w:bCs/>
                <w:color w:val="C00000"/>
                <w:szCs w:val="22"/>
              </w:rPr>
              <w:t>2019</w:t>
            </w:r>
          </w:p>
        </w:tc>
        <w:tc>
          <w:tcPr>
            <w:tcW w:w="1946" w:type="dxa"/>
            <w:shd w:val="clear" w:color="auto" w:fill="B3DDF2" w:themeFill="background2" w:themeFillShade="E6"/>
            <w:noWrap/>
            <w:vAlign w:val="center"/>
            <w:hideMark/>
          </w:tcPr>
          <w:p w:rsidR="00E315BE" w:rsidRPr="00E315BE" w:rsidRDefault="00E315BE" w:rsidP="00E315BE">
            <w:pPr>
              <w:spacing w:before="0" w:line="240" w:lineRule="auto"/>
              <w:jc w:val="center"/>
              <w:rPr>
                <w:rFonts w:asciiTheme="majorHAnsi" w:hAnsiTheme="majorHAnsi" w:cs="Calibri"/>
                <w:b/>
                <w:bCs/>
                <w:color w:val="000000"/>
                <w:sz w:val="20"/>
                <w:szCs w:val="20"/>
              </w:rPr>
            </w:pPr>
            <w:r>
              <w:rPr>
                <w:rFonts w:cs="Calibri"/>
                <w:b/>
                <w:bCs/>
                <w:color w:val="C00000"/>
                <w:szCs w:val="22"/>
              </w:rPr>
              <w:t xml:space="preserve">12M </w:t>
            </w:r>
            <w:r w:rsidRPr="00B47B01">
              <w:rPr>
                <w:rFonts w:cs="Calibri"/>
                <w:b/>
                <w:bCs/>
                <w:color w:val="C00000"/>
                <w:szCs w:val="22"/>
              </w:rPr>
              <w:t>2020</w:t>
            </w:r>
          </w:p>
        </w:tc>
        <w:tc>
          <w:tcPr>
            <w:tcW w:w="1946" w:type="dxa"/>
            <w:shd w:val="clear" w:color="auto" w:fill="B3DDF2" w:themeFill="background2" w:themeFillShade="E6"/>
            <w:noWrap/>
            <w:vAlign w:val="center"/>
            <w:hideMark/>
          </w:tcPr>
          <w:p w:rsidR="00E315BE" w:rsidRPr="00E315BE" w:rsidRDefault="00E315BE" w:rsidP="00E315BE">
            <w:pPr>
              <w:spacing w:before="0" w:line="240" w:lineRule="auto"/>
              <w:jc w:val="center"/>
              <w:rPr>
                <w:rFonts w:asciiTheme="majorHAnsi" w:hAnsiTheme="majorHAnsi" w:cs="Calibri"/>
                <w:b/>
                <w:bCs/>
                <w:color w:val="000000"/>
                <w:sz w:val="20"/>
                <w:szCs w:val="20"/>
              </w:rPr>
            </w:pPr>
            <w:r>
              <w:rPr>
                <w:rFonts w:cs="Calibri"/>
                <w:b/>
                <w:bCs/>
                <w:color w:val="C00000"/>
                <w:szCs w:val="22"/>
              </w:rPr>
              <w:t xml:space="preserve">12M </w:t>
            </w:r>
            <w:r w:rsidRPr="00B47B01">
              <w:rPr>
                <w:rFonts w:cs="Calibri"/>
                <w:b/>
                <w:bCs/>
                <w:color w:val="C00000"/>
                <w:szCs w:val="22"/>
              </w:rPr>
              <w:t>2021</w:t>
            </w:r>
          </w:p>
        </w:tc>
      </w:tr>
      <w:tr w:rsidR="00737045" w:rsidRPr="00E315BE" w:rsidTr="00E315BE">
        <w:trPr>
          <w:trHeight w:val="213"/>
          <w:jc w:val="center"/>
        </w:trPr>
        <w:tc>
          <w:tcPr>
            <w:tcW w:w="2632" w:type="dxa"/>
            <w:shd w:val="clear" w:color="000000" w:fill="FFFFFF"/>
            <w:noWrap/>
            <w:vAlign w:val="center"/>
            <w:hideMark/>
          </w:tcPr>
          <w:p w:rsidR="00737045" w:rsidRPr="00E315BE" w:rsidRDefault="00737045" w:rsidP="00E315BE">
            <w:pPr>
              <w:spacing w:before="0" w:line="240" w:lineRule="auto"/>
              <w:jc w:val="right"/>
              <w:rPr>
                <w:rFonts w:asciiTheme="majorHAnsi" w:hAnsiTheme="majorHAnsi" w:cs="Calibri"/>
                <w:i/>
                <w:color w:val="000000"/>
                <w:sz w:val="18"/>
                <w:szCs w:val="20"/>
              </w:rPr>
            </w:pPr>
            <w:r w:rsidRPr="00E315BE">
              <w:rPr>
                <w:rFonts w:asciiTheme="majorHAnsi" w:hAnsiTheme="majorHAnsi" w:cs="Calibri"/>
                <w:i/>
                <w:color w:val="000000"/>
                <w:sz w:val="18"/>
                <w:szCs w:val="20"/>
              </w:rPr>
              <w:t>Të ardhurat</w:t>
            </w:r>
          </w:p>
        </w:tc>
        <w:tc>
          <w:tcPr>
            <w:tcW w:w="1960" w:type="dxa"/>
            <w:shd w:val="clear" w:color="000000" w:fill="FFFFFF"/>
            <w:noWrap/>
            <w:vAlign w:val="center"/>
            <w:hideMark/>
          </w:tcPr>
          <w:p w:rsidR="00737045" w:rsidRPr="00E315BE" w:rsidRDefault="00737045" w:rsidP="00E315BE">
            <w:pPr>
              <w:spacing w:before="0" w:line="240" w:lineRule="auto"/>
              <w:jc w:val="right"/>
              <w:rPr>
                <w:rFonts w:asciiTheme="majorHAnsi" w:hAnsiTheme="majorHAnsi" w:cs="Calibri"/>
                <w:i/>
                <w:color w:val="000000"/>
                <w:sz w:val="18"/>
                <w:szCs w:val="20"/>
              </w:rPr>
            </w:pPr>
            <w:r w:rsidRPr="00E315BE">
              <w:rPr>
                <w:rFonts w:asciiTheme="majorHAnsi" w:hAnsiTheme="majorHAnsi" w:cs="Calibri"/>
                <w:i/>
                <w:color w:val="000000"/>
                <w:sz w:val="18"/>
                <w:szCs w:val="20"/>
              </w:rPr>
              <w:t>7,480,216</w:t>
            </w:r>
          </w:p>
        </w:tc>
        <w:tc>
          <w:tcPr>
            <w:tcW w:w="1946" w:type="dxa"/>
            <w:shd w:val="clear" w:color="000000" w:fill="FFFFFF"/>
            <w:noWrap/>
            <w:vAlign w:val="center"/>
            <w:hideMark/>
          </w:tcPr>
          <w:p w:rsidR="00737045" w:rsidRPr="00E315BE" w:rsidRDefault="00737045" w:rsidP="00E315BE">
            <w:pPr>
              <w:spacing w:before="0" w:line="240" w:lineRule="auto"/>
              <w:jc w:val="right"/>
              <w:rPr>
                <w:rFonts w:asciiTheme="majorHAnsi" w:hAnsiTheme="majorHAnsi" w:cs="Calibri"/>
                <w:i/>
                <w:color w:val="000000"/>
                <w:sz w:val="18"/>
                <w:szCs w:val="20"/>
              </w:rPr>
            </w:pPr>
            <w:r w:rsidRPr="00E315BE">
              <w:rPr>
                <w:rFonts w:asciiTheme="majorHAnsi" w:hAnsiTheme="majorHAnsi" w:cs="Calibri"/>
                <w:i/>
                <w:color w:val="000000"/>
                <w:sz w:val="18"/>
                <w:szCs w:val="20"/>
              </w:rPr>
              <w:t>6,897,448</w:t>
            </w:r>
          </w:p>
        </w:tc>
        <w:tc>
          <w:tcPr>
            <w:tcW w:w="1946" w:type="dxa"/>
            <w:shd w:val="clear" w:color="000000" w:fill="FFFFFF"/>
            <w:noWrap/>
            <w:vAlign w:val="center"/>
            <w:hideMark/>
          </w:tcPr>
          <w:p w:rsidR="00737045" w:rsidRPr="00E315BE" w:rsidRDefault="00737045" w:rsidP="00E315BE">
            <w:pPr>
              <w:spacing w:before="0" w:line="240" w:lineRule="auto"/>
              <w:jc w:val="right"/>
              <w:rPr>
                <w:rFonts w:asciiTheme="majorHAnsi" w:hAnsiTheme="majorHAnsi" w:cs="Calibri"/>
                <w:i/>
                <w:color w:val="000000"/>
                <w:sz w:val="18"/>
                <w:szCs w:val="20"/>
              </w:rPr>
            </w:pPr>
            <w:r w:rsidRPr="00E315BE">
              <w:rPr>
                <w:rFonts w:asciiTheme="majorHAnsi" w:hAnsiTheme="majorHAnsi" w:cs="Calibri"/>
                <w:i/>
                <w:color w:val="000000"/>
                <w:sz w:val="18"/>
                <w:szCs w:val="20"/>
              </w:rPr>
              <w:t>9,382,818</w:t>
            </w:r>
          </w:p>
        </w:tc>
      </w:tr>
      <w:tr w:rsidR="00737045" w:rsidRPr="00E315BE" w:rsidTr="00E315BE">
        <w:trPr>
          <w:trHeight w:val="203"/>
          <w:jc w:val="center"/>
        </w:trPr>
        <w:tc>
          <w:tcPr>
            <w:tcW w:w="2632" w:type="dxa"/>
            <w:shd w:val="clear" w:color="000000" w:fill="FFFFFF"/>
            <w:noWrap/>
            <w:vAlign w:val="center"/>
            <w:hideMark/>
          </w:tcPr>
          <w:p w:rsidR="00737045" w:rsidRPr="00E315BE" w:rsidRDefault="00737045" w:rsidP="00E315BE">
            <w:pPr>
              <w:spacing w:before="0" w:line="240" w:lineRule="auto"/>
              <w:jc w:val="right"/>
              <w:rPr>
                <w:rFonts w:asciiTheme="majorHAnsi" w:hAnsiTheme="majorHAnsi" w:cs="Calibri"/>
                <w:i/>
                <w:color w:val="000000"/>
                <w:sz w:val="18"/>
                <w:szCs w:val="20"/>
              </w:rPr>
            </w:pPr>
            <w:r w:rsidRPr="00E315BE">
              <w:rPr>
                <w:rFonts w:asciiTheme="majorHAnsi" w:hAnsiTheme="majorHAnsi" w:cs="Calibri"/>
                <w:i/>
                <w:color w:val="000000"/>
                <w:sz w:val="18"/>
                <w:szCs w:val="20"/>
              </w:rPr>
              <w:t>Shpenzimet</w:t>
            </w:r>
          </w:p>
        </w:tc>
        <w:tc>
          <w:tcPr>
            <w:tcW w:w="1960" w:type="dxa"/>
            <w:shd w:val="clear" w:color="000000" w:fill="FFFFFF"/>
            <w:noWrap/>
            <w:vAlign w:val="center"/>
            <w:hideMark/>
          </w:tcPr>
          <w:p w:rsidR="00737045" w:rsidRPr="00E315BE" w:rsidRDefault="00737045" w:rsidP="00E315BE">
            <w:pPr>
              <w:spacing w:before="0" w:line="240" w:lineRule="auto"/>
              <w:jc w:val="right"/>
              <w:rPr>
                <w:rFonts w:asciiTheme="majorHAnsi" w:hAnsiTheme="majorHAnsi" w:cs="Calibri"/>
                <w:i/>
                <w:color w:val="000000"/>
                <w:sz w:val="18"/>
                <w:szCs w:val="20"/>
              </w:rPr>
            </w:pPr>
            <w:r w:rsidRPr="00E315BE">
              <w:rPr>
                <w:rFonts w:asciiTheme="majorHAnsi" w:hAnsiTheme="majorHAnsi" w:cs="Calibri"/>
                <w:i/>
                <w:color w:val="000000"/>
                <w:sz w:val="18"/>
                <w:szCs w:val="20"/>
              </w:rPr>
              <w:t>8,114,779</w:t>
            </w:r>
          </w:p>
        </w:tc>
        <w:tc>
          <w:tcPr>
            <w:tcW w:w="1946" w:type="dxa"/>
            <w:shd w:val="clear" w:color="000000" w:fill="FFFFFF"/>
            <w:noWrap/>
            <w:vAlign w:val="center"/>
            <w:hideMark/>
          </w:tcPr>
          <w:p w:rsidR="00737045" w:rsidRPr="00E315BE" w:rsidRDefault="00737045" w:rsidP="00E315BE">
            <w:pPr>
              <w:spacing w:before="0" w:line="240" w:lineRule="auto"/>
              <w:jc w:val="right"/>
              <w:rPr>
                <w:rFonts w:asciiTheme="majorHAnsi" w:hAnsiTheme="majorHAnsi" w:cs="Calibri"/>
                <w:i/>
                <w:color w:val="000000"/>
                <w:sz w:val="18"/>
                <w:szCs w:val="20"/>
              </w:rPr>
            </w:pPr>
            <w:r w:rsidRPr="00E315BE">
              <w:rPr>
                <w:rFonts w:asciiTheme="majorHAnsi" w:hAnsiTheme="majorHAnsi" w:cs="Calibri"/>
                <w:i/>
                <w:color w:val="000000"/>
                <w:sz w:val="18"/>
                <w:szCs w:val="20"/>
              </w:rPr>
              <w:t>6,948,700</w:t>
            </w:r>
          </w:p>
        </w:tc>
        <w:tc>
          <w:tcPr>
            <w:tcW w:w="1946" w:type="dxa"/>
            <w:shd w:val="clear" w:color="000000" w:fill="FFFFFF"/>
            <w:noWrap/>
            <w:vAlign w:val="center"/>
            <w:hideMark/>
          </w:tcPr>
          <w:p w:rsidR="00737045" w:rsidRPr="00E315BE" w:rsidRDefault="00737045" w:rsidP="00E315BE">
            <w:pPr>
              <w:spacing w:before="0" w:line="240" w:lineRule="auto"/>
              <w:jc w:val="right"/>
              <w:rPr>
                <w:rFonts w:asciiTheme="majorHAnsi" w:hAnsiTheme="majorHAnsi" w:cs="Calibri"/>
                <w:i/>
                <w:color w:val="000000"/>
                <w:sz w:val="18"/>
                <w:szCs w:val="20"/>
              </w:rPr>
            </w:pPr>
            <w:r w:rsidRPr="00E315BE">
              <w:rPr>
                <w:rFonts w:asciiTheme="majorHAnsi" w:hAnsiTheme="majorHAnsi" w:cs="Calibri"/>
                <w:i/>
                <w:color w:val="000000"/>
                <w:sz w:val="18"/>
                <w:szCs w:val="20"/>
              </w:rPr>
              <w:t>9,274,514</w:t>
            </w:r>
          </w:p>
        </w:tc>
      </w:tr>
      <w:tr w:rsidR="00737045" w:rsidRPr="00E315BE" w:rsidTr="00E315BE">
        <w:trPr>
          <w:trHeight w:val="203"/>
          <w:jc w:val="center"/>
        </w:trPr>
        <w:tc>
          <w:tcPr>
            <w:tcW w:w="2632" w:type="dxa"/>
            <w:shd w:val="clear" w:color="000000" w:fill="FFFFFF"/>
            <w:noWrap/>
            <w:vAlign w:val="center"/>
            <w:hideMark/>
          </w:tcPr>
          <w:p w:rsidR="00737045" w:rsidRPr="00E315BE" w:rsidRDefault="00737045" w:rsidP="00E315BE">
            <w:pPr>
              <w:spacing w:before="0" w:line="240" w:lineRule="auto"/>
              <w:jc w:val="center"/>
              <w:rPr>
                <w:rFonts w:asciiTheme="majorHAnsi" w:hAnsiTheme="majorHAnsi" w:cs="Calibri"/>
                <w:b/>
                <w:bCs/>
                <w:color w:val="000000"/>
                <w:sz w:val="20"/>
                <w:szCs w:val="20"/>
              </w:rPr>
            </w:pPr>
            <w:r w:rsidRPr="00E315BE">
              <w:rPr>
                <w:rFonts w:asciiTheme="majorHAnsi" w:hAnsiTheme="majorHAnsi" w:cs="Calibri"/>
                <w:b/>
                <w:bCs/>
                <w:color w:val="000000"/>
                <w:sz w:val="20"/>
                <w:szCs w:val="20"/>
              </w:rPr>
              <w:t>Humbje/Fitim</w:t>
            </w:r>
          </w:p>
        </w:tc>
        <w:tc>
          <w:tcPr>
            <w:tcW w:w="1960" w:type="dxa"/>
            <w:shd w:val="clear" w:color="000000" w:fill="FFFFFF"/>
            <w:noWrap/>
            <w:vAlign w:val="center"/>
            <w:hideMark/>
          </w:tcPr>
          <w:p w:rsidR="00737045" w:rsidRPr="00E315BE" w:rsidRDefault="00737045" w:rsidP="00E315BE">
            <w:pPr>
              <w:spacing w:before="0" w:line="240" w:lineRule="auto"/>
              <w:jc w:val="center"/>
              <w:rPr>
                <w:rFonts w:asciiTheme="majorHAnsi" w:hAnsiTheme="majorHAnsi" w:cs="Calibri"/>
                <w:b/>
                <w:bCs/>
                <w:color w:val="000000"/>
                <w:sz w:val="20"/>
                <w:szCs w:val="20"/>
              </w:rPr>
            </w:pPr>
            <w:r w:rsidRPr="00E315BE">
              <w:rPr>
                <w:rFonts w:asciiTheme="majorHAnsi" w:hAnsiTheme="majorHAnsi" w:cs="Calibri"/>
                <w:b/>
                <w:bCs/>
                <w:color w:val="000000"/>
                <w:sz w:val="20"/>
                <w:szCs w:val="20"/>
              </w:rPr>
              <w:t>(634,563)</w:t>
            </w:r>
          </w:p>
        </w:tc>
        <w:tc>
          <w:tcPr>
            <w:tcW w:w="1946" w:type="dxa"/>
            <w:shd w:val="clear" w:color="000000" w:fill="FFFFFF"/>
            <w:noWrap/>
            <w:vAlign w:val="center"/>
            <w:hideMark/>
          </w:tcPr>
          <w:p w:rsidR="00737045" w:rsidRPr="00E315BE" w:rsidRDefault="00737045" w:rsidP="00E315BE">
            <w:pPr>
              <w:spacing w:before="0" w:line="240" w:lineRule="auto"/>
              <w:jc w:val="center"/>
              <w:rPr>
                <w:rFonts w:asciiTheme="majorHAnsi" w:hAnsiTheme="majorHAnsi" w:cs="Calibri"/>
                <w:b/>
                <w:bCs/>
                <w:color w:val="000000"/>
                <w:sz w:val="20"/>
                <w:szCs w:val="20"/>
              </w:rPr>
            </w:pPr>
            <w:r w:rsidRPr="00E315BE">
              <w:rPr>
                <w:rFonts w:asciiTheme="majorHAnsi" w:hAnsiTheme="majorHAnsi" w:cs="Calibri"/>
                <w:b/>
                <w:bCs/>
                <w:color w:val="000000"/>
                <w:sz w:val="20"/>
                <w:szCs w:val="20"/>
              </w:rPr>
              <w:t>(51,252)</w:t>
            </w:r>
          </w:p>
        </w:tc>
        <w:tc>
          <w:tcPr>
            <w:tcW w:w="1946" w:type="dxa"/>
            <w:shd w:val="clear" w:color="000000" w:fill="FFFFFF"/>
            <w:noWrap/>
            <w:vAlign w:val="center"/>
            <w:hideMark/>
          </w:tcPr>
          <w:p w:rsidR="00737045" w:rsidRPr="00E315BE" w:rsidRDefault="00737045" w:rsidP="00E315BE">
            <w:pPr>
              <w:spacing w:before="0" w:line="240" w:lineRule="auto"/>
              <w:jc w:val="center"/>
              <w:rPr>
                <w:rFonts w:asciiTheme="majorHAnsi" w:hAnsiTheme="majorHAnsi" w:cs="Calibri"/>
                <w:b/>
                <w:bCs/>
                <w:color w:val="000000"/>
                <w:sz w:val="20"/>
                <w:szCs w:val="20"/>
              </w:rPr>
            </w:pPr>
            <w:r w:rsidRPr="00E315BE">
              <w:rPr>
                <w:rFonts w:asciiTheme="majorHAnsi" w:hAnsiTheme="majorHAnsi" w:cs="Calibri"/>
                <w:b/>
                <w:bCs/>
                <w:color w:val="000000"/>
                <w:sz w:val="20"/>
                <w:szCs w:val="20"/>
              </w:rPr>
              <w:t>108,304</w:t>
            </w:r>
          </w:p>
        </w:tc>
      </w:tr>
      <w:tr w:rsidR="00737045" w:rsidRPr="00E315BE" w:rsidTr="00E315BE">
        <w:trPr>
          <w:trHeight w:val="203"/>
          <w:jc w:val="center"/>
        </w:trPr>
        <w:tc>
          <w:tcPr>
            <w:tcW w:w="2632" w:type="dxa"/>
            <w:shd w:val="clear" w:color="000000" w:fill="FFFFFF"/>
            <w:noWrap/>
            <w:vAlign w:val="center"/>
            <w:hideMark/>
          </w:tcPr>
          <w:p w:rsidR="00737045" w:rsidRPr="00E315BE" w:rsidRDefault="00737045" w:rsidP="00E315BE">
            <w:pPr>
              <w:spacing w:before="0" w:line="240" w:lineRule="auto"/>
              <w:jc w:val="right"/>
              <w:rPr>
                <w:rFonts w:asciiTheme="majorHAnsi" w:hAnsiTheme="majorHAnsi" w:cs="Calibri"/>
                <w:i/>
                <w:color w:val="000000"/>
                <w:sz w:val="18"/>
                <w:szCs w:val="20"/>
              </w:rPr>
            </w:pPr>
            <w:r w:rsidRPr="00E315BE">
              <w:rPr>
                <w:rFonts w:asciiTheme="majorHAnsi" w:hAnsiTheme="majorHAnsi" w:cs="Calibri"/>
                <w:i/>
                <w:color w:val="000000"/>
                <w:sz w:val="18"/>
                <w:szCs w:val="20"/>
              </w:rPr>
              <w:t>Aktivet Afatshkurtra</w:t>
            </w:r>
          </w:p>
        </w:tc>
        <w:tc>
          <w:tcPr>
            <w:tcW w:w="1960" w:type="dxa"/>
            <w:shd w:val="clear" w:color="000000" w:fill="FFFFFF"/>
            <w:noWrap/>
            <w:vAlign w:val="center"/>
            <w:hideMark/>
          </w:tcPr>
          <w:p w:rsidR="00737045" w:rsidRPr="00E315BE" w:rsidRDefault="00737045" w:rsidP="00E315BE">
            <w:pPr>
              <w:spacing w:before="0" w:line="240" w:lineRule="auto"/>
              <w:jc w:val="right"/>
              <w:rPr>
                <w:rFonts w:asciiTheme="majorHAnsi" w:hAnsiTheme="majorHAnsi" w:cs="Calibri"/>
                <w:i/>
                <w:color w:val="000000"/>
                <w:sz w:val="18"/>
                <w:szCs w:val="20"/>
              </w:rPr>
            </w:pPr>
            <w:r w:rsidRPr="00E315BE">
              <w:rPr>
                <w:rFonts w:asciiTheme="majorHAnsi" w:hAnsiTheme="majorHAnsi" w:cs="Calibri"/>
                <w:i/>
                <w:color w:val="000000"/>
                <w:sz w:val="18"/>
                <w:szCs w:val="20"/>
              </w:rPr>
              <w:t>17,528,623</w:t>
            </w:r>
          </w:p>
        </w:tc>
        <w:tc>
          <w:tcPr>
            <w:tcW w:w="1946" w:type="dxa"/>
            <w:shd w:val="clear" w:color="000000" w:fill="FFFFFF"/>
            <w:noWrap/>
            <w:vAlign w:val="center"/>
            <w:hideMark/>
          </w:tcPr>
          <w:p w:rsidR="00737045" w:rsidRPr="00E315BE" w:rsidRDefault="00737045" w:rsidP="00E315BE">
            <w:pPr>
              <w:spacing w:before="0" w:line="240" w:lineRule="auto"/>
              <w:jc w:val="right"/>
              <w:rPr>
                <w:rFonts w:asciiTheme="majorHAnsi" w:hAnsiTheme="majorHAnsi" w:cs="Calibri"/>
                <w:i/>
                <w:color w:val="000000"/>
                <w:sz w:val="18"/>
                <w:szCs w:val="20"/>
              </w:rPr>
            </w:pPr>
            <w:r w:rsidRPr="00E315BE">
              <w:rPr>
                <w:rFonts w:asciiTheme="majorHAnsi" w:hAnsiTheme="majorHAnsi" w:cs="Calibri"/>
                <w:i/>
                <w:color w:val="000000"/>
                <w:sz w:val="18"/>
                <w:szCs w:val="20"/>
              </w:rPr>
              <w:t>19,831,028</w:t>
            </w:r>
          </w:p>
        </w:tc>
        <w:tc>
          <w:tcPr>
            <w:tcW w:w="1946" w:type="dxa"/>
            <w:shd w:val="clear" w:color="000000" w:fill="FFFFFF"/>
            <w:noWrap/>
            <w:vAlign w:val="center"/>
            <w:hideMark/>
          </w:tcPr>
          <w:p w:rsidR="00737045" w:rsidRPr="00E315BE" w:rsidRDefault="00737045" w:rsidP="00E315BE">
            <w:pPr>
              <w:spacing w:before="0" w:line="240" w:lineRule="auto"/>
              <w:jc w:val="right"/>
              <w:rPr>
                <w:rFonts w:asciiTheme="majorHAnsi" w:hAnsiTheme="majorHAnsi" w:cs="Calibri"/>
                <w:i/>
                <w:color w:val="000000"/>
                <w:sz w:val="18"/>
                <w:szCs w:val="20"/>
              </w:rPr>
            </w:pPr>
            <w:r w:rsidRPr="00E315BE">
              <w:rPr>
                <w:rFonts w:asciiTheme="majorHAnsi" w:hAnsiTheme="majorHAnsi" w:cs="Calibri"/>
                <w:i/>
                <w:color w:val="000000"/>
                <w:sz w:val="18"/>
                <w:szCs w:val="20"/>
              </w:rPr>
              <w:t>16,635,942</w:t>
            </w:r>
          </w:p>
        </w:tc>
      </w:tr>
      <w:tr w:rsidR="00737045" w:rsidRPr="00E315BE" w:rsidTr="00E315BE">
        <w:trPr>
          <w:trHeight w:val="203"/>
          <w:jc w:val="center"/>
        </w:trPr>
        <w:tc>
          <w:tcPr>
            <w:tcW w:w="2632" w:type="dxa"/>
            <w:shd w:val="clear" w:color="000000" w:fill="FFFFFF"/>
            <w:noWrap/>
            <w:vAlign w:val="center"/>
            <w:hideMark/>
          </w:tcPr>
          <w:p w:rsidR="00737045" w:rsidRPr="00E315BE" w:rsidRDefault="00737045" w:rsidP="00E315BE">
            <w:pPr>
              <w:spacing w:before="0" w:line="240" w:lineRule="auto"/>
              <w:jc w:val="right"/>
              <w:rPr>
                <w:rFonts w:asciiTheme="majorHAnsi" w:hAnsiTheme="majorHAnsi" w:cs="Calibri"/>
                <w:i/>
                <w:color w:val="000000"/>
                <w:sz w:val="18"/>
                <w:szCs w:val="20"/>
              </w:rPr>
            </w:pPr>
            <w:r w:rsidRPr="00E315BE">
              <w:rPr>
                <w:rFonts w:asciiTheme="majorHAnsi" w:hAnsiTheme="majorHAnsi" w:cs="Calibri"/>
                <w:i/>
                <w:color w:val="000000"/>
                <w:sz w:val="18"/>
                <w:szCs w:val="20"/>
              </w:rPr>
              <w:t>Aktivet Afatgjata</w:t>
            </w:r>
          </w:p>
        </w:tc>
        <w:tc>
          <w:tcPr>
            <w:tcW w:w="1960" w:type="dxa"/>
            <w:shd w:val="clear" w:color="000000" w:fill="FFFFFF"/>
            <w:noWrap/>
            <w:vAlign w:val="center"/>
            <w:hideMark/>
          </w:tcPr>
          <w:p w:rsidR="00737045" w:rsidRPr="00E315BE" w:rsidRDefault="00737045" w:rsidP="00E315BE">
            <w:pPr>
              <w:spacing w:before="0" w:line="240" w:lineRule="auto"/>
              <w:jc w:val="right"/>
              <w:rPr>
                <w:rFonts w:asciiTheme="majorHAnsi" w:hAnsiTheme="majorHAnsi" w:cs="Calibri"/>
                <w:i/>
                <w:color w:val="000000"/>
                <w:sz w:val="18"/>
                <w:szCs w:val="20"/>
              </w:rPr>
            </w:pPr>
            <w:r w:rsidRPr="00E315BE">
              <w:rPr>
                <w:rFonts w:asciiTheme="majorHAnsi" w:hAnsiTheme="majorHAnsi" w:cs="Calibri"/>
                <w:i/>
                <w:color w:val="000000"/>
                <w:sz w:val="18"/>
                <w:szCs w:val="20"/>
              </w:rPr>
              <w:t>54,433,169</w:t>
            </w:r>
          </w:p>
        </w:tc>
        <w:tc>
          <w:tcPr>
            <w:tcW w:w="1946" w:type="dxa"/>
            <w:shd w:val="clear" w:color="000000" w:fill="FFFFFF"/>
            <w:noWrap/>
            <w:vAlign w:val="center"/>
            <w:hideMark/>
          </w:tcPr>
          <w:p w:rsidR="00737045" w:rsidRPr="00E315BE" w:rsidRDefault="00737045" w:rsidP="00E315BE">
            <w:pPr>
              <w:spacing w:before="0" w:line="240" w:lineRule="auto"/>
              <w:jc w:val="right"/>
              <w:rPr>
                <w:rFonts w:asciiTheme="majorHAnsi" w:hAnsiTheme="majorHAnsi" w:cs="Calibri"/>
                <w:i/>
                <w:color w:val="000000"/>
                <w:sz w:val="18"/>
                <w:szCs w:val="20"/>
              </w:rPr>
            </w:pPr>
            <w:r w:rsidRPr="00E315BE">
              <w:rPr>
                <w:rFonts w:asciiTheme="majorHAnsi" w:hAnsiTheme="majorHAnsi" w:cs="Calibri"/>
                <w:i/>
                <w:color w:val="000000"/>
                <w:sz w:val="18"/>
                <w:szCs w:val="20"/>
              </w:rPr>
              <w:t>54,205,009</w:t>
            </w:r>
          </w:p>
        </w:tc>
        <w:tc>
          <w:tcPr>
            <w:tcW w:w="1946" w:type="dxa"/>
            <w:shd w:val="clear" w:color="000000" w:fill="FFFFFF"/>
            <w:noWrap/>
            <w:vAlign w:val="center"/>
            <w:hideMark/>
          </w:tcPr>
          <w:p w:rsidR="00737045" w:rsidRPr="00E315BE" w:rsidRDefault="00737045" w:rsidP="00E315BE">
            <w:pPr>
              <w:spacing w:before="0" w:line="240" w:lineRule="auto"/>
              <w:jc w:val="right"/>
              <w:rPr>
                <w:rFonts w:asciiTheme="majorHAnsi" w:hAnsiTheme="majorHAnsi" w:cs="Calibri"/>
                <w:i/>
                <w:color w:val="000000"/>
                <w:sz w:val="18"/>
                <w:szCs w:val="20"/>
              </w:rPr>
            </w:pPr>
            <w:r w:rsidRPr="00E315BE">
              <w:rPr>
                <w:rFonts w:asciiTheme="majorHAnsi" w:hAnsiTheme="majorHAnsi" w:cs="Calibri"/>
                <w:i/>
                <w:color w:val="000000"/>
                <w:sz w:val="18"/>
                <w:szCs w:val="20"/>
              </w:rPr>
              <w:t>64,010,384</w:t>
            </w:r>
          </w:p>
        </w:tc>
      </w:tr>
      <w:tr w:rsidR="00737045" w:rsidRPr="00E315BE" w:rsidTr="00E315BE">
        <w:trPr>
          <w:trHeight w:val="203"/>
          <w:jc w:val="center"/>
        </w:trPr>
        <w:tc>
          <w:tcPr>
            <w:tcW w:w="2632" w:type="dxa"/>
            <w:shd w:val="clear" w:color="000000" w:fill="FFFFFF"/>
            <w:noWrap/>
            <w:vAlign w:val="center"/>
            <w:hideMark/>
          </w:tcPr>
          <w:p w:rsidR="00737045" w:rsidRPr="00E315BE" w:rsidRDefault="00737045" w:rsidP="00E315BE">
            <w:pPr>
              <w:spacing w:before="0" w:line="240" w:lineRule="auto"/>
              <w:jc w:val="center"/>
              <w:rPr>
                <w:rFonts w:asciiTheme="majorHAnsi" w:hAnsiTheme="majorHAnsi" w:cs="Calibri"/>
                <w:b/>
                <w:bCs/>
                <w:color w:val="000000"/>
                <w:sz w:val="20"/>
                <w:szCs w:val="20"/>
              </w:rPr>
            </w:pPr>
            <w:r w:rsidRPr="00E315BE">
              <w:rPr>
                <w:rFonts w:asciiTheme="majorHAnsi" w:hAnsiTheme="majorHAnsi" w:cs="Calibri"/>
                <w:b/>
                <w:bCs/>
                <w:color w:val="000000"/>
                <w:sz w:val="20"/>
                <w:szCs w:val="20"/>
              </w:rPr>
              <w:t>Total Aktive</w:t>
            </w:r>
          </w:p>
        </w:tc>
        <w:tc>
          <w:tcPr>
            <w:tcW w:w="1960" w:type="dxa"/>
            <w:shd w:val="clear" w:color="000000" w:fill="FFFFFF"/>
            <w:noWrap/>
            <w:vAlign w:val="center"/>
            <w:hideMark/>
          </w:tcPr>
          <w:p w:rsidR="00737045" w:rsidRPr="00E315BE" w:rsidRDefault="00737045" w:rsidP="00E315BE">
            <w:pPr>
              <w:spacing w:before="0" w:line="240" w:lineRule="auto"/>
              <w:jc w:val="center"/>
              <w:rPr>
                <w:rFonts w:asciiTheme="majorHAnsi" w:hAnsiTheme="majorHAnsi" w:cs="Calibri"/>
                <w:b/>
                <w:bCs/>
                <w:color w:val="000000"/>
                <w:sz w:val="20"/>
                <w:szCs w:val="20"/>
              </w:rPr>
            </w:pPr>
            <w:r w:rsidRPr="00E315BE">
              <w:rPr>
                <w:rFonts w:asciiTheme="majorHAnsi" w:hAnsiTheme="majorHAnsi" w:cs="Calibri"/>
                <w:b/>
                <w:bCs/>
                <w:color w:val="000000"/>
                <w:sz w:val="20"/>
                <w:szCs w:val="20"/>
              </w:rPr>
              <w:t>71,961,792</w:t>
            </w:r>
          </w:p>
        </w:tc>
        <w:tc>
          <w:tcPr>
            <w:tcW w:w="1946" w:type="dxa"/>
            <w:shd w:val="clear" w:color="000000" w:fill="FFFFFF"/>
            <w:noWrap/>
            <w:vAlign w:val="center"/>
            <w:hideMark/>
          </w:tcPr>
          <w:p w:rsidR="00737045" w:rsidRPr="00E315BE" w:rsidRDefault="00737045" w:rsidP="00E315BE">
            <w:pPr>
              <w:spacing w:before="0" w:line="240" w:lineRule="auto"/>
              <w:jc w:val="center"/>
              <w:rPr>
                <w:rFonts w:asciiTheme="majorHAnsi" w:hAnsiTheme="majorHAnsi" w:cs="Calibri"/>
                <w:b/>
                <w:bCs/>
                <w:color w:val="000000"/>
                <w:sz w:val="20"/>
                <w:szCs w:val="20"/>
              </w:rPr>
            </w:pPr>
            <w:r w:rsidRPr="00E315BE">
              <w:rPr>
                <w:rFonts w:asciiTheme="majorHAnsi" w:hAnsiTheme="majorHAnsi" w:cs="Calibri"/>
                <w:b/>
                <w:bCs/>
                <w:color w:val="000000"/>
                <w:sz w:val="20"/>
                <w:szCs w:val="20"/>
              </w:rPr>
              <w:t>74,036,037</w:t>
            </w:r>
          </w:p>
        </w:tc>
        <w:tc>
          <w:tcPr>
            <w:tcW w:w="1946" w:type="dxa"/>
            <w:shd w:val="clear" w:color="000000" w:fill="FFFFFF"/>
            <w:noWrap/>
            <w:vAlign w:val="center"/>
            <w:hideMark/>
          </w:tcPr>
          <w:p w:rsidR="00737045" w:rsidRPr="00E315BE" w:rsidRDefault="00737045" w:rsidP="00E315BE">
            <w:pPr>
              <w:spacing w:before="0" w:line="240" w:lineRule="auto"/>
              <w:jc w:val="center"/>
              <w:rPr>
                <w:rFonts w:asciiTheme="majorHAnsi" w:hAnsiTheme="majorHAnsi" w:cs="Calibri"/>
                <w:b/>
                <w:bCs/>
                <w:color w:val="000000"/>
                <w:sz w:val="20"/>
                <w:szCs w:val="20"/>
              </w:rPr>
            </w:pPr>
            <w:r w:rsidRPr="00E315BE">
              <w:rPr>
                <w:rFonts w:asciiTheme="majorHAnsi" w:hAnsiTheme="majorHAnsi" w:cs="Calibri"/>
                <w:b/>
                <w:bCs/>
                <w:color w:val="000000"/>
                <w:sz w:val="20"/>
                <w:szCs w:val="20"/>
              </w:rPr>
              <w:t>80,646,326</w:t>
            </w:r>
          </w:p>
        </w:tc>
      </w:tr>
      <w:tr w:rsidR="00737045" w:rsidRPr="00E315BE" w:rsidTr="00E315BE">
        <w:trPr>
          <w:trHeight w:val="203"/>
          <w:jc w:val="center"/>
        </w:trPr>
        <w:tc>
          <w:tcPr>
            <w:tcW w:w="2632" w:type="dxa"/>
            <w:shd w:val="clear" w:color="000000" w:fill="FFFFFF"/>
            <w:noWrap/>
            <w:vAlign w:val="center"/>
            <w:hideMark/>
          </w:tcPr>
          <w:p w:rsidR="00737045" w:rsidRPr="00E315BE" w:rsidRDefault="00737045" w:rsidP="00E315BE">
            <w:pPr>
              <w:spacing w:before="0" w:line="240" w:lineRule="auto"/>
              <w:jc w:val="right"/>
              <w:rPr>
                <w:rFonts w:asciiTheme="majorHAnsi" w:hAnsiTheme="majorHAnsi" w:cs="Calibri"/>
                <w:i/>
                <w:color w:val="000000"/>
                <w:sz w:val="18"/>
                <w:szCs w:val="20"/>
              </w:rPr>
            </w:pPr>
            <w:r w:rsidRPr="00E315BE">
              <w:rPr>
                <w:rFonts w:asciiTheme="majorHAnsi" w:hAnsiTheme="majorHAnsi" w:cs="Calibri"/>
                <w:i/>
                <w:color w:val="000000"/>
                <w:sz w:val="18"/>
                <w:szCs w:val="20"/>
              </w:rPr>
              <w:t>Detyrimet Afatshkurtra</w:t>
            </w:r>
          </w:p>
        </w:tc>
        <w:tc>
          <w:tcPr>
            <w:tcW w:w="1960" w:type="dxa"/>
            <w:shd w:val="clear" w:color="000000" w:fill="FFFFFF"/>
            <w:noWrap/>
            <w:vAlign w:val="center"/>
            <w:hideMark/>
          </w:tcPr>
          <w:p w:rsidR="00737045" w:rsidRPr="00E315BE" w:rsidRDefault="00737045" w:rsidP="00E315BE">
            <w:pPr>
              <w:spacing w:before="0" w:line="240" w:lineRule="auto"/>
              <w:jc w:val="right"/>
              <w:rPr>
                <w:rFonts w:asciiTheme="majorHAnsi" w:hAnsiTheme="majorHAnsi" w:cs="Calibri"/>
                <w:i/>
                <w:color w:val="000000"/>
                <w:sz w:val="18"/>
                <w:szCs w:val="20"/>
              </w:rPr>
            </w:pPr>
            <w:r w:rsidRPr="00E315BE">
              <w:rPr>
                <w:rFonts w:asciiTheme="majorHAnsi" w:hAnsiTheme="majorHAnsi" w:cs="Calibri"/>
                <w:i/>
                <w:color w:val="000000"/>
                <w:sz w:val="18"/>
                <w:szCs w:val="20"/>
              </w:rPr>
              <w:t>20,108,351</w:t>
            </w:r>
          </w:p>
        </w:tc>
        <w:tc>
          <w:tcPr>
            <w:tcW w:w="1946" w:type="dxa"/>
            <w:shd w:val="clear" w:color="000000" w:fill="FFFFFF"/>
            <w:noWrap/>
            <w:vAlign w:val="center"/>
            <w:hideMark/>
          </w:tcPr>
          <w:p w:rsidR="00737045" w:rsidRPr="00E315BE" w:rsidRDefault="00737045" w:rsidP="00E315BE">
            <w:pPr>
              <w:spacing w:before="0" w:line="240" w:lineRule="auto"/>
              <w:jc w:val="right"/>
              <w:rPr>
                <w:rFonts w:asciiTheme="majorHAnsi" w:hAnsiTheme="majorHAnsi" w:cs="Calibri"/>
                <w:i/>
                <w:color w:val="000000"/>
                <w:sz w:val="18"/>
                <w:szCs w:val="20"/>
              </w:rPr>
            </w:pPr>
            <w:r w:rsidRPr="00E315BE">
              <w:rPr>
                <w:rFonts w:asciiTheme="majorHAnsi" w:hAnsiTheme="majorHAnsi" w:cs="Calibri"/>
                <w:i/>
                <w:color w:val="000000"/>
                <w:sz w:val="18"/>
                <w:szCs w:val="20"/>
              </w:rPr>
              <w:t>23,013,914</w:t>
            </w:r>
          </w:p>
        </w:tc>
        <w:tc>
          <w:tcPr>
            <w:tcW w:w="1946" w:type="dxa"/>
            <w:shd w:val="clear" w:color="000000" w:fill="FFFFFF"/>
            <w:noWrap/>
            <w:vAlign w:val="center"/>
            <w:hideMark/>
          </w:tcPr>
          <w:p w:rsidR="00737045" w:rsidRPr="00E315BE" w:rsidRDefault="00737045" w:rsidP="00E315BE">
            <w:pPr>
              <w:spacing w:before="0" w:line="240" w:lineRule="auto"/>
              <w:jc w:val="right"/>
              <w:rPr>
                <w:rFonts w:asciiTheme="majorHAnsi" w:hAnsiTheme="majorHAnsi" w:cs="Calibri"/>
                <w:i/>
                <w:color w:val="000000"/>
                <w:sz w:val="18"/>
                <w:szCs w:val="20"/>
              </w:rPr>
            </w:pPr>
            <w:r w:rsidRPr="00E315BE">
              <w:rPr>
                <w:rFonts w:asciiTheme="majorHAnsi" w:hAnsiTheme="majorHAnsi" w:cs="Calibri"/>
                <w:i/>
                <w:color w:val="000000"/>
                <w:sz w:val="18"/>
                <w:szCs w:val="20"/>
              </w:rPr>
              <w:t>27,005,050</w:t>
            </w:r>
          </w:p>
        </w:tc>
      </w:tr>
      <w:tr w:rsidR="00737045" w:rsidRPr="00E315BE" w:rsidTr="00E315BE">
        <w:trPr>
          <w:trHeight w:val="203"/>
          <w:jc w:val="center"/>
        </w:trPr>
        <w:tc>
          <w:tcPr>
            <w:tcW w:w="2632" w:type="dxa"/>
            <w:shd w:val="clear" w:color="000000" w:fill="FFFFFF"/>
            <w:noWrap/>
            <w:vAlign w:val="center"/>
            <w:hideMark/>
          </w:tcPr>
          <w:p w:rsidR="00737045" w:rsidRPr="00E315BE" w:rsidRDefault="00737045" w:rsidP="00E315BE">
            <w:pPr>
              <w:spacing w:before="0" w:line="240" w:lineRule="auto"/>
              <w:jc w:val="right"/>
              <w:rPr>
                <w:rFonts w:asciiTheme="majorHAnsi" w:hAnsiTheme="majorHAnsi" w:cs="Calibri"/>
                <w:i/>
                <w:color w:val="000000"/>
                <w:sz w:val="18"/>
                <w:szCs w:val="20"/>
              </w:rPr>
            </w:pPr>
            <w:r w:rsidRPr="00E315BE">
              <w:rPr>
                <w:rFonts w:asciiTheme="majorHAnsi" w:hAnsiTheme="majorHAnsi" w:cs="Calibri"/>
                <w:i/>
                <w:color w:val="000000"/>
                <w:sz w:val="18"/>
                <w:szCs w:val="20"/>
              </w:rPr>
              <w:t>Detyrimet Afatgjata</w:t>
            </w:r>
          </w:p>
        </w:tc>
        <w:tc>
          <w:tcPr>
            <w:tcW w:w="1960" w:type="dxa"/>
            <w:shd w:val="clear" w:color="000000" w:fill="FFFFFF"/>
            <w:noWrap/>
            <w:vAlign w:val="center"/>
            <w:hideMark/>
          </w:tcPr>
          <w:p w:rsidR="00737045" w:rsidRPr="00E315BE" w:rsidRDefault="00737045" w:rsidP="00E315BE">
            <w:pPr>
              <w:spacing w:before="0" w:line="240" w:lineRule="auto"/>
              <w:jc w:val="right"/>
              <w:rPr>
                <w:rFonts w:asciiTheme="majorHAnsi" w:hAnsiTheme="majorHAnsi" w:cs="Calibri"/>
                <w:i/>
                <w:color w:val="000000"/>
                <w:sz w:val="18"/>
                <w:szCs w:val="20"/>
              </w:rPr>
            </w:pPr>
            <w:r w:rsidRPr="00E315BE">
              <w:rPr>
                <w:rFonts w:asciiTheme="majorHAnsi" w:hAnsiTheme="majorHAnsi" w:cs="Calibri"/>
                <w:i/>
                <w:color w:val="000000"/>
                <w:sz w:val="18"/>
                <w:szCs w:val="20"/>
              </w:rPr>
              <w:t>20,087,158</w:t>
            </w:r>
          </w:p>
        </w:tc>
        <w:tc>
          <w:tcPr>
            <w:tcW w:w="1946" w:type="dxa"/>
            <w:shd w:val="clear" w:color="000000" w:fill="FFFFFF"/>
            <w:noWrap/>
            <w:vAlign w:val="center"/>
            <w:hideMark/>
          </w:tcPr>
          <w:p w:rsidR="00737045" w:rsidRPr="00E315BE" w:rsidRDefault="00737045" w:rsidP="00E315BE">
            <w:pPr>
              <w:spacing w:before="0" w:line="240" w:lineRule="auto"/>
              <w:jc w:val="right"/>
              <w:rPr>
                <w:rFonts w:asciiTheme="majorHAnsi" w:hAnsiTheme="majorHAnsi" w:cs="Calibri"/>
                <w:i/>
                <w:color w:val="000000"/>
                <w:sz w:val="18"/>
                <w:szCs w:val="20"/>
              </w:rPr>
            </w:pPr>
            <w:r w:rsidRPr="00E315BE">
              <w:rPr>
                <w:rFonts w:asciiTheme="majorHAnsi" w:hAnsiTheme="majorHAnsi" w:cs="Calibri"/>
                <w:i/>
                <w:color w:val="000000"/>
                <w:sz w:val="18"/>
                <w:szCs w:val="20"/>
              </w:rPr>
              <w:t>18,701,696</w:t>
            </w:r>
          </w:p>
        </w:tc>
        <w:tc>
          <w:tcPr>
            <w:tcW w:w="1946" w:type="dxa"/>
            <w:shd w:val="clear" w:color="000000" w:fill="FFFFFF"/>
            <w:noWrap/>
            <w:vAlign w:val="center"/>
            <w:hideMark/>
          </w:tcPr>
          <w:p w:rsidR="00737045" w:rsidRPr="00E315BE" w:rsidRDefault="00737045" w:rsidP="00E315BE">
            <w:pPr>
              <w:spacing w:before="0" w:line="240" w:lineRule="auto"/>
              <w:jc w:val="right"/>
              <w:rPr>
                <w:rFonts w:asciiTheme="majorHAnsi" w:hAnsiTheme="majorHAnsi" w:cs="Calibri"/>
                <w:i/>
                <w:color w:val="000000"/>
                <w:sz w:val="18"/>
                <w:szCs w:val="20"/>
              </w:rPr>
            </w:pPr>
            <w:r w:rsidRPr="00E315BE">
              <w:rPr>
                <w:rFonts w:asciiTheme="majorHAnsi" w:hAnsiTheme="majorHAnsi" w:cs="Calibri"/>
                <w:i/>
                <w:color w:val="000000"/>
                <w:sz w:val="18"/>
                <w:szCs w:val="20"/>
              </w:rPr>
              <w:t>19,857,749</w:t>
            </w:r>
          </w:p>
        </w:tc>
      </w:tr>
      <w:tr w:rsidR="00737045" w:rsidRPr="00E315BE" w:rsidTr="00E315BE">
        <w:trPr>
          <w:trHeight w:val="203"/>
          <w:jc w:val="center"/>
        </w:trPr>
        <w:tc>
          <w:tcPr>
            <w:tcW w:w="2632" w:type="dxa"/>
            <w:shd w:val="clear" w:color="000000" w:fill="FFFFFF"/>
            <w:noWrap/>
            <w:vAlign w:val="center"/>
            <w:hideMark/>
          </w:tcPr>
          <w:p w:rsidR="00737045" w:rsidRPr="00E315BE" w:rsidRDefault="00737045" w:rsidP="00E315BE">
            <w:pPr>
              <w:spacing w:before="0" w:line="240" w:lineRule="auto"/>
              <w:jc w:val="center"/>
              <w:rPr>
                <w:rFonts w:asciiTheme="majorHAnsi" w:hAnsiTheme="majorHAnsi" w:cs="Calibri"/>
                <w:b/>
                <w:bCs/>
                <w:color w:val="000000"/>
                <w:sz w:val="20"/>
                <w:szCs w:val="20"/>
              </w:rPr>
            </w:pPr>
            <w:r w:rsidRPr="00E315BE">
              <w:rPr>
                <w:rFonts w:asciiTheme="majorHAnsi" w:hAnsiTheme="majorHAnsi" w:cs="Calibri"/>
                <w:b/>
                <w:bCs/>
                <w:color w:val="000000"/>
                <w:sz w:val="20"/>
                <w:szCs w:val="20"/>
              </w:rPr>
              <w:t>Total Detyrime</w:t>
            </w:r>
          </w:p>
        </w:tc>
        <w:tc>
          <w:tcPr>
            <w:tcW w:w="1960" w:type="dxa"/>
            <w:shd w:val="clear" w:color="000000" w:fill="FFFFFF"/>
            <w:noWrap/>
            <w:vAlign w:val="center"/>
            <w:hideMark/>
          </w:tcPr>
          <w:p w:rsidR="00737045" w:rsidRPr="00E315BE" w:rsidRDefault="00737045" w:rsidP="00E315BE">
            <w:pPr>
              <w:spacing w:before="0" w:line="240" w:lineRule="auto"/>
              <w:jc w:val="center"/>
              <w:rPr>
                <w:rFonts w:asciiTheme="majorHAnsi" w:hAnsiTheme="majorHAnsi" w:cs="Calibri"/>
                <w:b/>
                <w:bCs/>
                <w:color w:val="000000"/>
                <w:sz w:val="20"/>
                <w:szCs w:val="20"/>
              </w:rPr>
            </w:pPr>
            <w:r w:rsidRPr="00E315BE">
              <w:rPr>
                <w:rFonts w:asciiTheme="majorHAnsi" w:hAnsiTheme="majorHAnsi" w:cs="Calibri"/>
                <w:b/>
                <w:bCs/>
                <w:color w:val="000000"/>
                <w:sz w:val="20"/>
                <w:szCs w:val="20"/>
              </w:rPr>
              <w:t>40,195,509</w:t>
            </w:r>
          </w:p>
        </w:tc>
        <w:tc>
          <w:tcPr>
            <w:tcW w:w="1946" w:type="dxa"/>
            <w:shd w:val="clear" w:color="000000" w:fill="FFFFFF"/>
            <w:noWrap/>
            <w:vAlign w:val="center"/>
            <w:hideMark/>
          </w:tcPr>
          <w:p w:rsidR="00737045" w:rsidRPr="00E315BE" w:rsidRDefault="00737045" w:rsidP="00E315BE">
            <w:pPr>
              <w:spacing w:before="0" w:line="240" w:lineRule="auto"/>
              <w:jc w:val="center"/>
              <w:rPr>
                <w:rFonts w:asciiTheme="majorHAnsi" w:hAnsiTheme="majorHAnsi" w:cs="Calibri"/>
                <w:b/>
                <w:bCs/>
                <w:color w:val="000000"/>
                <w:sz w:val="20"/>
                <w:szCs w:val="20"/>
              </w:rPr>
            </w:pPr>
            <w:r w:rsidRPr="00E315BE">
              <w:rPr>
                <w:rFonts w:asciiTheme="majorHAnsi" w:hAnsiTheme="majorHAnsi" w:cs="Calibri"/>
                <w:b/>
                <w:bCs/>
                <w:color w:val="000000"/>
                <w:sz w:val="20"/>
                <w:szCs w:val="20"/>
              </w:rPr>
              <w:t>41,715,610</w:t>
            </w:r>
          </w:p>
        </w:tc>
        <w:tc>
          <w:tcPr>
            <w:tcW w:w="1946" w:type="dxa"/>
            <w:shd w:val="clear" w:color="000000" w:fill="FFFFFF"/>
            <w:noWrap/>
            <w:vAlign w:val="center"/>
            <w:hideMark/>
          </w:tcPr>
          <w:p w:rsidR="00737045" w:rsidRPr="00E315BE" w:rsidRDefault="00737045" w:rsidP="00E315BE">
            <w:pPr>
              <w:spacing w:before="0" w:line="240" w:lineRule="auto"/>
              <w:jc w:val="center"/>
              <w:rPr>
                <w:rFonts w:asciiTheme="majorHAnsi" w:hAnsiTheme="majorHAnsi" w:cs="Calibri"/>
                <w:b/>
                <w:bCs/>
                <w:color w:val="000000"/>
                <w:sz w:val="20"/>
                <w:szCs w:val="20"/>
              </w:rPr>
            </w:pPr>
            <w:r w:rsidRPr="00E315BE">
              <w:rPr>
                <w:rFonts w:asciiTheme="majorHAnsi" w:hAnsiTheme="majorHAnsi" w:cs="Calibri"/>
                <w:b/>
                <w:bCs/>
                <w:color w:val="000000"/>
                <w:sz w:val="20"/>
                <w:szCs w:val="20"/>
              </w:rPr>
              <w:t>46,862,799</w:t>
            </w:r>
          </w:p>
        </w:tc>
      </w:tr>
      <w:tr w:rsidR="00737045" w:rsidRPr="00E315BE" w:rsidTr="00E315BE">
        <w:trPr>
          <w:trHeight w:val="213"/>
          <w:jc w:val="center"/>
        </w:trPr>
        <w:tc>
          <w:tcPr>
            <w:tcW w:w="2632" w:type="dxa"/>
            <w:shd w:val="clear" w:color="000000" w:fill="FFFFFF"/>
            <w:noWrap/>
            <w:vAlign w:val="center"/>
            <w:hideMark/>
          </w:tcPr>
          <w:p w:rsidR="00737045" w:rsidRPr="00E315BE" w:rsidRDefault="00737045" w:rsidP="00E315BE">
            <w:pPr>
              <w:spacing w:before="0" w:line="240" w:lineRule="auto"/>
              <w:jc w:val="center"/>
              <w:rPr>
                <w:rFonts w:asciiTheme="majorHAnsi" w:hAnsiTheme="majorHAnsi" w:cs="Calibri"/>
                <w:b/>
                <w:bCs/>
                <w:color w:val="000000"/>
                <w:sz w:val="20"/>
                <w:szCs w:val="20"/>
              </w:rPr>
            </w:pPr>
            <w:r w:rsidRPr="00E315BE">
              <w:rPr>
                <w:rFonts w:asciiTheme="majorHAnsi" w:hAnsiTheme="majorHAnsi" w:cs="Calibri"/>
                <w:b/>
                <w:bCs/>
                <w:color w:val="000000"/>
                <w:sz w:val="20"/>
                <w:szCs w:val="20"/>
              </w:rPr>
              <w:t>Kapital</w:t>
            </w:r>
          </w:p>
        </w:tc>
        <w:tc>
          <w:tcPr>
            <w:tcW w:w="1960" w:type="dxa"/>
            <w:shd w:val="clear" w:color="000000" w:fill="FFFFFF"/>
            <w:noWrap/>
            <w:vAlign w:val="center"/>
            <w:hideMark/>
          </w:tcPr>
          <w:p w:rsidR="00737045" w:rsidRPr="00E315BE" w:rsidRDefault="00737045" w:rsidP="00E315BE">
            <w:pPr>
              <w:spacing w:before="0" w:line="240" w:lineRule="auto"/>
              <w:jc w:val="center"/>
              <w:rPr>
                <w:rFonts w:asciiTheme="majorHAnsi" w:hAnsiTheme="majorHAnsi" w:cs="Calibri"/>
                <w:b/>
                <w:bCs/>
                <w:color w:val="000000"/>
                <w:sz w:val="20"/>
                <w:szCs w:val="20"/>
              </w:rPr>
            </w:pPr>
            <w:r w:rsidRPr="00E315BE">
              <w:rPr>
                <w:rFonts w:asciiTheme="majorHAnsi" w:hAnsiTheme="majorHAnsi" w:cs="Calibri"/>
                <w:b/>
                <w:bCs/>
                <w:color w:val="000000"/>
                <w:sz w:val="20"/>
                <w:szCs w:val="20"/>
              </w:rPr>
              <w:t>31,766,283</w:t>
            </w:r>
          </w:p>
        </w:tc>
        <w:tc>
          <w:tcPr>
            <w:tcW w:w="1946" w:type="dxa"/>
            <w:shd w:val="clear" w:color="000000" w:fill="FFFFFF"/>
            <w:noWrap/>
            <w:vAlign w:val="center"/>
            <w:hideMark/>
          </w:tcPr>
          <w:p w:rsidR="00737045" w:rsidRPr="00E315BE" w:rsidRDefault="00737045" w:rsidP="00E315BE">
            <w:pPr>
              <w:spacing w:before="0" w:line="240" w:lineRule="auto"/>
              <w:jc w:val="center"/>
              <w:rPr>
                <w:rFonts w:asciiTheme="majorHAnsi" w:hAnsiTheme="majorHAnsi" w:cs="Calibri"/>
                <w:b/>
                <w:bCs/>
                <w:color w:val="000000"/>
                <w:sz w:val="20"/>
                <w:szCs w:val="20"/>
              </w:rPr>
            </w:pPr>
            <w:r w:rsidRPr="00E315BE">
              <w:rPr>
                <w:rFonts w:asciiTheme="majorHAnsi" w:hAnsiTheme="majorHAnsi" w:cs="Calibri"/>
                <w:b/>
                <w:bCs/>
                <w:color w:val="000000"/>
                <w:sz w:val="20"/>
                <w:szCs w:val="20"/>
              </w:rPr>
              <w:t>32,320,427</w:t>
            </w:r>
          </w:p>
        </w:tc>
        <w:tc>
          <w:tcPr>
            <w:tcW w:w="1946" w:type="dxa"/>
            <w:shd w:val="clear" w:color="000000" w:fill="FFFFFF"/>
            <w:noWrap/>
            <w:vAlign w:val="center"/>
            <w:hideMark/>
          </w:tcPr>
          <w:p w:rsidR="00737045" w:rsidRPr="00E315BE" w:rsidRDefault="00737045" w:rsidP="00E315BE">
            <w:pPr>
              <w:spacing w:before="0" w:line="240" w:lineRule="auto"/>
              <w:jc w:val="center"/>
              <w:rPr>
                <w:rFonts w:asciiTheme="majorHAnsi" w:hAnsiTheme="majorHAnsi" w:cs="Calibri"/>
                <w:b/>
                <w:bCs/>
                <w:color w:val="000000"/>
                <w:sz w:val="20"/>
                <w:szCs w:val="20"/>
              </w:rPr>
            </w:pPr>
            <w:r w:rsidRPr="00E315BE">
              <w:rPr>
                <w:rFonts w:asciiTheme="majorHAnsi" w:hAnsiTheme="majorHAnsi" w:cs="Calibri"/>
                <w:b/>
                <w:bCs/>
                <w:color w:val="000000"/>
                <w:sz w:val="20"/>
                <w:szCs w:val="20"/>
              </w:rPr>
              <w:t>33,783,526</w:t>
            </w:r>
          </w:p>
        </w:tc>
      </w:tr>
    </w:tbl>
    <w:p w:rsidR="00737045" w:rsidRPr="00E315BE" w:rsidRDefault="00737045" w:rsidP="00737045">
      <w:pPr>
        <w:spacing w:before="240" w:line="360" w:lineRule="auto"/>
        <w:contextualSpacing/>
        <w:rPr>
          <w:rFonts w:asciiTheme="majorHAnsi" w:hAnsiTheme="majorHAnsi"/>
          <w:i/>
          <w:sz w:val="18"/>
          <w:szCs w:val="20"/>
          <w:lang w:val="sq-AL"/>
        </w:rPr>
      </w:pPr>
      <w:r>
        <w:rPr>
          <w:i/>
          <w:highlight w:val="yellow"/>
          <w:lang w:val="sq-AL"/>
        </w:rPr>
        <w:fldChar w:fldCharType="end"/>
      </w:r>
      <w:r w:rsidRPr="00E315BE">
        <w:rPr>
          <w:rFonts w:asciiTheme="majorHAnsi" w:hAnsiTheme="majorHAnsi"/>
          <w:i/>
          <w:sz w:val="20"/>
          <w:lang w:val="sq-AL"/>
        </w:rPr>
        <w:t xml:space="preserve">                       </w:t>
      </w:r>
      <w:r w:rsidRPr="00E315BE">
        <w:rPr>
          <w:rFonts w:asciiTheme="majorHAnsi" w:hAnsiTheme="majorHAnsi"/>
          <w:i/>
          <w:sz w:val="18"/>
          <w:szCs w:val="20"/>
          <w:lang w:val="sq-AL"/>
        </w:rPr>
        <w:t>Burimi: OST Sh.a.</w:t>
      </w:r>
    </w:p>
    <w:p w:rsidR="00737045" w:rsidRPr="003F4C0A" w:rsidRDefault="00737045" w:rsidP="00737045">
      <w:pPr>
        <w:spacing w:before="240" w:line="360" w:lineRule="auto"/>
        <w:contextualSpacing/>
        <w:jc w:val="center"/>
        <w:rPr>
          <w:i/>
          <w:highlight w:val="yellow"/>
          <w:lang w:val="sq-AL"/>
        </w:rPr>
      </w:pPr>
    </w:p>
    <w:p w:rsidR="00C6090D" w:rsidRPr="00366408" w:rsidRDefault="00C6090D" w:rsidP="00366408">
      <w:pPr>
        <w:pStyle w:val="fiskale3"/>
        <w:rPr>
          <w:rFonts w:ascii="Calibri" w:hAnsi="Calibri" w:cs="Calibri"/>
        </w:rPr>
      </w:pPr>
      <w:bookmarkStart w:id="194" w:name="_Toc104980348"/>
      <w:r w:rsidRPr="00366408">
        <w:rPr>
          <w:rFonts w:ascii="Calibri" w:hAnsi="Calibri" w:cs="Calibri"/>
        </w:rPr>
        <w:lastRenderedPageBreak/>
        <w:t>Ndërmarrjet e Sektorit të Ujësjellës-Kanalizimeve</w:t>
      </w:r>
      <w:bookmarkEnd w:id="194"/>
    </w:p>
    <w:p w:rsidR="007223E1" w:rsidRDefault="007223E1" w:rsidP="007223E1">
      <w:pPr>
        <w:spacing w:after="120"/>
        <w:rPr>
          <w:rFonts w:eastAsia="SimSun" w:cs="Calibri"/>
          <w:lang w:val="sq-AL"/>
        </w:rPr>
      </w:pPr>
      <w:r>
        <w:rPr>
          <w:rFonts w:eastAsia="SimSun" w:cs="Calibri"/>
          <w:lang w:val="sq-AL"/>
        </w:rPr>
        <w:t>N</w:t>
      </w:r>
      <w:r w:rsidRPr="00476D2E">
        <w:rPr>
          <w:rFonts w:eastAsia="SimSun" w:cs="Calibri"/>
          <w:lang w:val="sq-AL"/>
        </w:rPr>
        <w:t>ë kuadër të përmirësimit të monitori</w:t>
      </w:r>
      <w:r>
        <w:rPr>
          <w:rFonts w:eastAsia="SimSun" w:cs="Calibri"/>
          <w:lang w:val="sq-AL"/>
        </w:rPr>
        <w:t>mit të ndërmarrjeve shtetërore, Ministria e Financave dhe Ekon</w:t>
      </w:r>
      <w:r w:rsidRPr="00476D2E">
        <w:rPr>
          <w:rFonts w:eastAsia="SimSun" w:cs="Calibri"/>
          <w:lang w:val="sq-AL"/>
        </w:rPr>
        <w:t>omisë, përmes Sektorit të Monitorimit të Risqeve</w:t>
      </w:r>
      <w:r>
        <w:rPr>
          <w:rFonts w:eastAsia="SimSun" w:cs="Calibri"/>
          <w:lang w:val="sq-AL"/>
        </w:rPr>
        <w:t>,</w:t>
      </w:r>
      <w:r w:rsidRPr="00476D2E">
        <w:rPr>
          <w:rFonts w:eastAsia="SimSun" w:cs="Calibri"/>
          <w:lang w:val="sq-AL"/>
        </w:rPr>
        <w:t xml:space="preserve"> </w:t>
      </w:r>
      <w:r>
        <w:rPr>
          <w:rFonts w:eastAsia="SimSun" w:cs="Calibri"/>
          <w:lang w:val="sq-AL"/>
        </w:rPr>
        <w:t xml:space="preserve">ka monitoruar </w:t>
      </w:r>
      <w:r w:rsidRPr="00FF664D">
        <w:rPr>
          <w:rFonts w:eastAsia="SimSun" w:cs="Calibri"/>
          <w:lang w:val="sq-AL"/>
        </w:rPr>
        <w:t>disa tregues kryesorë financiarë të ndërmarr</w:t>
      </w:r>
      <w:r w:rsidR="000B327D">
        <w:rPr>
          <w:rFonts w:eastAsia="SimSun" w:cs="Calibri"/>
          <w:lang w:val="sq-AL"/>
        </w:rPr>
        <w:t xml:space="preserve">jeve të Ujësjellës Kanalizime. </w:t>
      </w:r>
      <w:r w:rsidR="000B327D" w:rsidRPr="00476D2E">
        <w:rPr>
          <w:rFonts w:eastAsia="SimSun" w:cs="Calibri"/>
          <w:lang w:val="sq-AL"/>
        </w:rPr>
        <w:t>Për vitin 202</w:t>
      </w:r>
      <w:r w:rsidR="000B327D">
        <w:rPr>
          <w:rFonts w:eastAsia="SimSun" w:cs="Calibri"/>
          <w:lang w:val="sq-AL"/>
        </w:rPr>
        <w:t>1</w:t>
      </w:r>
      <w:r w:rsidR="000B327D" w:rsidRPr="00476D2E">
        <w:rPr>
          <w:rFonts w:eastAsia="SimSun" w:cs="Calibri"/>
          <w:lang w:val="sq-AL"/>
        </w:rPr>
        <w:t xml:space="preserve">, nga të dhënat </w:t>
      </w:r>
      <w:r w:rsidR="000B327D">
        <w:rPr>
          <w:rFonts w:eastAsia="SimSun" w:cs="Calibri"/>
          <w:lang w:val="sq-AL"/>
        </w:rPr>
        <w:t xml:space="preserve">kryesore financiare </w:t>
      </w:r>
      <w:r w:rsidR="000B327D" w:rsidRPr="00476D2E">
        <w:rPr>
          <w:rFonts w:eastAsia="SimSun" w:cs="Calibri"/>
          <w:lang w:val="sq-AL"/>
        </w:rPr>
        <w:t xml:space="preserve">të sektorit, </w:t>
      </w:r>
      <w:r w:rsidR="000B327D">
        <w:rPr>
          <w:rFonts w:eastAsia="SimSun" w:cs="Calibri"/>
          <w:lang w:val="sq-AL"/>
        </w:rPr>
        <w:t>të përcjella nga AKUM, 55</w:t>
      </w:r>
      <w:r w:rsidR="000B327D" w:rsidRPr="00476D2E">
        <w:rPr>
          <w:rFonts w:eastAsia="SimSun" w:cs="Calibri"/>
          <w:lang w:val="sq-AL"/>
        </w:rPr>
        <w:t xml:space="preserve"> ndërmarrje rezultojnë me humbje </w:t>
      </w:r>
      <w:r w:rsidR="000B327D">
        <w:rPr>
          <w:rFonts w:eastAsia="SimSun" w:cs="Calibri"/>
          <w:lang w:val="sq-AL"/>
        </w:rPr>
        <w:t>dhe 3</w:t>
      </w:r>
      <w:r w:rsidR="000B327D" w:rsidRPr="00476D2E">
        <w:rPr>
          <w:rFonts w:eastAsia="SimSun" w:cs="Calibri"/>
          <w:lang w:val="sq-AL"/>
        </w:rPr>
        <w:t xml:space="preserve"> ndërmarrje rezultojnë me fitim.. </w:t>
      </w:r>
      <w:r w:rsidR="000B327D">
        <w:rPr>
          <w:rFonts w:eastAsia="SimSun" w:cs="Calibri"/>
          <w:lang w:val="sq-AL"/>
        </w:rPr>
        <w:t xml:space="preserve">Mbi bazë krahasimore, vërehet një rritje me +13 ndërmarrje me humbje, nga 42 të tilla që ishin në 2020. Ndërkohë që, numri i ndërmarrjeve me fitim është ulur me -7 të tilla, nga </w:t>
      </w:r>
      <w:r w:rsidR="000B327D" w:rsidRPr="00476D2E">
        <w:rPr>
          <w:rFonts w:eastAsia="SimSun" w:cs="Calibri"/>
          <w:lang w:val="sq-AL"/>
        </w:rPr>
        <w:t>1</w:t>
      </w:r>
      <w:r w:rsidR="000B327D">
        <w:rPr>
          <w:rFonts w:eastAsia="SimSun" w:cs="Calibri"/>
          <w:lang w:val="sq-AL"/>
        </w:rPr>
        <w:t xml:space="preserve">0 ndërmarrje </w:t>
      </w:r>
      <w:r w:rsidR="000B327D" w:rsidRPr="00476D2E">
        <w:rPr>
          <w:rFonts w:eastAsia="SimSun" w:cs="Calibri"/>
          <w:lang w:val="sq-AL"/>
        </w:rPr>
        <w:t xml:space="preserve">me fitim </w:t>
      </w:r>
      <w:r w:rsidR="000B327D">
        <w:rPr>
          <w:rFonts w:eastAsia="SimSun" w:cs="Calibri"/>
          <w:lang w:val="sq-AL"/>
        </w:rPr>
        <w:t>që u shënuan në 2020</w:t>
      </w:r>
      <w:r w:rsidR="000B327D" w:rsidRPr="00476D2E">
        <w:rPr>
          <w:rFonts w:eastAsia="SimSun" w:cs="Calibri"/>
          <w:lang w:val="sq-AL"/>
        </w:rPr>
        <w:t xml:space="preserve">. </w:t>
      </w:r>
      <w:r w:rsidR="000B327D">
        <w:rPr>
          <w:rFonts w:eastAsia="SimSun" w:cs="Calibri"/>
          <w:lang w:val="sq-AL"/>
        </w:rPr>
        <w:t>P</w:t>
      </w:r>
      <w:r w:rsidR="000B327D" w:rsidRPr="00476D2E">
        <w:rPr>
          <w:rFonts w:eastAsia="SimSun" w:cs="Calibri"/>
          <w:lang w:val="sq-AL"/>
        </w:rPr>
        <w:t>ër vitin 20</w:t>
      </w:r>
      <w:r w:rsidR="000B327D">
        <w:rPr>
          <w:rFonts w:eastAsia="SimSun" w:cs="Calibri"/>
          <w:lang w:val="sq-AL"/>
        </w:rPr>
        <w:t>21, n</w:t>
      </w:r>
      <w:r w:rsidR="000B327D" w:rsidRPr="00476D2E">
        <w:rPr>
          <w:rFonts w:eastAsia="SimSun" w:cs="Calibri"/>
          <w:lang w:val="sq-AL"/>
        </w:rPr>
        <w:t>dërmarrjet Durrës</w:t>
      </w:r>
      <w:r w:rsidR="000B327D">
        <w:rPr>
          <w:rFonts w:eastAsia="SimSun" w:cs="Calibri"/>
          <w:lang w:val="sq-AL"/>
        </w:rPr>
        <w:t xml:space="preserve">, Kamëz, </w:t>
      </w:r>
      <w:r w:rsidR="000B327D" w:rsidRPr="00476D2E">
        <w:rPr>
          <w:rFonts w:eastAsia="SimSun" w:cs="Calibri"/>
          <w:lang w:val="sq-AL"/>
        </w:rPr>
        <w:t xml:space="preserve">Vlorë, </w:t>
      </w:r>
      <w:r w:rsidR="000B327D">
        <w:rPr>
          <w:rFonts w:eastAsia="SimSun" w:cs="Calibri"/>
          <w:lang w:val="sq-AL"/>
        </w:rPr>
        <w:t>Shkodër</w:t>
      </w:r>
      <w:r w:rsidR="000B327D" w:rsidRPr="00476D2E">
        <w:rPr>
          <w:rFonts w:eastAsia="SimSun" w:cs="Calibri"/>
          <w:lang w:val="sq-AL"/>
        </w:rPr>
        <w:t xml:space="preserve"> </w:t>
      </w:r>
      <w:r w:rsidR="000B327D">
        <w:rPr>
          <w:rFonts w:eastAsia="SimSun" w:cs="Calibri"/>
          <w:lang w:val="sq-AL"/>
        </w:rPr>
        <w:t xml:space="preserve">dhe </w:t>
      </w:r>
      <w:r w:rsidR="000B327D" w:rsidRPr="00476D2E">
        <w:rPr>
          <w:rFonts w:eastAsia="SimSun" w:cs="Calibri"/>
          <w:lang w:val="sq-AL"/>
        </w:rPr>
        <w:t xml:space="preserve">Kavajë </w:t>
      </w:r>
      <w:r w:rsidR="000B327D">
        <w:rPr>
          <w:rFonts w:eastAsia="SimSun" w:cs="Calibri"/>
          <w:lang w:val="sq-AL"/>
        </w:rPr>
        <w:t xml:space="preserve">ishin ndërmarrjet që </w:t>
      </w:r>
      <w:r w:rsidR="000B327D" w:rsidRPr="00476D2E">
        <w:rPr>
          <w:rFonts w:eastAsia="SimSun" w:cs="Calibri"/>
          <w:lang w:val="sq-AL"/>
        </w:rPr>
        <w:t>raport</w:t>
      </w:r>
      <w:r w:rsidR="000B327D">
        <w:rPr>
          <w:rFonts w:eastAsia="SimSun" w:cs="Calibri"/>
          <w:lang w:val="sq-AL"/>
        </w:rPr>
        <w:t>uan pjesën kryesore të</w:t>
      </w:r>
      <w:r w:rsidR="000B327D" w:rsidRPr="00476D2E">
        <w:rPr>
          <w:rFonts w:eastAsia="SimSun" w:cs="Calibri"/>
          <w:lang w:val="sq-AL"/>
        </w:rPr>
        <w:t xml:space="preserve"> </w:t>
      </w:r>
      <w:r w:rsidR="000B327D">
        <w:rPr>
          <w:rFonts w:eastAsia="SimSun" w:cs="Calibri"/>
          <w:lang w:val="sq-AL"/>
        </w:rPr>
        <w:t xml:space="preserve">humbjeve të </w:t>
      </w:r>
      <w:r w:rsidR="000B327D" w:rsidRPr="00476D2E">
        <w:rPr>
          <w:rFonts w:eastAsia="SimSun" w:cs="Calibri"/>
          <w:lang w:val="sq-AL"/>
        </w:rPr>
        <w:t>sektorit</w:t>
      </w:r>
      <w:r w:rsidR="000B327D">
        <w:rPr>
          <w:rFonts w:eastAsia="SimSun" w:cs="Calibri"/>
          <w:lang w:val="sq-AL"/>
        </w:rPr>
        <w:t xml:space="preserve">. Ndërkohë që për 2020 ishin </w:t>
      </w:r>
      <w:r w:rsidR="000B327D" w:rsidRPr="00476D2E">
        <w:rPr>
          <w:rFonts w:eastAsia="SimSun" w:cs="Calibri"/>
          <w:lang w:val="sq-AL"/>
        </w:rPr>
        <w:t xml:space="preserve"> </w:t>
      </w:r>
      <w:r w:rsidR="000B327D">
        <w:rPr>
          <w:rFonts w:eastAsia="SimSun" w:cs="Calibri"/>
          <w:lang w:val="sq-AL"/>
        </w:rPr>
        <w:t>ndërmarrjet</w:t>
      </w:r>
      <w:r w:rsidR="000B327D" w:rsidRPr="00476D2E">
        <w:rPr>
          <w:rFonts w:eastAsia="SimSun" w:cs="Calibri"/>
          <w:lang w:val="sq-AL"/>
        </w:rPr>
        <w:t xml:space="preserve"> </w:t>
      </w:r>
      <w:r w:rsidR="000B327D">
        <w:rPr>
          <w:rFonts w:eastAsia="SimSun" w:cs="Calibri"/>
          <w:lang w:val="sq-AL"/>
        </w:rPr>
        <w:t xml:space="preserve">Kamëz, </w:t>
      </w:r>
      <w:r w:rsidR="000B327D" w:rsidRPr="00476D2E">
        <w:rPr>
          <w:rFonts w:eastAsia="SimSun" w:cs="Calibri"/>
          <w:lang w:val="sq-AL"/>
        </w:rPr>
        <w:t xml:space="preserve">Durrës, Vlorë, Kavajë </w:t>
      </w:r>
      <w:r w:rsidR="000B327D">
        <w:rPr>
          <w:rFonts w:eastAsia="SimSun" w:cs="Calibri"/>
          <w:lang w:val="sq-AL"/>
        </w:rPr>
        <w:t>dhe</w:t>
      </w:r>
      <w:r w:rsidR="000B327D" w:rsidRPr="00476D2E">
        <w:rPr>
          <w:rFonts w:eastAsia="SimSun" w:cs="Calibri"/>
          <w:lang w:val="sq-AL"/>
        </w:rPr>
        <w:t xml:space="preserve"> Elbasan</w:t>
      </w:r>
      <w:r w:rsidR="000B327D">
        <w:rPr>
          <w:rFonts w:eastAsia="SimSun" w:cs="Calibri"/>
          <w:lang w:val="sq-AL"/>
        </w:rPr>
        <w:t>, ato që</w:t>
      </w:r>
      <w:r w:rsidR="000B327D" w:rsidRPr="00476D2E">
        <w:rPr>
          <w:rFonts w:eastAsia="SimSun" w:cs="Calibri"/>
          <w:lang w:val="sq-AL"/>
        </w:rPr>
        <w:t xml:space="preserve"> raport</w:t>
      </w:r>
      <w:r w:rsidR="000B327D">
        <w:rPr>
          <w:rFonts w:eastAsia="SimSun" w:cs="Calibri"/>
          <w:lang w:val="sq-AL"/>
        </w:rPr>
        <w:t>uan</w:t>
      </w:r>
      <w:r w:rsidR="000B327D" w:rsidRPr="00476D2E">
        <w:rPr>
          <w:rFonts w:eastAsia="SimSun" w:cs="Calibri"/>
          <w:lang w:val="sq-AL"/>
        </w:rPr>
        <w:t xml:space="preserve"> humbje </w:t>
      </w:r>
      <w:r w:rsidR="000B327D">
        <w:rPr>
          <w:rFonts w:eastAsia="SimSun" w:cs="Calibri"/>
          <w:lang w:val="sq-AL"/>
        </w:rPr>
        <w:t xml:space="preserve">në një vlerë rreth 1 </w:t>
      </w:r>
      <w:r w:rsidR="000B327D" w:rsidRPr="00476D2E">
        <w:rPr>
          <w:rFonts w:eastAsia="SimSun" w:cs="Calibri"/>
          <w:lang w:val="sq-AL"/>
        </w:rPr>
        <w:t>miliard</w:t>
      </w:r>
      <w:r w:rsidR="000B327D">
        <w:rPr>
          <w:rFonts w:eastAsia="SimSun" w:cs="Calibri"/>
          <w:lang w:val="sq-AL"/>
        </w:rPr>
        <w:t>ë lekë</w:t>
      </w:r>
      <w:r w:rsidR="000B327D" w:rsidRPr="00476D2E">
        <w:rPr>
          <w:rFonts w:eastAsia="SimSun" w:cs="Calibri"/>
          <w:lang w:val="sq-AL"/>
        </w:rPr>
        <w:t xml:space="preserve"> ose </w:t>
      </w:r>
      <w:r w:rsidR="000B327D">
        <w:rPr>
          <w:rFonts w:eastAsia="SimSun" w:cs="Calibri"/>
          <w:lang w:val="sq-AL"/>
        </w:rPr>
        <w:t>rreth 51</w:t>
      </w:r>
      <w:r w:rsidR="000B327D" w:rsidRPr="00476D2E">
        <w:rPr>
          <w:rFonts w:eastAsia="SimSun" w:cs="Calibri"/>
          <w:lang w:val="sq-AL"/>
        </w:rPr>
        <w:t>%</w:t>
      </w:r>
      <w:r w:rsidR="000B327D">
        <w:rPr>
          <w:rFonts w:eastAsia="SimSun" w:cs="Calibri"/>
          <w:lang w:val="sq-AL"/>
        </w:rPr>
        <w:t xml:space="preserve"> </w:t>
      </w:r>
      <w:r w:rsidR="000B327D" w:rsidRPr="00476D2E">
        <w:rPr>
          <w:rFonts w:eastAsia="SimSun" w:cs="Calibri"/>
          <w:lang w:val="sq-AL"/>
        </w:rPr>
        <w:t>të v</w:t>
      </w:r>
      <w:r w:rsidR="000B327D">
        <w:rPr>
          <w:rFonts w:eastAsia="SimSun" w:cs="Calibri"/>
          <w:lang w:val="sq-AL"/>
        </w:rPr>
        <w:t xml:space="preserve">lerës totale të humbjeve të </w:t>
      </w:r>
      <w:r w:rsidR="000B327D" w:rsidRPr="00476D2E">
        <w:rPr>
          <w:rFonts w:eastAsia="SimSun" w:cs="Calibri"/>
          <w:lang w:val="sq-AL"/>
        </w:rPr>
        <w:t>sektorit për vitin 20</w:t>
      </w:r>
      <w:r w:rsidR="000B327D">
        <w:rPr>
          <w:rFonts w:eastAsia="SimSun" w:cs="Calibri"/>
          <w:lang w:val="sq-AL"/>
        </w:rPr>
        <w:t>20</w:t>
      </w:r>
      <w:r w:rsidRPr="00476D2E">
        <w:rPr>
          <w:rFonts w:eastAsia="SimSun" w:cs="Calibri"/>
          <w:lang w:val="sq-AL"/>
        </w:rPr>
        <w:t xml:space="preserve">. </w:t>
      </w:r>
    </w:p>
    <w:p w:rsidR="007223E1" w:rsidRDefault="007223E1" w:rsidP="007223E1">
      <w:pPr>
        <w:spacing w:after="120"/>
        <w:rPr>
          <w:rFonts w:eastAsia="SimSun" w:cs="Calibri"/>
          <w:lang w:val="sq-AL"/>
        </w:rPr>
      </w:pPr>
      <w:r w:rsidRPr="00476D2E">
        <w:rPr>
          <w:rFonts w:eastAsia="SimSun" w:cs="Calibri"/>
          <w:lang w:val="sq-AL"/>
        </w:rPr>
        <w:t xml:space="preserve">Treguesit kryesorë të performancës për </w:t>
      </w:r>
      <w:r>
        <w:rPr>
          <w:rFonts w:eastAsia="SimSun" w:cs="Calibri"/>
          <w:lang w:val="sq-AL"/>
        </w:rPr>
        <w:t>12 mujorin 2021</w:t>
      </w:r>
      <w:r w:rsidRPr="00476D2E">
        <w:rPr>
          <w:rFonts w:eastAsia="SimSun" w:cs="Calibri"/>
          <w:lang w:val="sq-AL"/>
        </w:rPr>
        <w:t xml:space="preserve"> për ndërmarrjet e U-K të analizuar, tregojnë për një  vijimësi të gjendjes ekzistuese financiare dhe vështirësi në pagimin e detyrimeve dhe mbledhjen e të ardhurave të faturuara korrente dhe të prapambetura, duke sinjalizuar probleme potenciale të likuiditetit në periudhën afas</w:t>
      </w:r>
      <w:r>
        <w:rPr>
          <w:rFonts w:eastAsia="SimSun" w:cs="Calibri"/>
          <w:lang w:val="sq-AL"/>
        </w:rPr>
        <w:t>hkurtër, krahasuar me vitin 2020</w:t>
      </w:r>
      <w:r w:rsidRPr="00476D2E">
        <w:rPr>
          <w:rFonts w:eastAsia="SimSun" w:cs="Calibri"/>
          <w:lang w:val="sq-AL"/>
        </w:rPr>
        <w:t>. Impakt të konsiderueshëm në vështirësitë financiare të ndërmarrjeve U-K patën ed</w:t>
      </w:r>
      <w:r>
        <w:rPr>
          <w:rFonts w:eastAsia="SimSun" w:cs="Calibri"/>
          <w:lang w:val="sq-AL"/>
        </w:rPr>
        <w:t>he pasojat nga pandemia COVID19</w:t>
      </w:r>
      <w:r w:rsidR="000B327D">
        <w:rPr>
          <w:rFonts w:eastAsia="SimSun" w:cs="Calibri"/>
          <w:lang w:val="sq-AL"/>
        </w:rPr>
        <w:t xml:space="preserve">. </w:t>
      </w:r>
      <w:r w:rsidRPr="00476D2E">
        <w:rPr>
          <w:rFonts w:eastAsia="SimSun" w:cs="Calibri"/>
          <w:lang w:val="sq-AL"/>
        </w:rPr>
        <w:t>Ndërkohë, Qeveria në</w:t>
      </w:r>
      <w:r>
        <w:rPr>
          <w:rFonts w:eastAsia="SimSun" w:cs="Calibri"/>
          <w:lang w:val="sq-AL"/>
        </w:rPr>
        <w:t>përmjet AKUM-it gjatë vitit 2021</w:t>
      </w:r>
      <w:r w:rsidRPr="00476D2E">
        <w:rPr>
          <w:rFonts w:eastAsia="SimSun" w:cs="Calibri"/>
          <w:lang w:val="sq-AL"/>
        </w:rPr>
        <w:t xml:space="preserve"> i ka shpërndarë shoqërive U-K sh.a një vlerë totale subvencioni </w:t>
      </w:r>
      <w:r w:rsidRPr="00820865">
        <w:rPr>
          <w:rFonts w:eastAsia="SimSun" w:cs="Calibri"/>
          <w:lang w:val="sq-AL"/>
        </w:rPr>
        <w:t>prej 380 milion lekë.</w:t>
      </w:r>
      <w:r w:rsidRPr="00476D2E">
        <w:rPr>
          <w:rFonts w:eastAsia="SimSun" w:cs="Calibri"/>
          <w:lang w:val="sq-AL"/>
        </w:rPr>
        <w:t xml:space="preserve"> Ky subvencion shkon kryesisht për </w:t>
      </w:r>
      <w:r>
        <w:rPr>
          <w:rFonts w:eastAsia="SimSun" w:cs="Calibri"/>
          <w:lang w:val="sq-AL"/>
        </w:rPr>
        <w:t>ndërmarrjet të cilat nuk arrijnë</w:t>
      </w:r>
      <w:r w:rsidRPr="00476D2E">
        <w:rPr>
          <w:rFonts w:eastAsia="SimSun" w:cs="Calibri"/>
          <w:lang w:val="sq-AL"/>
        </w:rPr>
        <w:t xml:space="preserve"> të mbulojnë koston/shpenzimet e operimit dhe mirëmbajtjes, të cilat u shtuan gjatë periudhës së vështirë ekonom</w:t>
      </w:r>
      <w:r>
        <w:rPr>
          <w:rFonts w:eastAsia="SimSun" w:cs="Calibri"/>
          <w:lang w:val="sq-AL"/>
        </w:rPr>
        <w:t xml:space="preserve">ike të shkaktuar nga pandemia. </w:t>
      </w:r>
    </w:p>
    <w:p w:rsidR="000B327D" w:rsidRDefault="007223E1" w:rsidP="000B327D">
      <w:pPr>
        <w:spacing w:after="120"/>
        <w:rPr>
          <w:rFonts w:eastAsia="SimSun" w:cs="Calibri"/>
          <w:lang w:val="sq-AL"/>
        </w:rPr>
      </w:pPr>
      <w:r w:rsidRPr="00AD15B5">
        <w:rPr>
          <w:rFonts w:eastAsia="SimSun" w:cs="Calibri"/>
          <w:lang w:val="sq-AL"/>
        </w:rPr>
        <w:t>Një problematikë e rëndësishme mbetet edhe stoku i detyrimeve të akumuluara nga ndërmarrjet U-K sh.a ndaj sektorit të energjisë. Vlen për t</w:t>
      </w:r>
      <w:r w:rsidR="001B5558">
        <w:rPr>
          <w:rFonts w:eastAsia="SimSun" w:cs="Calibri"/>
          <w:lang w:val="sq-AL"/>
        </w:rPr>
        <w:t>’</w:t>
      </w:r>
      <w:r w:rsidRPr="00AD15B5">
        <w:rPr>
          <w:rFonts w:eastAsia="SimSun" w:cs="Calibri"/>
          <w:lang w:val="sq-AL"/>
        </w:rPr>
        <w:t>u theksuar se, në kuadër të reformës në sektorin e energjisë, janë intensifikuar marrëdhëniet dhe bashkëpunimi me institucionet dhe aktorët kryesorë të fushës, Ndërmarrjet UK me Ministrinë e Infrastrukturës dhe Energjisë, si dhe me ndërmarrjet e energjisë. Plani i masave të reduktimit të detyrimeve të prapambetura në sektorin e energjisë elektrike</w:t>
      </w:r>
      <w:r>
        <w:rPr>
          <w:rFonts w:eastAsia="SimSun" w:cs="Calibri"/>
          <w:lang w:val="sq-AL"/>
        </w:rPr>
        <w:t>, miratuar me Urdhërin e P</w:t>
      </w:r>
      <w:r w:rsidRPr="00AD15B5">
        <w:rPr>
          <w:rFonts w:eastAsia="SimSun" w:cs="Calibri"/>
          <w:lang w:val="sq-AL"/>
        </w:rPr>
        <w:t xml:space="preserve">ërbashkët </w:t>
      </w:r>
      <w:r>
        <w:rPr>
          <w:rFonts w:eastAsia="SimSun" w:cs="Calibri"/>
          <w:lang w:val="sq-AL"/>
        </w:rPr>
        <w:t xml:space="preserve">MIE/MFE </w:t>
      </w:r>
      <w:r w:rsidRPr="00AD15B5">
        <w:rPr>
          <w:rFonts w:eastAsia="SimSun" w:cs="Calibri"/>
          <w:lang w:val="sq-AL"/>
        </w:rPr>
        <w:t>nr.304</w:t>
      </w:r>
      <w:r>
        <w:rPr>
          <w:rFonts w:eastAsia="SimSun" w:cs="Calibri"/>
          <w:lang w:val="sq-AL"/>
        </w:rPr>
        <w:t>/</w:t>
      </w:r>
      <w:r w:rsidRPr="00AD15B5">
        <w:rPr>
          <w:rFonts w:eastAsia="SimSun" w:cs="Calibri"/>
          <w:lang w:val="sq-AL"/>
        </w:rPr>
        <w:t>2020 “</w:t>
      </w:r>
      <w:r w:rsidRPr="007223E1">
        <w:rPr>
          <w:rFonts w:eastAsia="SimSun" w:cs="Calibri"/>
          <w:i/>
          <w:lang w:val="sq-AL"/>
        </w:rPr>
        <w:t>Për miratimin e planit të masave të reduktimit të detyrimeve të prapambetura në sektorin e energjisë elektrike</w:t>
      </w:r>
      <w:r w:rsidRPr="00AD15B5">
        <w:rPr>
          <w:rFonts w:eastAsia="SimSun" w:cs="Calibri"/>
          <w:lang w:val="sq-AL"/>
        </w:rPr>
        <w:t xml:space="preserve">”, përfshin në procesin e shlyerjes së detyrimeve të ndërsjella edhe sektorin e ujit. Me qëllim zbatimin me sukses të këtij plani, </w:t>
      </w:r>
      <w:r w:rsidR="001B5558">
        <w:rPr>
          <w:rFonts w:eastAsia="SimSun" w:cs="Calibri"/>
          <w:lang w:val="sq-AL"/>
        </w:rPr>
        <w:t>MIE dhe MFE</w:t>
      </w:r>
      <w:r w:rsidRPr="00AD15B5">
        <w:rPr>
          <w:rFonts w:eastAsia="SimSun" w:cs="Calibri"/>
          <w:lang w:val="sq-AL"/>
        </w:rPr>
        <w:t>, bashkëfirmosën Urdhërin e dytë të Përbashkët nr.379</w:t>
      </w:r>
      <w:r w:rsidR="001119D4">
        <w:rPr>
          <w:rFonts w:eastAsia="SimSun" w:cs="Calibri"/>
          <w:lang w:val="sq-AL"/>
        </w:rPr>
        <w:t>/</w:t>
      </w:r>
      <w:r w:rsidRPr="00AD15B5">
        <w:rPr>
          <w:rFonts w:eastAsia="SimSun" w:cs="Calibri"/>
          <w:lang w:val="sq-AL"/>
        </w:rPr>
        <w:t>2021 “</w:t>
      </w:r>
      <w:r w:rsidRPr="00AD15B5">
        <w:rPr>
          <w:rFonts w:eastAsia="SimSun" w:cs="Calibri"/>
          <w:i/>
          <w:lang w:val="sq-AL"/>
        </w:rPr>
        <w:t>Mbi zbatimin e planit të masave për reduktimin e detyrimeve të prapambetura në sektorin e energjisë elektrike</w:t>
      </w:r>
      <w:r w:rsidRPr="00AD15B5">
        <w:rPr>
          <w:rFonts w:eastAsia="SimSun" w:cs="Calibri"/>
          <w:lang w:val="sq-AL"/>
        </w:rPr>
        <w:t>”. Urdhëri i sipërcituar ngarkon krahas ndërmarrjeve të sektorit energjitik edhe AKUM, për raportimin mujor nga ana e tyre, mbi shlyerjen e detyrimeve të prapambetura dhe statusin e detyrimeve ndërmjet sektorit të energjisë dhe entiteve të tjera publike</w:t>
      </w:r>
      <w:r w:rsidR="004F1049" w:rsidRPr="00476D2E">
        <w:rPr>
          <w:rFonts w:eastAsia="SimSun" w:cs="Calibri"/>
          <w:lang w:val="sq-AL"/>
        </w:rPr>
        <w:t>.</w:t>
      </w:r>
      <w:r w:rsidR="000B327D">
        <w:rPr>
          <w:rFonts w:eastAsia="SimSun" w:cs="Calibri"/>
          <w:lang w:val="sq-AL"/>
        </w:rPr>
        <w:t xml:space="preserve"> </w:t>
      </w:r>
    </w:p>
    <w:p w:rsidR="000B327D" w:rsidRPr="000B327D" w:rsidRDefault="000B327D" w:rsidP="000B327D">
      <w:pPr>
        <w:spacing w:after="120"/>
        <w:rPr>
          <w:rFonts w:eastAsia="SimSun" w:cs="Calibri"/>
          <w:lang w:val="sq-AL"/>
        </w:rPr>
      </w:pPr>
      <w:r>
        <w:rPr>
          <w:rFonts w:eastAsia="SimSun" w:cs="Calibri"/>
          <w:bCs/>
          <w:lang w:val="sq-AL"/>
        </w:rPr>
        <w:t xml:space="preserve">Kështu, </w:t>
      </w:r>
      <w:r w:rsidRPr="000A2717">
        <w:rPr>
          <w:rFonts w:eastAsia="SimSun" w:cs="Calibri"/>
          <w:bCs/>
          <w:lang w:val="sq-AL"/>
        </w:rPr>
        <w:t xml:space="preserve">për periudhën deri në </w:t>
      </w:r>
      <w:r>
        <w:rPr>
          <w:rFonts w:eastAsia="SimSun" w:cs="Calibri"/>
          <w:bCs/>
          <w:lang w:val="sq-AL"/>
        </w:rPr>
        <w:t xml:space="preserve">Dhjetor </w:t>
      </w:r>
      <w:r w:rsidRPr="000A2717">
        <w:rPr>
          <w:rFonts w:eastAsia="SimSun" w:cs="Calibri"/>
          <w:bCs/>
          <w:lang w:val="sq-AL"/>
        </w:rPr>
        <w:t>2021,</w:t>
      </w:r>
      <w:r>
        <w:rPr>
          <w:rFonts w:eastAsia="SimSun" w:cs="Calibri"/>
          <w:bCs/>
          <w:lang w:val="sq-AL"/>
        </w:rPr>
        <w:t xml:space="preserve"> Agjencia Kombëtare e</w:t>
      </w:r>
      <w:r w:rsidRPr="000A2717">
        <w:rPr>
          <w:rFonts w:eastAsia="SimSun" w:cs="Calibri"/>
          <w:bCs/>
          <w:lang w:val="sq-AL"/>
        </w:rPr>
        <w:t xml:space="preserve"> Ujësjellës Kanalizime dhe Infrastrukturës së </w:t>
      </w:r>
      <w:r w:rsidRPr="000B327D">
        <w:rPr>
          <w:rFonts w:eastAsia="SimSun" w:cs="Calibri"/>
          <w:bCs/>
          <w:lang w:val="sq-AL"/>
        </w:rPr>
        <w:t xml:space="preserve">Mbetjeve </w:t>
      </w:r>
      <w:r>
        <w:rPr>
          <w:rFonts w:eastAsia="SimSun" w:cs="Calibri"/>
          <w:bCs/>
          <w:lang w:val="sq-AL"/>
        </w:rPr>
        <w:t xml:space="preserve">(AKUM) </w:t>
      </w:r>
      <w:r w:rsidRPr="000B327D">
        <w:rPr>
          <w:rFonts w:eastAsia="SimSun" w:cs="Calibri"/>
          <w:bCs/>
          <w:lang w:val="sq-AL"/>
        </w:rPr>
        <w:t xml:space="preserve">pas rakordimit të të dhenave me OSHEE Group Sh.a, raporton se detyrimet e akumuluara të ndërmarrjeve të ujësjellës-kanalizimeve rezultojnë të jenë në vlerën 21.9 miliardë Lekë. Nga totali i detyrimeve të raportuara, vetëm ndërmarrja e UK Sh.a Durrës ka 6.71 miliard Lekë detyrime të akumuluara në vite. Në tabelën e mëposhtme listohen pesë ndërmarrjet që kanë pjesën më të madhe të detyrimeve ndaj OSHEE Sh.a. </w:t>
      </w:r>
    </w:p>
    <w:p w:rsidR="000B327D" w:rsidRPr="00DE49E2" w:rsidRDefault="00DE49E2" w:rsidP="008205C2">
      <w:pPr>
        <w:pStyle w:val="Caption"/>
        <w:spacing w:after="0" w:line="240" w:lineRule="auto"/>
      </w:pPr>
      <w:bookmarkStart w:id="195" w:name="_Toc104984067"/>
      <w:r>
        <w:t xml:space="preserve">Grafiku </w:t>
      </w:r>
      <w:r w:rsidR="00EA28E4">
        <w:fldChar w:fldCharType="begin"/>
      </w:r>
      <w:r w:rsidR="00EA28E4">
        <w:instrText xml:space="preserve"> SEQ Grafiku \* ARABIC </w:instrText>
      </w:r>
      <w:r w:rsidR="00EA28E4">
        <w:fldChar w:fldCharType="separate"/>
      </w:r>
      <w:r w:rsidR="00FE66EC">
        <w:rPr>
          <w:noProof/>
        </w:rPr>
        <w:t>48</w:t>
      </w:r>
      <w:r w:rsidR="00EA28E4">
        <w:rPr>
          <w:noProof/>
        </w:rPr>
        <w:fldChar w:fldCharType="end"/>
      </w:r>
      <w:r>
        <w:t xml:space="preserve"> </w:t>
      </w:r>
      <w:r w:rsidR="000B327D" w:rsidRPr="000B327D">
        <w:rPr>
          <w:rFonts w:cs="Calibri"/>
          <w:color w:val="1F497D"/>
          <w:lang w:val="sq-AL"/>
        </w:rPr>
        <w:t>Stoku i detyrimeve të prapambetura e Sektorit Ujësjellës-Kanalizime ndaj OSHEE Group Sh.a (në ml</w:t>
      </w:r>
      <w:r w:rsidR="003A4E50">
        <w:rPr>
          <w:rFonts w:cs="Calibri"/>
          <w:color w:val="1F497D"/>
          <w:lang w:val="sq-AL"/>
        </w:rPr>
        <w:t>d</w:t>
      </w:r>
      <w:r w:rsidR="000B327D" w:rsidRPr="000B327D">
        <w:rPr>
          <w:rFonts w:cs="Calibri"/>
          <w:color w:val="1F497D"/>
          <w:lang w:val="sq-AL"/>
        </w:rPr>
        <w:t xml:space="preserve"> lekë)</w:t>
      </w:r>
      <w:bookmarkEnd w:id="195"/>
    </w:p>
    <w:p w:rsidR="000B327D" w:rsidRDefault="003A4E50" w:rsidP="008205C2">
      <w:pPr>
        <w:spacing w:before="0" w:line="240" w:lineRule="auto"/>
        <w:jc w:val="center"/>
        <w:rPr>
          <w:rFonts w:eastAsia="SimSun" w:cs="Calibri"/>
          <w:i/>
          <w:sz w:val="18"/>
          <w:szCs w:val="18"/>
          <w:lang w:val="sq-AL"/>
        </w:rPr>
      </w:pPr>
      <w:r w:rsidRPr="003A4E50">
        <w:rPr>
          <w:rFonts w:eastAsia="SimSun"/>
          <w:noProof/>
        </w:rPr>
        <w:drawing>
          <wp:inline distT="0" distB="0" distL="0" distR="0" wp14:anchorId="078EFE58" wp14:editId="13C032F7">
            <wp:extent cx="5943600" cy="1066800"/>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1066800"/>
                    </a:xfrm>
                    <a:prstGeom prst="rect">
                      <a:avLst/>
                    </a:prstGeom>
                    <a:noFill/>
                    <a:ln>
                      <a:noFill/>
                    </a:ln>
                  </pic:spPr>
                </pic:pic>
              </a:graphicData>
            </a:graphic>
          </wp:inline>
        </w:drawing>
      </w:r>
    </w:p>
    <w:p w:rsidR="000B327D" w:rsidRPr="00136CF9" w:rsidRDefault="000B327D" w:rsidP="003A4E50">
      <w:pPr>
        <w:spacing w:before="0" w:line="240" w:lineRule="auto"/>
        <w:ind w:left="720" w:firstLine="720"/>
        <w:rPr>
          <w:rFonts w:eastAsia="SimSun" w:cs="Calibri"/>
          <w:i/>
          <w:sz w:val="18"/>
          <w:szCs w:val="18"/>
          <w:lang w:val="sq-AL"/>
        </w:rPr>
      </w:pPr>
      <w:r w:rsidRPr="00136CF9">
        <w:rPr>
          <w:rFonts w:eastAsia="SimSun" w:cs="Calibri"/>
          <w:i/>
          <w:sz w:val="18"/>
          <w:szCs w:val="18"/>
          <w:lang w:val="sq-AL"/>
        </w:rPr>
        <w:t xml:space="preserve">Burimi: </w:t>
      </w:r>
      <w:r w:rsidR="003A4E50">
        <w:rPr>
          <w:rFonts w:eastAsia="SimSun" w:cs="Calibri"/>
          <w:i/>
          <w:sz w:val="18"/>
          <w:szCs w:val="18"/>
          <w:lang w:val="sq-AL"/>
        </w:rPr>
        <w:t>AKUM</w:t>
      </w:r>
      <w:r w:rsidRPr="00136CF9">
        <w:rPr>
          <w:rFonts w:eastAsia="SimSun" w:cs="Calibri"/>
          <w:i/>
          <w:sz w:val="18"/>
          <w:szCs w:val="18"/>
          <w:lang w:val="sq-AL"/>
        </w:rPr>
        <w:t xml:space="preserve"> (202</w:t>
      </w:r>
      <w:r w:rsidR="00F82F45">
        <w:rPr>
          <w:rFonts w:eastAsia="SimSun" w:cs="Calibri"/>
          <w:i/>
          <w:sz w:val="18"/>
          <w:szCs w:val="18"/>
          <w:lang w:val="sq-AL"/>
        </w:rPr>
        <w:t>1</w:t>
      </w:r>
      <w:r w:rsidRPr="00136CF9">
        <w:rPr>
          <w:rFonts w:eastAsia="SimSun" w:cs="Calibri"/>
          <w:i/>
          <w:sz w:val="18"/>
          <w:szCs w:val="18"/>
          <w:lang w:val="sq-AL"/>
        </w:rPr>
        <w:t>)</w:t>
      </w:r>
    </w:p>
    <w:p w:rsidR="000B327D" w:rsidRPr="00A51114" w:rsidRDefault="000B327D" w:rsidP="000B327D">
      <w:pPr>
        <w:spacing w:after="120"/>
        <w:rPr>
          <w:rFonts w:eastAsia="SimSun" w:cs="Calibri"/>
          <w:bCs/>
          <w:lang w:val="sq-AL"/>
        </w:rPr>
      </w:pPr>
      <w:r w:rsidRPr="00673467">
        <w:rPr>
          <w:rFonts w:eastAsia="SimSun" w:cs="Calibri"/>
          <w:bCs/>
          <w:lang w:val="sq-AL"/>
        </w:rPr>
        <w:lastRenderedPageBreak/>
        <w:t>Akumulimi i detyrimeve të prapambetura</w:t>
      </w:r>
      <w:r>
        <w:rPr>
          <w:rFonts w:eastAsia="SimSun" w:cs="Calibri"/>
          <w:bCs/>
          <w:lang w:val="sq-AL"/>
        </w:rPr>
        <w:t xml:space="preserve"> vazhdon trendin rritës, </w:t>
      </w:r>
      <w:r w:rsidRPr="00673467">
        <w:rPr>
          <w:rFonts w:eastAsia="SimSun" w:cs="Calibri"/>
          <w:bCs/>
          <w:lang w:val="sq-AL"/>
        </w:rPr>
        <w:t>kryesisht për shkak të performancës së ulët të shumi</w:t>
      </w:r>
      <w:r>
        <w:rPr>
          <w:rFonts w:eastAsia="SimSun" w:cs="Calibri"/>
          <w:bCs/>
          <w:lang w:val="sq-AL"/>
        </w:rPr>
        <w:t xml:space="preserve">cës së shoqërive </w:t>
      </w:r>
      <w:r w:rsidR="003A4E50">
        <w:rPr>
          <w:rFonts w:eastAsia="SimSun" w:cs="Calibri"/>
          <w:bCs/>
          <w:lang w:val="sq-AL"/>
        </w:rPr>
        <w:t>U-K sha</w:t>
      </w:r>
      <w:r w:rsidRPr="00673467">
        <w:rPr>
          <w:rFonts w:eastAsia="SimSun" w:cs="Calibri"/>
          <w:bCs/>
          <w:lang w:val="sq-AL"/>
        </w:rPr>
        <w:t>.</w:t>
      </w:r>
      <w:r w:rsidRPr="00A40294">
        <w:rPr>
          <w:rFonts w:eastAsia="SimSun" w:cs="Calibri"/>
          <w:bCs/>
          <w:lang w:val="sq-AL"/>
        </w:rPr>
        <w:t xml:space="preserve"> </w:t>
      </w:r>
      <w:r>
        <w:rPr>
          <w:rFonts w:eastAsia="SimSun" w:cs="Calibri"/>
          <w:bCs/>
          <w:lang w:val="sq-AL"/>
        </w:rPr>
        <w:t>N</w:t>
      </w:r>
      <w:r w:rsidR="003A4E50">
        <w:rPr>
          <w:rFonts w:eastAsia="SimSun" w:cs="Calibri"/>
          <w:bCs/>
          <w:lang w:val="sq-AL"/>
        </w:rPr>
        <w:t xml:space="preserve">isur nga kjo, ka startuar aktualisht procesi i </w:t>
      </w:r>
      <w:r>
        <w:rPr>
          <w:rFonts w:eastAsia="SimSun" w:cs="Calibri"/>
          <w:bCs/>
          <w:lang w:val="sq-AL"/>
        </w:rPr>
        <w:t>reform</w:t>
      </w:r>
      <w:r w:rsidR="003A4E50">
        <w:rPr>
          <w:rFonts w:eastAsia="SimSun" w:cs="Calibri"/>
          <w:bCs/>
          <w:lang w:val="sq-AL"/>
        </w:rPr>
        <w:t>imit dhe riorganizimit t</w:t>
      </w:r>
      <w:r>
        <w:rPr>
          <w:rFonts w:eastAsia="SimSun" w:cs="Calibri"/>
          <w:bCs/>
          <w:lang w:val="sq-AL"/>
        </w:rPr>
        <w:t xml:space="preserve">ë të sektorit të </w:t>
      </w:r>
      <w:r w:rsidR="003A4E50">
        <w:rPr>
          <w:rFonts w:eastAsia="SimSun" w:cs="Calibri"/>
          <w:bCs/>
          <w:lang w:val="sq-AL"/>
        </w:rPr>
        <w:t>Ujit,</w:t>
      </w:r>
      <w:r>
        <w:rPr>
          <w:rFonts w:eastAsia="SimSun" w:cs="Calibri"/>
          <w:bCs/>
          <w:lang w:val="sq-AL"/>
        </w:rPr>
        <w:t xml:space="preserve"> në përputhje me </w:t>
      </w:r>
      <w:r w:rsidRPr="00A40294">
        <w:rPr>
          <w:rFonts w:eastAsia="SimSun" w:cs="Calibri"/>
          <w:bCs/>
          <w:lang w:val="sq-AL"/>
        </w:rPr>
        <w:t>Strategjin</w:t>
      </w:r>
      <w:r>
        <w:rPr>
          <w:rFonts w:eastAsia="SimSun" w:cs="Calibri"/>
          <w:bCs/>
          <w:lang w:val="sq-AL"/>
        </w:rPr>
        <w:t>ë</w:t>
      </w:r>
      <w:r w:rsidRPr="00A40294">
        <w:rPr>
          <w:rFonts w:eastAsia="SimSun" w:cs="Calibri"/>
          <w:bCs/>
          <w:lang w:val="sq-AL"/>
        </w:rPr>
        <w:t xml:space="preserve"> Kombëtare të Sektorit të Furnizimit me Ujë dhe Kanalizimeve </w:t>
      </w:r>
      <w:r w:rsidR="003A4E50">
        <w:rPr>
          <w:rFonts w:eastAsia="SimSun" w:cs="Calibri"/>
          <w:bCs/>
          <w:lang w:val="sq-AL"/>
        </w:rPr>
        <w:t xml:space="preserve">                  </w:t>
      </w:r>
      <w:r w:rsidRPr="00A40294">
        <w:rPr>
          <w:rFonts w:eastAsia="SimSun" w:cs="Calibri"/>
          <w:bCs/>
          <w:lang w:val="sq-AL"/>
        </w:rPr>
        <w:t>2020-2030</w:t>
      </w:r>
      <w:r w:rsidR="003A4E50">
        <w:rPr>
          <w:rFonts w:eastAsia="SimSun" w:cs="Calibri"/>
          <w:bCs/>
          <w:lang w:val="sq-AL"/>
        </w:rPr>
        <w:t xml:space="preserve">. Synimi </w:t>
      </w:r>
      <w:r w:rsidR="0043521D">
        <w:rPr>
          <w:rFonts w:eastAsia="SimSun" w:cs="Calibri"/>
          <w:bCs/>
          <w:lang w:val="sq-AL"/>
        </w:rPr>
        <w:t>ë</w:t>
      </w:r>
      <w:r w:rsidR="003A4E50">
        <w:rPr>
          <w:rFonts w:eastAsia="SimSun" w:cs="Calibri"/>
          <w:bCs/>
          <w:lang w:val="sq-AL"/>
        </w:rPr>
        <w:t>sht</w:t>
      </w:r>
      <w:r w:rsidR="0043521D">
        <w:rPr>
          <w:rFonts w:eastAsia="SimSun" w:cs="Calibri"/>
          <w:bCs/>
          <w:lang w:val="sq-AL"/>
        </w:rPr>
        <w:t>ë</w:t>
      </w:r>
      <w:r w:rsidR="003A4E50">
        <w:rPr>
          <w:rFonts w:eastAsia="SimSun" w:cs="Calibri"/>
          <w:bCs/>
          <w:lang w:val="sq-AL"/>
        </w:rPr>
        <w:t xml:space="preserve"> ridimensionimi i </w:t>
      </w:r>
      <w:r w:rsidRPr="00A51114">
        <w:rPr>
          <w:rFonts w:eastAsia="SimSun" w:cs="Calibri"/>
          <w:bCs/>
          <w:lang w:val="sq-AL"/>
        </w:rPr>
        <w:t>61 ndërmarrje</w:t>
      </w:r>
      <w:r w:rsidR="003A4E50">
        <w:rPr>
          <w:rFonts w:eastAsia="SimSun" w:cs="Calibri"/>
          <w:bCs/>
          <w:lang w:val="sq-AL"/>
        </w:rPr>
        <w:t xml:space="preserve">ve U-K </w:t>
      </w:r>
      <w:r w:rsidRPr="00A51114">
        <w:rPr>
          <w:rFonts w:eastAsia="SimSun" w:cs="Calibri"/>
          <w:bCs/>
          <w:lang w:val="sq-AL"/>
        </w:rPr>
        <w:t>aktuale</w:t>
      </w:r>
      <w:r w:rsidR="003A4E50">
        <w:rPr>
          <w:rFonts w:eastAsia="SimSun" w:cs="Calibri"/>
          <w:bCs/>
          <w:lang w:val="sq-AL"/>
        </w:rPr>
        <w:t>,</w:t>
      </w:r>
      <w:r w:rsidRPr="00A51114">
        <w:rPr>
          <w:rFonts w:eastAsia="SimSun" w:cs="Calibri"/>
          <w:bCs/>
          <w:lang w:val="sq-AL"/>
        </w:rPr>
        <w:t xml:space="preserve"> </w:t>
      </w:r>
      <w:r w:rsidR="003A4E50">
        <w:rPr>
          <w:rFonts w:eastAsia="SimSun" w:cs="Calibri"/>
          <w:bCs/>
          <w:lang w:val="sq-AL"/>
        </w:rPr>
        <w:t>p</w:t>
      </w:r>
      <w:r w:rsidR="0043521D">
        <w:rPr>
          <w:rFonts w:eastAsia="SimSun" w:cs="Calibri"/>
          <w:bCs/>
          <w:lang w:val="sq-AL"/>
        </w:rPr>
        <w:t>ë</w:t>
      </w:r>
      <w:r w:rsidR="003A4E50">
        <w:rPr>
          <w:rFonts w:eastAsia="SimSun" w:cs="Calibri"/>
          <w:bCs/>
          <w:lang w:val="sq-AL"/>
        </w:rPr>
        <w:t>rmes rigrupimit t</w:t>
      </w:r>
      <w:r w:rsidR="0043521D">
        <w:rPr>
          <w:rFonts w:eastAsia="SimSun" w:cs="Calibri"/>
          <w:bCs/>
          <w:lang w:val="sq-AL"/>
        </w:rPr>
        <w:t>ë</w:t>
      </w:r>
      <w:r w:rsidR="003A4E50">
        <w:rPr>
          <w:rFonts w:eastAsia="SimSun" w:cs="Calibri"/>
          <w:bCs/>
          <w:lang w:val="sq-AL"/>
        </w:rPr>
        <w:t xml:space="preserve"> tyre n</w:t>
      </w:r>
      <w:r w:rsidR="0043521D">
        <w:rPr>
          <w:rFonts w:eastAsia="SimSun" w:cs="Calibri"/>
          <w:bCs/>
          <w:lang w:val="sq-AL"/>
        </w:rPr>
        <w:t>ë</w:t>
      </w:r>
      <w:r w:rsidR="003A4E50">
        <w:rPr>
          <w:rFonts w:eastAsia="SimSun" w:cs="Calibri"/>
          <w:bCs/>
          <w:lang w:val="sq-AL"/>
        </w:rPr>
        <w:t xml:space="preserve"> </w:t>
      </w:r>
      <w:r>
        <w:rPr>
          <w:rFonts w:eastAsia="SimSun" w:cs="Calibri"/>
          <w:bCs/>
          <w:lang w:val="sq-AL"/>
        </w:rPr>
        <w:t>15 drejtori</w:t>
      </w:r>
      <w:r w:rsidRPr="00A51114">
        <w:rPr>
          <w:rFonts w:eastAsia="SimSun" w:cs="Calibri"/>
          <w:bCs/>
          <w:lang w:val="sq-AL"/>
        </w:rPr>
        <w:t xml:space="preserve"> qëndrore</w:t>
      </w:r>
      <w:r w:rsidR="003A4E50">
        <w:rPr>
          <w:rFonts w:eastAsia="SimSun" w:cs="Calibri"/>
          <w:bCs/>
          <w:lang w:val="sq-AL"/>
        </w:rPr>
        <w:t xml:space="preserve"> U-K</w:t>
      </w:r>
      <w:r>
        <w:rPr>
          <w:rFonts w:eastAsia="SimSun" w:cs="Calibri"/>
          <w:bCs/>
          <w:lang w:val="sq-AL"/>
        </w:rPr>
        <w:t>, me qëllim</w:t>
      </w:r>
      <w:r w:rsidRPr="00A51114">
        <w:rPr>
          <w:rFonts w:eastAsia="SimSun" w:cs="Calibri"/>
          <w:bCs/>
          <w:lang w:val="sq-AL"/>
        </w:rPr>
        <w:t xml:space="preserve"> </w:t>
      </w:r>
      <w:r w:rsidR="003A4E50">
        <w:rPr>
          <w:rFonts w:eastAsia="SimSun" w:cs="Calibri"/>
          <w:bCs/>
          <w:lang w:val="sq-AL"/>
        </w:rPr>
        <w:t xml:space="preserve">final </w:t>
      </w:r>
      <w:r w:rsidRPr="00A51114">
        <w:rPr>
          <w:rFonts w:eastAsia="SimSun" w:cs="Calibri"/>
          <w:bCs/>
          <w:lang w:val="sq-AL"/>
        </w:rPr>
        <w:t>menaxhimi</w:t>
      </w:r>
      <w:r>
        <w:rPr>
          <w:rFonts w:eastAsia="SimSun" w:cs="Calibri"/>
          <w:bCs/>
          <w:lang w:val="sq-AL"/>
        </w:rPr>
        <w:t>n</w:t>
      </w:r>
      <w:r w:rsidR="003A4E50">
        <w:rPr>
          <w:rFonts w:eastAsia="SimSun" w:cs="Calibri"/>
          <w:bCs/>
          <w:lang w:val="sq-AL"/>
        </w:rPr>
        <w:t xml:space="preserve"> optimal</w:t>
      </w:r>
      <w:r w:rsidRPr="00A51114">
        <w:rPr>
          <w:rFonts w:eastAsia="SimSun" w:cs="Calibri"/>
          <w:bCs/>
          <w:lang w:val="sq-AL"/>
        </w:rPr>
        <w:t xml:space="preserve"> dhe rritje</w:t>
      </w:r>
      <w:r w:rsidR="003A4E50">
        <w:rPr>
          <w:rFonts w:eastAsia="SimSun" w:cs="Calibri"/>
          <w:bCs/>
          <w:lang w:val="sq-AL"/>
        </w:rPr>
        <w:t>n</w:t>
      </w:r>
      <w:r w:rsidRPr="00A51114">
        <w:rPr>
          <w:rFonts w:eastAsia="SimSun" w:cs="Calibri"/>
          <w:bCs/>
          <w:lang w:val="sq-AL"/>
        </w:rPr>
        <w:t xml:space="preserve"> </w:t>
      </w:r>
      <w:r w:rsidR="003A4E50">
        <w:rPr>
          <w:rFonts w:eastAsia="SimSun" w:cs="Calibri"/>
          <w:bCs/>
          <w:lang w:val="sq-AL"/>
        </w:rPr>
        <w:t>e</w:t>
      </w:r>
      <w:r w:rsidRPr="00A51114">
        <w:rPr>
          <w:rFonts w:eastAsia="SimSun" w:cs="Calibri"/>
          <w:bCs/>
          <w:lang w:val="sq-AL"/>
        </w:rPr>
        <w:t xml:space="preserve"> performanc</w:t>
      </w:r>
      <w:r>
        <w:rPr>
          <w:rFonts w:eastAsia="SimSun" w:cs="Calibri"/>
          <w:bCs/>
          <w:lang w:val="sq-AL"/>
        </w:rPr>
        <w:t>ë</w:t>
      </w:r>
      <w:r w:rsidRPr="00A51114">
        <w:rPr>
          <w:rFonts w:eastAsia="SimSun" w:cs="Calibri"/>
          <w:bCs/>
          <w:lang w:val="sq-AL"/>
        </w:rPr>
        <w:t xml:space="preserve">s së tyre financiare. </w:t>
      </w:r>
      <w:r>
        <w:rPr>
          <w:rFonts w:eastAsia="SimSun" w:cs="Calibri"/>
          <w:bCs/>
          <w:lang w:val="sq-AL"/>
        </w:rPr>
        <w:t xml:space="preserve"> </w:t>
      </w:r>
    </w:p>
    <w:p w:rsidR="00474F9D" w:rsidRPr="00476D2E" w:rsidRDefault="00474F9D" w:rsidP="004F1049">
      <w:pPr>
        <w:spacing w:after="120"/>
        <w:rPr>
          <w:rFonts w:eastAsia="SimSun" w:cs="Calibri"/>
          <w:sz w:val="8"/>
          <w:szCs w:val="8"/>
          <w:lang w:val="sq-AL"/>
        </w:rPr>
      </w:pPr>
    </w:p>
    <w:p w:rsidR="00C6090D" w:rsidRPr="00366408" w:rsidRDefault="002350D2" w:rsidP="005E343F">
      <w:pPr>
        <w:pStyle w:val="Fiskale2"/>
        <w:rPr>
          <w:rFonts w:ascii="Calibri" w:hAnsi="Calibri" w:cs="Calibri"/>
        </w:rPr>
      </w:pPr>
      <w:bookmarkStart w:id="196" w:name="_Toc466295701"/>
      <w:bookmarkStart w:id="197" w:name="_Toc10033285"/>
      <w:bookmarkStart w:id="198" w:name="_Toc10721422"/>
      <w:bookmarkStart w:id="199" w:name="_Toc104980349"/>
      <w:r w:rsidRPr="00366408">
        <w:rPr>
          <w:rFonts w:ascii="Calibri" w:hAnsi="Calibri" w:cs="Calibri"/>
        </w:rPr>
        <w:t>Detyrime</w:t>
      </w:r>
      <w:bookmarkEnd w:id="196"/>
      <w:r w:rsidRPr="00366408">
        <w:rPr>
          <w:rFonts w:ascii="Calibri" w:hAnsi="Calibri" w:cs="Calibri"/>
        </w:rPr>
        <w:t xml:space="preserve">t e </w:t>
      </w:r>
      <w:r w:rsidR="005C6E2E" w:rsidRPr="00366408">
        <w:rPr>
          <w:rFonts w:ascii="Calibri" w:hAnsi="Calibri" w:cs="Calibri"/>
        </w:rPr>
        <w:t>p</w:t>
      </w:r>
      <w:r w:rsidRPr="00366408">
        <w:rPr>
          <w:rFonts w:ascii="Calibri" w:hAnsi="Calibri" w:cs="Calibri"/>
        </w:rPr>
        <w:t xml:space="preserve">rapambetura </w:t>
      </w:r>
      <w:r w:rsidR="0045266E" w:rsidRPr="00366408">
        <w:rPr>
          <w:rFonts w:ascii="Calibri" w:hAnsi="Calibri" w:cs="Calibri"/>
        </w:rPr>
        <w:t xml:space="preserve">të </w:t>
      </w:r>
      <w:bookmarkEnd w:id="197"/>
      <w:bookmarkEnd w:id="198"/>
      <w:r w:rsidR="001119D4" w:rsidRPr="00366408">
        <w:rPr>
          <w:rFonts w:ascii="Calibri" w:hAnsi="Calibri" w:cs="Calibri"/>
        </w:rPr>
        <w:t>Qeverisjes s</w:t>
      </w:r>
      <w:r w:rsidR="00366408">
        <w:rPr>
          <w:rFonts w:ascii="Calibri" w:hAnsi="Calibri" w:cs="Calibri"/>
        </w:rPr>
        <w:t>ë</w:t>
      </w:r>
      <w:r w:rsidR="001119D4" w:rsidRPr="00366408">
        <w:rPr>
          <w:rFonts w:ascii="Calibri" w:hAnsi="Calibri" w:cs="Calibri"/>
        </w:rPr>
        <w:t xml:space="preserve"> P</w:t>
      </w:r>
      <w:r w:rsidR="00366408">
        <w:rPr>
          <w:rFonts w:ascii="Calibri" w:hAnsi="Calibri" w:cs="Calibri"/>
        </w:rPr>
        <w:t>ë</w:t>
      </w:r>
      <w:r w:rsidR="001119D4" w:rsidRPr="00366408">
        <w:rPr>
          <w:rFonts w:ascii="Calibri" w:hAnsi="Calibri" w:cs="Calibri"/>
        </w:rPr>
        <w:t>rgjithshme</w:t>
      </w:r>
      <w:bookmarkEnd w:id="199"/>
    </w:p>
    <w:p w:rsidR="0078341E" w:rsidRDefault="001119D4" w:rsidP="00C6090D">
      <w:pPr>
        <w:spacing w:after="120"/>
        <w:rPr>
          <w:rFonts w:eastAsia="SimSun" w:cs="Calibri"/>
          <w:lang w:val="sq-AL"/>
        </w:rPr>
      </w:pPr>
      <w:r w:rsidRPr="00716C10">
        <w:rPr>
          <w:rFonts w:eastAsia="SimSun" w:cs="Calibri"/>
          <w:lang w:val="sq-AL"/>
        </w:rPr>
        <w:t>Bazuar në VKM nr.50 datë 05.02.2014 “</w:t>
      </w:r>
      <w:r w:rsidRPr="003B2AF7">
        <w:rPr>
          <w:rFonts w:eastAsia="SimSun" w:cs="Calibri"/>
          <w:i/>
          <w:lang w:val="sq-AL"/>
        </w:rPr>
        <w:t>Për miratimin e Strategjisë për parandalimin dhe shlyerjen e detyrimeve të prapambetura e të planit të veprimit</w:t>
      </w:r>
      <w:r w:rsidRPr="00716C10">
        <w:rPr>
          <w:rFonts w:eastAsia="SimSun" w:cs="Calibri"/>
          <w:lang w:val="sq-AL"/>
        </w:rPr>
        <w:t>” dhe Strategjisë së Menaxhimit të Financave Publike 201</w:t>
      </w:r>
      <w:r w:rsidR="003E3C6E">
        <w:rPr>
          <w:rFonts w:eastAsia="SimSun" w:cs="Calibri"/>
          <w:lang w:val="sq-AL"/>
        </w:rPr>
        <w:t>9</w:t>
      </w:r>
      <w:r w:rsidRPr="00716C10">
        <w:rPr>
          <w:rFonts w:eastAsia="SimSun" w:cs="Calibri"/>
          <w:lang w:val="sq-AL"/>
        </w:rPr>
        <w:t>-202</w:t>
      </w:r>
      <w:r w:rsidR="003E3C6E">
        <w:rPr>
          <w:rFonts w:eastAsia="SimSun" w:cs="Calibri"/>
          <w:lang w:val="sq-AL"/>
        </w:rPr>
        <w:t>2</w:t>
      </w:r>
      <w:r w:rsidRPr="00716C10">
        <w:rPr>
          <w:rFonts w:eastAsia="SimSun" w:cs="Calibri"/>
          <w:lang w:val="sq-AL"/>
        </w:rPr>
        <w:t xml:space="preserve">, </w:t>
      </w:r>
      <w:r w:rsidR="003B2AF7">
        <w:rPr>
          <w:rFonts w:eastAsia="SimSun" w:cs="Calibri"/>
          <w:lang w:val="sq-AL"/>
        </w:rPr>
        <w:t>MFE</w:t>
      </w:r>
      <w:r w:rsidRPr="00716C10">
        <w:rPr>
          <w:rFonts w:eastAsia="SimSun" w:cs="Calibri"/>
          <w:lang w:val="sq-AL"/>
        </w:rPr>
        <w:t xml:space="preserve"> ka ndërmarrë </w:t>
      </w:r>
      <w:r w:rsidR="003B2AF7">
        <w:rPr>
          <w:rFonts w:eastAsia="SimSun" w:cs="Calibri"/>
          <w:lang w:val="sq-AL"/>
        </w:rPr>
        <w:t xml:space="preserve">dhe intensifikuar </w:t>
      </w:r>
      <w:r w:rsidRPr="00716C10">
        <w:rPr>
          <w:rFonts w:eastAsia="SimSun" w:cs="Calibri"/>
          <w:lang w:val="sq-AL"/>
        </w:rPr>
        <w:t>hapa</w:t>
      </w:r>
      <w:r w:rsidR="003B2AF7">
        <w:rPr>
          <w:rFonts w:eastAsia="SimSun" w:cs="Calibri"/>
          <w:lang w:val="sq-AL"/>
        </w:rPr>
        <w:t>t</w:t>
      </w:r>
      <w:r w:rsidRPr="00716C10">
        <w:rPr>
          <w:rFonts w:eastAsia="SimSun" w:cs="Calibri"/>
          <w:lang w:val="sq-AL"/>
        </w:rPr>
        <w:t xml:space="preserve"> konkretë në drejtim të monitorimit</w:t>
      </w:r>
      <w:r w:rsidR="003B2AF7">
        <w:rPr>
          <w:rFonts w:eastAsia="SimSun" w:cs="Calibri"/>
          <w:lang w:val="sq-AL"/>
        </w:rPr>
        <w:t xml:space="preserve"> dhe</w:t>
      </w:r>
      <w:r w:rsidRPr="00716C10">
        <w:rPr>
          <w:rFonts w:eastAsia="SimSun" w:cs="Calibri"/>
          <w:lang w:val="sq-AL"/>
        </w:rPr>
        <w:t xml:space="preserve"> raportimit</w:t>
      </w:r>
      <w:r w:rsidR="003B2AF7">
        <w:rPr>
          <w:rFonts w:eastAsia="SimSun" w:cs="Calibri"/>
          <w:lang w:val="sq-AL"/>
        </w:rPr>
        <w:t xml:space="preserve"> </w:t>
      </w:r>
      <w:r w:rsidRPr="00716C10">
        <w:rPr>
          <w:rFonts w:eastAsia="SimSun" w:cs="Calibri"/>
          <w:lang w:val="sq-AL"/>
        </w:rPr>
        <w:t xml:space="preserve">të detyrimeve të prapambetura. </w:t>
      </w:r>
      <w:r w:rsidR="003B2AF7" w:rsidRPr="00716C10">
        <w:rPr>
          <w:rFonts w:eastAsia="SimSun" w:cs="Calibri"/>
          <w:lang w:val="sq-AL"/>
        </w:rPr>
        <w:t xml:space="preserve">Duke nisur nga </w:t>
      </w:r>
      <w:r w:rsidR="003B2AF7">
        <w:rPr>
          <w:rFonts w:eastAsia="SimSun" w:cs="Calibri"/>
          <w:lang w:val="sq-AL"/>
        </w:rPr>
        <w:t>viti 2021</w:t>
      </w:r>
      <w:r w:rsidR="003B2AF7" w:rsidRPr="00716C10">
        <w:rPr>
          <w:rFonts w:eastAsia="SimSun" w:cs="Calibri"/>
          <w:lang w:val="sq-AL"/>
        </w:rPr>
        <w:t>, ky monitorim dhe raportim gjenerohet automatikisht nga Sistemi Informatik Financiar i Qeverisë (SIFQ) sipas përcaktim</w:t>
      </w:r>
      <w:r w:rsidR="003B2AF7">
        <w:rPr>
          <w:rFonts w:eastAsia="SimSun" w:cs="Calibri"/>
          <w:lang w:val="sq-AL"/>
        </w:rPr>
        <w:t>e</w:t>
      </w:r>
      <w:r w:rsidR="003B2AF7" w:rsidRPr="00716C10">
        <w:rPr>
          <w:rFonts w:eastAsia="SimSun" w:cs="Calibri"/>
          <w:lang w:val="sq-AL"/>
        </w:rPr>
        <w:t xml:space="preserve">ve të </w:t>
      </w:r>
      <w:r w:rsidR="003B2AF7">
        <w:rPr>
          <w:rFonts w:eastAsia="SimSun" w:cs="Calibri"/>
          <w:lang w:val="sq-AL"/>
        </w:rPr>
        <w:t>U</w:t>
      </w:r>
      <w:r w:rsidR="003B2AF7" w:rsidRPr="00716C10">
        <w:rPr>
          <w:rFonts w:eastAsia="SimSun" w:cs="Calibri"/>
          <w:lang w:val="sq-AL"/>
        </w:rPr>
        <w:t>dhëzimit nr.37 të datës 06.10.2020</w:t>
      </w:r>
      <w:r w:rsidR="003B2AF7">
        <w:rPr>
          <w:rFonts w:eastAsia="SimSun" w:cs="Calibri"/>
          <w:lang w:val="sq-AL"/>
        </w:rPr>
        <w:t xml:space="preserve"> “</w:t>
      </w:r>
      <w:r w:rsidR="003E3C6E" w:rsidRPr="003E3C6E">
        <w:rPr>
          <w:i/>
        </w:rPr>
        <w:t>Për monitorimin dhe publikimin periodik të stokut të detyrimeve të perpambetura të Qeverisjes së Përgjithshme</w:t>
      </w:r>
      <w:r w:rsidR="003B2AF7">
        <w:rPr>
          <w:rFonts w:eastAsia="SimSun" w:cs="Calibri"/>
          <w:lang w:val="sq-AL"/>
        </w:rPr>
        <w:t>”</w:t>
      </w:r>
      <w:r w:rsidR="003B2AF7" w:rsidRPr="00716C10">
        <w:rPr>
          <w:rFonts w:eastAsia="SimSun" w:cs="Calibri"/>
          <w:lang w:val="sq-AL"/>
        </w:rPr>
        <w:t>. Ky format i raportimit të detyrimeve të prapambetura përveç se rrit saktësinë dhe siguron të dhënat në kohë, është gjithashtu një format gjithëpërfshirës duke unifikuar raportin për të gjithë njësitë e qeverisjes së përgjithshme</w:t>
      </w:r>
      <w:r w:rsidR="003B2AF7">
        <w:rPr>
          <w:rFonts w:eastAsia="SimSun" w:cs="Calibri"/>
          <w:lang w:val="sq-AL"/>
        </w:rPr>
        <w:t>.</w:t>
      </w:r>
      <w:r w:rsidRPr="00716C10">
        <w:rPr>
          <w:rFonts w:eastAsia="SimSun" w:cs="Calibri"/>
          <w:lang w:val="sq-AL"/>
        </w:rPr>
        <w:t xml:space="preserve"> </w:t>
      </w:r>
    </w:p>
    <w:p w:rsidR="003E3C6E" w:rsidRDefault="0078341E" w:rsidP="003E3C6E">
      <w:pPr>
        <w:contextualSpacing/>
        <w:rPr>
          <w:rFonts w:cs="Calibri"/>
          <w:lang w:val="sq-AL"/>
        </w:rPr>
      </w:pPr>
      <w:r w:rsidRPr="0078341E">
        <w:rPr>
          <w:rFonts w:cs="Calibri"/>
          <w:lang w:val="sq-AL"/>
        </w:rPr>
        <w:t>Parë në një aspekt më të gjerë dhe gjithëpërfshirës, Ministria e Financave dhe Ekonomisë i ka sugjeruar të gjitha njësive të auditimit të brendshëm në sektorin publik që në “</w:t>
      </w:r>
      <w:r w:rsidRPr="0078341E">
        <w:rPr>
          <w:rFonts w:cs="Calibri"/>
          <w:i/>
          <w:lang w:val="sq-AL"/>
        </w:rPr>
        <w:t>Planin strategjik dhe vjetor të veprimtarisë audituese për vitet 2021 – 2023</w:t>
      </w:r>
      <w:r w:rsidRPr="0078341E">
        <w:rPr>
          <w:rFonts w:cs="Calibri"/>
          <w:lang w:val="sq-AL"/>
        </w:rPr>
        <w:t>” të përfshijnë angazhime auditimi për analizimin dhe vlerësimin e situatës së detyrimeve të prapambetura të njësive publike. Kjo, përsa kohë që detyrimet e prapambetura janë përcaktuar si fushë me risk të lartë dhe duhet të trajtohen me përparësi nga auditimi i brendshëm i njësive publike, për të paraqituar gjendjen aktuale dhe për të dhënë rekomandime sa më të vlefshme për shlyerjen e tyre në afate të përcaktuara.</w:t>
      </w:r>
      <w:r w:rsidR="003E3C6E">
        <w:rPr>
          <w:rFonts w:cs="Calibri"/>
          <w:lang w:val="sq-AL"/>
        </w:rPr>
        <w:t xml:space="preserve">  </w:t>
      </w:r>
    </w:p>
    <w:p w:rsidR="00C6090D" w:rsidRPr="003E3C6E" w:rsidRDefault="001119D4" w:rsidP="003E3C6E">
      <w:pPr>
        <w:contextualSpacing/>
        <w:rPr>
          <w:rFonts w:cs="Calibri"/>
          <w:lang w:val="sq-AL"/>
        </w:rPr>
      </w:pPr>
      <w:r w:rsidRPr="00716C10">
        <w:rPr>
          <w:rFonts w:eastAsia="SimSun" w:cs="Calibri"/>
          <w:lang w:val="sq-AL"/>
        </w:rPr>
        <w:t>Në grafikun e mëposhtëm paraqitet ecuria e detyrimeve të prapambetura për vitin 2021</w:t>
      </w:r>
      <w:r w:rsidR="0043521D">
        <w:rPr>
          <w:rFonts w:eastAsia="SimSun" w:cs="Calibri"/>
          <w:lang w:val="sq-AL"/>
        </w:rPr>
        <w:t>:</w:t>
      </w:r>
    </w:p>
    <w:p w:rsidR="00236222" w:rsidRPr="00476D2E" w:rsidRDefault="00236222" w:rsidP="001C3F86">
      <w:pPr>
        <w:pStyle w:val="Caption"/>
        <w:keepNext/>
        <w:spacing w:after="0"/>
        <w:rPr>
          <w:rFonts w:cs="Calibri"/>
          <w:lang w:val="sq-AL"/>
        </w:rPr>
      </w:pPr>
      <w:bookmarkStart w:id="200" w:name="_Toc495672777"/>
      <w:bookmarkStart w:id="201" w:name="_Toc104984068"/>
      <w:bookmarkEnd w:id="200"/>
      <w:r w:rsidRPr="00476D2E">
        <w:rPr>
          <w:rFonts w:cs="Calibri"/>
          <w:lang w:val="sq-AL"/>
        </w:rPr>
        <w:t xml:space="preserve">Grafiku </w:t>
      </w:r>
      <w:r w:rsidRPr="00476D2E">
        <w:rPr>
          <w:rFonts w:cs="Calibri"/>
          <w:lang w:val="sq-AL"/>
        </w:rPr>
        <w:fldChar w:fldCharType="begin"/>
      </w:r>
      <w:r w:rsidRPr="00476D2E">
        <w:rPr>
          <w:rFonts w:cs="Calibri"/>
          <w:lang w:val="sq-AL"/>
        </w:rPr>
        <w:instrText xml:space="preserve"> SEQ Grafiku \* ARABIC </w:instrText>
      </w:r>
      <w:r w:rsidRPr="00476D2E">
        <w:rPr>
          <w:rFonts w:cs="Calibri"/>
          <w:lang w:val="sq-AL"/>
        </w:rPr>
        <w:fldChar w:fldCharType="separate"/>
      </w:r>
      <w:r w:rsidR="00FE66EC">
        <w:rPr>
          <w:rFonts w:cs="Calibri"/>
          <w:noProof/>
          <w:lang w:val="sq-AL"/>
        </w:rPr>
        <w:t>49</w:t>
      </w:r>
      <w:r w:rsidRPr="00476D2E">
        <w:rPr>
          <w:rFonts w:cs="Calibri"/>
          <w:lang w:val="sq-AL"/>
        </w:rPr>
        <w:fldChar w:fldCharType="end"/>
      </w:r>
      <w:r w:rsidR="002051A5" w:rsidRPr="00476D2E">
        <w:rPr>
          <w:rFonts w:cs="Calibri"/>
          <w:lang w:val="sq-AL"/>
        </w:rPr>
        <w:t xml:space="preserve"> Stoku i</w:t>
      </w:r>
      <w:r w:rsidRPr="00476D2E">
        <w:rPr>
          <w:rFonts w:cs="Calibri"/>
          <w:lang w:val="sq-AL"/>
        </w:rPr>
        <w:t xml:space="preserve"> detyrimeve t</w:t>
      </w:r>
      <w:r w:rsidR="00C33B16" w:rsidRPr="00476D2E">
        <w:rPr>
          <w:rFonts w:cs="Calibri"/>
          <w:lang w:val="sq-AL"/>
        </w:rPr>
        <w:t>ë</w:t>
      </w:r>
      <w:r w:rsidRPr="00476D2E">
        <w:rPr>
          <w:rFonts w:cs="Calibri"/>
          <w:lang w:val="sq-AL"/>
        </w:rPr>
        <w:t xml:space="preserve"> prapambetura </w:t>
      </w:r>
      <w:r w:rsidR="00474F9D">
        <w:rPr>
          <w:rFonts w:cs="Calibri"/>
          <w:lang w:val="sq-AL"/>
        </w:rPr>
        <w:t>t</w:t>
      </w:r>
      <w:r w:rsidR="002111DF">
        <w:rPr>
          <w:rFonts w:cs="Calibri"/>
          <w:lang w:val="sq-AL"/>
        </w:rPr>
        <w:t>ë</w:t>
      </w:r>
      <w:r w:rsidR="00474F9D">
        <w:rPr>
          <w:rFonts w:cs="Calibri"/>
          <w:lang w:val="sq-AL"/>
        </w:rPr>
        <w:t xml:space="preserve"> qeverisjes s</w:t>
      </w:r>
      <w:r w:rsidR="002111DF">
        <w:rPr>
          <w:rFonts w:cs="Calibri"/>
          <w:lang w:val="sq-AL"/>
        </w:rPr>
        <w:t>ë</w:t>
      </w:r>
      <w:r w:rsidR="00474F9D">
        <w:rPr>
          <w:rFonts w:cs="Calibri"/>
          <w:lang w:val="sq-AL"/>
        </w:rPr>
        <w:t xml:space="preserve"> p</w:t>
      </w:r>
      <w:r w:rsidR="002111DF">
        <w:rPr>
          <w:rFonts w:cs="Calibri"/>
          <w:lang w:val="sq-AL"/>
        </w:rPr>
        <w:t>ë</w:t>
      </w:r>
      <w:r w:rsidR="00474F9D">
        <w:rPr>
          <w:rFonts w:cs="Calibri"/>
          <w:lang w:val="sq-AL"/>
        </w:rPr>
        <w:t>rgjithshme, n</w:t>
      </w:r>
      <w:r w:rsidR="002111DF">
        <w:rPr>
          <w:rFonts w:cs="Calibri"/>
          <w:lang w:val="sq-AL"/>
        </w:rPr>
        <w:t>ë</w:t>
      </w:r>
      <w:r w:rsidR="00474F9D">
        <w:rPr>
          <w:rFonts w:cs="Calibri"/>
          <w:lang w:val="sq-AL"/>
        </w:rPr>
        <w:t xml:space="preserve"> </w:t>
      </w:r>
      <w:r w:rsidR="00DB1E60" w:rsidRPr="00476D2E">
        <w:rPr>
          <w:rFonts w:cs="Calibri"/>
          <w:lang w:val="sq-AL"/>
        </w:rPr>
        <w:t>mln lekë</w:t>
      </w:r>
      <w:bookmarkEnd w:id="201"/>
    </w:p>
    <w:p w:rsidR="00C6090D" w:rsidRPr="00476D2E" w:rsidRDefault="00F20CE9" w:rsidP="0078341E">
      <w:pPr>
        <w:spacing w:before="0"/>
        <w:jc w:val="center"/>
        <w:rPr>
          <w:rFonts w:cs="Calibri"/>
          <w:sz w:val="12"/>
          <w:szCs w:val="12"/>
          <w:lang w:val="sq-AL"/>
        </w:rPr>
      </w:pPr>
      <w:r w:rsidRPr="00017DE1">
        <w:rPr>
          <w:noProof/>
          <w:u w:val="single"/>
        </w:rPr>
        <w:drawing>
          <wp:inline distT="0" distB="0" distL="0" distR="0" wp14:anchorId="4F6FDBA9" wp14:editId="114AC980">
            <wp:extent cx="6515100" cy="1470660"/>
            <wp:effectExtent l="0" t="0" r="0" b="1524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6E055E" w:rsidRPr="00476D2E" w:rsidRDefault="00474F9D" w:rsidP="006E055E">
      <w:pPr>
        <w:spacing w:before="0"/>
        <w:rPr>
          <w:rFonts w:eastAsia="SimSun" w:cs="Calibri"/>
          <w:i/>
          <w:sz w:val="18"/>
          <w:szCs w:val="18"/>
          <w:lang w:val="sq-AL"/>
        </w:rPr>
      </w:pPr>
      <w:r>
        <w:rPr>
          <w:rFonts w:eastAsia="SimSun" w:cs="Calibri"/>
          <w:i/>
          <w:sz w:val="18"/>
          <w:szCs w:val="18"/>
          <w:lang w:val="sq-AL"/>
        </w:rPr>
        <w:tab/>
      </w:r>
      <w:r w:rsidR="000661E2">
        <w:rPr>
          <w:rFonts w:eastAsia="SimSun" w:cs="Calibri"/>
          <w:i/>
          <w:sz w:val="18"/>
          <w:szCs w:val="18"/>
          <w:lang w:val="sq-AL"/>
        </w:rPr>
        <w:t>Burimi: Ministria e Financave dhe Ekonomisë (2022)</w:t>
      </w:r>
    </w:p>
    <w:p w:rsidR="006B7133" w:rsidRPr="008C2682" w:rsidRDefault="00E40AFC" w:rsidP="006B7133">
      <w:pPr>
        <w:rPr>
          <w:lang w:val="sq-AL"/>
        </w:rPr>
      </w:pPr>
      <w:r>
        <w:rPr>
          <w:lang w:val="sq-AL"/>
        </w:rPr>
        <w:t>Konkretisht, d</w:t>
      </w:r>
      <w:r w:rsidR="006B7133" w:rsidRPr="008C2682">
        <w:rPr>
          <w:lang w:val="sq-AL"/>
        </w:rPr>
        <w:t xml:space="preserve">eri në fund të muajit Dhjetor 2021 </w:t>
      </w:r>
      <w:r w:rsidR="006B7133">
        <w:rPr>
          <w:lang w:val="sq-AL"/>
        </w:rPr>
        <w:t>u regjistrua</w:t>
      </w:r>
      <w:r w:rsidR="006B7133" w:rsidRPr="008C2682">
        <w:rPr>
          <w:lang w:val="sq-AL"/>
        </w:rPr>
        <w:t xml:space="preserve"> një stok kumulativ prej 13.23 miliardë lekë</w:t>
      </w:r>
      <w:r w:rsidR="006B7133" w:rsidRPr="008C2682">
        <w:rPr>
          <w:vertAlign w:val="superscript"/>
          <w:lang w:val="sq-AL"/>
        </w:rPr>
        <w:footnoteReference w:id="4"/>
      </w:r>
      <w:r w:rsidR="006B7133" w:rsidRPr="008C2682">
        <w:rPr>
          <w:lang w:val="sq-AL"/>
        </w:rPr>
        <w:t xml:space="preserve"> </w:t>
      </w:r>
      <w:r w:rsidR="006B7133">
        <w:rPr>
          <w:lang w:val="sq-AL"/>
        </w:rPr>
        <w:t xml:space="preserve">i </w:t>
      </w:r>
      <w:r w:rsidR="006B7133" w:rsidRPr="008C2682">
        <w:rPr>
          <w:lang w:val="sq-AL"/>
        </w:rPr>
        <w:t>detyrime</w:t>
      </w:r>
      <w:r w:rsidR="006B7133">
        <w:rPr>
          <w:lang w:val="sq-AL"/>
        </w:rPr>
        <w:t>ve</w:t>
      </w:r>
      <w:r w:rsidR="006B7133" w:rsidRPr="008C2682">
        <w:rPr>
          <w:lang w:val="sq-AL"/>
        </w:rPr>
        <w:t xml:space="preserve"> të prapambetura nga njësitë e qeverisjes së përgjithshme</w:t>
      </w:r>
      <w:r>
        <w:rPr>
          <w:lang w:val="sq-AL"/>
        </w:rPr>
        <w:t>, nga t</w:t>
      </w:r>
      <w:r w:rsidR="0043521D">
        <w:rPr>
          <w:lang w:val="sq-AL"/>
        </w:rPr>
        <w:t>ë</w:t>
      </w:r>
      <w:r>
        <w:rPr>
          <w:lang w:val="sq-AL"/>
        </w:rPr>
        <w:t xml:space="preserve"> cilat:</w:t>
      </w:r>
    </w:p>
    <w:p w:rsidR="006B7133" w:rsidRPr="006B7133" w:rsidRDefault="006B7133" w:rsidP="00842F80">
      <w:pPr>
        <w:numPr>
          <w:ilvl w:val="0"/>
          <w:numId w:val="40"/>
        </w:numPr>
        <w:spacing w:before="0" w:line="240" w:lineRule="auto"/>
        <w:contextualSpacing/>
        <w:rPr>
          <w:i/>
          <w:lang w:val="sq-AL"/>
        </w:rPr>
      </w:pPr>
      <w:r w:rsidRPr="006B7133">
        <w:rPr>
          <w:i/>
          <w:lang w:val="sq-AL"/>
        </w:rPr>
        <w:t>Totali detyrimeve të qeverisë qendrore rreth 6.15 miliardë lekë</w:t>
      </w:r>
    </w:p>
    <w:p w:rsidR="006B7133" w:rsidRPr="006B7133" w:rsidRDefault="006B7133" w:rsidP="00842F80">
      <w:pPr>
        <w:numPr>
          <w:ilvl w:val="0"/>
          <w:numId w:val="40"/>
        </w:numPr>
        <w:spacing w:before="0" w:line="240" w:lineRule="auto"/>
        <w:contextualSpacing/>
        <w:rPr>
          <w:i/>
          <w:lang w:val="sq-AL"/>
        </w:rPr>
      </w:pPr>
      <w:r w:rsidRPr="006B7133">
        <w:rPr>
          <w:i/>
          <w:lang w:val="sq-AL"/>
        </w:rPr>
        <w:t>Totali detyrimeve për rimbursimin e TVSH-së rreth 0.48 miliardë lekë</w:t>
      </w:r>
    </w:p>
    <w:p w:rsidR="006B7133" w:rsidRPr="006B7133" w:rsidRDefault="006B7133" w:rsidP="00842F80">
      <w:pPr>
        <w:numPr>
          <w:ilvl w:val="0"/>
          <w:numId w:val="40"/>
        </w:numPr>
        <w:spacing w:before="0" w:line="240" w:lineRule="auto"/>
        <w:contextualSpacing/>
        <w:rPr>
          <w:i/>
          <w:lang w:val="sq-AL"/>
        </w:rPr>
      </w:pPr>
      <w:r w:rsidRPr="006B7133">
        <w:rPr>
          <w:i/>
          <w:lang w:val="sq-AL"/>
        </w:rPr>
        <w:t>Totali detyrimeve të qeverisë vendore rreth 6.60 miliardë lekë.</w:t>
      </w:r>
    </w:p>
    <w:p w:rsidR="006B7133" w:rsidRPr="008C2682" w:rsidRDefault="006B7133" w:rsidP="006B7133">
      <w:pPr>
        <w:rPr>
          <w:lang w:val="sq-AL"/>
        </w:rPr>
      </w:pPr>
      <w:r w:rsidRPr="008C2682">
        <w:rPr>
          <w:lang w:val="sq-AL"/>
        </w:rPr>
        <w:t>Krahasuar me stokun e detyrimeve të prapambetura të raportuara për të njëjtën periudhë të vitit 2020, rezulton se:</w:t>
      </w:r>
    </w:p>
    <w:p w:rsidR="006B7133" w:rsidRPr="000C2F27" w:rsidRDefault="006B7133" w:rsidP="00842F80">
      <w:pPr>
        <w:numPr>
          <w:ilvl w:val="0"/>
          <w:numId w:val="40"/>
        </w:numPr>
        <w:spacing w:before="0" w:line="240" w:lineRule="auto"/>
        <w:contextualSpacing/>
        <w:rPr>
          <w:i/>
          <w:lang w:val="sq-AL"/>
        </w:rPr>
      </w:pPr>
      <w:r w:rsidRPr="000C2F27">
        <w:rPr>
          <w:i/>
          <w:lang w:val="sq-AL"/>
        </w:rPr>
        <w:t>Niveli total i detyrimeve të prapambetura është rreth 10.6 miliardë lekë më i ulët.</w:t>
      </w:r>
    </w:p>
    <w:p w:rsidR="006B7133" w:rsidRDefault="006B7133" w:rsidP="00842F80">
      <w:pPr>
        <w:numPr>
          <w:ilvl w:val="0"/>
          <w:numId w:val="40"/>
        </w:numPr>
        <w:spacing w:before="0" w:line="240" w:lineRule="auto"/>
        <w:contextualSpacing/>
        <w:rPr>
          <w:i/>
          <w:lang w:val="sq-AL"/>
        </w:rPr>
      </w:pPr>
      <w:r w:rsidRPr="000C2F27">
        <w:rPr>
          <w:i/>
          <w:lang w:val="sq-AL"/>
        </w:rPr>
        <w:t>Rimbursimet e prapambetura të TVSH-së janë ulur ndjeshëm me rreth 9.3 miliardë lekë.</w:t>
      </w:r>
    </w:p>
    <w:p w:rsidR="0043521D" w:rsidRPr="0043521D" w:rsidRDefault="0043521D" w:rsidP="0043521D">
      <w:pPr>
        <w:spacing w:line="240" w:lineRule="auto"/>
        <w:rPr>
          <w:rFonts w:cs="Calibri"/>
          <w:lang w:val="sq-AL"/>
        </w:rPr>
      </w:pPr>
      <w:r w:rsidRPr="0043521D">
        <w:rPr>
          <w:rFonts w:cs="Calibri"/>
          <w:lang w:val="sq-AL"/>
        </w:rPr>
        <w:lastRenderedPageBreak/>
        <w:t>Megjithëse edhe në vitin 2021 vijuan efektet e shkaktuara nga Pandemia COVID19, niveli i përgjithshëm i detyrimeve të prapambetura u mbajt nën kontroll dhe Ministria e Financave dhe Ekonomisë ka monitoruar ecurinë e shlyerjeve s</w:t>
      </w:r>
      <w:r>
        <w:rPr>
          <w:rFonts w:cs="Calibri"/>
          <w:lang w:val="sq-AL"/>
        </w:rPr>
        <w:t>ë</w:t>
      </w:r>
      <w:r w:rsidRPr="0043521D">
        <w:rPr>
          <w:rFonts w:cs="Calibri"/>
          <w:lang w:val="sq-AL"/>
        </w:rPr>
        <w:t xml:space="preserve"> tyre mbi baz</w:t>
      </w:r>
      <w:r>
        <w:rPr>
          <w:rFonts w:cs="Calibri"/>
          <w:lang w:val="sq-AL"/>
        </w:rPr>
        <w:t>ë</w:t>
      </w:r>
      <w:r w:rsidRPr="0043521D">
        <w:rPr>
          <w:rFonts w:cs="Calibri"/>
          <w:lang w:val="sq-AL"/>
        </w:rPr>
        <w:t xml:space="preserve"> tremujore. N</w:t>
      </w:r>
      <w:r>
        <w:rPr>
          <w:rFonts w:cs="Calibri"/>
          <w:lang w:val="sq-AL"/>
        </w:rPr>
        <w:t>ë</w:t>
      </w:r>
      <w:r w:rsidRPr="0043521D">
        <w:rPr>
          <w:rFonts w:cs="Calibri"/>
          <w:lang w:val="sq-AL"/>
        </w:rPr>
        <w:t xml:space="preserve"> k</w:t>
      </w:r>
      <w:r>
        <w:rPr>
          <w:rFonts w:cs="Calibri"/>
          <w:lang w:val="sq-AL"/>
        </w:rPr>
        <w:t>ë</w:t>
      </w:r>
      <w:r w:rsidRPr="0043521D">
        <w:rPr>
          <w:rFonts w:cs="Calibri"/>
          <w:lang w:val="sq-AL"/>
        </w:rPr>
        <w:t>t</w:t>
      </w:r>
      <w:r>
        <w:rPr>
          <w:rFonts w:cs="Calibri"/>
          <w:lang w:val="sq-AL"/>
        </w:rPr>
        <w:t>ë</w:t>
      </w:r>
      <w:r w:rsidRPr="0043521D">
        <w:rPr>
          <w:rFonts w:cs="Calibri"/>
          <w:lang w:val="sq-AL"/>
        </w:rPr>
        <w:t xml:space="preserve"> fokus, edhe rishikimi i fundit i buxhetit të vitit 2021 (p</w:t>
      </w:r>
      <w:r>
        <w:rPr>
          <w:rFonts w:cs="Calibri"/>
          <w:lang w:val="sq-AL"/>
        </w:rPr>
        <w:t>ë</w:t>
      </w:r>
      <w:r w:rsidRPr="0043521D">
        <w:rPr>
          <w:rFonts w:cs="Calibri"/>
          <w:lang w:val="sq-AL"/>
        </w:rPr>
        <w:t>rmes AN nr.34 datë 03.12.2021) q</w:t>
      </w:r>
      <w:r>
        <w:rPr>
          <w:rFonts w:cs="Calibri"/>
          <w:lang w:val="sq-AL"/>
        </w:rPr>
        <w:t>ë</w:t>
      </w:r>
      <w:r w:rsidRPr="0043521D">
        <w:rPr>
          <w:rFonts w:cs="Calibri"/>
          <w:lang w:val="sq-AL"/>
        </w:rPr>
        <w:t xml:space="preserve"> pati si qëllim kryesor shlyerjen e detyrimeve të prapambetura, e reduktoi stokun total në vlerën 13.2 miliardë lekë ose 45 përqind më t</w:t>
      </w:r>
      <w:r>
        <w:rPr>
          <w:rFonts w:cs="Calibri"/>
          <w:lang w:val="sq-AL"/>
        </w:rPr>
        <w:t>ë</w:t>
      </w:r>
      <w:r w:rsidRPr="0043521D">
        <w:rPr>
          <w:rFonts w:cs="Calibri"/>
          <w:lang w:val="sq-AL"/>
        </w:rPr>
        <w:t xml:space="preserve"> ulët se viti 2020. Në total, gjatë vitit 2021, janë shlyer rreth 10.6 miliardë lekë detyrime të prapambetura nga periudhat e mëparshme. Duke konsideruar që procesi i shlyerjes së detyrimeve nga ana e institucioneve kryhet në respektim të parimit FIFO, rezulton se detyrimet që mbeten për t’u shlyer gjatë vitit 2021 karakterizohen nga një “moshë mesatare” e re e krijimit të tyre.  </w:t>
      </w:r>
    </w:p>
    <w:p w:rsidR="00E40AFC" w:rsidRPr="00017DE1" w:rsidRDefault="00E40AFC" w:rsidP="0043521D">
      <w:pPr>
        <w:spacing w:before="0" w:line="240" w:lineRule="auto"/>
        <w:ind w:left="720"/>
        <w:contextualSpacing/>
        <w:rPr>
          <w:i/>
          <w:lang w:val="sq-AL"/>
        </w:rPr>
      </w:pPr>
    </w:p>
    <w:p w:rsidR="00C6090D" w:rsidRPr="0043521D" w:rsidRDefault="00C6090D" w:rsidP="00925051">
      <w:pPr>
        <w:pStyle w:val="fiskale3"/>
        <w:rPr>
          <w:rFonts w:ascii="Calibri" w:hAnsi="Calibri" w:cs="Calibri"/>
          <w:i/>
        </w:rPr>
      </w:pPr>
      <w:bookmarkStart w:id="202" w:name="_Toc104980350"/>
      <w:r w:rsidRPr="0043521D">
        <w:rPr>
          <w:rFonts w:ascii="Calibri" w:hAnsi="Calibri" w:cs="Calibri"/>
          <w:i/>
        </w:rPr>
        <w:t xml:space="preserve">Detyrimet e prapambetura </w:t>
      </w:r>
      <w:r w:rsidR="001119D4" w:rsidRPr="0043521D">
        <w:rPr>
          <w:rFonts w:ascii="Calibri" w:hAnsi="Calibri" w:cs="Calibri"/>
          <w:i/>
        </w:rPr>
        <w:t>për njësitë e Qeverisjes Qendrore</w:t>
      </w:r>
      <w:bookmarkEnd w:id="202"/>
    </w:p>
    <w:p w:rsidR="00C6090D" w:rsidRPr="00476D2E" w:rsidRDefault="00C6090D" w:rsidP="00925051">
      <w:pPr>
        <w:spacing w:before="0"/>
        <w:contextualSpacing/>
        <w:rPr>
          <w:rFonts w:eastAsia="Calibri" w:cs="Calibri"/>
          <w:bCs/>
          <w:lang w:val="sq-AL" w:eastAsia="sq-AL"/>
        </w:rPr>
      </w:pPr>
      <w:r w:rsidRPr="00476D2E">
        <w:rPr>
          <w:rFonts w:eastAsia="Calibri" w:cs="Calibri"/>
          <w:bCs/>
          <w:lang w:val="sq-AL" w:eastAsia="sq-AL"/>
        </w:rPr>
        <w:t xml:space="preserve">Në grafikun e mëposhtëm jepet ecuria e stokut të detyrimeve </w:t>
      </w:r>
      <w:r w:rsidR="005E343F" w:rsidRPr="00476D2E">
        <w:rPr>
          <w:rFonts w:eastAsia="Calibri" w:cs="Calibri"/>
          <w:bCs/>
          <w:lang w:val="sq-AL" w:eastAsia="sq-AL"/>
        </w:rPr>
        <w:t>të prapambetura për secilin tre</w:t>
      </w:r>
      <w:r w:rsidRPr="00476D2E">
        <w:rPr>
          <w:rFonts w:eastAsia="Calibri" w:cs="Calibri"/>
          <w:bCs/>
          <w:lang w:val="sq-AL" w:eastAsia="sq-AL"/>
        </w:rPr>
        <w:t>mujor të vitit 202</w:t>
      </w:r>
      <w:r w:rsidR="006B7133">
        <w:rPr>
          <w:rFonts w:eastAsia="Calibri" w:cs="Calibri"/>
          <w:bCs/>
          <w:lang w:val="sq-AL" w:eastAsia="sq-AL"/>
        </w:rPr>
        <w:t>1</w:t>
      </w:r>
      <w:r w:rsidRPr="00476D2E">
        <w:rPr>
          <w:rFonts w:eastAsia="Calibri" w:cs="Calibri"/>
          <w:bCs/>
          <w:lang w:val="sq-AL" w:eastAsia="sq-AL"/>
        </w:rPr>
        <w:t xml:space="preserve">. </w:t>
      </w:r>
    </w:p>
    <w:p w:rsidR="00C6090D" w:rsidRPr="00476D2E" w:rsidRDefault="00C6090D" w:rsidP="0043521D">
      <w:pPr>
        <w:pStyle w:val="Caption"/>
        <w:keepNext/>
        <w:spacing w:before="0" w:after="0"/>
        <w:rPr>
          <w:rFonts w:cs="Calibri"/>
        </w:rPr>
      </w:pPr>
      <w:bookmarkStart w:id="203" w:name="_Toc104984069"/>
      <w:r w:rsidRPr="00017DE1">
        <w:rPr>
          <w:rFonts w:cs="Calibri"/>
        </w:rPr>
        <w:t xml:space="preserve">Grafiku </w:t>
      </w:r>
      <w:r w:rsidRPr="00017DE1">
        <w:rPr>
          <w:rFonts w:cs="Calibri"/>
        </w:rPr>
        <w:fldChar w:fldCharType="begin"/>
      </w:r>
      <w:r w:rsidRPr="00017DE1">
        <w:rPr>
          <w:rFonts w:cs="Calibri"/>
        </w:rPr>
        <w:instrText xml:space="preserve"> SEQ Grafiku \* ARABIC </w:instrText>
      </w:r>
      <w:r w:rsidRPr="00017DE1">
        <w:rPr>
          <w:rFonts w:cs="Calibri"/>
        </w:rPr>
        <w:fldChar w:fldCharType="separate"/>
      </w:r>
      <w:r w:rsidR="00FE66EC">
        <w:rPr>
          <w:rFonts w:cs="Calibri"/>
          <w:noProof/>
        </w:rPr>
        <w:t>50</w:t>
      </w:r>
      <w:r w:rsidRPr="00017DE1">
        <w:rPr>
          <w:rFonts w:cs="Calibri"/>
        </w:rPr>
        <w:fldChar w:fldCharType="end"/>
      </w:r>
      <w:r w:rsidR="001364FD" w:rsidRPr="00017DE1">
        <w:rPr>
          <w:rFonts w:cs="Calibri"/>
        </w:rPr>
        <w:t xml:space="preserve"> Stoku i</w:t>
      </w:r>
      <w:r w:rsidRPr="00017DE1">
        <w:rPr>
          <w:rFonts w:cs="Calibri"/>
        </w:rPr>
        <w:t xml:space="preserve"> detyrimeve t</w:t>
      </w:r>
      <w:r w:rsidR="00086626" w:rsidRPr="00017DE1">
        <w:rPr>
          <w:rFonts w:cs="Calibri"/>
        </w:rPr>
        <w:t>ë</w:t>
      </w:r>
      <w:r w:rsidRPr="00017DE1">
        <w:rPr>
          <w:rFonts w:cs="Calibri"/>
        </w:rPr>
        <w:t xml:space="preserve"> Ministris</w:t>
      </w:r>
      <w:r w:rsidR="00086626" w:rsidRPr="00017DE1">
        <w:rPr>
          <w:rFonts w:cs="Calibri"/>
        </w:rPr>
        <w:t>ë</w:t>
      </w:r>
      <w:r w:rsidRPr="00017DE1">
        <w:rPr>
          <w:rFonts w:cs="Calibri"/>
        </w:rPr>
        <w:t xml:space="preserve"> s</w:t>
      </w:r>
      <w:r w:rsidR="00086626" w:rsidRPr="00017DE1">
        <w:rPr>
          <w:rFonts w:cs="Calibri"/>
        </w:rPr>
        <w:t>ë</w:t>
      </w:r>
      <w:r w:rsidRPr="00017DE1">
        <w:rPr>
          <w:rFonts w:cs="Calibri"/>
        </w:rPr>
        <w:t xml:space="preserve"> Energjis</w:t>
      </w:r>
      <w:r w:rsidR="00086626" w:rsidRPr="00017DE1">
        <w:rPr>
          <w:rFonts w:cs="Calibri"/>
        </w:rPr>
        <w:t>ë</w:t>
      </w:r>
      <w:r w:rsidRPr="00017DE1">
        <w:rPr>
          <w:rFonts w:cs="Calibri"/>
        </w:rPr>
        <w:t xml:space="preserve"> dhe Infrastruktur</w:t>
      </w:r>
      <w:r w:rsidR="00086626" w:rsidRPr="00017DE1">
        <w:rPr>
          <w:rFonts w:cs="Calibri"/>
        </w:rPr>
        <w:t>ë</w:t>
      </w:r>
      <w:r w:rsidRPr="00017DE1">
        <w:rPr>
          <w:rFonts w:cs="Calibri"/>
        </w:rPr>
        <w:t>s dhe ministrive t</w:t>
      </w:r>
      <w:r w:rsidR="00086626" w:rsidRPr="00017DE1">
        <w:rPr>
          <w:rFonts w:cs="Calibri"/>
        </w:rPr>
        <w:t>ë</w:t>
      </w:r>
      <w:r w:rsidRPr="00017DE1">
        <w:rPr>
          <w:rFonts w:cs="Calibri"/>
        </w:rPr>
        <w:t xml:space="preserve"> tjera</w:t>
      </w:r>
      <w:bookmarkEnd w:id="203"/>
    </w:p>
    <w:p w:rsidR="00C6090D" w:rsidRPr="00476D2E" w:rsidRDefault="009F086A" w:rsidP="00E81F0C">
      <w:pPr>
        <w:spacing w:before="0"/>
        <w:contextualSpacing/>
        <w:jc w:val="center"/>
        <w:rPr>
          <w:rFonts w:eastAsia="Calibri" w:cs="Calibri"/>
          <w:bCs/>
          <w:i/>
          <w:u w:val="single"/>
          <w:lang w:val="sq-AL" w:eastAsia="sq-AL"/>
        </w:rPr>
      </w:pPr>
      <w:r w:rsidRPr="00716C10">
        <w:rPr>
          <w:noProof/>
        </w:rPr>
        <w:drawing>
          <wp:inline distT="0" distB="0" distL="0" distR="0" wp14:anchorId="7D20E493" wp14:editId="71EDDAA1">
            <wp:extent cx="6210300" cy="1767840"/>
            <wp:effectExtent l="0" t="0" r="0" b="381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6E055E" w:rsidRPr="00476D2E" w:rsidRDefault="000661E2" w:rsidP="006B7133">
      <w:pPr>
        <w:spacing w:before="0"/>
        <w:ind w:firstLine="720"/>
        <w:rPr>
          <w:rFonts w:eastAsia="SimSun" w:cs="Calibri"/>
          <w:i/>
          <w:sz w:val="18"/>
          <w:szCs w:val="18"/>
          <w:lang w:val="sq-AL"/>
        </w:rPr>
      </w:pPr>
      <w:r>
        <w:rPr>
          <w:rFonts w:eastAsia="SimSun" w:cs="Calibri"/>
          <w:i/>
          <w:sz w:val="18"/>
          <w:szCs w:val="18"/>
          <w:lang w:val="sq-AL"/>
        </w:rPr>
        <w:t>Burimi: Ministria e Financave dhe Ekonomisë (2022)</w:t>
      </w:r>
    </w:p>
    <w:p w:rsidR="00C6090D" w:rsidRPr="0043521D" w:rsidRDefault="00C6090D" w:rsidP="00C6090D">
      <w:pPr>
        <w:contextualSpacing/>
        <w:rPr>
          <w:rFonts w:eastAsia="Calibri" w:cs="Calibri"/>
          <w:bCs/>
          <w:i/>
          <w:sz w:val="8"/>
          <w:lang w:val="sq-AL" w:eastAsia="sq-AL"/>
        </w:rPr>
      </w:pPr>
    </w:p>
    <w:p w:rsidR="001119D4" w:rsidRPr="001F026B" w:rsidRDefault="0043521D" w:rsidP="0043521D">
      <w:pPr>
        <w:spacing w:before="0" w:line="240" w:lineRule="auto"/>
        <w:rPr>
          <w:lang w:val="sq-AL"/>
        </w:rPr>
      </w:pPr>
      <w:r w:rsidRPr="007E0576">
        <w:rPr>
          <w:lang w:val="sq-AL"/>
        </w:rPr>
        <w:t>Sipas informacionit të gjeneruar nga Sistemi Informatik Financiar i Qeverisë</w:t>
      </w:r>
      <w:r>
        <w:rPr>
          <w:lang w:val="sq-AL"/>
        </w:rPr>
        <w:t xml:space="preserve"> (SIFQ) </w:t>
      </w:r>
      <w:r w:rsidRPr="007E0576">
        <w:rPr>
          <w:lang w:val="sq-AL"/>
        </w:rPr>
        <w:t>për periudhën der</w:t>
      </w:r>
      <w:r>
        <w:rPr>
          <w:lang w:val="sq-AL"/>
        </w:rPr>
        <w:t>i në Dhjetor 2021, rezulton se s</w:t>
      </w:r>
      <w:r w:rsidRPr="000F2D01">
        <w:rPr>
          <w:lang w:val="sq-AL"/>
        </w:rPr>
        <w:t xml:space="preserve">toku i detyrimeve të prapambetura </w:t>
      </w:r>
      <w:r>
        <w:rPr>
          <w:lang w:val="sq-AL"/>
        </w:rPr>
        <w:t>të</w:t>
      </w:r>
      <w:r w:rsidRPr="007E0576">
        <w:rPr>
          <w:lang w:val="sq-AL"/>
        </w:rPr>
        <w:t xml:space="preserve"> njësive të qeverisjes qendrore, </w:t>
      </w:r>
      <w:r w:rsidRPr="000F2D01">
        <w:rPr>
          <w:lang w:val="sq-AL"/>
        </w:rPr>
        <w:t xml:space="preserve">është rreth </w:t>
      </w:r>
      <w:r w:rsidRPr="001F026B">
        <w:rPr>
          <w:lang w:val="sq-AL"/>
        </w:rPr>
        <w:t>6.15 miliardë lekë</w:t>
      </w:r>
      <w:r>
        <w:rPr>
          <w:lang w:val="sq-AL"/>
        </w:rPr>
        <w:t xml:space="preserve">, ose </w:t>
      </w:r>
      <w:r w:rsidRPr="001F026B">
        <w:rPr>
          <w:lang w:val="sq-AL"/>
        </w:rPr>
        <w:t xml:space="preserve">rreth </w:t>
      </w:r>
      <w:r>
        <w:rPr>
          <w:lang w:val="sq-AL"/>
        </w:rPr>
        <w:t>820 milionë</w:t>
      </w:r>
      <w:r w:rsidRPr="001F026B">
        <w:rPr>
          <w:lang w:val="sq-AL"/>
        </w:rPr>
        <w:t xml:space="preserve"> lekë më i ulët</w:t>
      </w:r>
      <w:r>
        <w:rPr>
          <w:lang w:val="sq-AL"/>
        </w:rPr>
        <w:t xml:space="preserve"> k</w:t>
      </w:r>
      <w:r w:rsidRPr="001F026B">
        <w:rPr>
          <w:lang w:val="sq-AL"/>
        </w:rPr>
        <w:t xml:space="preserve">rahasuar me stokun e </w:t>
      </w:r>
      <w:r>
        <w:rPr>
          <w:lang w:val="sq-AL"/>
        </w:rPr>
        <w:t>regjistruar në Dhjetor</w:t>
      </w:r>
      <w:r w:rsidRPr="001F026B">
        <w:rPr>
          <w:lang w:val="sq-AL"/>
        </w:rPr>
        <w:t xml:space="preserve"> 202</w:t>
      </w:r>
      <w:r>
        <w:rPr>
          <w:lang w:val="sq-AL"/>
        </w:rPr>
        <w:t>0</w:t>
      </w:r>
      <w:r w:rsidRPr="001F026B">
        <w:rPr>
          <w:lang w:val="sq-AL"/>
        </w:rPr>
        <w:t xml:space="preserve">. </w:t>
      </w:r>
      <w:r w:rsidR="001119D4" w:rsidRPr="001F026B">
        <w:rPr>
          <w:lang w:val="sq-AL"/>
        </w:rPr>
        <w:t xml:space="preserve">Sipas kategorive të shpenzimeve rezulton: </w:t>
      </w:r>
    </w:p>
    <w:p w:rsidR="001119D4" w:rsidRPr="0078341E" w:rsidRDefault="001119D4" w:rsidP="00842F80">
      <w:pPr>
        <w:pStyle w:val="ListParagraph"/>
        <w:numPr>
          <w:ilvl w:val="0"/>
          <w:numId w:val="54"/>
        </w:numPr>
        <w:spacing w:before="0" w:line="240" w:lineRule="auto"/>
        <w:rPr>
          <w:i/>
          <w:sz w:val="20"/>
          <w:szCs w:val="20"/>
          <w:lang w:val="sq-AL"/>
        </w:rPr>
      </w:pPr>
      <w:r w:rsidRPr="0078341E">
        <w:rPr>
          <w:i/>
          <w:sz w:val="20"/>
          <w:szCs w:val="20"/>
          <w:lang w:val="sq-AL"/>
        </w:rPr>
        <w:t>Vendimet Gjyqësore zënë peshën më të madhe të stokut të detyrimit rreth 51.4%,</w:t>
      </w:r>
    </w:p>
    <w:p w:rsidR="001119D4" w:rsidRPr="0078341E" w:rsidRDefault="001119D4" w:rsidP="00842F80">
      <w:pPr>
        <w:pStyle w:val="ListParagraph"/>
        <w:numPr>
          <w:ilvl w:val="0"/>
          <w:numId w:val="54"/>
        </w:numPr>
        <w:spacing w:before="0" w:line="240" w:lineRule="auto"/>
        <w:rPr>
          <w:i/>
          <w:sz w:val="20"/>
          <w:szCs w:val="20"/>
          <w:lang w:val="sq-AL"/>
        </w:rPr>
      </w:pPr>
      <w:r w:rsidRPr="0078341E">
        <w:rPr>
          <w:i/>
          <w:sz w:val="20"/>
          <w:szCs w:val="20"/>
          <w:lang w:val="sq-AL"/>
        </w:rPr>
        <w:t>Detyrime të prapambetura të tjera zënë rreth 16.9%,</w:t>
      </w:r>
    </w:p>
    <w:p w:rsidR="001119D4" w:rsidRPr="0078341E" w:rsidRDefault="001119D4" w:rsidP="00842F80">
      <w:pPr>
        <w:pStyle w:val="ListParagraph"/>
        <w:numPr>
          <w:ilvl w:val="0"/>
          <w:numId w:val="54"/>
        </w:numPr>
        <w:spacing w:before="0" w:line="240" w:lineRule="auto"/>
        <w:rPr>
          <w:i/>
          <w:sz w:val="20"/>
          <w:szCs w:val="20"/>
        </w:rPr>
      </w:pPr>
      <w:r w:rsidRPr="0078341E">
        <w:rPr>
          <w:i/>
          <w:sz w:val="20"/>
          <w:szCs w:val="20"/>
          <w:lang w:val="sq-AL"/>
        </w:rPr>
        <w:t xml:space="preserve">Investimet </w:t>
      </w:r>
      <w:r w:rsidRPr="0078341E">
        <w:rPr>
          <w:i/>
          <w:sz w:val="20"/>
          <w:szCs w:val="20"/>
        </w:rPr>
        <w:t>zënë rreth 12.0%,</w:t>
      </w:r>
    </w:p>
    <w:p w:rsidR="001119D4" w:rsidRPr="0078341E" w:rsidRDefault="001119D4" w:rsidP="00842F80">
      <w:pPr>
        <w:numPr>
          <w:ilvl w:val="0"/>
          <w:numId w:val="54"/>
        </w:numPr>
        <w:spacing w:before="0" w:line="240" w:lineRule="auto"/>
        <w:contextualSpacing/>
        <w:rPr>
          <w:i/>
          <w:sz w:val="20"/>
          <w:szCs w:val="20"/>
        </w:rPr>
      </w:pPr>
      <w:r w:rsidRPr="0078341E">
        <w:rPr>
          <w:i/>
          <w:sz w:val="20"/>
          <w:szCs w:val="20"/>
        </w:rPr>
        <w:t>Shërbimet me rreth 8.0%,</w:t>
      </w:r>
    </w:p>
    <w:p w:rsidR="001119D4" w:rsidRPr="0078341E" w:rsidRDefault="001119D4" w:rsidP="00842F80">
      <w:pPr>
        <w:numPr>
          <w:ilvl w:val="0"/>
          <w:numId w:val="54"/>
        </w:numPr>
        <w:spacing w:before="0" w:line="240" w:lineRule="auto"/>
        <w:contextualSpacing/>
        <w:rPr>
          <w:i/>
          <w:sz w:val="20"/>
          <w:szCs w:val="20"/>
        </w:rPr>
      </w:pPr>
      <w:r w:rsidRPr="0078341E">
        <w:rPr>
          <w:i/>
          <w:sz w:val="20"/>
          <w:szCs w:val="20"/>
        </w:rPr>
        <w:t>Detyrimet për sigurimet shoqërore me rreth 2.5%,</w:t>
      </w:r>
    </w:p>
    <w:p w:rsidR="001119D4" w:rsidRPr="0078341E" w:rsidRDefault="0043521D" w:rsidP="00842F80">
      <w:pPr>
        <w:numPr>
          <w:ilvl w:val="0"/>
          <w:numId w:val="54"/>
        </w:numPr>
        <w:spacing w:before="0" w:line="240" w:lineRule="auto"/>
        <w:contextualSpacing/>
        <w:rPr>
          <w:i/>
          <w:sz w:val="20"/>
          <w:szCs w:val="20"/>
        </w:rPr>
      </w:pPr>
      <w:r>
        <w:rPr>
          <w:i/>
          <w:sz w:val="20"/>
          <w:szCs w:val="20"/>
        </w:rPr>
        <w:t>Mallra me rreth 1.6%, etj</w:t>
      </w:r>
    </w:p>
    <w:p w:rsidR="0043521D" w:rsidRPr="0078341E" w:rsidRDefault="0043521D" w:rsidP="0043521D">
      <w:pPr>
        <w:spacing w:before="0" w:line="240" w:lineRule="auto"/>
        <w:ind w:left="1080"/>
        <w:contextualSpacing/>
        <w:rPr>
          <w:i/>
          <w:sz w:val="20"/>
          <w:szCs w:val="20"/>
        </w:rPr>
      </w:pPr>
    </w:p>
    <w:p w:rsidR="001F026B" w:rsidRPr="0043521D" w:rsidRDefault="001F026B" w:rsidP="0043521D">
      <w:pPr>
        <w:pStyle w:val="Caption"/>
        <w:keepNext/>
        <w:spacing w:before="0" w:after="0"/>
        <w:rPr>
          <w:rFonts w:cs="Calibri"/>
        </w:rPr>
      </w:pPr>
      <w:bookmarkStart w:id="204" w:name="_Toc104984070"/>
      <w:r w:rsidRPr="0043521D">
        <w:rPr>
          <w:rFonts w:cs="Calibri"/>
        </w:rPr>
        <w:t xml:space="preserve">Grafiku </w:t>
      </w:r>
      <w:r w:rsidRPr="0043521D">
        <w:rPr>
          <w:rFonts w:cs="Calibri"/>
        </w:rPr>
        <w:fldChar w:fldCharType="begin"/>
      </w:r>
      <w:r w:rsidRPr="0043521D">
        <w:rPr>
          <w:rFonts w:cs="Calibri"/>
        </w:rPr>
        <w:instrText xml:space="preserve"> SEQ Grafiku \* ARABIC </w:instrText>
      </w:r>
      <w:r w:rsidRPr="0043521D">
        <w:rPr>
          <w:rFonts w:cs="Calibri"/>
        </w:rPr>
        <w:fldChar w:fldCharType="separate"/>
      </w:r>
      <w:r w:rsidR="00FE66EC">
        <w:rPr>
          <w:rFonts w:cs="Calibri"/>
          <w:noProof/>
        </w:rPr>
        <w:t>51</w:t>
      </w:r>
      <w:r w:rsidRPr="0043521D">
        <w:rPr>
          <w:rFonts w:cs="Calibri"/>
        </w:rPr>
        <w:fldChar w:fldCharType="end"/>
      </w:r>
      <w:r w:rsidRPr="0043521D">
        <w:rPr>
          <w:rFonts w:cs="Calibri"/>
        </w:rPr>
        <w:t>: Stoku i detyrimeve të prapambetura qendrore sipas zërave kryesorë</w:t>
      </w:r>
      <w:bookmarkEnd w:id="204"/>
    </w:p>
    <w:p w:rsidR="001F026B" w:rsidRPr="00793F5A" w:rsidRDefault="001F026B" w:rsidP="001F026B">
      <w:pPr>
        <w:spacing w:before="0" w:line="240" w:lineRule="auto"/>
        <w:contextualSpacing/>
        <w:jc w:val="center"/>
        <w:rPr>
          <w:i/>
          <w:lang w:val="sq-AL"/>
        </w:rPr>
      </w:pPr>
      <w:r>
        <w:rPr>
          <w:noProof/>
        </w:rPr>
        <w:drawing>
          <wp:inline distT="0" distB="0" distL="0" distR="0" wp14:anchorId="4CE93CA9" wp14:editId="2AC90812">
            <wp:extent cx="6035040" cy="2217420"/>
            <wp:effectExtent l="0" t="0" r="381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F026B" w:rsidRPr="00904889" w:rsidRDefault="001F026B" w:rsidP="001F026B">
      <w:pPr>
        <w:spacing w:before="0" w:line="240" w:lineRule="auto"/>
        <w:contextualSpacing/>
        <w:rPr>
          <w:i/>
          <w:sz w:val="18"/>
          <w:lang w:val="sq-AL"/>
        </w:rPr>
      </w:pPr>
      <w:r w:rsidRPr="00904889">
        <w:rPr>
          <w:i/>
          <w:sz w:val="20"/>
          <w:lang w:val="sq-AL"/>
        </w:rPr>
        <w:t xml:space="preserve">                  </w:t>
      </w:r>
      <w:r w:rsidRPr="00904889">
        <w:rPr>
          <w:i/>
          <w:sz w:val="18"/>
          <w:lang w:val="sq-AL"/>
        </w:rPr>
        <w:t>Burimi: Ministria e Financave dhe Ekonomisë (2022)</w:t>
      </w:r>
    </w:p>
    <w:p w:rsidR="006B7133" w:rsidRPr="00716C10" w:rsidRDefault="001F026B" w:rsidP="006B7133">
      <w:pPr>
        <w:contextualSpacing/>
        <w:rPr>
          <w:rFonts w:eastAsia="Calibri" w:cs="Calibri"/>
          <w:bCs/>
          <w:lang w:val="sq-AL" w:eastAsia="sq-AL"/>
        </w:rPr>
      </w:pPr>
      <w:r>
        <w:rPr>
          <w:rFonts w:eastAsia="Calibri" w:cs="Calibri"/>
          <w:bCs/>
          <w:lang w:val="sq-AL" w:eastAsia="sq-AL"/>
        </w:rPr>
        <w:lastRenderedPageBreak/>
        <w:t>Siç v</w:t>
      </w:r>
      <w:r w:rsidR="00366408">
        <w:rPr>
          <w:rFonts w:eastAsia="Calibri" w:cs="Calibri"/>
          <w:bCs/>
          <w:lang w:val="sq-AL" w:eastAsia="sq-AL"/>
        </w:rPr>
        <w:t>ë</w:t>
      </w:r>
      <w:r>
        <w:rPr>
          <w:rFonts w:eastAsia="Calibri" w:cs="Calibri"/>
          <w:bCs/>
          <w:lang w:val="sq-AL" w:eastAsia="sq-AL"/>
        </w:rPr>
        <w:t xml:space="preserve">rehet, </w:t>
      </w:r>
      <w:r w:rsidR="006B7133" w:rsidRPr="00716C10">
        <w:rPr>
          <w:rFonts w:eastAsia="Calibri" w:cs="Calibri"/>
          <w:bCs/>
          <w:lang w:val="sq-AL" w:eastAsia="sq-AL"/>
        </w:rPr>
        <w:t xml:space="preserve">zë me peshë </w:t>
      </w:r>
      <w:r>
        <w:rPr>
          <w:rFonts w:eastAsia="Calibri" w:cs="Calibri"/>
          <w:bCs/>
          <w:lang w:val="sq-AL" w:eastAsia="sq-AL"/>
        </w:rPr>
        <w:t>t</w:t>
      </w:r>
      <w:r w:rsidR="00366408">
        <w:rPr>
          <w:rFonts w:eastAsia="Calibri" w:cs="Calibri"/>
          <w:bCs/>
          <w:lang w:val="sq-AL" w:eastAsia="sq-AL"/>
        </w:rPr>
        <w:t>ë</w:t>
      </w:r>
      <w:r>
        <w:rPr>
          <w:rFonts w:eastAsia="Calibri" w:cs="Calibri"/>
          <w:bCs/>
          <w:lang w:val="sq-AL" w:eastAsia="sq-AL"/>
        </w:rPr>
        <w:t xml:space="preserve"> konsiderueshme </w:t>
      </w:r>
      <w:r w:rsidR="006B7133" w:rsidRPr="00716C10">
        <w:rPr>
          <w:rFonts w:eastAsia="Calibri" w:cs="Calibri"/>
          <w:bCs/>
          <w:lang w:val="sq-AL" w:eastAsia="sq-AL"/>
        </w:rPr>
        <w:t>në ecurinë e detyrimeve të prapambetura mbetet ai i vendimeve gjyqësore administrative të formës së prerë</w:t>
      </w:r>
      <w:r>
        <w:rPr>
          <w:rFonts w:eastAsia="Calibri" w:cs="Calibri"/>
          <w:bCs/>
          <w:lang w:val="sq-AL" w:eastAsia="sq-AL"/>
        </w:rPr>
        <w:t>, t</w:t>
      </w:r>
      <w:r w:rsidR="00366408">
        <w:rPr>
          <w:rFonts w:eastAsia="Calibri" w:cs="Calibri"/>
          <w:bCs/>
          <w:lang w:val="sq-AL" w:eastAsia="sq-AL"/>
        </w:rPr>
        <w:t>ë</w:t>
      </w:r>
      <w:r>
        <w:rPr>
          <w:rFonts w:eastAsia="Calibri" w:cs="Calibri"/>
          <w:bCs/>
          <w:lang w:val="sq-AL" w:eastAsia="sq-AL"/>
        </w:rPr>
        <w:t xml:space="preserve"> cilat</w:t>
      </w:r>
      <w:r w:rsidR="006B7133" w:rsidRPr="00716C10">
        <w:rPr>
          <w:rFonts w:eastAsia="Calibri" w:cs="Calibri"/>
          <w:bCs/>
          <w:lang w:val="sq-AL" w:eastAsia="sq-AL"/>
        </w:rPr>
        <w:t>:</w:t>
      </w:r>
    </w:p>
    <w:p w:rsidR="006B7133" w:rsidRPr="0078341E" w:rsidRDefault="001F026B" w:rsidP="00842F80">
      <w:pPr>
        <w:numPr>
          <w:ilvl w:val="0"/>
          <w:numId w:val="39"/>
        </w:numPr>
        <w:spacing w:before="0" w:line="240" w:lineRule="auto"/>
        <w:ind w:left="540"/>
        <w:contextualSpacing/>
        <w:rPr>
          <w:rFonts w:eastAsia="Calibri" w:cs="Calibri"/>
          <w:bCs/>
          <w:i/>
          <w:lang w:val="sq-AL" w:eastAsia="sq-AL"/>
        </w:rPr>
      </w:pPr>
      <w:r w:rsidRPr="0078341E">
        <w:rPr>
          <w:rFonts w:eastAsia="Calibri" w:cs="Calibri"/>
          <w:bCs/>
          <w:i/>
          <w:lang w:val="sq-AL" w:eastAsia="sq-AL"/>
        </w:rPr>
        <w:t>K</w:t>
      </w:r>
      <w:r w:rsidR="006B7133" w:rsidRPr="0078341E">
        <w:rPr>
          <w:rFonts w:eastAsia="Calibri" w:cs="Calibri"/>
          <w:bCs/>
          <w:i/>
          <w:lang w:val="sq-AL" w:eastAsia="sq-AL"/>
        </w:rPr>
        <w:t xml:space="preserve">anë kryesisht në sfond largimet e padrejta nga puna të ish-punonjësve, të cilat në çdo rast implikojnë kosto buxhetore të paparashikuara. Këto detyrime monitorohen dhe raportohen nga Ministria e Financave dhe Ekonomisë, në kuadër të monitorimit të përgjithshëm të detyrimeve të prapambetura. Për vitin 2021, detyrimet e prapambetura për vendime gjyqësore për njësitë e qeverisje qendrore rezultuan në rreth 3.16 </w:t>
      </w:r>
      <w:r w:rsidR="000C2F27" w:rsidRPr="0078341E">
        <w:rPr>
          <w:rFonts w:eastAsia="Calibri" w:cs="Calibri"/>
          <w:bCs/>
          <w:i/>
          <w:lang w:val="sq-AL" w:eastAsia="sq-AL"/>
        </w:rPr>
        <w:t>mld</w:t>
      </w:r>
      <w:r w:rsidR="006B7133" w:rsidRPr="0078341E">
        <w:rPr>
          <w:rFonts w:eastAsia="Calibri" w:cs="Calibri"/>
          <w:bCs/>
          <w:i/>
          <w:lang w:val="sq-AL" w:eastAsia="sq-AL"/>
        </w:rPr>
        <w:t xml:space="preserve"> lekë ose rreth 51.4</w:t>
      </w:r>
      <w:r w:rsidR="000C2F27" w:rsidRPr="0078341E">
        <w:rPr>
          <w:rFonts w:eastAsia="Calibri" w:cs="Calibri"/>
          <w:bCs/>
          <w:i/>
          <w:lang w:val="sq-AL" w:eastAsia="sq-AL"/>
        </w:rPr>
        <w:t xml:space="preserve">% </w:t>
      </w:r>
      <w:r w:rsidR="006B7133" w:rsidRPr="0078341E">
        <w:rPr>
          <w:rFonts w:eastAsia="Calibri" w:cs="Calibri"/>
          <w:bCs/>
          <w:i/>
          <w:lang w:val="sq-AL" w:eastAsia="sq-AL"/>
        </w:rPr>
        <w:t xml:space="preserve">e stokut total të detyrimeve të prapambetura </w:t>
      </w:r>
      <w:r w:rsidR="000C2F27" w:rsidRPr="0078341E">
        <w:rPr>
          <w:rFonts w:eastAsia="Calibri" w:cs="Calibri"/>
          <w:bCs/>
          <w:i/>
          <w:lang w:val="sq-AL" w:eastAsia="sq-AL"/>
        </w:rPr>
        <w:t>t</w:t>
      </w:r>
      <w:r w:rsidR="006B7133" w:rsidRPr="0078341E">
        <w:rPr>
          <w:rFonts w:eastAsia="Calibri" w:cs="Calibri"/>
          <w:bCs/>
          <w:i/>
          <w:lang w:val="sq-AL" w:eastAsia="sq-AL"/>
        </w:rPr>
        <w:t>ë njësi</w:t>
      </w:r>
      <w:r w:rsidR="000C2F27" w:rsidRPr="0078341E">
        <w:rPr>
          <w:rFonts w:eastAsia="Calibri" w:cs="Calibri"/>
          <w:bCs/>
          <w:i/>
          <w:lang w:val="sq-AL" w:eastAsia="sq-AL"/>
        </w:rPr>
        <w:t>ve</w:t>
      </w:r>
      <w:r w:rsidR="006B7133" w:rsidRPr="0078341E">
        <w:rPr>
          <w:rFonts w:eastAsia="Calibri" w:cs="Calibri"/>
          <w:bCs/>
          <w:i/>
          <w:lang w:val="sq-AL" w:eastAsia="sq-AL"/>
        </w:rPr>
        <w:t xml:space="preserve"> </w:t>
      </w:r>
      <w:r w:rsidR="000C2F27" w:rsidRPr="0078341E">
        <w:rPr>
          <w:rFonts w:eastAsia="Calibri" w:cs="Calibri"/>
          <w:bCs/>
          <w:i/>
          <w:lang w:val="sq-AL" w:eastAsia="sq-AL"/>
        </w:rPr>
        <w:t>t</w:t>
      </w:r>
      <w:r w:rsidR="002111DF" w:rsidRPr="0078341E">
        <w:rPr>
          <w:rFonts w:eastAsia="Calibri" w:cs="Calibri"/>
          <w:bCs/>
          <w:i/>
          <w:lang w:val="sq-AL" w:eastAsia="sq-AL"/>
        </w:rPr>
        <w:t>ë</w:t>
      </w:r>
      <w:r w:rsidR="006B7133" w:rsidRPr="0078341E">
        <w:rPr>
          <w:rFonts w:eastAsia="Calibri" w:cs="Calibri"/>
          <w:bCs/>
          <w:i/>
          <w:lang w:val="sq-AL" w:eastAsia="sq-AL"/>
        </w:rPr>
        <w:t xml:space="preserve"> qeverisjes qendrore.</w:t>
      </w:r>
    </w:p>
    <w:p w:rsidR="00C6090D" w:rsidRDefault="006B7133" w:rsidP="00842F80">
      <w:pPr>
        <w:numPr>
          <w:ilvl w:val="0"/>
          <w:numId w:val="39"/>
        </w:numPr>
        <w:spacing w:before="0" w:line="240" w:lineRule="auto"/>
        <w:ind w:left="540"/>
        <w:contextualSpacing/>
        <w:rPr>
          <w:rFonts w:eastAsia="Calibri" w:cs="Calibri"/>
          <w:bCs/>
          <w:i/>
          <w:lang w:val="sq-AL" w:eastAsia="sq-AL"/>
        </w:rPr>
      </w:pPr>
      <w:r w:rsidRPr="0078341E">
        <w:rPr>
          <w:rFonts w:eastAsia="Calibri" w:cs="Calibri"/>
          <w:bCs/>
          <w:i/>
          <w:lang w:val="sq-AL" w:eastAsia="sq-AL"/>
        </w:rPr>
        <w:t>Ministria e Financave dhe Ekonomisë, për t’i paraprirë akumulimit të tyre në kohë, përveç një monitorimi periodik, vazhdimisht i ka bërë apel aftësisë menaxhuese të vetë institucioneve buxhetore, përmes aplikimit me këste të pagesës për përfituesit apo instrumenteve të tjerë të lehtësimit dhe/ose zhvendosjes në kohë të të barrës së tyre buxhetore</w:t>
      </w:r>
      <w:r w:rsidR="00C6090D" w:rsidRPr="0078341E">
        <w:rPr>
          <w:rFonts w:eastAsia="Calibri" w:cs="Calibri"/>
          <w:bCs/>
          <w:i/>
          <w:lang w:val="sq-AL" w:eastAsia="sq-AL"/>
        </w:rPr>
        <w:t>.</w:t>
      </w:r>
    </w:p>
    <w:p w:rsidR="0043521D" w:rsidRPr="0078341E" w:rsidRDefault="0043521D" w:rsidP="0043521D">
      <w:pPr>
        <w:spacing w:before="0" w:line="240" w:lineRule="auto"/>
        <w:ind w:left="540"/>
        <w:contextualSpacing/>
        <w:rPr>
          <w:rFonts w:eastAsia="Calibri" w:cs="Calibri"/>
          <w:bCs/>
          <w:i/>
          <w:lang w:val="sq-AL" w:eastAsia="sq-AL"/>
        </w:rPr>
      </w:pPr>
    </w:p>
    <w:p w:rsidR="006E055E" w:rsidRDefault="006E055E" w:rsidP="00C6090D">
      <w:pPr>
        <w:contextualSpacing/>
        <w:rPr>
          <w:rFonts w:cs="Calibri"/>
          <w:sz w:val="8"/>
          <w:szCs w:val="8"/>
          <w:lang w:val="sq-AL"/>
        </w:rPr>
      </w:pPr>
    </w:p>
    <w:p w:rsidR="009475E3" w:rsidRDefault="009475E3" w:rsidP="00C6090D">
      <w:pPr>
        <w:contextualSpacing/>
        <w:rPr>
          <w:rFonts w:cs="Calibri"/>
          <w:sz w:val="8"/>
          <w:szCs w:val="8"/>
          <w:lang w:val="sq-AL"/>
        </w:rPr>
      </w:pPr>
    </w:p>
    <w:p w:rsidR="00F20CE9" w:rsidRPr="009475E3" w:rsidRDefault="00F20CE9" w:rsidP="00925051">
      <w:pPr>
        <w:pStyle w:val="fiskale3"/>
        <w:rPr>
          <w:rFonts w:ascii="Calibri" w:hAnsi="Calibri" w:cs="Calibri"/>
          <w:b/>
        </w:rPr>
      </w:pPr>
      <w:bookmarkStart w:id="205" w:name="_Toc104980351"/>
      <w:r w:rsidRPr="009475E3">
        <w:rPr>
          <w:rFonts w:ascii="Calibri" w:hAnsi="Calibri" w:cs="Calibri"/>
          <w:b/>
        </w:rPr>
        <w:t>Detyrimet e prapambetura për njësitë e Vet</w:t>
      </w:r>
      <w:r w:rsidR="00366408" w:rsidRPr="009475E3">
        <w:rPr>
          <w:rFonts w:ascii="Calibri" w:hAnsi="Calibri" w:cs="Calibri"/>
          <w:b/>
        </w:rPr>
        <w:t>ë</w:t>
      </w:r>
      <w:r w:rsidRPr="009475E3">
        <w:rPr>
          <w:rFonts w:ascii="Calibri" w:hAnsi="Calibri" w:cs="Calibri"/>
          <w:b/>
        </w:rPr>
        <w:t>qeverisjes Vendore (NJVQV)</w:t>
      </w:r>
      <w:bookmarkEnd w:id="205"/>
    </w:p>
    <w:p w:rsidR="009475E3" w:rsidRPr="00341B3C" w:rsidRDefault="009475E3" w:rsidP="009475E3">
      <w:pPr>
        <w:rPr>
          <w:rFonts w:cs="Calibri"/>
          <w:lang w:val="sq-AL"/>
        </w:rPr>
      </w:pPr>
      <w:r w:rsidRPr="00341B3C">
        <w:rPr>
          <w:rFonts w:cs="Calibri"/>
          <w:lang w:val="sq-AL"/>
        </w:rPr>
        <w:t>Stoku i detyrimeve të prapambetura për njësitë e vetëqeverisjes vendore në fund të muajit dhjetor 2021, është rreth 6.6 miliard lekë. Vlera e stokut të detyrimeve të prapambetura është ulur me rreth 0.7 milard lekë krahasuar me stokun e detyrimit në fund të tremujorit të tretë të vitit 2021, që ishte rreth 7.3 miliard lekë; dhe është ulur me rreth 0.5 miliard lekë krahasuar me stokun e detyrimit në fund të vitit 2020, që ishte rreth 7.1 miliard lekë.</w:t>
      </w:r>
    </w:p>
    <w:p w:rsidR="0043521D" w:rsidRPr="0043521D" w:rsidRDefault="0043521D" w:rsidP="0043521D">
      <w:pPr>
        <w:spacing w:before="0"/>
        <w:rPr>
          <w:rFonts w:cs="Calibri"/>
          <w:sz w:val="4"/>
          <w:szCs w:val="8"/>
          <w:lang w:val="sq-AL"/>
        </w:rPr>
      </w:pPr>
    </w:p>
    <w:p w:rsidR="009475E3" w:rsidRPr="00341B3C" w:rsidRDefault="009475E3" w:rsidP="0043521D">
      <w:pPr>
        <w:spacing w:before="0"/>
        <w:rPr>
          <w:rFonts w:cs="Calibri"/>
          <w:lang w:val="sq-AL"/>
        </w:rPr>
      </w:pPr>
      <w:r w:rsidRPr="00341B3C">
        <w:rPr>
          <w:rFonts w:cs="Calibri"/>
          <w:lang w:val="sq-AL"/>
        </w:rPr>
        <w:t xml:space="preserve">Stokun më të lartë të detyrimeve vazhdon </w:t>
      </w:r>
      <w:r w:rsidR="0043521D">
        <w:rPr>
          <w:rFonts w:cs="Calibri"/>
          <w:lang w:val="sq-AL"/>
        </w:rPr>
        <w:t>ta ketë</w:t>
      </w:r>
      <w:r w:rsidRPr="00341B3C">
        <w:rPr>
          <w:rFonts w:cs="Calibri"/>
          <w:lang w:val="sq-AL"/>
        </w:rPr>
        <w:t xml:space="preserve"> bashkia Kavajë në vlerën rreth 820 milion lekë, e cila përbën 12.7% të totalit të detyrimeve,  bashkia Tiranë në vlerën rreth 632 milion lekë, e cila përbën 9.8% të totalit të detyrimeve, bashkia Vorë në vlerën rreth 516 milion lekë, e cila përbën 8% të totalit të detyrimeve; bashkia Malësi e Madhe në vlerën rreth 323 milion lekë, e cila përbën 5% të totalit të detyrimeve. Më pas renditen bashkia Pogradec dhe Durrës.</w:t>
      </w:r>
    </w:p>
    <w:p w:rsidR="009475E3" w:rsidRPr="0043521D" w:rsidRDefault="009475E3" w:rsidP="00F20CE9">
      <w:pPr>
        <w:spacing w:before="0" w:line="240" w:lineRule="auto"/>
        <w:contextualSpacing/>
        <w:rPr>
          <w:i/>
          <w:sz w:val="8"/>
          <w:szCs w:val="8"/>
          <w:lang w:val="sq-AL"/>
        </w:rPr>
      </w:pPr>
    </w:p>
    <w:p w:rsidR="00F20CE9" w:rsidRPr="00DE49E2" w:rsidRDefault="00DE49E2" w:rsidP="00AB7A9F">
      <w:pPr>
        <w:pStyle w:val="Caption"/>
        <w:spacing w:after="0"/>
      </w:pPr>
      <w:bookmarkStart w:id="206" w:name="_Toc104984071"/>
      <w:r>
        <w:t xml:space="preserve">Grafiku </w:t>
      </w:r>
      <w:r w:rsidR="00EA28E4">
        <w:fldChar w:fldCharType="begin"/>
      </w:r>
      <w:r w:rsidR="00EA28E4">
        <w:instrText xml:space="preserve"> SEQ Grafiku \* ARABIC </w:instrText>
      </w:r>
      <w:r w:rsidR="00EA28E4">
        <w:fldChar w:fldCharType="separate"/>
      </w:r>
      <w:r w:rsidR="00FE66EC">
        <w:rPr>
          <w:noProof/>
        </w:rPr>
        <w:t>52</w:t>
      </w:r>
      <w:r w:rsidR="00EA28E4">
        <w:rPr>
          <w:noProof/>
        </w:rPr>
        <w:fldChar w:fldCharType="end"/>
      </w:r>
      <w:r w:rsidR="00F20CE9" w:rsidRPr="0043521D">
        <w:rPr>
          <w:rFonts w:cs="Calibri"/>
        </w:rPr>
        <w:t>: Stoku i detyrimeve të prapambetura vendore sipas zërave kryesorë</w:t>
      </w:r>
      <w:bookmarkEnd w:id="206"/>
    </w:p>
    <w:p w:rsidR="00D654BF" w:rsidRPr="00F20CE9" w:rsidRDefault="00F20CE9" w:rsidP="00017DE1">
      <w:pPr>
        <w:pStyle w:val="ListParagraph"/>
        <w:spacing w:before="0" w:line="240" w:lineRule="auto"/>
        <w:ind w:left="360"/>
        <w:jc w:val="center"/>
        <w:rPr>
          <w:rFonts w:cs="Calibri"/>
          <w:lang w:val="sq-AL"/>
        </w:rPr>
      </w:pPr>
      <w:r>
        <w:rPr>
          <w:noProof/>
        </w:rPr>
        <w:drawing>
          <wp:inline distT="0" distB="0" distL="0" distR="0" wp14:anchorId="22A44D51" wp14:editId="1436EAA7">
            <wp:extent cx="6014720" cy="2346960"/>
            <wp:effectExtent l="0" t="0" r="508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17DE1" w:rsidRDefault="00017DE1" w:rsidP="00017DE1">
      <w:pPr>
        <w:spacing w:before="0" w:line="240" w:lineRule="auto"/>
        <w:contextualSpacing/>
        <w:rPr>
          <w:i/>
          <w:sz w:val="18"/>
          <w:lang w:val="sq-AL"/>
        </w:rPr>
      </w:pPr>
      <w:r w:rsidRPr="00904889">
        <w:rPr>
          <w:i/>
          <w:sz w:val="20"/>
          <w:lang w:val="sq-AL"/>
        </w:rPr>
        <w:t xml:space="preserve">                  </w:t>
      </w:r>
      <w:r w:rsidRPr="00904889">
        <w:rPr>
          <w:i/>
          <w:sz w:val="18"/>
          <w:lang w:val="sq-AL"/>
        </w:rPr>
        <w:t>Burimi: Ministria e Financave dhe Ekonomisë (2022)</w:t>
      </w:r>
    </w:p>
    <w:p w:rsidR="009475E3" w:rsidRDefault="009475E3" w:rsidP="00017DE1">
      <w:pPr>
        <w:spacing w:before="0" w:line="240" w:lineRule="auto"/>
        <w:contextualSpacing/>
        <w:rPr>
          <w:i/>
          <w:sz w:val="18"/>
          <w:lang w:val="sq-AL"/>
        </w:rPr>
      </w:pPr>
    </w:p>
    <w:p w:rsidR="009475E3" w:rsidRPr="00F20CE9" w:rsidRDefault="009475E3" w:rsidP="009475E3">
      <w:pPr>
        <w:spacing w:line="240" w:lineRule="auto"/>
        <w:contextualSpacing/>
        <w:rPr>
          <w:lang w:val="sq-AL"/>
        </w:rPr>
      </w:pPr>
      <w:r w:rsidRPr="00F20CE9">
        <w:rPr>
          <w:lang w:val="sq-AL"/>
        </w:rPr>
        <w:t xml:space="preserve">Sipas kategorive, rezulton që: </w:t>
      </w:r>
    </w:p>
    <w:p w:rsidR="009475E3" w:rsidRPr="0078341E" w:rsidRDefault="009475E3" w:rsidP="00842F80">
      <w:pPr>
        <w:pStyle w:val="ListParagraph"/>
        <w:numPr>
          <w:ilvl w:val="0"/>
          <w:numId w:val="54"/>
        </w:numPr>
        <w:spacing w:before="0" w:line="240" w:lineRule="auto"/>
        <w:rPr>
          <w:i/>
          <w:lang w:val="sq-AL"/>
        </w:rPr>
      </w:pPr>
      <w:r w:rsidRPr="0078341E">
        <w:rPr>
          <w:i/>
          <w:lang w:val="sq-AL"/>
        </w:rPr>
        <w:t>Investimet zënë peshën më të madhe të stokut të detyrimit me rreth 54.7%,</w:t>
      </w:r>
    </w:p>
    <w:p w:rsidR="009475E3" w:rsidRPr="0078341E" w:rsidRDefault="009475E3" w:rsidP="00842F80">
      <w:pPr>
        <w:pStyle w:val="ListParagraph"/>
        <w:numPr>
          <w:ilvl w:val="0"/>
          <w:numId w:val="54"/>
        </w:numPr>
        <w:spacing w:before="0" w:line="240" w:lineRule="auto"/>
        <w:rPr>
          <w:i/>
          <w:lang w:val="sq-AL"/>
        </w:rPr>
      </w:pPr>
      <w:r w:rsidRPr="0078341E">
        <w:rPr>
          <w:i/>
          <w:lang w:val="sq-AL"/>
        </w:rPr>
        <w:t>Detyrime të prapambetura të tjera me rreth 14.7%,</w:t>
      </w:r>
    </w:p>
    <w:p w:rsidR="009475E3" w:rsidRPr="0078341E" w:rsidRDefault="009475E3" w:rsidP="00842F80">
      <w:pPr>
        <w:pStyle w:val="ListParagraph"/>
        <w:numPr>
          <w:ilvl w:val="0"/>
          <w:numId w:val="54"/>
        </w:numPr>
        <w:spacing w:before="0" w:line="240" w:lineRule="auto"/>
        <w:rPr>
          <w:i/>
          <w:lang w:val="sq-AL"/>
        </w:rPr>
      </w:pPr>
      <w:r w:rsidRPr="0078341E">
        <w:rPr>
          <w:i/>
          <w:lang w:val="sq-AL"/>
        </w:rPr>
        <w:t>Shërbimet rreth 10.9%,</w:t>
      </w:r>
    </w:p>
    <w:p w:rsidR="009475E3" w:rsidRPr="0078341E" w:rsidRDefault="009475E3" w:rsidP="00842F80">
      <w:pPr>
        <w:pStyle w:val="ListParagraph"/>
        <w:numPr>
          <w:ilvl w:val="0"/>
          <w:numId w:val="54"/>
        </w:numPr>
        <w:spacing w:before="0" w:line="240" w:lineRule="auto"/>
        <w:rPr>
          <w:i/>
          <w:lang w:val="sq-AL"/>
        </w:rPr>
      </w:pPr>
      <w:r w:rsidRPr="0078341E">
        <w:rPr>
          <w:i/>
          <w:lang w:val="sq-AL"/>
        </w:rPr>
        <w:t>Vendimet Gjyqësore rreth 10.5%,</w:t>
      </w:r>
    </w:p>
    <w:p w:rsidR="009475E3" w:rsidRPr="0078341E" w:rsidRDefault="009475E3" w:rsidP="00842F80">
      <w:pPr>
        <w:pStyle w:val="ListParagraph"/>
        <w:numPr>
          <w:ilvl w:val="0"/>
          <w:numId w:val="54"/>
        </w:numPr>
        <w:spacing w:before="0" w:line="240" w:lineRule="auto"/>
        <w:rPr>
          <w:i/>
          <w:lang w:val="sq-AL"/>
        </w:rPr>
      </w:pPr>
      <w:r w:rsidRPr="0078341E">
        <w:rPr>
          <w:i/>
          <w:lang w:val="sq-AL"/>
        </w:rPr>
        <w:t xml:space="preserve">Mallra me rreth 5.2%, </w:t>
      </w:r>
    </w:p>
    <w:p w:rsidR="009475E3" w:rsidRPr="0078341E" w:rsidRDefault="009475E3" w:rsidP="00842F80">
      <w:pPr>
        <w:pStyle w:val="ListParagraph"/>
        <w:numPr>
          <w:ilvl w:val="0"/>
          <w:numId w:val="54"/>
        </w:numPr>
        <w:spacing w:before="0" w:line="240" w:lineRule="auto"/>
        <w:rPr>
          <w:i/>
          <w:lang w:val="sq-AL"/>
        </w:rPr>
      </w:pPr>
      <w:r w:rsidRPr="0078341E">
        <w:rPr>
          <w:i/>
          <w:lang w:val="sq-AL"/>
        </w:rPr>
        <w:t>Mirëmbajtje rreth 2.7%,</w:t>
      </w:r>
      <w:r w:rsidR="0043521D">
        <w:rPr>
          <w:i/>
          <w:lang w:val="sq-AL"/>
        </w:rPr>
        <w:t xml:space="preserve"> etj</w:t>
      </w:r>
    </w:p>
    <w:p w:rsidR="009475E3" w:rsidRDefault="009475E3" w:rsidP="009475E3">
      <w:pPr>
        <w:pStyle w:val="Caption"/>
        <w:keepNext/>
        <w:spacing w:after="0"/>
        <w:rPr>
          <w:rFonts w:cs="Calibri"/>
          <w:i w:val="0"/>
          <w:iCs w:val="0"/>
          <w:lang w:val="sq-AL"/>
        </w:rPr>
      </w:pPr>
      <w:bookmarkStart w:id="207" w:name="_Toc104984089"/>
      <w:r w:rsidRPr="00476D2E">
        <w:lastRenderedPageBreak/>
        <w:t xml:space="preserve">Tabela </w:t>
      </w:r>
      <w:r w:rsidRPr="00476D2E">
        <w:rPr>
          <w:noProof/>
        </w:rPr>
        <w:fldChar w:fldCharType="begin"/>
      </w:r>
      <w:r w:rsidRPr="00476D2E">
        <w:rPr>
          <w:noProof/>
        </w:rPr>
        <w:instrText xml:space="preserve"> SEQ Tabela \* ARABIC </w:instrText>
      </w:r>
      <w:r w:rsidRPr="00476D2E">
        <w:rPr>
          <w:noProof/>
        </w:rPr>
        <w:fldChar w:fldCharType="separate"/>
      </w:r>
      <w:r w:rsidR="00276062">
        <w:rPr>
          <w:noProof/>
        </w:rPr>
        <w:t>17</w:t>
      </w:r>
      <w:r w:rsidRPr="00476D2E">
        <w:rPr>
          <w:noProof/>
        </w:rPr>
        <w:fldChar w:fldCharType="end"/>
      </w:r>
      <w:r w:rsidR="00276062">
        <w:rPr>
          <w:noProof/>
        </w:rPr>
        <w:t xml:space="preserve"> </w:t>
      </w:r>
      <w:r w:rsidRPr="00476D2E">
        <w:t xml:space="preserve"> </w:t>
      </w:r>
      <w:r w:rsidRPr="00476D2E">
        <w:rPr>
          <w:rFonts w:cs="Calibri"/>
          <w:i w:val="0"/>
          <w:iCs w:val="0"/>
          <w:lang w:val="sq-AL"/>
        </w:rPr>
        <w:t>Detyrimet e prapambetura në nivel vendor sipas kategorive</w:t>
      </w:r>
      <w:bookmarkEnd w:id="207"/>
    </w:p>
    <w:tbl>
      <w:tblPr>
        <w:tblStyle w:val="ListTable3-Accent12"/>
        <w:tblW w:w="4993" w:type="pct"/>
        <w:jc w:val="center"/>
        <w:tblLook w:val="04A0" w:firstRow="1" w:lastRow="0" w:firstColumn="1" w:lastColumn="0" w:noHBand="0" w:noVBand="1"/>
      </w:tblPr>
      <w:tblGrid>
        <w:gridCol w:w="1842"/>
        <w:gridCol w:w="2230"/>
        <w:gridCol w:w="1530"/>
        <w:gridCol w:w="1369"/>
        <w:gridCol w:w="1895"/>
        <w:gridCol w:w="1865"/>
      </w:tblGrid>
      <w:tr w:rsidR="009475E3" w:rsidRPr="00341B3C" w:rsidTr="0043521D">
        <w:trPr>
          <w:cnfStyle w:val="100000000000" w:firstRow="1" w:lastRow="0" w:firstColumn="0" w:lastColumn="0" w:oddVBand="0" w:evenVBand="0" w:oddHBand="0" w:evenHBand="0" w:firstRowFirstColumn="0" w:firstRowLastColumn="0" w:lastRowFirstColumn="0" w:lastRowLastColumn="0"/>
          <w:trHeight w:val="307"/>
          <w:jc w:val="center"/>
        </w:trPr>
        <w:tc>
          <w:tcPr>
            <w:cnfStyle w:val="001000000100" w:firstRow="0" w:lastRow="0" w:firstColumn="1" w:lastColumn="0" w:oddVBand="0" w:evenVBand="0" w:oddHBand="0" w:evenHBand="0" w:firstRowFirstColumn="1" w:firstRowLastColumn="0" w:lastRowFirstColumn="0" w:lastRowLastColumn="0"/>
            <w:tcW w:w="858" w:type="pct"/>
            <w:tcBorders>
              <w:top w:val="single" w:sz="4" w:space="0" w:color="0F6FC6" w:themeColor="accent1"/>
              <w:bottom w:val="single" w:sz="4" w:space="0" w:color="0F6FC6" w:themeColor="accent1"/>
            </w:tcBorders>
            <w:shd w:val="clear" w:color="auto" w:fill="90C5F6" w:themeFill="accent1" w:themeFillTint="66"/>
            <w:hideMark/>
          </w:tcPr>
          <w:p w:rsidR="009475E3" w:rsidRPr="00341B3C" w:rsidRDefault="009475E3" w:rsidP="000B327D">
            <w:pPr>
              <w:spacing w:before="0" w:line="240" w:lineRule="auto"/>
              <w:jc w:val="center"/>
              <w:rPr>
                <w:rFonts w:asciiTheme="majorHAnsi" w:hAnsiTheme="majorHAnsi" w:cstheme="minorHAnsi"/>
                <w:color w:val="auto"/>
                <w:sz w:val="19"/>
                <w:szCs w:val="19"/>
                <w:lang w:val="sq-AL"/>
              </w:rPr>
            </w:pPr>
            <w:r w:rsidRPr="00341B3C">
              <w:rPr>
                <w:rFonts w:asciiTheme="majorHAnsi" w:hAnsiTheme="majorHAnsi" w:cstheme="minorHAnsi"/>
                <w:color w:val="auto"/>
                <w:sz w:val="19"/>
                <w:szCs w:val="19"/>
                <w:lang w:val="sq-AL"/>
              </w:rPr>
              <w:t>Llog. Ekonomike</w:t>
            </w:r>
          </w:p>
        </w:tc>
        <w:tc>
          <w:tcPr>
            <w:tcW w:w="1039" w:type="pct"/>
            <w:tcBorders>
              <w:top w:val="single" w:sz="4" w:space="0" w:color="0F6FC6" w:themeColor="accent1"/>
              <w:bottom w:val="single" w:sz="4" w:space="0" w:color="0F6FC6" w:themeColor="accent1"/>
            </w:tcBorders>
            <w:shd w:val="clear" w:color="auto" w:fill="90C5F6" w:themeFill="accent1" w:themeFillTint="66"/>
            <w:hideMark/>
          </w:tcPr>
          <w:p w:rsidR="009475E3" w:rsidRPr="00341B3C" w:rsidRDefault="009475E3" w:rsidP="000B327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color w:val="auto"/>
                <w:sz w:val="19"/>
                <w:szCs w:val="19"/>
                <w:lang w:val="sq-AL"/>
              </w:rPr>
            </w:pPr>
            <w:r w:rsidRPr="00341B3C">
              <w:rPr>
                <w:rFonts w:asciiTheme="majorHAnsi" w:hAnsiTheme="majorHAnsi" w:cstheme="minorHAnsi"/>
                <w:color w:val="auto"/>
                <w:sz w:val="19"/>
                <w:szCs w:val="19"/>
                <w:lang w:val="sq-AL"/>
              </w:rPr>
              <w:t>Kategoria</w:t>
            </w:r>
          </w:p>
        </w:tc>
        <w:tc>
          <w:tcPr>
            <w:tcW w:w="713" w:type="pct"/>
            <w:tcBorders>
              <w:top w:val="single" w:sz="4" w:space="0" w:color="0F6FC6" w:themeColor="accent1"/>
              <w:bottom w:val="single" w:sz="4" w:space="0" w:color="0F6FC6" w:themeColor="accent1"/>
            </w:tcBorders>
            <w:shd w:val="clear" w:color="auto" w:fill="90C5F6" w:themeFill="accent1" w:themeFillTint="66"/>
            <w:hideMark/>
          </w:tcPr>
          <w:p w:rsidR="009475E3" w:rsidRPr="00341B3C" w:rsidRDefault="009475E3" w:rsidP="000B327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color w:val="auto"/>
                <w:sz w:val="19"/>
                <w:szCs w:val="19"/>
                <w:lang w:val="sq-AL"/>
              </w:rPr>
            </w:pPr>
            <w:r w:rsidRPr="00341B3C">
              <w:rPr>
                <w:rFonts w:asciiTheme="majorHAnsi" w:hAnsiTheme="majorHAnsi" w:cstheme="minorHAnsi"/>
                <w:color w:val="auto"/>
                <w:sz w:val="19"/>
                <w:szCs w:val="19"/>
                <w:lang w:val="sq-AL"/>
              </w:rPr>
              <w:t>Bashki</w:t>
            </w:r>
          </w:p>
        </w:tc>
        <w:tc>
          <w:tcPr>
            <w:tcW w:w="638" w:type="pct"/>
            <w:tcBorders>
              <w:top w:val="single" w:sz="4" w:space="0" w:color="0F6FC6" w:themeColor="accent1"/>
              <w:bottom w:val="single" w:sz="4" w:space="0" w:color="0F6FC6" w:themeColor="accent1"/>
            </w:tcBorders>
            <w:shd w:val="clear" w:color="auto" w:fill="90C5F6" w:themeFill="accent1" w:themeFillTint="66"/>
            <w:hideMark/>
          </w:tcPr>
          <w:p w:rsidR="009475E3" w:rsidRPr="00341B3C" w:rsidRDefault="009475E3" w:rsidP="000B327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color w:val="auto"/>
                <w:sz w:val="19"/>
                <w:szCs w:val="19"/>
                <w:lang w:val="sq-AL"/>
              </w:rPr>
            </w:pPr>
            <w:r w:rsidRPr="00341B3C">
              <w:rPr>
                <w:rFonts w:asciiTheme="majorHAnsi" w:hAnsiTheme="majorHAnsi" w:cstheme="minorHAnsi"/>
                <w:color w:val="auto"/>
                <w:sz w:val="19"/>
                <w:szCs w:val="19"/>
                <w:lang w:val="sq-AL"/>
              </w:rPr>
              <w:t>Qarqe</w:t>
            </w:r>
          </w:p>
        </w:tc>
        <w:tc>
          <w:tcPr>
            <w:tcW w:w="883" w:type="pct"/>
            <w:tcBorders>
              <w:top w:val="single" w:sz="4" w:space="0" w:color="0F6FC6" w:themeColor="accent1"/>
              <w:bottom w:val="single" w:sz="4" w:space="0" w:color="0F6FC6" w:themeColor="accent1"/>
            </w:tcBorders>
            <w:shd w:val="clear" w:color="auto" w:fill="90C5F6" w:themeFill="accent1" w:themeFillTint="66"/>
            <w:hideMark/>
          </w:tcPr>
          <w:p w:rsidR="009475E3" w:rsidRPr="00341B3C" w:rsidRDefault="009475E3" w:rsidP="000B327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color w:val="auto"/>
                <w:sz w:val="19"/>
                <w:szCs w:val="19"/>
                <w:lang w:val="sq-AL"/>
              </w:rPr>
            </w:pPr>
            <w:r w:rsidRPr="00341B3C">
              <w:rPr>
                <w:rFonts w:asciiTheme="majorHAnsi" w:hAnsiTheme="majorHAnsi" w:cstheme="minorHAnsi"/>
                <w:color w:val="auto"/>
                <w:sz w:val="19"/>
                <w:szCs w:val="19"/>
                <w:lang w:val="sq-AL"/>
              </w:rPr>
              <w:t>Pesha ne % Bashki</w:t>
            </w:r>
          </w:p>
        </w:tc>
        <w:tc>
          <w:tcPr>
            <w:tcW w:w="869" w:type="pct"/>
            <w:tcBorders>
              <w:top w:val="single" w:sz="4" w:space="0" w:color="0F6FC6" w:themeColor="accent1"/>
              <w:bottom w:val="single" w:sz="4" w:space="0" w:color="0F6FC6" w:themeColor="accent1"/>
            </w:tcBorders>
            <w:shd w:val="clear" w:color="auto" w:fill="90C5F6" w:themeFill="accent1" w:themeFillTint="66"/>
            <w:hideMark/>
          </w:tcPr>
          <w:p w:rsidR="009475E3" w:rsidRPr="00341B3C" w:rsidRDefault="009475E3" w:rsidP="000B327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color w:val="auto"/>
                <w:sz w:val="19"/>
                <w:szCs w:val="19"/>
                <w:lang w:val="sq-AL"/>
              </w:rPr>
            </w:pPr>
            <w:r w:rsidRPr="00341B3C">
              <w:rPr>
                <w:rFonts w:asciiTheme="majorHAnsi" w:hAnsiTheme="majorHAnsi" w:cstheme="minorHAnsi"/>
                <w:color w:val="auto"/>
                <w:sz w:val="19"/>
                <w:szCs w:val="19"/>
                <w:lang w:val="sq-AL"/>
              </w:rPr>
              <w:t>Pesha ne % Qarqe</w:t>
            </w:r>
          </w:p>
        </w:tc>
      </w:tr>
      <w:tr w:rsidR="009475E3" w:rsidRPr="00341B3C" w:rsidTr="0043521D">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858" w:type="pct"/>
            <w:noWrap/>
            <w:hideMark/>
          </w:tcPr>
          <w:p w:rsidR="009475E3" w:rsidRPr="00341B3C" w:rsidRDefault="009475E3" w:rsidP="000B327D">
            <w:pPr>
              <w:spacing w:before="0" w:line="240" w:lineRule="auto"/>
              <w:jc w:val="center"/>
              <w:rPr>
                <w:rFonts w:asciiTheme="majorHAnsi" w:hAnsiTheme="majorHAnsi" w:cstheme="minorHAnsi"/>
                <w:sz w:val="18"/>
                <w:szCs w:val="18"/>
                <w:lang w:val="sq-AL"/>
              </w:rPr>
            </w:pPr>
            <w:r w:rsidRPr="00341B3C">
              <w:rPr>
                <w:rFonts w:asciiTheme="majorHAnsi" w:hAnsiTheme="majorHAnsi" w:cstheme="minorHAnsi"/>
                <w:sz w:val="18"/>
                <w:szCs w:val="18"/>
                <w:lang w:val="sq-AL"/>
              </w:rPr>
              <w:t>4864100</w:t>
            </w:r>
          </w:p>
        </w:tc>
        <w:tc>
          <w:tcPr>
            <w:tcW w:w="1039" w:type="pct"/>
            <w:noWrap/>
            <w:hideMark/>
          </w:tcPr>
          <w:p w:rsidR="009475E3" w:rsidRPr="00341B3C" w:rsidRDefault="009475E3" w:rsidP="000B327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Vendime Gjyqesore</w:t>
            </w:r>
          </w:p>
        </w:tc>
        <w:tc>
          <w:tcPr>
            <w:tcW w:w="713" w:type="pct"/>
            <w:noWrap/>
            <w:hideMark/>
          </w:tcPr>
          <w:p w:rsidR="009475E3" w:rsidRPr="00341B3C" w:rsidRDefault="009475E3" w:rsidP="000B327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572,811,506</w:t>
            </w:r>
          </w:p>
        </w:tc>
        <w:tc>
          <w:tcPr>
            <w:tcW w:w="638" w:type="pct"/>
            <w:noWrap/>
            <w:hideMark/>
          </w:tcPr>
          <w:p w:rsidR="009475E3" w:rsidRPr="00341B3C" w:rsidRDefault="009475E3" w:rsidP="000B327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115,370,536</w:t>
            </w:r>
          </w:p>
        </w:tc>
        <w:tc>
          <w:tcPr>
            <w:tcW w:w="883" w:type="pct"/>
            <w:noWrap/>
            <w:hideMark/>
          </w:tcPr>
          <w:p w:rsidR="009475E3" w:rsidRPr="00341B3C" w:rsidRDefault="009475E3" w:rsidP="000B327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8.9%</w:t>
            </w:r>
          </w:p>
        </w:tc>
        <w:tc>
          <w:tcPr>
            <w:tcW w:w="869" w:type="pct"/>
            <w:noWrap/>
            <w:hideMark/>
          </w:tcPr>
          <w:p w:rsidR="009475E3" w:rsidRPr="00341B3C" w:rsidRDefault="009475E3" w:rsidP="000B327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96.4%</w:t>
            </w:r>
          </w:p>
        </w:tc>
      </w:tr>
      <w:tr w:rsidR="009475E3" w:rsidRPr="00341B3C" w:rsidTr="0043521D">
        <w:trPr>
          <w:trHeight w:val="250"/>
          <w:jc w:val="center"/>
        </w:trPr>
        <w:tc>
          <w:tcPr>
            <w:cnfStyle w:val="001000000000" w:firstRow="0" w:lastRow="0" w:firstColumn="1" w:lastColumn="0" w:oddVBand="0" w:evenVBand="0" w:oddHBand="0" w:evenHBand="0" w:firstRowFirstColumn="0" w:firstRowLastColumn="0" w:lastRowFirstColumn="0" w:lastRowLastColumn="0"/>
            <w:tcW w:w="858" w:type="pct"/>
            <w:noWrap/>
            <w:hideMark/>
          </w:tcPr>
          <w:p w:rsidR="009475E3" w:rsidRPr="00341B3C" w:rsidRDefault="009475E3" w:rsidP="000B327D">
            <w:pPr>
              <w:spacing w:before="0" w:line="240" w:lineRule="auto"/>
              <w:jc w:val="center"/>
              <w:rPr>
                <w:rFonts w:asciiTheme="majorHAnsi" w:hAnsiTheme="majorHAnsi" w:cstheme="minorHAnsi"/>
                <w:sz w:val="18"/>
                <w:szCs w:val="18"/>
                <w:lang w:val="sq-AL"/>
              </w:rPr>
            </w:pPr>
            <w:r w:rsidRPr="00341B3C">
              <w:rPr>
                <w:rFonts w:asciiTheme="majorHAnsi" w:hAnsiTheme="majorHAnsi" w:cstheme="minorHAnsi"/>
                <w:sz w:val="18"/>
                <w:szCs w:val="18"/>
                <w:lang w:val="sq-AL"/>
              </w:rPr>
              <w:t>4864200</w:t>
            </w:r>
          </w:p>
        </w:tc>
        <w:tc>
          <w:tcPr>
            <w:tcW w:w="1039" w:type="pct"/>
            <w:noWrap/>
            <w:hideMark/>
          </w:tcPr>
          <w:p w:rsidR="009475E3" w:rsidRPr="00341B3C" w:rsidRDefault="009475E3" w:rsidP="000B327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Det.Prap. Sherbime</w:t>
            </w:r>
          </w:p>
        </w:tc>
        <w:tc>
          <w:tcPr>
            <w:tcW w:w="713" w:type="pct"/>
            <w:noWrap/>
            <w:hideMark/>
          </w:tcPr>
          <w:p w:rsidR="009475E3" w:rsidRPr="00341B3C" w:rsidRDefault="009475E3" w:rsidP="000B327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719,064,162</w:t>
            </w:r>
          </w:p>
        </w:tc>
        <w:tc>
          <w:tcPr>
            <w:tcW w:w="638" w:type="pct"/>
            <w:noWrap/>
            <w:hideMark/>
          </w:tcPr>
          <w:p w:rsidR="009475E3" w:rsidRPr="00341B3C" w:rsidRDefault="009475E3" w:rsidP="000B327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1,448,121</w:t>
            </w:r>
          </w:p>
        </w:tc>
        <w:tc>
          <w:tcPr>
            <w:tcW w:w="883" w:type="pct"/>
            <w:noWrap/>
            <w:hideMark/>
          </w:tcPr>
          <w:p w:rsidR="009475E3" w:rsidRPr="00341B3C" w:rsidRDefault="009475E3" w:rsidP="000B327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11.1%</w:t>
            </w:r>
          </w:p>
        </w:tc>
        <w:tc>
          <w:tcPr>
            <w:tcW w:w="869" w:type="pct"/>
            <w:noWrap/>
            <w:hideMark/>
          </w:tcPr>
          <w:p w:rsidR="009475E3" w:rsidRPr="00341B3C" w:rsidRDefault="009475E3" w:rsidP="000B327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1.2%</w:t>
            </w:r>
          </w:p>
        </w:tc>
      </w:tr>
      <w:tr w:rsidR="009475E3" w:rsidRPr="00341B3C" w:rsidTr="0043521D">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858" w:type="pct"/>
            <w:noWrap/>
            <w:hideMark/>
          </w:tcPr>
          <w:p w:rsidR="009475E3" w:rsidRPr="00341B3C" w:rsidRDefault="009475E3" w:rsidP="000B327D">
            <w:pPr>
              <w:spacing w:before="0" w:line="240" w:lineRule="auto"/>
              <w:jc w:val="center"/>
              <w:rPr>
                <w:rFonts w:asciiTheme="majorHAnsi" w:hAnsiTheme="majorHAnsi" w:cstheme="minorHAnsi"/>
                <w:sz w:val="18"/>
                <w:szCs w:val="18"/>
                <w:lang w:val="sq-AL"/>
              </w:rPr>
            </w:pPr>
            <w:r w:rsidRPr="00341B3C">
              <w:rPr>
                <w:rFonts w:asciiTheme="majorHAnsi" w:hAnsiTheme="majorHAnsi" w:cstheme="minorHAnsi"/>
                <w:sz w:val="18"/>
                <w:szCs w:val="18"/>
                <w:lang w:val="sq-AL"/>
              </w:rPr>
              <w:t>4864300</w:t>
            </w:r>
          </w:p>
        </w:tc>
        <w:tc>
          <w:tcPr>
            <w:tcW w:w="1039" w:type="pct"/>
            <w:noWrap/>
            <w:hideMark/>
          </w:tcPr>
          <w:p w:rsidR="009475E3" w:rsidRPr="00341B3C" w:rsidRDefault="009475E3" w:rsidP="000B327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Det.Prap.Mirembajtje</w:t>
            </w:r>
          </w:p>
        </w:tc>
        <w:tc>
          <w:tcPr>
            <w:tcW w:w="713" w:type="pct"/>
            <w:noWrap/>
            <w:hideMark/>
          </w:tcPr>
          <w:p w:rsidR="009475E3" w:rsidRPr="00341B3C" w:rsidRDefault="009475E3" w:rsidP="000B327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178,608,818</w:t>
            </w:r>
          </w:p>
        </w:tc>
        <w:tc>
          <w:tcPr>
            <w:tcW w:w="638" w:type="pct"/>
            <w:noWrap/>
            <w:hideMark/>
          </w:tcPr>
          <w:p w:rsidR="009475E3" w:rsidRPr="00341B3C" w:rsidRDefault="009475E3" w:rsidP="000B327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0</w:t>
            </w:r>
          </w:p>
        </w:tc>
        <w:tc>
          <w:tcPr>
            <w:tcW w:w="883" w:type="pct"/>
            <w:noWrap/>
            <w:hideMark/>
          </w:tcPr>
          <w:p w:rsidR="009475E3" w:rsidRPr="00341B3C" w:rsidRDefault="009475E3" w:rsidP="000B327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2.8%</w:t>
            </w:r>
          </w:p>
        </w:tc>
        <w:tc>
          <w:tcPr>
            <w:tcW w:w="869" w:type="pct"/>
            <w:noWrap/>
            <w:hideMark/>
          </w:tcPr>
          <w:p w:rsidR="009475E3" w:rsidRPr="00341B3C" w:rsidRDefault="009475E3" w:rsidP="000B327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0.0%</w:t>
            </w:r>
          </w:p>
        </w:tc>
      </w:tr>
      <w:tr w:rsidR="009475E3" w:rsidRPr="00341B3C" w:rsidTr="0043521D">
        <w:trPr>
          <w:trHeight w:val="250"/>
          <w:jc w:val="center"/>
        </w:trPr>
        <w:tc>
          <w:tcPr>
            <w:cnfStyle w:val="001000000000" w:firstRow="0" w:lastRow="0" w:firstColumn="1" w:lastColumn="0" w:oddVBand="0" w:evenVBand="0" w:oddHBand="0" w:evenHBand="0" w:firstRowFirstColumn="0" w:firstRowLastColumn="0" w:lastRowFirstColumn="0" w:lastRowLastColumn="0"/>
            <w:tcW w:w="858" w:type="pct"/>
            <w:noWrap/>
            <w:hideMark/>
          </w:tcPr>
          <w:p w:rsidR="009475E3" w:rsidRPr="00341B3C" w:rsidRDefault="009475E3" w:rsidP="000B327D">
            <w:pPr>
              <w:spacing w:before="0" w:line="240" w:lineRule="auto"/>
              <w:jc w:val="center"/>
              <w:rPr>
                <w:rFonts w:asciiTheme="majorHAnsi" w:hAnsiTheme="majorHAnsi" w:cstheme="minorHAnsi"/>
                <w:sz w:val="18"/>
                <w:szCs w:val="18"/>
                <w:lang w:val="sq-AL"/>
              </w:rPr>
            </w:pPr>
            <w:r w:rsidRPr="00341B3C">
              <w:rPr>
                <w:rFonts w:asciiTheme="majorHAnsi" w:hAnsiTheme="majorHAnsi" w:cstheme="minorHAnsi"/>
                <w:sz w:val="18"/>
                <w:szCs w:val="18"/>
                <w:lang w:val="sq-AL"/>
              </w:rPr>
              <w:t>4864400</w:t>
            </w:r>
          </w:p>
        </w:tc>
        <w:tc>
          <w:tcPr>
            <w:tcW w:w="1039" w:type="pct"/>
            <w:noWrap/>
            <w:hideMark/>
          </w:tcPr>
          <w:p w:rsidR="009475E3" w:rsidRPr="00341B3C" w:rsidRDefault="009475E3" w:rsidP="000B327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Det.Prap. Investime</w:t>
            </w:r>
          </w:p>
        </w:tc>
        <w:tc>
          <w:tcPr>
            <w:tcW w:w="713" w:type="pct"/>
            <w:noWrap/>
            <w:hideMark/>
          </w:tcPr>
          <w:p w:rsidR="009475E3" w:rsidRPr="00341B3C" w:rsidRDefault="009475E3" w:rsidP="000B327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3,612,949,903</w:t>
            </w:r>
          </w:p>
        </w:tc>
        <w:tc>
          <w:tcPr>
            <w:tcW w:w="638" w:type="pct"/>
            <w:noWrap/>
            <w:hideMark/>
          </w:tcPr>
          <w:p w:rsidR="009475E3" w:rsidRPr="00341B3C" w:rsidRDefault="009475E3" w:rsidP="000B327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739,225</w:t>
            </w:r>
          </w:p>
        </w:tc>
        <w:tc>
          <w:tcPr>
            <w:tcW w:w="883" w:type="pct"/>
            <w:noWrap/>
            <w:hideMark/>
          </w:tcPr>
          <w:p w:rsidR="009475E3" w:rsidRPr="00341B3C" w:rsidRDefault="009475E3" w:rsidP="000B327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55.9%</w:t>
            </w:r>
          </w:p>
        </w:tc>
        <w:tc>
          <w:tcPr>
            <w:tcW w:w="869" w:type="pct"/>
            <w:noWrap/>
            <w:hideMark/>
          </w:tcPr>
          <w:p w:rsidR="009475E3" w:rsidRPr="00341B3C" w:rsidRDefault="009475E3" w:rsidP="000B327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0.6%</w:t>
            </w:r>
          </w:p>
        </w:tc>
      </w:tr>
      <w:tr w:rsidR="009475E3" w:rsidRPr="00341B3C" w:rsidTr="0043521D">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858" w:type="pct"/>
            <w:noWrap/>
            <w:hideMark/>
          </w:tcPr>
          <w:p w:rsidR="009475E3" w:rsidRPr="00341B3C" w:rsidRDefault="009475E3" w:rsidP="000B327D">
            <w:pPr>
              <w:spacing w:before="0" w:line="240" w:lineRule="auto"/>
              <w:jc w:val="center"/>
              <w:rPr>
                <w:rFonts w:asciiTheme="majorHAnsi" w:hAnsiTheme="majorHAnsi" w:cstheme="minorHAnsi"/>
                <w:sz w:val="18"/>
                <w:szCs w:val="18"/>
                <w:lang w:val="sq-AL"/>
              </w:rPr>
            </w:pPr>
            <w:r w:rsidRPr="00341B3C">
              <w:rPr>
                <w:rFonts w:asciiTheme="majorHAnsi" w:hAnsiTheme="majorHAnsi" w:cstheme="minorHAnsi"/>
                <w:sz w:val="18"/>
                <w:szCs w:val="18"/>
                <w:lang w:val="sq-AL"/>
              </w:rPr>
              <w:t>4864500</w:t>
            </w:r>
          </w:p>
        </w:tc>
        <w:tc>
          <w:tcPr>
            <w:tcW w:w="1039" w:type="pct"/>
            <w:noWrap/>
            <w:hideMark/>
          </w:tcPr>
          <w:p w:rsidR="009475E3" w:rsidRPr="00341B3C" w:rsidRDefault="009475E3" w:rsidP="000B327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Det.Prap.Rimbursi.TVSH</w:t>
            </w:r>
          </w:p>
        </w:tc>
        <w:tc>
          <w:tcPr>
            <w:tcW w:w="713" w:type="pct"/>
            <w:noWrap/>
            <w:hideMark/>
          </w:tcPr>
          <w:p w:rsidR="009475E3" w:rsidRPr="00341B3C" w:rsidRDefault="009475E3" w:rsidP="000B327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758,305</w:t>
            </w:r>
          </w:p>
        </w:tc>
        <w:tc>
          <w:tcPr>
            <w:tcW w:w="638" w:type="pct"/>
            <w:noWrap/>
            <w:hideMark/>
          </w:tcPr>
          <w:p w:rsidR="009475E3" w:rsidRPr="00341B3C" w:rsidRDefault="009475E3" w:rsidP="000B327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0</w:t>
            </w:r>
          </w:p>
        </w:tc>
        <w:tc>
          <w:tcPr>
            <w:tcW w:w="883" w:type="pct"/>
            <w:noWrap/>
            <w:hideMark/>
          </w:tcPr>
          <w:p w:rsidR="009475E3" w:rsidRPr="00341B3C" w:rsidRDefault="009475E3" w:rsidP="000B327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0.0%</w:t>
            </w:r>
          </w:p>
        </w:tc>
        <w:tc>
          <w:tcPr>
            <w:tcW w:w="869" w:type="pct"/>
            <w:noWrap/>
            <w:hideMark/>
          </w:tcPr>
          <w:p w:rsidR="009475E3" w:rsidRPr="00341B3C" w:rsidRDefault="009475E3" w:rsidP="000B327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0.0%</w:t>
            </w:r>
          </w:p>
        </w:tc>
      </w:tr>
      <w:tr w:rsidR="009475E3" w:rsidRPr="00341B3C" w:rsidTr="0043521D">
        <w:trPr>
          <w:trHeight w:val="250"/>
          <w:jc w:val="center"/>
        </w:trPr>
        <w:tc>
          <w:tcPr>
            <w:cnfStyle w:val="001000000000" w:firstRow="0" w:lastRow="0" w:firstColumn="1" w:lastColumn="0" w:oddVBand="0" w:evenVBand="0" w:oddHBand="0" w:evenHBand="0" w:firstRowFirstColumn="0" w:firstRowLastColumn="0" w:lastRowFirstColumn="0" w:lastRowLastColumn="0"/>
            <w:tcW w:w="858" w:type="pct"/>
            <w:noWrap/>
            <w:hideMark/>
          </w:tcPr>
          <w:p w:rsidR="009475E3" w:rsidRPr="00341B3C" w:rsidRDefault="009475E3" w:rsidP="000B327D">
            <w:pPr>
              <w:spacing w:before="0" w:line="240" w:lineRule="auto"/>
              <w:jc w:val="center"/>
              <w:rPr>
                <w:rFonts w:asciiTheme="majorHAnsi" w:hAnsiTheme="majorHAnsi" w:cstheme="minorHAnsi"/>
                <w:sz w:val="18"/>
                <w:szCs w:val="18"/>
                <w:lang w:val="sq-AL"/>
              </w:rPr>
            </w:pPr>
            <w:r w:rsidRPr="00341B3C">
              <w:rPr>
                <w:rFonts w:asciiTheme="majorHAnsi" w:hAnsiTheme="majorHAnsi" w:cstheme="minorHAnsi"/>
                <w:sz w:val="18"/>
                <w:szCs w:val="18"/>
                <w:lang w:val="sq-AL"/>
              </w:rPr>
              <w:t>4864600</w:t>
            </w:r>
          </w:p>
        </w:tc>
        <w:tc>
          <w:tcPr>
            <w:tcW w:w="1039" w:type="pct"/>
            <w:noWrap/>
            <w:hideMark/>
          </w:tcPr>
          <w:p w:rsidR="009475E3" w:rsidRPr="00341B3C" w:rsidRDefault="009475E3" w:rsidP="000B327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Mallra</w:t>
            </w:r>
          </w:p>
        </w:tc>
        <w:tc>
          <w:tcPr>
            <w:tcW w:w="713" w:type="pct"/>
            <w:noWrap/>
            <w:hideMark/>
          </w:tcPr>
          <w:p w:rsidR="009475E3" w:rsidRPr="00341B3C" w:rsidRDefault="009475E3" w:rsidP="000B327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345,941,812</w:t>
            </w:r>
          </w:p>
        </w:tc>
        <w:tc>
          <w:tcPr>
            <w:tcW w:w="638" w:type="pct"/>
            <w:noWrap/>
            <w:hideMark/>
          </w:tcPr>
          <w:p w:rsidR="009475E3" w:rsidRPr="00341B3C" w:rsidRDefault="009475E3" w:rsidP="000B327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705,546</w:t>
            </w:r>
          </w:p>
        </w:tc>
        <w:tc>
          <w:tcPr>
            <w:tcW w:w="883" w:type="pct"/>
            <w:noWrap/>
            <w:hideMark/>
          </w:tcPr>
          <w:p w:rsidR="009475E3" w:rsidRPr="00341B3C" w:rsidRDefault="009475E3" w:rsidP="000B327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5.4%</w:t>
            </w:r>
          </w:p>
        </w:tc>
        <w:tc>
          <w:tcPr>
            <w:tcW w:w="869" w:type="pct"/>
            <w:noWrap/>
            <w:hideMark/>
          </w:tcPr>
          <w:p w:rsidR="009475E3" w:rsidRPr="00341B3C" w:rsidRDefault="009475E3" w:rsidP="000B327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0.6%</w:t>
            </w:r>
          </w:p>
        </w:tc>
      </w:tr>
      <w:tr w:rsidR="009475E3" w:rsidRPr="00341B3C" w:rsidTr="0043521D">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858" w:type="pct"/>
            <w:noWrap/>
            <w:hideMark/>
          </w:tcPr>
          <w:p w:rsidR="009475E3" w:rsidRPr="00341B3C" w:rsidRDefault="009475E3" w:rsidP="000B327D">
            <w:pPr>
              <w:spacing w:before="0" w:line="240" w:lineRule="auto"/>
              <w:jc w:val="center"/>
              <w:rPr>
                <w:rFonts w:asciiTheme="majorHAnsi" w:hAnsiTheme="majorHAnsi" w:cstheme="minorHAnsi"/>
                <w:sz w:val="18"/>
                <w:szCs w:val="18"/>
                <w:lang w:val="sq-AL"/>
              </w:rPr>
            </w:pPr>
            <w:r w:rsidRPr="00341B3C">
              <w:rPr>
                <w:rFonts w:asciiTheme="majorHAnsi" w:hAnsiTheme="majorHAnsi" w:cstheme="minorHAnsi"/>
                <w:sz w:val="18"/>
                <w:szCs w:val="18"/>
                <w:lang w:val="sq-AL"/>
              </w:rPr>
              <w:t>4864900</w:t>
            </w:r>
          </w:p>
        </w:tc>
        <w:tc>
          <w:tcPr>
            <w:tcW w:w="1039" w:type="pct"/>
            <w:noWrap/>
            <w:hideMark/>
          </w:tcPr>
          <w:p w:rsidR="009475E3" w:rsidRPr="00341B3C" w:rsidRDefault="009475E3" w:rsidP="000B327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Det.Prap.Te Tjera</w:t>
            </w:r>
          </w:p>
        </w:tc>
        <w:tc>
          <w:tcPr>
            <w:tcW w:w="713" w:type="pct"/>
            <w:noWrap/>
            <w:hideMark/>
          </w:tcPr>
          <w:p w:rsidR="009475E3" w:rsidRPr="00341B3C" w:rsidRDefault="009475E3" w:rsidP="000B327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953,102,787</w:t>
            </w:r>
          </w:p>
        </w:tc>
        <w:tc>
          <w:tcPr>
            <w:tcW w:w="638" w:type="pct"/>
            <w:noWrap/>
            <w:hideMark/>
          </w:tcPr>
          <w:p w:rsidR="009475E3" w:rsidRPr="00341B3C" w:rsidRDefault="009475E3" w:rsidP="000B327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1,435,940</w:t>
            </w:r>
          </w:p>
        </w:tc>
        <w:tc>
          <w:tcPr>
            <w:tcW w:w="883" w:type="pct"/>
            <w:noWrap/>
            <w:hideMark/>
          </w:tcPr>
          <w:p w:rsidR="009475E3" w:rsidRPr="00341B3C" w:rsidRDefault="009475E3" w:rsidP="000B327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14.7%</w:t>
            </w:r>
          </w:p>
        </w:tc>
        <w:tc>
          <w:tcPr>
            <w:tcW w:w="869" w:type="pct"/>
            <w:noWrap/>
            <w:hideMark/>
          </w:tcPr>
          <w:p w:rsidR="009475E3" w:rsidRPr="00341B3C" w:rsidRDefault="009475E3" w:rsidP="000B327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1.2%</w:t>
            </w:r>
          </w:p>
        </w:tc>
      </w:tr>
      <w:tr w:rsidR="009475E3" w:rsidRPr="00341B3C" w:rsidTr="0043521D">
        <w:trPr>
          <w:trHeight w:val="250"/>
          <w:jc w:val="center"/>
        </w:trPr>
        <w:tc>
          <w:tcPr>
            <w:cnfStyle w:val="001000000000" w:firstRow="0" w:lastRow="0" w:firstColumn="1" w:lastColumn="0" w:oddVBand="0" w:evenVBand="0" w:oddHBand="0" w:evenHBand="0" w:firstRowFirstColumn="0" w:firstRowLastColumn="0" w:lastRowFirstColumn="0" w:lastRowLastColumn="0"/>
            <w:tcW w:w="858" w:type="pct"/>
            <w:noWrap/>
            <w:hideMark/>
          </w:tcPr>
          <w:p w:rsidR="009475E3" w:rsidRPr="00341B3C" w:rsidRDefault="009475E3" w:rsidP="000B327D">
            <w:pPr>
              <w:spacing w:before="0" w:line="240" w:lineRule="auto"/>
              <w:jc w:val="center"/>
              <w:rPr>
                <w:rFonts w:asciiTheme="majorHAnsi" w:hAnsiTheme="majorHAnsi" w:cstheme="minorHAnsi"/>
                <w:sz w:val="18"/>
                <w:szCs w:val="18"/>
                <w:lang w:val="sq-AL"/>
              </w:rPr>
            </w:pPr>
            <w:r w:rsidRPr="00341B3C">
              <w:rPr>
                <w:rFonts w:asciiTheme="majorHAnsi" w:hAnsiTheme="majorHAnsi" w:cstheme="minorHAnsi"/>
                <w:sz w:val="18"/>
                <w:szCs w:val="18"/>
                <w:lang w:val="sq-AL"/>
              </w:rPr>
              <w:t>4864601</w:t>
            </w:r>
          </w:p>
        </w:tc>
        <w:tc>
          <w:tcPr>
            <w:tcW w:w="1039" w:type="pct"/>
            <w:noWrap/>
            <w:hideMark/>
          </w:tcPr>
          <w:p w:rsidR="009475E3" w:rsidRPr="00341B3C" w:rsidRDefault="009475E3" w:rsidP="000B327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Det.Prap.Sig.Shoqerore</w:t>
            </w:r>
          </w:p>
        </w:tc>
        <w:tc>
          <w:tcPr>
            <w:tcW w:w="713" w:type="pct"/>
            <w:noWrap/>
            <w:hideMark/>
          </w:tcPr>
          <w:p w:rsidR="009475E3" w:rsidRPr="00341B3C" w:rsidRDefault="009475E3" w:rsidP="000B327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48,318,652</w:t>
            </w:r>
          </w:p>
        </w:tc>
        <w:tc>
          <w:tcPr>
            <w:tcW w:w="638" w:type="pct"/>
            <w:noWrap/>
            <w:hideMark/>
          </w:tcPr>
          <w:p w:rsidR="009475E3" w:rsidRPr="00341B3C" w:rsidRDefault="009475E3" w:rsidP="000B327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0</w:t>
            </w:r>
          </w:p>
        </w:tc>
        <w:tc>
          <w:tcPr>
            <w:tcW w:w="883" w:type="pct"/>
            <w:noWrap/>
            <w:hideMark/>
          </w:tcPr>
          <w:p w:rsidR="009475E3" w:rsidRPr="00341B3C" w:rsidRDefault="009475E3" w:rsidP="000B327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0.7%</w:t>
            </w:r>
          </w:p>
        </w:tc>
        <w:tc>
          <w:tcPr>
            <w:tcW w:w="869" w:type="pct"/>
            <w:noWrap/>
            <w:hideMark/>
          </w:tcPr>
          <w:p w:rsidR="009475E3" w:rsidRPr="00341B3C" w:rsidRDefault="009475E3" w:rsidP="000B327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0.0%</w:t>
            </w:r>
          </w:p>
        </w:tc>
      </w:tr>
      <w:tr w:rsidR="009475E3" w:rsidRPr="00341B3C" w:rsidTr="0043521D">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858" w:type="pct"/>
            <w:noWrap/>
            <w:hideMark/>
          </w:tcPr>
          <w:p w:rsidR="009475E3" w:rsidRPr="00341B3C" w:rsidRDefault="009475E3" w:rsidP="000B327D">
            <w:pPr>
              <w:spacing w:before="0" w:line="240" w:lineRule="auto"/>
              <w:jc w:val="center"/>
              <w:rPr>
                <w:rFonts w:asciiTheme="majorHAnsi" w:hAnsiTheme="majorHAnsi" w:cstheme="minorHAnsi"/>
                <w:sz w:val="18"/>
                <w:szCs w:val="18"/>
                <w:lang w:val="sq-AL"/>
              </w:rPr>
            </w:pPr>
            <w:r w:rsidRPr="00341B3C">
              <w:rPr>
                <w:rFonts w:asciiTheme="majorHAnsi" w:hAnsiTheme="majorHAnsi" w:cstheme="minorHAnsi"/>
                <w:sz w:val="18"/>
                <w:szCs w:val="18"/>
                <w:lang w:val="sq-AL"/>
              </w:rPr>
              <w:t>4864602</w:t>
            </w:r>
          </w:p>
        </w:tc>
        <w:tc>
          <w:tcPr>
            <w:tcW w:w="1039" w:type="pct"/>
            <w:noWrap/>
            <w:hideMark/>
          </w:tcPr>
          <w:p w:rsidR="009475E3" w:rsidRPr="00341B3C" w:rsidRDefault="009475E3" w:rsidP="000B327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Det.Prap.Sig.Shendet</w:t>
            </w:r>
          </w:p>
        </w:tc>
        <w:tc>
          <w:tcPr>
            <w:tcW w:w="713" w:type="pct"/>
            <w:noWrap/>
            <w:hideMark/>
          </w:tcPr>
          <w:p w:rsidR="009475E3" w:rsidRPr="00341B3C" w:rsidRDefault="009475E3" w:rsidP="000B327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4,098,637</w:t>
            </w:r>
          </w:p>
        </w:tc>
        <w:tc>
          <w:tcPr>
            <w:tcW w:w="638" w:type="pct"/>
            <w:noWrap/>
            <w:hideMark/>
          </w:tcPr>
          <w:p w:rsidR="009475E3" w:rsidRPr="00341B3C" w:rsidRDefault="009475E3" w:rsidP="000B327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0</w:t>
            </w:r>
          </w:p>
        </w:tc>
        <w:tc>
          <w:tcPr>
            <w:tcW w:w="883" w:type="pct"/>
            <w:noWrap/>
            <w:hideMark/>
          </w:tcPr>
          <w:p w:rsidR="009475E3" w:rsidRPr="00341B3C" w:rsidRDefault="009475E3" w:rsidP="000B327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0.1%</w:t>
            </w:r>
          </w:p>
        </w:tc>
        <w:tc>
          <w:tcPr>
            <w:tcW w:w="869" w:type="pct"/>
            <w:noWrap/>
            <w:hideMark/>
          </w:tcPr>
          <w:p w:rsidR="009475E3" w:rsidRPr="00341B3C" w:rsidRDefault="009475E3" w:rsidP="000B327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0.0%</w:t>
            </w:r>
          </w:p>
        </w:tc>
      </w:tr>
      <w:tr w:rsidR="009475E3" w:rsidRPr="00341B3C" w:rsidTr="0043521D">
        <w:trPr>
          <w:trHeight w:val="250"/>
          <w:jc w:val="center"/>
        </w:trPr>
        <w:tc>
          <w:tcPr>
            <w:cnfStyle w:val="001000000000" w:firstRow="0" w:lastRow="0" w:firstColumn="1" w:lastColumn="0" w:oddVBand="0" w:evenVBand="0" w:oddHBand="0" w:evenHBand="0" w:firstRowFirstColumn="0" w:firstRowLastColumn="0" w:lastRowFirstColumn="0" w:lastRowLastColumn="0"/>
            <w:tcW w:w="858" w:type="pct"/>
            <w:noWrap/>
            <w:hideMark/>
          </w:tcPr>
          <w:p w:rsidR="009475E3" w:rsidRPr="00341B3C" w:rsidRDefault="009475E3" w:rsidP="000B327D">
            <w:pPr>
              <w:spacing w:before="0" w:line="240" w:lineRule="auto"/>
              <w:jc w:val="center"/>
              <w:rPr>
                <w:rFonts w:asciiTheme="majorHAnsi" w:hAnsiTheme="majorHAnsi" w:cstheme="minorHAnsi"/>
                <w:sz w:val="18"/>
                <w:szCs w:val="18"/>
                <w:lang w:val="sq-AL"/>
              </w:rPr>
            </w:pPr>
            <w:r w:rsidRPr="00341B3C">
              <w:rPr>
                <w:rFonts w:asciiTheme="majorHAnsi" w:hAnsiTheme="majorHAnsi" w:cstheme="minorHAnsi"/>
                <w:sz w:val="18"/>
                <w:szCs w:val="18"/>
                <w:lang w:val="sq-AL"/>
              </w:rPr>
              <w:t>4864603</w:t>
            </w:r>
          </w:p>
        </w:tc>
        <w:tc>
          <w:tcPr>
            <w:tcW w:w="1039" w:type="pct"/>
            <w:noWrap/>
            <w:hideMark/>
          </w:tcPr>
          <w:p w:rsidR="009475E3" w:rsidRPr="00341B3C" w:rsidRDefault="009475E3" w:rsidP="000B327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Det.Prap.Ardh.Personal</w:t>
            </w:r>
          </w:p>
        </w:tc>
        <w:tc>
          <w:tcPr>
            <w:tcW w:w="713" w:type="pct"/>
            <w:noWrap/>
            <w:hideMark/>
          </w:tcPr>
          <w:p w:rsidR="009475E3" w:rsidRPr="00341B3C" w:rsidRDefault="009475E3" w:rsidP="000B327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21,671,419</w:t>
            </w:r>
          </w:p>
        </w:tc>
        <w:tc>
          <w:tcPr>
            <w:tcW w:w="638" w:type="pct"/>
            <w:noWrap/>
            <w:hideMark/>
          </w:tcPr>
          <w:p w:rsidR="009475E3" w:rsidRPr="00341B3C" w:rsidRDefault="009475E3" w:rsidP="000B327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0</w:t>
            </w:r>
          </w:p>
        </w:tc>
        <w:tc>
          <w:tcPr>
            <w:tcW w:w="883" w:type="pct"/>
            <w:noWrap/>
            <w:hideMark/>
          </w:tcPr>
          <w:p w:rsidR="009475E3" w:rsidRPr="00341B3C" w:rsidRDefault="009475E3" w:rsidP="000B327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0.3%</w:t>
            </w:r>
          </w:p>
        </w:tc>
        <w:tc>
          <w:tcPr>
            <w:tcW w:w="869" w:type="pct"/>
            <w:noWrap/>
            <w:hideMark/>
          </w:tcPr>
          <w:p w:rsidR="009475E3" w:rsidRPr="00341B3C" w:rsidRDefault="009475E3" w:rsidP="000B327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0.0%</w:t>
            </w:r>
          </w:p>
        </w:tc>
      </w:tr>
      <w:tr w:rsidR="009475E3" w:rsidRPr="00341B3C" w:rsidTr="0043521D">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858" w:type="pct"/>
            <w:noWrap/>
            <w:hideMark/>
          </w:tcPr>
          <w:p w:rsidR="009475E3" w:rsidRPr="00341B3C" w:rsidRDefault="009475E3" w:rsidP="000B327D">
            <w:pPr>
              <w:spacing w:before="0" w:line="240" w:lineRule="auto"/>
              <w:jc w:val="center"/>
              <w:rPr>
                <w:rFonts w:asciiTheme="majorHAnsi" w:hAnsiTheme="majorHAnsi" w:cstheme="minorHAnsi"/>
                <w:sz w:val="18"/>
                <w:szCs w:val="18"/>
                <w:lang w:val="sq-AL"/>
              </w:rPr>
            </w:pPr>
            <w:r w:rsidRPr="00341B3C">
              <w:rPr>
                <w:rFonts w:asciiTheme="majorHAnsi" w:hAnsiTheme="majorHAnsi" w:cstheme="minorHAnsi"/>
                <w:sz w:val="18"/>
                <w:szCs w:val="18"/>
                <w:lang w:val="sq-AL"/>
              </w:rPr>
              <w:t>4864604</w:t>
            </w:r>
          </w:p>
        </w:tc>
        <w:tc>
          <w:tcPr>
            <w:tcW w:w="1039" w:type="pct"/>
            <w:noWrap/>
            <w:hideMark/>
          </w:tcPr>
          <w:p w:rsidR="009475E3" w:rsidRPr="00341B3C" w:rsidRDefault="009475E3" w:rsidP="000B327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Det.Prap.Tatime Tjera</w:t>
            </w:r>
          </w:p>
        </w:tc>
        <w:tc>
          <w:tcPr>
            <w:tcW w:w="713" w:type="pct"/>
            <w:noWrap/>
            <w:hideMark/>
          </w:tcPr>
          <w:p w:rsidR="009475E3" w:rsidRPr="00341B3C" w:rsidRDefault="009475E3" w:rsidP="000B327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6,329,522</w:t>
            </w:r>
          </w:p>
        </w:tc>
        <w:tc>
          <w:tcPr>
            <w:tcW w:w="638" w:type="pct"/>
            <w:noWrap/>
            <w:hideMark/>
          </w:tcPr>
          <w:p w:rsidR="009475E3" w:rsidRPr="00341B3C" w:rsidRDefault="009475E3" w:rsidP="000B327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0</w:t>
            </w:r>
          </w:p>
        </w:tc>
        <w:tc>
          <w:tcPr>
            <w:tcW w:w="883" w:type="pct"/>
            <w:noWrap/>
            <w:hideMark/>
          </w:tcPr>
          <w:p w:rsidR="009475E3" w:rsidRPr="00341B3C" w:rsidRDefault="009475E3" w:rsidP="000B327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0.1%</w:t>
            </w:r>
          </w:p>
        </w:tc>
        <w:tc>
          <w:tcPr>
            <w:tcW w:w="869" w:type="pct"/>
            <w:noWrap/>
            <w:hideMark/>
          </w:tcPr>
          <w:p w:rsidR="009475E3" w:rsidRPr="00341B3C" w:rsidRDefault="009475E3" w:rsidP="000B327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341B3C">
              <w:rPr>
                <w:rFonts w:asciiTheme="majorHAnsi" w:hAnsiTheme="majorHAnsi" w:cstheme="minorHAnsi"/>
                <w:sz w:val="18"/>
                <w:szCs w:val="18"/>
                <w:lang w:val="sq-AL"/>
              </w:rPr>
              <w:t>0.0%</w:t>
            </w:r>
          </w:p>
        </w:tc>
      </w:tr>
      <w:tr w:rsidR="009475E3" w:rsidRPr="00341B3C" w:rsidTr="0043521D">
        <w:trPr>
          <w:trHeight w:val="263"/>
          <w:jc w:val="center"/>
        </w:trPr>
        <w:tc>
          <w:tcPr>
            <w:cnfStyle w:val="001000000000" w:firstRow="0" w:lastRow="0" w:firstColumn="1" w:lastColumn="0" w:oddVBand="0" w:evenVBand="0" w:oddHBand="0" w:evenHBand="0" w:firstRowFirstColumn="0" w:firstRowLastColumn="0" w:lastRowFirstColumn="0" w:lastRowLastColumn="0"/>
            <w:tcW w:w="858" w:type="pct"/>
            <w:noWrap/>
            <w:hideMark/>
          </w:tcPr>
          <w:p w:rsidR="009475E3" w:rsidRPr="00341B3C" w:rsidRDefault="009475E3" w:rsidP="000B327D">
            <w:pPr>
              <w:spacing w:before="0" w:line="240" w:lineRule="auto"/>
              <w:jc w:val="center"/>
              <w:rPr>
                <w:rFonts w:asciiTheme="majorHAnsi" w:hAnsiTheme="majorHAnsi" w:cstheme="minorHAnsi"/>
                <w:sz w:val="19"/>
                <w:szCs w:val="19"/>
                <w:lang w:val="sq-AL"/>
              </w:rPr>
            </w:pPr>
          </w:p>
        </w:tc>
        <w:tc>
          <w:tcPr>
            <w:tcW w:w="1039" w:type="pct"/>
            <w:noWrap/>
            <w:hideMark/>
          </w:tcPr>
          <w:p w:rsidR="009475E3" w:rsidRPr="00341B3C" w:rsidRDefault="009475E3" w:rsidP="000B327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sz w:val="19"/>
                <w:szCs w:val="19"/>
                <w:lang w:val="sq-AL"/>
              </w:rPr>
            </w:pPr>
            <w:r w:rsidRPr="00341B3C">
              <w:rPr>
                <w:rFonts w:asciiTheme="majorHAnsi" w:hAnsiTheme="majorHAnsi" w:cstheme="minorHAnsi"/>
                <w:b/>
                <w:sz w:val="19"/>
                <w:szCs w:val="19"/>
                <w:lang w:val="sq-AL"/>
              </w:rPr>
              <w:t>TOTAL</w:t>
            </w:r>
          </w:p>
        </w:tc>
        <w:tc>
          <w:tcPr>
            <w:tcW w:w="713" w:type="pct"/>
            <w:noWrap/>
            <w:hideMark/>
          </w:tcPr>
          <w:p w:rsidR="009475E3" w:rsidRPr="00341B3C" w:rsidRDefault="009475E3" w:rsidP="000B327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sz w:val="19"/>
                <w:szCs w:val="19"/>
                <w:lang w:val="sq-AL"/>
              </w:rPr>
            </w:pPr>
            <w:r w:rsidRPr="00341B3C">
              <w:rPr>
                <w:rFonts w:asciiTheme="majorHAnsi" w:hAnsiTheme="majorHAnsi" w:cstheme="minorHAnsi"/>
                <w:b/>
                <w:sz w:val="19"/>
                <w:szCs w:val="19"/>
                <w:lang w:val="sq-AL"/>
              </w:rPr>
              <w:t>6,463,655,523</w:t>
            </w:r>
          </w:p>
        </w:tc>
        <w:tc>
          <w:tcPr>
            <w:tcW w:w="638" w:type="pct"/>
            <w:noWrap/>
            <w:hideMark/>
          </w:tcPr>
          <w:p w:rsidR="009475E3" w:rsidRPr="00341B3C" w:rsidRDefault="009475E3" w:rsidP="000B327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sz w:val="19"/>
                <w:szCs w:val="19"/>
                <w:lang w:val="sq-AL"/>
              </w:rPr>
            </w:pPr>
            <w:r w:rsidRPr="00341B3C">
              <w:rPr>
                <w:rFonts w:asciiTheme="majorHAnsi" w:hAnsiTheme="majorHAnsi" w:cstheme="minorHAnsi"/>
                <w:b/>
                <w:sz w:val="19"/>
                <w:szCs w:val="19"/>
                <w:lang w:val="sq-AL"/>
              </w:rPr>
              <w:t>119,699,368</w:t>
            </w:r>
          </w:p>
        </w:tc>
        <w:tc>
          <w:tcPr>
            <w:tcW w:w="883" w:type="pct"/>
            <w:noWrap/>
            <w:hideMark/>
          </w:tcPr>
          <w:p w:rsidR="009475E3" w:rsidRPr="00341B3C" w:rsidRDefault="009475E3" w:rsidP="000B327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sz w:val="19"/>
                <w:szCs w:val="19"/>
                <w:lang w:val="sq-AL"/>
              </w:rPr>
            </w:pPr>
            <w:r w:rsidRPr="00341B3C">
              <w:rPr>
                <w:rFonts w:asciiTheme="majorHAnsi" w:hAnsiTheme="majorHAnsi" w:cstheme="minorHAnsi"/>
                <w:b/>
                <w:sz w:val="19"/>
                <w:szCs w:val="19"/>
                <w:lang w:val="sq-AL"/>
              </w:rPr>
              <w:t>100.0%</w:t>
            </w:r>
          </w:p>
        </w:tc>
        <w:tc>
          <w:tcPr>
            <w:tcW w:w="869" w:type="pct"/>
            <w:noWrap/>
            <w:hideMark/>
          </w:tcPr>
          <w:p w:rsidR="009475E3" w:rsidRPr="00341B3C" w:rsidRDefault="009475E3" w:rsidP="000B327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sz w:val="19"/>
                <w:szCs w:val="19"/>
                <w:lang w:val="sq-AL"/>
              </w:rPr>
            </w:pPr>
            <w:r w:rsidRPr="00341B3C">
              <w:rPr>
                <w:rFonts w:asciiTheme="majorHAnsi" w:hAnsiTheme="majorHAnsi" w:cstheme="minorHAnsi"/>
                <w:b/>
                <w:sz w:val="19"/>
                <w:szCs w:val="19"/>
                <w:lang w:val="sq-AL"/>
              </w:rPr>
              <w:t>100.0%</w:t>
            </w:r>
          </w:p>
        </w:tc>
      </w:tr>
    </w:tbl>
    <w:p w:rsidR="009475E3" w:rsidRDefault="009475E3" w:rsidP="009475E3">
      <w:pPr>
        <w:spacing w:before="0"/>
        <w:rPr>
          <w:rFonts w:eastAsia="SimSun" w:cs="Calibri"/>
          <w:i/>
          <w:sz w:val="18"/>
          <w:lang w:val="sq-AL"/>
        </w:rPr>
      </w:pPr>
      <w:r w:rsidRPr="00E825C5">
        <w:rPr>
          <w:rFonts w:eastAsia="SimSun" w:cs="Calibri"/>
          <w:i/>
          <w:sz w:val="18"/>
          <w:lang w:val="sq-AL"/>
        </w:rPr>
        <w:t>Burimi: Ministria e Financave dhe Ekonomisë (2022)</w:t>
      </w:r>
    </w:p>
    <w:p w:rsidR="0043521D" w:rsidRDefault="0043521D" w:rsidP="009475E3">
      <w:pPr>
        <w:spacing w:before="0"/>
        <w:rPr>
          <w:rFonts w:eastAsia="SimSun" w:cs="Calibri"/>
          <w:i/>
          <w:sz w:val="18"/>
          <w:lang w:val="sq-AL"/>
        </w:rPr>
      </w:pPr>
    </w:p>
    <w:p w:rsidR="0043521D" w:rsidRDefault="0043521D" w:rsidP="009475E3">
      <w:pPr>
        <w:spacing w:before="0"/>
        <w:rPr>
          <w:rFonts w:eastAsia="SimSun" w:cs="Calibri"/>
          <w:i/>
          <w:sz w:val="18"/>
          <w:lang w:val="sq-AL"/>
        </w:rPr>
      </w:pPr>
    </w:p>
    <w:p w:rsidR="009475E3" w:rsidRPr="00904889" w:rsidRDefault="009475E3" w:rsidP="00017DE1">
      <w:pPr>
        <w:spacing w:before="0" w:line="240" w:lineRule="auto"/>
        <w:contextualSpacing/>
        <w:rPr>
          <w:i/>
          <w:sz w:val="18"/>
          <w:lang w:val="sq-AL"/>
        </w:rPr>
      </w:pPr>
    </w:p>
    <w:p w:rsidR="00A555E0" w:rsidRPr="003D1D3B" w:rsidRDefault="00483CF6" w:rsidP="00067A2D">
      <w:pPr>
        <w:pStyle w:val="Fiskale2"/>
        <w:rPr>
          <w:rFonts w:ascii="Calibri" w:hAnsi="Calibri" w:cs="Calibri"/>
        </w:rPr>
      </w:pPr>
      <w:bookmarkStart w:id="208" w:name="_Toc104980352"/>
      <w:r w:rsidRPr="003D1D3B">
        <w:rPr>
          <w:rFonts w:ascii="Calibri" w:hAnsi="Calibri" w:cs="Calibri"/>
        </w:rPr>
        <w:t>Koncesionet/PPP-t</w:t>
      </w:r>
      <w:r w:rsidR="00086626" w:rsidRPr="003D1D3B">
        <w:rPr>
          <w:rFonts w:ascii="Calibri" w:hAnsi="Calibri" w:cs="Calibri"/>
        </w:rPr>
        <w:t>ë</w:t>
      </w:r>
      <w:bookmarkEnd w:id="208"/>
    </w:p>
    <w:p w:rsidR="000C2F27" w:rsidRPr="002216E2" w:rsidRDefault="000C2F27" w:rsidP="000C2F27">
      <w:pPr>
        <w:rPr>
          <w:rFonts w:cs="Calibri"/>
          <w:lang w:val="sq-AL"/>
        </w:rPr>
      </w:pPr>
      <w:r w:rsidRPr="000C2F27">
        <w:rPr>
          <w:rFonts w:cs="Calibri"/>
          <w:lang w:val="sq-AL"/>
        </w:rPr>
        <w:t>Ministria e Financave dhe Ekonomisë (MFE) vlerëson dhe miraton paraprakisht të gjitha projektet koncesionare dhe të partneritetit publik privat (PPP), si edhe çdo ndryshim të tyre, nga pikëpamja e implikimeve individuale apo në grup, për shpenzimet buxhetore, deficitin buxhetor, qëndrueshmërinë e borxhit publik dhe detyrimet kontingjente eventuale.</w:t>
      </w:r>
      <w:r>
        <w:rPr>
          <w:rFonts w:cs="Calibri"/>
          <w:lang w:val="sq-AL"/>
        </w:rPr>
        <w:t xml:space="preserve"> </w:t>
      </w:r>
      <w:r w:rsidRPr="000C2F27">
        <w:rPr>
          <w:rFonts w:cs="Calibri"/>
          <w:lang w:val="sq-AL"/>
        </w:rPr>
        <w:t>Gjatë vitit 2021, MFE ka vijuar monitorimin e performancës së kontratave koncesionare/PPP-ve me mbështetje buxhetore, duke monitoruar ecurinë e pagesave faktike buxhetore dhe treguesit e performancës të planifikuar/realizuar, për sec</w:t>
      </w:r>
      <w:r w:rsidR="001D35B2">
        <w:rPr>
          <w:rFonts w:cs="Calibri"/>
          <w:lang w:val="sq-AL"/>
        </w:rPr>
        <w:t xml:space="preserve">ilën kontratë koncesionare/PPP. </w:t>
      </w:r>
      <w:r w:rsidRPr="000C2F27">
        <w:rPr>
          <w:rFonts w:cs="Calibri"/>
          <w:lang w:val="sq-AL"/>
        </w:rPr>
        <w:t xml:space="preserve">Monitorimi dhe raportimi mbi kontratat koncesionare/PPP është institucionalizuar përmes përfshirjes në </w:t>
      </w:r>
      <w:r w:rsidR="0043521D">
        <w:rPr>
          <w:rFonts w:cs="Calibri"/>
          <w:lang w:val="sq-AL"/>
        </w:rPr>
        <w:t>U</w:t>
      </w:r>
      <w:r w:rsidRPr="000C2F27">
        <w:rPr>
          <w:rFonts w:cs="Calibri"/>
          <w:lang w:val="sq-AL"/>
        </w:rPr>
        <w:t xml:space="preserve">dhëzimin </w:t>
      </w:r>
      <w:r w:rsidR="0043521D">
        <w:rPr>
          <w:rFonts w:cs="Calibri"/>
          <w:lang w:val="sq-AL"/>
        </w:rPr>
        <w:t>P</w:t>
      </w:r>
      <w:r w:rsidRPr="000C2F27">
        <w:rPr>
          <w:rFonts w:cs="Calibri"/>
          <w:lang w:val="sq-AL"/>
        </w:rPr>
        <w:t>lotësues nr.4 datë 25.01.2021 “</w:t>
      </w:r>
      <w:r w:rsidRPr="001D35B2">
        <w:rPr>
          <w:rFonts w:cs="Calibri"/>
          <w:i/>
          <w:lang w:val="sq-AL"/>
        </w:rPr>
        <w:t>Për zbatimin e buxhetit të vitit 2021</w:t>
      </w:r>
      <w:r w:rsidRPr="000C2F27">
        <w:rPr>
          <w:rFonts w:cs="Calibri"/>
          <w:lang w:val="sq-AL"/>
        </w:rPr>
        <w:t>”, të skedulit të detyrueshëm kohor të raportimit të tyre nga çdo autoritet kontraktor dhe të formateve standarde respektive, me qëllim thellimin e analizës dhe rritjen e transparencës. Ky monitorim kry</w:t>
      </w:r>
      <w:r w:rsidR="001D35B2">
        <w:rPr>
          <w:rFonts w:cs="Calibri"/>
          <w:lang w:val="sq-AL"/>
        </w:rPr>
        <w:t>het</w:t>
      </w:r>
      <w:r w:rsidRPr="000C2F27">
        <w:rPr>
          <w:rFonts w:cs="Calibri"/>
          <w:lang w:val="sq-AL"/>
        </w:rPr>
        <w:t xml:space="preserve"> në bazë mujore, me qëllim identifikimin dhe monitorimin hap pas hapi të risqeve potenciale që mund të materializohen nga implementimi i tyre</w:t>
      </w:r>
      <w:r w:rsidR="00483CF6" w:rsidRPr="00476D2E">
        <w:rPr>
          <w:rFonts w:cs="Calibri"/>
          <w:lang w:val="sq-AL"/>
        </w:rPr>
        <w:t xml:space="preserve">. </w:t>
      </w:r>
      <w:r w:rsidRPr="002216E2">
        <w:rPr>
          <w:rFonts w:cs="Calibri"/>
          <w:lang w:val="sq-AL"/>
        </w:rPr>
        <w:t xml:space="preserve">Në fund të vitit 2021, në nivel total rezultoi se: </w:t>
      </w:r>
    </w:p>
    <w:p w:rsidR="000C2F27" w:rsidRPr="000C2F27" w:rsidRDefault="000C2F27" w:rsidP="00842F80">
      <w:pPr>
        <w:numPr>
          <w:ilvl w:val="0"/>
          <w:numId w:val="39"/>
        </w:numPr>
        <w:spacing w:before="0"/>
        <w:ind w:left="540"/>
        <w:contextualSpacing/>
        <w:rPr>
          <w:rFonts w:eastAsia="Calibri" w:cs="Calibri"/>
          <w:bCs/>
          <w:i/>
          <w:lang w:val="sq-AL" w:eastAsia="sq-AL"/>
        </w:rPr>
      </w:pPr>
      <w:r w:rsidRPr="000C2F27">
        <w:rPr>
          <w:rFonts w:eastAsia="Calibri" w:cs="Calibri"/>
          <w:bCs/>
          <w:i/>
          <w:lang w:val="sq-AL" w:eastAsia="sq-AL"/>
        </w:rPr>
        <w:t xml:space="preserve">Nga 13 kontrata koncesionare/PPP, me mbështetje buxhetore: </w:t>
      </w:r>
    </w:p>
    <w:p w:rsidR="000C2F27" w:rsidRPr="000C2F27" w:rsidRDefault="000C2F27" w:rsidP="0086346E">
      <w:pPr>
        <w:numPr>
          <w:ilvl w:val="1"/>
          <w:numId w:val="5"/>
        </w:numPr>
        <w:spacing w:before="0"/>
        <w:ind w:left="1170"/>
        <w:contextualSpacing/>
        <w:rPr>
          <w:rFonts w:cs="Calibri"/>
          <w:lang w:val="sq-AL"/>
        </w:rPr>
      </w:pPr>
      <w:r w:rsidRPr="000C2F27">
        <w:rPr>
          <w:rFonts w:cs="Calibri"/>
          <w:lang w:val="sq-AL"/>
        </w:rPr>
        <w:t>Për 12 kontrata u regjistruan pagesa faktike buxhetore, për periudhën 12 mujore.</w:t>
      </w:r>
    </w:p>
    <w:p w:rsidR="000C2F27" w:rsidRPr="000C2F27" w:rsidRDefault="000C2F27" w:rsidP="0086346E">
      <w:pPr>
        <w:numPr>
          <w:ilvl w:val="1"/>
          <w:numId w:val="5"/>
        </w:numPr>
        <w:spacing w:before="0"/>
        <w:ind w:left="1170"/>
        <w:contextualSpacing/>
        <w:rPr>
          <w:rFonts w:cs="Calibri"/>
          <w:lang w:val="sq-AL"/>
        </w:rPr>
      </w:pPr>
      <w:r w:rsidRPr="000C2F27">
        <w:rPr>
          <w:rFonts w:cs="Calibri"/>
          <w:lang w:val="sq-AL"/>
        </w:rPr>
        <w:t xml:space="preserve">Për 1 kontratë nuk u krye asnjë pagesë. </w:t>
      </w:r>
    </w:p>
    <w:p w:rsidR="000C2F27" w:rsidRPr="000C2F27" w:rsidRDefault="000C2F27" w:rsidP="00842F80">
      <w:pPr>
        <w:numPr>
          <w:ilvl w:val="0"/>
          <w:numId w:val="39"/>
        </w:numPr>
        <w:spacing w:before="0"/>
        <w:ind w:left="540"/>
        <w:contextualSpacing/>
        <w:rPr>
          <w:rFonts w:eastAsia="Calibri" w:cs="Calibri"/>
          <w:bCs/>
          <w:i/>
          <w:lang w:val="sq-AL" w:eastAsia="sq-AL"/>
        </w:rPr>
      </w:pPr>
      <w:r w:rsidRPr="000C2F27">
        <w:rPr>
          <w:rFonts w:eastAsia="Calibri" w:cs="Calibri"/>
          <w:bCs/>
          <w:i/>
          <w:lang w:val="sq-AL" w:eastAsia="sq-AL"/>
        </w:rPr>
        <w:t xml:space="preserve">Fondet buxhetore të planifikuara për vitin 2021, sipas planit vjetor të ndryshuar, me destinacion mbështetjen nga buxheti për kontratat konçesionare/PPP, në total ishin rreth 11.82 miliardë lekë. </w:t>
      </w:r>
    </w:p>
    <w:p w:rsidR="000C2F27" w:rsidRPr="000C2F27" w:rsidRDefault="000C2F27" w:rsidP="00842F80">
      <w:pPr>
        <w:numPr>
          <w:ilvl w:val="0"/>
          <w:numId w:val="39"/>
        </w:numPr>
        <w:spacing w:before="0"/>
        <w:ind w:left="540"/>
        <w:contextualSpacing/>
        <w:rPr>
          <w:rFonts w:eastAsia="Calibri" w:cs="Calibri"/>
          <w:bCs/>
          <w:i/>
          <w:lang w:val="sq-AL" w:eastAsia="sq-AL"/>
        </w:rPr>
      </w:pPr>
      <w:r w:rsidRPr="000C2F27">
        <w:rPr>
          <w:rFonts w:eastAsia="Calibri" w:cs="Calibri"/>
          <w:bCs/>
          <w:i/>
          <w:lang w:val="sq-AL" w:eastAsia="sq-AL"/>
        </w:rPr>
        <w:t xml:space="preserve">Pagesat faktike për vitin 2021, në total rezultuan në rreth 11.5 </w:t>
      </w:r>
      <w:r w:rsidR="0043521D">
        <w:rPr>
          <w:rFonts w:eastAsia="Calibri" w:cs="Calibri"/>
          <w:bCs/>
          <w:i/>
          <w:lang w:val="sq-AL" w:eastAsia="sq-AL"/>
        </w:rPr>
        <w:t>mld</w:t>
      </w:r>
      <w:r w:rsidRPr="000C2F27">
        <w:rPr>
          <w:rFonts w:eastAsia="Calibri" w:cs="Calibri"/>
          <w:bCs/>
          <w:i/>
          <w:lang w:val="sq-AL" w:eastAsia="sq-AL"/>
        </w:rPr>
        <w:t xml:space="preserve"> lekë ose 97.4% e planit </w:t>
      </w:r>
      <w:r>
        <w:rPr>
          <w:rFonts w:eastAsia="Calibri" w:cs="Calibri"/>
          <w:bCs/>
          <w:i/>
          <w:lang w:val="sq-AL" w:eastAsia="sq-AL"/>
        </w:rPr>
        <w:t>p</w:t>
      </w:r>
      <w:r w:rsidR="002111DF">
        <w:rPr>
          <w:rFonts w:eastAsia="Calibri" w:cs="Calibri"/>
          <w:bCs/>
          <w:i/>
          <w:lang w:val="sq-AL" w:eastAsia="sq-AL"/>
        </w:rPr>
        <w:t>ë</w:t>
      </w:r>
      <w:r>
        <w:rPr>
          <w:rFonts w:eastAsia="Calibri" w:cs="Calibri"/>
          <w:bCs/>
          <w:i/>
          <w:lang w:val="sq-AL" w:eastAsia="sq-AL"/>
        </w:rPr>
        <w:t>rundimtar</w:t>
      </w:r>
      <w:r w:rsidRPr="000C2F27">
        <w:rPr>
          <w:rFonts w:eastAsia="Calibri" w:cs="Calibri"/>
          <w:bCs/>
          <w:i/>
          <w:lang w:val="sq-AL" w:eastAsia="sq-AL"/>
        </w:rPr>
        <w:t xml:space="preserve"> 2021.</w:t>
      </w:r>
    </w:p>
    <w:p w:rsidR="000C2F27" w:rsidRPr="002216E2" w:rsidRDefault="000C2F27" w:rsidP="000C2F27">
      <w:pPr>
        <w:rPr>
          <w:rFonts w:cs="Calibri"/>
          <w:lang w:val="sq-AL"/>
        </w:rPr>
      </w:pPr>
      <w:r w:rsidRPr="002216E2">
        <w:rPr>
          <w:rFonts w:cs="Calibri"/>
          <w:lang w:val="sq-AL"/>
        </w:rPr>
        <w:t>Respektimi i rregullit fiskal, për vitin 2021:</w:t>
      </w:r>
    </w:p>
    <w:p w:rsidR="000C2F27" w:rsidRPr="000C2F27" w:rsidRDefault="000C2F27" w:rsidP="00842F80">
      <w:pPr>
        <w:numPr>
          <w:ilvl w:val="0"/>
          <w:numId w:val="39"/>
        </w:numPr>
        <w:spacing w:before="0"/>
        <w:ind w:left="540"/>
        <w:contextualSpacing/>
        <w:rPr>
          <w:rFonts w:eastAsia="Calibri" w:cs="Calibri"/>
          <w:bCs/>
          <w:i/>
          <w:lang w:val="sq-AL" w:eastAsia="sq-AL"/>
        </w:rPr>
      </w:pPr>
      <w:r w:rsidRPr="000C2F27">
        <w:rPr>
          <w:rFonts w:eastAsia="Calibri" w:cs="Calibri"/>
          <w:bCs/>
          <w:i/>
          <w:lang w:val="sq-AL" w:eastAsia="sq-AL"/>
        </w:rPr>
        <w:t>Kufiri i lejuar i pagesave neto për kontratat koncesionare/PPP, prej 5% i të ardhurave tatimore faktike të vitit 2020, përllogaritet në rreth 19.93 miliardë lekë.</w:t>
      </w:r>
    </w:p>
    <w:p w:rsidR="000C2F27" w:rsidRPr="000C2F27" w:rsidRDefault="000C2F27" w:rsidP="00842F80">
      <w:pPr>
        <w:numPr>
          <w:ilvl w:val="0"/>
          <w:numId w:val="39"/>
        </w:numPr>
        <w:spacing w:before="0"/>
        <w:ind w:left="540"/>
        <w:contextualSpacing/>
        <w:rPr>
          <w:rFonts w:eastAsia="Calibri" w:cs="Calibri"/>
          <w:bCs/>
          <w:i/>
          <w:lang w:val="sq-AL" w:eastAsia="sq-AL"/>
        </w:rPr>
      </w:pPr>
      <w:r w:rsidRPr="000C2F27">
        <w:rPr>
          <w:rFonts w:eastAsia="Calibri" w:cs="Calibri"/>
          <w:bCs/>
          <w:i/>
          <w:lang w:val="sq-AL" w:eastAsia="sq-AL"/>
        </w:rPr>
        <w:t>Referuar tabelës së mëposhtme, pagesat vjetore neto të realizuara (faktike) nga njësitë e qeverisjes së përgjithshme, për kontratat koncesionare/PPP me mbështetje buxhetore, rezultuan në rreth 11.5 miliardë lekë.</w:t>
      </w:r>
    </w:p>
    <w:p w:rsidR="000C2F27" w:rsidRPr="000C2F27" w:rsidRDefault="000C2F27" w:rsidP="0086346E">
      <w:pPr>
        <w:numPr>
          <w:ilvl w:val="1"/>
          <w:numId w:val="5"/>
        </w:numPr>
        <w:spacing w:before="0"/>
        <w:ind w:left="1170"/>
        <w:contextualSpacing/>
        <w:rPr>
          <w:rFonts w:cs="Calibri"/>
          <w:i/>
          <w:lang w:val="sq-AL"/>
        </w:rPr>
      </w:pPr>
      <w:r w:rsidRPr="000C2F27">
        <w:rPr>
          <w:rFonts w:cs="Calibri"/>
          <w:i/>
          <w:lang w:val="sq-AL"/>
        </w:rPr>
        <w:t>Rrjedhimisht, në buxhetin 2021 është respektuar kufizimin ligjor i sipërcituar në zbatim të rregullit fiskal respektiv, pasi  vlera e realizuar prej rreth 11.52 miliardë lekë, për pagesat vjetore neto të kontratave koncesionare apo PPP, për vitin 2021, përbën vetëm 2.89 përqind të totalit të të ardhurave tatimore faktike të vitit 2020, prej rreth 398.66 miliardë lekë.</w:t>
      </w:r>
    </w:p>
    <w:p w:rsidR="00F97AB9" w:rsidRPr="0005367A" w:rsidRDefault="00F97AB9" w:rsidP="000C2F27">
      <w:pPr>
        <w:spacing w:before="0" w:line="240" w:lineRule="auto"/>
        <w:ind w:left="1170"/>
        <w:contextualSpacing/>
        <w:rPr>
          <w:rFonts w:cs="Calibri"/>
          <w:i/>
          <w:sz w:val="4"/>
          <w:lang w:val="sq-AL"/>
        </w:rPr>
      </w:pPr>
    </w:p>
    <w:p w:rsidR="00610215" w:rsidRPr="0005367A" w:rsidRDefault="00F97AB9" w:rsidP="001D35B2">
      <w:pPr>
        <w:pStyle w:val="Caption"/>
        <w:keepNext/>
        <w:spacing w:before="0" w:after="0"/>
        <w:rPr>
          <w:rFonts w:cs="Calibri"/>
        </w:rPr>
      </w:pPr>
      <w:bookmarkStart w:id="209" w:name="_Toc104984090"/>
      <w:r w:rsidRPr="0005367A">
        <w:rPr>
          <w:rFonts w:cs="Calibri"/>
        </w:rPr>
        <w:lastRenderedPageBreak/>
        <w:t xml:space="preserve">Tabela </w:t>
      </w:r>
      <w:r w:rsidRPr="0005367A">
        <w:rPr>
          <w:rFonts w:cs="Calibri"/>
        </w:rPr>
        <w:fldChar w:fldCharType="begin"/>
      </w:r>
      <w:r w:rsidRPr="0005367A">
        <w:rPr>
          <w:rFonts w:cs="Calibri"/>
        </w:rPr>
        <w:instrText xml:space="preserve"> SEQ Tabela \* ARABIC </w:instrText>
      </w:r>
      <w:r w:rsidRPr="0005367A">
        <w:rPr>
          <w:rFonts w:cs="Calibri"/>
        </w:rPr>
        <w:fldChar w:fldCharType="separate"/>
      </w:r>
      <w:r w:rsidR="00276062">
        <w:rPr>
          <w:rFonts w:cs="Calibri"/>
          <w:noProof/>
        </w:rPr>
        <w:t>18</w:t>
      </w:r>
      <w:r w:rsidRPr="0005367A">
        <w:rPr>
          <w:rFonts w:cs="Calibri"/>
        </w:rPr>
        <w:fldChar w:fldCharType="end"/>
      </w:r>
      <w:r w:rsidRPr="0005367A">
        <w:rPr>
          <w:rFonts w:cs="Calibri"/>
        </w:rPr>
        <w:t xml:space="preserve"> Koncesionet/PP</w:t>
      </w:r>
      <w:r w:rsidR="00610215" w:rsidRPr="0005367A">
        <w:rPr>
          <w:rFonts w:cs="Calibri"/>
        </w:rPr>
        <w:t>P</w:t>
      </w:r>
      <w:r w:rsidRPr="0005367A">
        <w:rPr>
          <w:rFonts w:cs="Calibri"/>
        </w:rPr>
        <w:t>-të aktive me mbështetje nga buxheti i shtetit (në mijë lekë)</w:t>
      </w:r>
      <w:bookmarkEnd w:id="209"/>
    </w:p>
    <w:p w:rsidR="00610215" w:rsidRDefault="00610215" w:rsidP="00610215">
      <w:pPr>
        <w:spacing w:before="0" w:line="240" w:lineRule="auto"/>
        <w:ind w:left="-360"/>
        <w:jc w:val="center"/>
        <w:rPr>
          <w:rFonts w:cs="Calibri"/>
          <w:lang w:val="sq-AL"/>
        </w:rPr>
      </w:pPr>
      <w:r>
        <w:rPr>
          <w:rFonts w:cs="Calibri"/>
          <w:noProof/>
        </w:rPr>
        <w:drawing>
          <wp:inline distT="0" distB="0" distL="0" distR="0" wp14:anchorId="19D4D46C" wp14:editId="14E5FF37">
            <wp:extent cx="6842760" cy="4541520"/>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42760" cy="4541520"/>
                    </a:xfrm>
                    <a:prstGeom prst="rect">
                      <a:avLst/>
                    </a:prstGeom>
                    <a:noFill/>
                  </pic:spPr>
                </pic:pic>
              </a:graphicData>
            </a:graphic>
          </wp:inline>
        </w:drawing>
      </w:r>
    </w:p>
    <w:p w:rsidR="00F97AB9" w:rsidRDefault="000661E2" w:rsidP="000C2F27">
      <w:pPr>
        <w:spacing w:before="0" w:line="240" w:lineRule="auto"/>
        <w:ind w:left="-360"/>
        <w:rPr>
          <w:rFonts w:eastAsia="SimSun" w:cs="Calibri"/>
          <w:i/>
          <w:sz w:val="18"/>
          <w:szCs w:val="18"/>
          <w:lang w:val="sq-AL"/>
        </w:rPr>
      </w:pPr>
      <w:r>
        <w:rPr>
          <w:rFonts w:eastAsia="SimSun" w:cs="Calibri"/>
          <w:i/>
          <w:sz w:val="18"/>
          <w:szCs w:val="18"/>
          <w:lang w:val="sq-AL"/>
        </w:rPr>
        <w:t>Burimi: Ministria e Financave dhe Ekonomisë (2022)</w:t>
      </w:r>
    </w:p>
    <w:p w:rsidR="002111DF" w:rsidRPr="001D35B2" w:rsidRDefault="002111DF" w:rsidP="000C2F27">
      <w:pPr>
        <w:spacing w:before="0" w:line="240" w:lineRule="auto"/>
        <w:ind w:left="-360"/>
        <w:rPr>
          <w:rFonts w:eastAsia="SimSun" w:cs="Calibri"/>
          <w:i/>
          <w:sz w:val="8"/>
          <w:szCs w:val="18"/>
          <w:lang w:val="sq-AL"/>
        </w:rPr>
      </w:pPr>
    </w:p>
    <w:p w:rsidR="00CC1C5C" w:rsidRPr="001D35B2" w:rsidRDefault="001D35B2" w:rsidP="001D35B2">
      <w:pPr>
        <w:spacing w:before="0"/>
        <w:rPr>
          <w:rFonts w:cs="Calibri"/>
          <w:lang w:val="sq-AL"/>
        </w:rPr>
      </w:pPr>
      <w:r w:rsidRPr="001D35B2">
        <w:rPr>
          <w:rFonts w:cs="Calibri"/>
          <w:lang w:val="sq-AL"/>
        </w:rPr>
        <w:t xml:space="preserve">Informacion </w:t>
      </w:r>
      <w:r>
        <w:rPr>
          <w:rFonts w:cs="Calibri"/>
          <w:lang w:val="sq-AL"/>
        </w:rPr>
        <w:t xml:space="preserve">më të detajuar dhe </w:t>
      </w:r>
      <w:r w:rsidRPr="001D35B2">
        <w:rPr>
          <w:rFonts w:cs="Calibri"/>
          <w:lang w:val="sq-AL"/>
        </w:rPr>
        <w:t>gjith</w:t>
      </w:r>
      <w:r>
        <w:rPr>
          <w:rFonts w:cs="Calibri"/>
          <w:lang w:val="sq-AL"/>
        </w:rPr>
        <w:t>ë</w:t>
      </w:r>
      <w:r w:rsidRPr="001D35B2">
        <w:rPr>
          <w:rFonts w:cs="Calibri"/>
          <w:lang w:val="sq-AL"/>
        </w:rPr>
        <w:t>p</w:t>
      </w:r>
      <w:r>
        <w:rPr>
          <w:rFonts w:cs="Calibri"/>
          <w:lang w:val="sq-AL"/>
        </w:rPr>
        <w:t>ë</w:t>
      </w:r>
      <w:r w:rsidRPr="001D35B2">
        <w:rPr>
          <w:rFonts w:cs="Calibri"/>
          <w:lang w:val="sq-AL"/>
        </w:rPr>
        <w:t>rfshir</w:t>
      </w:r>
      <w:r>
        <w:rPr>
          <w:rFonts w:cs="Calibri"/>
          <w:lang w:val="sq-AL"/>
        </w:rPr>
        <w:t>ë</w:t>
      </w:r>
      <w:r w:rsidRPr="001D35B2">
        <w:rPr>
          <w:rFonts w:cs="Calibri"/>
          <w:lang w:val="sq-AL"/>
        </w:rPr>
        <w:t>s</w:t>
      </w:r>
      <w:r>
        <w:rPr>
          <w:rFonts w:cs="Calibri"/>
          <w:lang w:val="sq-AL"/>
        </w:rPr>
        <w:t xml:space="preserve"> për këtë qëllim, do të gjeni në </w:t>
      </w:r>
      <w:r w:rsidRPr="001D35B2">
        <w:rPr>
          <w:rFonts w:cs="Calibri"/>
          <w:b/>
          <w:lang w:val="sq-AL"/>
        </w:rPr>
        <w:t>“Raportin e kontratave PPP, për vitin 2021”</w:t>
      </w:r>
      <w:r>
        <w:rPr>
          <w:rFonts w:cs="Calibri"/>
          <w:lang w:val="sq-AL"/>
        </w:rPr>
        <w:t xml:space="preserve"> që i bashkëlidhet këtij relacioni.</w:t>
      </w:r>
      <w:r w:rsidRPr="001D35B2">
        <w:rPr>
          <w:rFonts w:cs="Calibri"/>
          <w:lang w:val="sq-AL"/>
        </w:rPr>
        <w:t xml:space="preserve"> </w:t>
      </w:r>
    </w:p>
    <w:p w:rsidR="001D35B2" w:rsidRDefault="001D35B2" w:rsidP="00CC1C5C">
      <w:pPr>
        <w:spacing w:before="0" w:line="240" w:lineRule="auto"/>
        <w:ind w:left="-360"/>
        <w:rPr>
          <w:rFonts w:cs="Calibri"/>
          <w:sz w:val="24"/>
          <w:lang w:val="sq-AL"/>
        </w:rPr>
      </w:pPr>
    </w:p>
    <w:p w:rsidR="001D35B2" w:rsidRPr="005A5874" w:rsidRDefault="001D35B2" w:rsidP="00CC1C5C">
      <w:pPr>
        <w:spacing w:before="0" w:line="240" w:lineRule="auto"/>
        <w:ind w:left="-360"/>
        <w:rPr>
          <w:rFonts w:cs="Calibri"/>
          <w:sz w:val="24"/>
          <w:lang w:val="sq-AL"/>
        </w:rPr>
      </w:pPr>
    </w:p>
    <w:p w:rsidR="002350D2" w:rsidRPr="003D1D3B" w:rsidRDefault="002350D2" w:rsidP="00351572">
      <w:pPr>
        <w:pStyle w:val="Fiskale2"/>
        <w:rPr>
          <w:rFonts w:ascii="Calibri" w:hAnsi="Calibri" w:cs="Calibri"/>
        </w:rPr>
      </w:pPr>
      <w:bookmarkStart w:id="210" w:name="_Toc374447187"/>
      <w:bookmarkStart w:id="211" w:name="_Toc374620506"/>
      <w:bookmarkStart w:id="212" w:name="_Toc495672782"/>
      <w:bookmarkStart w:id="213" w:name="_Toc10033287"/>
      <w:bookmarkStart w:id="214" w:name="_Toc10721424"/>
      <w:bookmarkStart w:id="215" w:name="_Toc104980353"/>
      <w:bookmarkEnd w:id="210"/>
      <w:bookmarkEnd w:id="211"/>
      <w:bookmarkEnd w:id="212"/>
      <w:r w:rsidRPr="003D1D3B">
        <w:rPr>
          <w:rFonts w:ascii="Calibri" w:hAnsi="Calibri" w:cs="Calibri"/>
        </w:rPr>
        <w:t>Detyrime</w:t>
      </w:r>
      <w:r w:rsidR="00EF1EEE" w:rsidRPr="003D1D3B">
        <w:rPr>
          <w:rFonts w:ascii="Calibri" w:hAnsi="Calibri" w:cs="Calibri"/>
        </w:rPr>
        <w:t xml:space="preserve"> të </w:t>
      </w:r>
      <w:r w:rsidRPr="003D1D3B">
        <w:rPr>
          <w:rFonts w:ascii="Calibri" w:hAnsi="Calibri" w:cs="Calibri"/>
        </w:rPr>
        <w:t>t</w:t>
      </w:r>
      <w:r w:rsidR="00EF1EEE" w:rsidRPr="003D1D3B">
        <w:rPr>
          <w:rFonts w:ascii="Calibri" w:hAnsi="Calibri" w:cs="Calibri"/>
        </w:rPr>
        <w:t>jera</w:t>
      </w:r>
      <w:r w:rsidRPr="003D1D3B">
        <w:rPr>
          <w:rFonts w:ascii="Calibri" w:hAnsi="Calibri" w:cs="Calibri"/>
        </w:rPr>
        <w:t xml:space="preserve"> Kontigjente:</w:t>
      </w:r>
      <w:bookmarkEnd w:id="213"/>
      <w:bookmarkEnd w:id="214"/>
      <w:bookmarkEnd w:id="215"/>
    </w:p>
    <w:p w:rsidR="00CC1C5C" w:rsidRPr="005A5874" w:rsidRDefault="00CC1C5C" w:rsidP="00CC1C5C">
      <w:pPr>
        <w:pStyle w:val="Fiskale2"/>
        <w:numPr>
          <w:ilvl w:val="0"/>
          <w:numId w:val="0"/>
        </w:numPr>
        <w:ind w:left="720"/>
        <w:rPr>
          <w:rFonts w:ascii="Calibri" w:hAnsi="Calibri" w:cs="Calibri"/>
          <w:sz w:val="12"/>
        </w:rPr>
      </w:pPr>
    </w:p>
    <w:p w:rsidR="002350D2" w:rsidRPr="00476D2E" w:rsidRDefault="002350D2" w:rsidP="00351572">
      <w:pPr>
        <w:pStyle w:val="fiskale3"/>
        <w:rPr>
          <w:rFonts w:ascii="Calibri" w:hAnsi="Calibri" w:cs="Calibri"/>
        </w:rPr>
      </w:pPr>
      <w:bookmarkStart w:id="216" w:name="_Toc104980354"/>
      <w:r w:rsidRPr="00476D2E">
        <w:rPr>
          <w:rFonts w:ascii="Calibri" w:hAnsi="Calibri" w:cs="Calibri"/>
        </w:rPr>
        <w:t>Vendimet e Gjykatës së të Drejtave të Njeriut në Strasburg (GJEDNJ)</w:t>
      </w:r>
      <w:bookmarkEnd w:id="216"/>
      <w:r w:rsidRPr="00476D2E">
        <w:rPr>
          <w:rFonts w:ascii="Calibri" w:hAnsi="Calibri" w:cs="Calibri"/>
        </w:rPr>
        <w:t xml:space="preserve"> </w:t>
      </w:r>
    </w:p>
    <w:p w:rsidR="0086346E" w:rsidRDefault="00483CF6" w:rsidP="00AB7A9F">
      <w:pPr>
        <w:spacing w:before="0"/>
        <w:contextualSpacing/>
        <w:rPr>
          <w:lang w:val="sq-AL"/>
        </w:rPr>
      </w:pPr>
      <w:r w:rsidRPr="00476D2E">
        <w:rPr>
          <w:rFonts w:cs="Calibri"/>
          <w:lang w:val="sq-AL"/>
        </w:rPr>
        <w:t xml:space="preserve">Këto vendime kanë të bëjnë kryesisht me çështje që lidhen me kthimin dhe kompensimin e pronave tek ish-pronarët. Sipas Avokaturës së Shtetit, risqet financiare që burojnë nga vendimet e GJEDNJ-së janë të karakterizuara nga një aftësi e dobët parashikuese, përsa kohë që kjo Gjykatë nuk funksionon me një kalendar të përcaktuar për komunikimin e çështjeve dhe nxjerrjen e vendimeve. </w:t>
      </w:r>
      <w:r w:rsidRPr="00476D2E">
        <w:rPr>
          <w:lang w:val="sq-AL"/>
        </w:rPr>
        <w:t>Ministria e Financave dhe Ekonomisë ka respektuar në vazhdimësi të gjitha vendimet e miratuara nga GJEDNJ, përmes likujdimit të VKM-ve respektive miratuar në mbështetje të tyre, me përpikmëri dhe brenda afateve strikte të përcaktuara prej këtij organi. Kjo, duke konsideruar faktin se kur pagesat nuk kryhen brenda afatit tre mujor nga data kur vendimi përkatës merr formën e prerë, shteti shqiptar ngarkohet me pagesën e një kama</w:t>
      </w:r>
      <w:r w:rsidR="00CC1C5C" w:rsidRPr="00476D2E">
        <w:rPr>
          <w:lang w:val="sq-AL"/>
        </w:rPr>
        <w:t xml:space="preserve">të-vonese për çdo ditë vonesë. </w:t>
      </w:r>
      <w:r w:rsidRPr="00476D2E">
        <w:rPr>
          <w:lang w:val="sq-AL"/>
        </w:rPr>
        <w:t>Sidoqoftë, për garantimin e shlyerjes në kohë të këtyre vendimeve, MFE ka rekomanduar vazhdimisht përdorimin e të gjitha kanaleve të mundshme institucionale dhe proceduriale, brenda hapësirave që siguron kuadri ligjor në fuqi, duke sugjeruar skedulimin e detyrimit financiar, sipas mundësive të buxhetit të shtetit me kës</w:t>
      </w:r>
      <w:r w:rsidR="00CC1C5C" w:rsidRPr="00476D2E">
        <w:rPr>
          <w:lang w:val="sq-AL"/>
        </w:rPr>
        <w:t xml:space="preserve">te, në negocim me përfituesit. </w:t>
      </w:r>
    </w:p>
    <w:p w:rsidR="00483CF6" w:rsidRPr="00476D2E" w:rsidRDefault="00483CF6" w:rsidP="002111DF">
      <w:pPr>
        <w:contextualSpacing/>
        <w:rPr>
          <w:rFonts w:cs="Calibri"/>
          <w:lang w:val="sq-AL"/>
        </w:rPr>
      </w:pPr>
      <w:r w:rsidRPr="00476D2E">
        <w:rPr>
          <w:lang w:val="sq-AL"/>
        </w:rPr>
        <w:lastRenderedPageBreak/>
        <w:t>Ndërkohë, hyrja në fuqi më datë 30.12.2018 e ndryshimeve në ligjin “</w:t>
      </w:r>
      <w:r w:rsidRPr="00476D2E">
        <w:rPr>
          <w:i/>
          <w:lang w:val="sq-AL"/>
        </w:rPr>
        <w:t>Për Avokaturën e Shtetit</w:t>
      </w:r>
      <w:r w:rsidRPr="00476D2E">
        <w:rPr>
          <w:lang w:val="sq-AL"/>
        </w:rPr>
        <w:t>”, përmban një kre të veçantë dedikuar ekzekutimit të vendimeve të GJEDNJ-së</w:t>
      </w:r>
      <w:r w:rsidR="006A24CE" w:rsidRPr="00476D2E">
        <w:rPr>
          <w:lang w:val="sq-AL"/>
        </w:rPr>
        <w:t>, ku specifikisht në nenin 19/</w:t>
      </w:r>
      <w:r w:rsidR="0065721A">
        <w:rPr>
          <w:lang w:val="sq-AL"/>
        </w:rPr>
        <w:t>5</w:t>
      </w:r>
      <w:r w:rsidR="006A24CE" w:rsidRPr="00476D2E">
        <w:rPr>
          <w:lang w:val="sq-AL"/>
        </w:rPr>
        <w:t xml:space="preserve"> </w:t>
      </w:r>
      <w:r w:rsidRPr="00476D2E">
        <w:rPr>
          <w:lang w:val="sq-AL"/>
        </w:rPr>
        <w:t>përcaktohen 2 mënyra ekzekutimi të shpërblimit:</w:t>
      </w:r>
    </w:p>
    <w:p w:rsidR="00483CF6" w:rsidRPr="00476D2E" w:rsidRDefault="00483CF6" w:rsidP="00842F80">
      <w:pPr>
        <w:pStyle w:val="ListParagraph"/>
        <w:numPr>
          <w:ilvl w:val="0"/>
          <w:numId w:val="41"/>
        </w:numPr>
        <w:spacing w:before="0"/>
        <w:rPr>
          <w:rFonts w:cs="Calibri"/>
          <w:i/>
          <w:lang w:val="sq-AL"/>
        </w:rPr>
      </w:pPr>
      <w:r w:rsidRPr="00476D2E">
        <w:rPr>
          <w:rFonts w:cs="Calibri"/>
          <w:i/>
          <w:lang w:val="sq-AL"/>
        </w:rPr>
        <w:t>Vendimet me detyrim financiar mbi 10.000 EUR implikojnë nxjerrjen e VKM-ve për ekzekutimin e tyre.</w:t>
      </w:r>
    </w:p>
    <w:p w:rsidR="00483CF6" w:rsidRPr="00476D2E" w:rsidRDefault="00483CF6" w:rsidP="00842F80">
      <w:pPr>
        <w:pStyle w:val="ListParagraph"/>
        <w:numPr>
          <w:ilvl w:val="0"/>
          <w:numId w:val="41"/>
        </w:numPr>
        <w:spacing w:before="0"/>
        <w:rPr>
          <w:rFonts w:cs="Calibri"/>
          <w:i/>
          <w:lang w:val="sq-AL"/>
        </w:rPr>
      </w:pPr>
      <w:r w:rsidRPr="00476D2E">
        <w:rPr>
          <w:rFonts w:cs="Calibri"/>
          <w:i/>
          <w:lang w:val="sq-AL"/>
        </w:rPr>
        <w:t>Vendimet me detyrim financiar deri në 10.000 EUR, ekzekutohen drejtpërdrejtë nga Ministria e Financave dhe Ekonomisë, pas kërkesës zyrtare të Avokaturës së Shtetit.</w:t>
      </w:r>
    </w:p>
    <w:p w:rsidR="0005367A" w:rsidRDefault="0005367A" w:rsidP="004F1049">
      <w:pPr>
        <w:rPr>
          <w:rFonts w:cs="Calibri"/>
          <w:bCs/>
          <w:lang w:val="sq-AL"/>
        </w:rPr>
      </w:pPr>
      <w:r w:rsidRPr="009954A8">
        <w:rPr>
          <w:rFonts w:cs="Calibri"/>
          <w:lang w:val="sq-AL"/>
        </w:rPr>
        <w:t>Gjatë vitit 2021</w:t>
      </w:r>
      <w:r w:rsidRPr="009954A8">
        <w:rPr>
          <w:rFonts w:cs="Calibri"/>
          <w:bCs/>
          <w:lang w:val="sq-AL"/>
        </w:rPr>
        <w:t>,</w:t>
      </w:r>
      <w:r>
        <w:rPr>
          <w:rFonts w:cs="Calibri"/>
          <w:bCs/>
          <w:lang w:val="sq-AL"/>
        </w:rPr>
        <w:t>rezulto</w:t>
      </w:r>
      <w:r w:rsidR="002111DF">
        <w:rPr>
          <w:rFonts w:cs="Calibri"/>
          <w:bCs/>
          <w:lang w:val="sq-AL"/>
        </w:rPr>
        <w:t>i</w:t>
      </w:r>
      <w:r>
        <w:rPr>
          <w:rFonts w:cs="Calibri"/>
          <w:bCs/>
          <w:lang w:val="sq-AL"/>
        </w:rPr>
        <w:t xml:space="preserve"> se:</w:t>
      </w:r>
    </w:p>
    <w:p w:rsidR="0005367A" w:rsidRPr="0005367A" w:rsidRDefault="0005367A" w:rsidP="00842F80">
      <w:pPr>
        <w:pStyle w:val="ListParagraph"/>
        <w:numPr>
          <w:ilvl w:val="0"/>
          <w:numId w:val="42"/>
        </w:numPr>
        <w:spacing w:before="0"/>
        <w:rPr>
          <w:rFonts w:cs="Calibri"/>
          <w:i/>
          <w:lang w:val="sq-AL"/>
        </w:rPr>
      </w:pPr>
      <w:r w:rsidRPr="0005367A">
        <w:rPr>
          <w:rFonts w:cs="Calibri"/>
          <w:i/>
          <w:lang w:val="sq-AL"/>
        </w:rPr>
        <w:t>Këshilli i Ministrave ka miratuar vet</w:t>
      </w:r>
      <w:r w:rsidR="002111DF">
        <w:rPr>
          <w:rFonts w:cs="Calibri"/>
          <w:i/>
          <w:lang w:val="sq-AL"/>
        </w:rPr>
        <w:t>ë</w:t>
      </w:r>
      <w:r w:rsidRPr="0005367A">
        <w:rPr>
          <w:rFonts w:cs="Calibri"/>
          <w:i/>
          <w:lang w:val="sq-AL"/>
        </w:rPr>
        <w:t xml:space="preserve">m një VKM me një vlerë totale prej 14.720 </w:t>
      </w:r>
      <w:r>
        <w:rPr>
          <w:rFonts w:cs="Calibri"/>
          <w:i/>
          <w:lang w:val="sq-AL"/>
        </w:rPr>
        <w:t>EUR</w:t>
      </w:r>
      <w:r w:rsidRPr="0005367A">
        <w:rPr>
          <w:rFonts w:cs="Calibri"/>
          <w:i/>
          <w:lang w:val="sq-AL"/>
        </w:rPr>
        <w:t xml:space="preserve"> (rreth 1.85 milionë lekë) që </w:t>
      </w:r>
      <w:r w:rsidR="002111DF">
        <w:rPr>
          <w:rFonts w:cs="Calibri"/>
          <w:i/>
          <w:lang w:val="sq-AL"/>
        </w:rPr>
        <w:t>ë</w:t>
      </w:r>
      <w:r w:rsidRPr="0005367A">
        <w:rPr>
          <w:rFonts w:cs="Calibri"/>
          <w:i/>
          <w:lang w:val="sq-AL"/>
        </w:rPr>
        <w:t>sht</w:t>
      </w:r>
      <w:r w:rsidR="002111DF">
        <w:rPr>
          <w:rFonts w:cs="Calibri"/>
          <w:i/>
          <w:lang w:val="sq-AL"/>
        </w:rPr>
        <w:t>ë</w:t>
      </w:r>
      <w:r w:rsidRPr="0005367A">
        <w:rPr>
          <w:rFonts w:cs="Calibri"/>
          <w:i/>
          <w:lang w:val="sq-AL"/>
        </w:rPr>
        <w:t xml:space="preserve"> përballuar nga Fondi Rezervë i buxheti i shtetit, i miratuar për vitin 2021. </w:t>
      </w:r>
    </w:p>
    <w:p w:rsidR="00483CF6" w:rsidRPr="0005367A" w:rsidRDefault="0005367A" w:rsidP="00842F80">
      <w:pPr>
        <w:pStyle w:val="ListParagraph"/>
        <w:numPr>
          <w:ilvl w:val="0"/>
          <w:numId w:val="42"/>
        </w:numPr>
        <w:spacing w:before="0"/>
        <w:rPr>
          <w:rFonts w:cs="Calibri"/>
          <w:i/>
          <w:lang w:val="sq-AL"/>
        </w:rPr>
      </w:pPr>
      <w:r w:rsidRPr="0005367A">
        <w:rPr>
          <w:rFonts w:cs="Calibri"/>
          <w:i/>
          <w:lang w:val="sq-AL"/>
        </w:rPr>
        <w:t>Nd</w:t>
      </w:r>
      <w:r w:rsidR="002111DF">
        <w:rPr>
          <w:rFonts w:cs="Calibri"/>
          <w:i/>
          <w:lang w:val="sq-AL"/>
        </w:rPr>
        <w:t>ë</w:t>
      </w:r>
      <w:r w:rsidRPr="0005367A">
        <w:rPr>
          <w:rFonts w:cs="Calibri"/>
          <w:i/>
          <w:lang w:val="sq-AL"/>
        </w:rPr>
        <w:t>rkoh</w:t>
      </w:r>
      <w:r w:rsidR="002111DF">
        <w:rPr>
          <w:rFonts w:cs="Calibri"/>
          <w:i/>
          <w:lang w:val="sq-AL"/>
        </w:rPr>
        <w:t>ë</w:t>
      </w:r>
      <w:r w:rsidRPr="0005367A">
        <w:rPr>
          <w:rFonts w:cs="Calibri"/>
          <w:i/>
          <w:lang w:val="sq-AL"/>
        </w:rPr>
        <w:t xml:space="preserve">, Ministria e Financave dhe Ekonomisë ka ekzekutuar </w:t>
      </w:r>
      <w:r>
        <w:rPr>
          <w:rFonts w:cs="Calibri"/>
          <w:i/>
          <w:lang w:val="sq-AL"/>
        </w:rPr>
        <w:t>dy</w:t>
      </w:r>
      <w:r w:rsidRPr="0005367A">
        <w:rPr>
          <w:rFonts w:cs="Calibri"/>
          <w:i/>
          <w:lang w:val="sq-AL"/>
        </w:rPr>
        <w:t xml:space="preserve"> vendime të GJEDNJ, me vlera nën 10.000</w:t>
      </w:r>
      <w:r>
        <w:rPr>
          <w:rFonts w:cs="Calibri"/>
          <w:i/>
          <w:lang w:val="sq-AL"/>
        </w:rPr>
        <w:t>EUR</w:t>
      </w:r>
      <w:r w:rsidRPr="0005367A">
        <w:rPr>
          <w:rFonts w:cs="Calibri"/>
          <w:i/>
          <w:lang w:val="sq-AL"/>
        </w:rPr>
        <w:t xml:space="preserve">, </w:t>
      </w:r>
      <w:r>
        <w:rPr>
          <w:rFonts w:cs="Calibri"/>
          <w:i/>
          <w:lang w:val="sq-AL"/>
        </w:rPr>
        <w:t>përkatësisht</w:t>
      </w:r>
      <w:r w:rsidRPr="0005367A">
        <w:rPr>
          <w:rFonts w:cs="Calibri"/>
          <w:i/>
          <w:lang w:val="sq-AL"/>
        </w:rPr>
        <w:t xml:space="preserve"> 2.500 </w:t>
      </w:r>
      <w:r>
        <w:rPr>
          <w:rFonts w:cs="Calibri"/>
          <w:i/>
          <w:lang w:val="sq-AL"/>
        </w:rPr>
        <w:t>EUR</w:t>
      </w:r>
      <w:r w:rsidRPr="0005367A">
        <w:rPr>
          <w:rFonts w:cs="Calibri"/>
          <w:i/>
          <w:lang w:val="sq-AL"/>
        </w:rPr>
        <w:t xml:space="preserve"> dhe 2.100 </w:t>
      </w:r>
      <w:r>
        <w:rPr>
          <w:rFonts w:cs="Calibri"/>
          <w:i/>
          <w:lang w:val="sq-AL"/>
        </w:rPr>
        <w:t>EUR</w:t>
      </w:r>
      <w:r w:rsidRPr="0005367A">
        <w:rPr>
          <w:rFonts w:cs="Calibri"/>
          <w:i/>
          <w:lang w:val="sq-AL"/>
        </w:rPr>
        <w:t xml:space="preserve"> (në total rreth 569 </w:t>
      </w:r>
      <w:r>
        <w:rPr>
          <w:rFonts w:cs="Calibri"/>
          <w:i/>
          <w:lang w:val="sq-AL"/>
        </w:rPr>
        <w:t>000</w:t>
      </w:r>
      <w:r w:rsidRPr="0005367A">
        <w:rPr>
          <w:rFonts w:cs="Calibri"/>
          <w:i/>
          <w:lang w:val="sq-AL"/>
        </w:rPr>
        <w:t xml:space="preserve"> lekë)</w:t>
      </w:r>
      <w:r w:rsidR="00483CF6" w:rsidRPr="0005367A">
        <w:rPr>
          <w:rFonts w:cs="Calibri"/>
          <w:i/>
          <w:lang w:val="sq-AL"/>
        </w:rPr>
        <w:t>.</w:t>
      </w:r>
    </w:p>
    <w:p w:rsidR="00083EB3" w:rsidRPr="00476D2E" w:rsidRDefault="00083EB3" w:rsidP="00083EB3">
      <w:pPr>
        <w:spacing w:after="200"/>
        <w:contextualSpacing/>
        <w:rPr>
          <w:rFonts w:eastAsia="Calibri" w:cs="Calibri"/>
          <w:i/>
          <w:sz w:val="8"/>
          <w:lang w:val="sq-AL"/>
        </w:rPr>
      </w:pPr>
    </w:p>
    <w:p w:rsidR="002350D2" w:rsidRPr="00476D2E" w:rsidRDefault="002350D2" w:rsidP="00351572">
      <w:pPr>
        <w:pStyle w:val="fiskale3"/>
        <w:rPr>
          <w:rFonts w:ascii="Calibri" w:hAnsi="Calibri" w:cs="Calibri"/>
        </w:rPr>
      </w:pPr>
      <w:bookmarkStart w:id="217" w:name="_Toc104980355"/>
      <w:r w:rsidRPr="00476D2E">
        <w:rPr>
          <w:rFonts w:ascii="Calibri" w:hAnsi="Calibri" w:cs="Calibri"/>
        </w:rPr>
        <w:t>Vendimet e Gjykatës Ndërkombëtare të A</w:t>
      </w:r>
      <w:r w:rsidR="00EC33B8" w:rsidRPr="00476D2E">
        <w:rPr>
          <w:rFonts w:ascii="Calibri" w:hAnsi="Calibri" w:cs="Calibri"/>
        </w:rPr>
        <w:t>rbitrazhit</w:t>
      </w:r>
      <w:bookmarkEnd w:id="217"/>
      <w:r w:rsidRPr="00476D2E">
        <w:rPr>
          <w:rFonts w:ascii="Calibri" w:hAnsi="Calibri" w:cs="Calibri"/>
        </w:rPr>
        <w:t xml:space="preserve"> </w:t>
      </w:r>
    </w:p>
    <w:p w:rsidR="002111DF" w:rsidRPr="002111DF" w:rsidRDefault="002111DF" w:rsidP="002111DF">
      <w:pPr>
        <w:rPr>
          <w:rFonts w:cs="Calibri"/>
          <w:lang w:val="sq-AL"/>
        </w:rPr>
      </w:pPr>
      <w:bookmarkStart w:id="218" w:name="_Toc10033288"/>
      <w:bookmarkStart w:id="219" w:name="_Toc10721425"/>
      <w:r w:rsidRPr="009954A8">
        <w:rPr>
          <w:rFonts w:cs="Calibri"/>
          <w:lang w:val="sq-AL"/>
        </w:rPr>
        <w:t xml:space="preserve">Vendimet e Gjykatës Ndërkombëtare të Arbitrazhit kanë të </w:t>
      </w:r>
      <w:r w:rsidRPr="009954A8">
        <w:rPr>
          <w:lang w:val="sq-AL"/>
        </w:rPr>
        <w:t>bëjnë</w:t>
      </w:r>
      <w:r w:rsidRPr="009954A8">
        <w:rPr>
          <w:rFonts w:cs="Calibri"/>
          <w:lang w:val="sq-AL"/>
        </w:rPr>
        <w:t xml:space="preserve"> me vendimet e formës së prerë për zgjidhjen e konflikteve në mosmarrëveshjet dy ose </w:t>
      </w:r>
      <w:r w:rsidRPr="009954A8">
        <w:rPr>
          <w:lang w:val="sq-AL"/>
        </w:rPr>
        <w:t>shumëpalëshe</w:t>
      </w:r>
      <w:r w:rsidRPr="009954A8">
        <w:rPr>
          <w:rFonts w:cs="Calibri"/>
          <w:lang w:val="sq-AL"/>
        </w:rPr>
        <w:t xml:space="preserve">, në ngarkim të shtetit shqiptar. Duke patur parasysh efektet e qënësishme financiare që rëndom shoqërojnë këto vendime, ato vlerësohen me risk të konsiderueshëm për buxhetin e shtetit. </w:t>
      </w:r>
      <w:r w:rsidRPr="009954A8">
        <w:rPr>
          <w:rFonts w:eastAsia="Calibri" w:cs="Calibri"/>
          <w:bCs/>
          <w:lang w:val="sq-AL" w:eastAsia="sq-AL"/>
        </w:rPr>
        <w:t xml:space="preserve">Në pjesën më të madhe, efektet financiare që rrjedhin nga zbatimi i këtyre vendimeve janë përballuar nga buxheti i vetë </w:t>
      </w:r>
      <w:r w:rsidRPr="009954A8">
        <w:rPr>
          <w:lang w:val="sq-AL"/>
        </w:rPr>
        <w:t>institucioneve</w:t>
      </w:r>
      <w:r w:rsidRPr="009954A8">
        <w:rPr>
          <w:rFonts w:eastAsia="Calibri" w:cs="Calibri"/>
          <w:bCs/>
          <w:lang w:val="sq-AL" w:eastAsia="sq-AL"/>
        </w:rPr>
        <w:t xml:space="preserve"> buxhetore (kryesisht ministri linje), të cilat kanë qenë edhe palë e paditur në gjykimet </w:t>
      </w:r>
      <w:r w:rsidRPr="009954A8">
        <w:rPr>
          <w:rFonts w:cs="Calibri"/>
          <w:lang w:val="sq-AL"/>
        </w:rPr>
        <w:t>respektive</w:t>
      </w:r>
      <w:r w:rsidRPr="009954A8">
        <w:rPr>
          <w:rFonts w:eastAsia="Calibri" w:cs="Calibri"/>
          <w:bCs/>
          <w:lang w:val="sq-AL" w:eastAsia="sq-AL"/>
        </w:rPr>
        <w:t xml:space="preserve">. Ndërkohë që, në rastet kur palë e paditur cilësohet ‘shteti shqiptar’ apo ‘qeveria shqiptare’, këto vendime likujdohen përmes buxhetit të Ministrisë së Financave dhe Ekonomisë dhe/ose Fondit rezervë të buxhetit të shtetit, nëse lind nevoja. Në vitin 2021, vlera totale e vendimeve të arbitrazhit të paguara nga buxheti i shtetit rezultoi në masën rreth </w:t>
      </w:r>
      <w:r>
        <w:rPr>
          <w:rFonts w:eastAsia="Calibri" w:cs="Calibri"/>
          <w:bCs/>
          <w:lang w:val="sq-AL" w:eastAsia="sq-AL"/>
        </w:rPr>
        <w:t>283.85</w:t>
      </w:r>
      <w:r w:rsidRPr="009954A8">
        <w:rPr>
          <w:rFonts w:eastAsia="Calibri" w:cs="Calibri"/>
          <w:bCs/>
          <w:lang w:val="sq-AL" w:eastAsia="sq-AL"/>
        </w:rPr>
        <w:t xml:space="preserve"> milion</w:t>
      </w:r>
      <w:r>
        <w:rPr>
          <w:rFonts w:eastAsia="Calibri" w:cs="Calibri"/>
          <w:bCs/>
          <w:lang w:val="sq-AL" w:eastAsia="sq-AL"/>
        </w:rPr>
        <w:t>ë</w:t>
      </w:r>
      <w:r w:rsidRPr="009954A8">
        <w:rPr>
          <w:rFonts w:eastAsia="Calibri" w:cs="Calibri"/>
          <w:bCs/>
          <w:lang w:val="sq-AL" w:eastAsia="sq-AL"/>
        </w:rPr>
        <w:t xml:space="preserve"> lekë</w:t>
      </w:r>
      <w:r w:rsidR="0065721A">
        <w:rPr>
          <w:rStyle w:val="FootnoteReference"/>
          <w:rFonts w:eastAsia="Calibri" w:cs="Calibri"/>
          <w:bCs/>
          <w:lang w:val="sq-AL" w:eastAsia="sq-AL"/>
        </w:rPr>
        <w:footnoteReference w:id="5"/>
      </w:r>
      <w:r w:rsidRPr="009954A8">
        <w:rPr>
          <w:rFonts w:eastAsia="Calibri" w:cs="Calibri"/>
          <w:bCs/>
          <w:lang w:val="sq-AL" w:eastAsia="sq-AL"/>
        </w:rPr>
        <w:t xml:space="preserve">. Nga këto: </w:t>
      </w:r>
    </w:p>
    <w:p w:rsidR="002111DF" w:rsidRPr="009954A8" w:rsidRDefault="002111DF" w:rsidP="00842F80">
      <w:pPr>
        <w:pStyle w:val="ListParagraph"/>
        <w:numPr>
          <w:ilvl w:val="0"/>
          <w:numId w:val="41"/>
        </w:numPr>
        <w:spacing w:before="0"/>
        <w:rPr>
          <w:rFonts w:cs="Calibri"/>
          <w:i/>
          <w:lang w:val="sq-AL"/>
        </w:rPr>
      </w:pPr>
      <w:r w:rsidRPr="009954A8">
        <w:rPr>
          <w:rFonts w:cs="Calibri"/>
          <w:i/>
          <w:lang w:val="sq-AL"/>
        </w:rPr>
        <w:t>84.9 milionë lekë Ministria e Financave dhe Ekonomisë, për pagesën e shërbimeve juridike për përfaqësimin dhe mbrojtjen e Republikës së Shqipërisë dhe procesin e anulimit të një vendimi të arbitrazhit ndërkombëtar.</w:t>
      </w:r>
    </w:p>
    <w:p w:rsidR="002111DF" w:rsidRPr="009954A8" w:rsidRDefault="002111DF" w:rsidP="00842F80">
      <w:pPr>
        <w:pStyle w:val="ListParagraph"/>
        <w:numPr>
          <w:ilvl w:val="0"/>
          <w:numId w:val="41"/>
        </w:numPr>
        <w:spacing w:before="0"/>
        <w:rPr>
          <w:rFonts w:cs="Calibri"/>
          <w:i/>
          <w:lang w:val="sq-AL"/>
        </w:rPr>
      </w:pPr>
      <w:r w:rsidRPr="009954A8">
        <w:rPr>
          <w:rFonts w:cs="Calibri"/>
          <w:i/>
          <w:lang w:val="sq-AL"/>
        </w:rPr>
        <w:t>83.2 milionë lekë Agjencia Kombëtare Ujësjellës Kanalizime dhe Mbetjeve të Ngurta (AKUM), për pagesën e shërbimeve juridike për përfaqësim dhe mbrojtje, lidhur me një vendim të arbitrazhit ndërkombëtar.</w:t>
      </w:r>
    </w:p>
    <w:p w:rsidR="002111DF" w:rsidRPr="009954A8" w:rsidRDefault="002111DF" w:rsidP="00842F80">
      <w:pPr>
        <w:pStyle w:val="ListParagraph"/>
        <w:numPr>
          <w:ilvl w:val="0"/>
          <w:numId w:val="41"/>
        </w:numPr>
        <w:spacing w:before="0"/>
        <w:rPr>
          <w:rFonts w:cs="Calibri"/>
          <w:i/>
          <w:lang w:val="sq-AL"/>
        </w:rPr>
      </w:pPr>
      <w:r w:rsidRPr="009954A8">
        <w:rPr>
          <w:rFonts w:cs="Calibri"/>
          <w:i/>
          <w:lang w:val="sq-AL"/>
        </w:rPr>
        <w:t>78.1 milionë lekë Ministria e Turizmit dhe Mjedisit, për pagesën e shërbimeve juridike lidhur me procesin e anulimit të një vendimi të arbitrazhit ndërkombëtar.</w:t>
      </w:r>
    </w:p>
    <w:p w:rsidR="002111DF" w:rsidRPr="009954A8" w:rsidRDefault="002111DF" w:rsidP="00842F80">
      <w:pPr>
        <w:pStyle w:val="ListParagraph"/>
        <w:numPr>
          <w:ilvl w:val="0"/>
          <w:numId w:val="41"/>
        </w:numPr>
        <w:spacing w:before="0"/>
        <w:rPr>
          <w:rFonts w:cs="Calibri"/>
          <w:i/>
          <w:lang w:val="sq-AL"/>
        </w:rPr>
      </w:pPr>
      <w:r w:rsidRPr="009954A8">
        <w:rPr>
          <w:rFonts w:cs="Calibri"/>
          <w:i/>
          <w:lang w:val="sq-AL"/>
        </w:rPr>
        <w:t>28.9 milionë lekë Ministria e Bujqësisë dhe Zhvillimit Rural, për pagesën e kostove administrative të Gjykatës lidhur me një vendim të arbitrazhit ndërkombëtar.</w:t>
      </w:r>
    </w:p>
    <w:p w:rsidR="002111DF" w:rsidRPr="009954A8" w:rsidRDefault="002111DF" w:rsidP="00842F80">
      <w:pPr>
        <w:pStyle w:val="ListParagraph"/>
        <w:numPr>
          <w:ilvl w:val="0"/>
          <w:numId w:val="41"/>
        </w:numPr>
        <w:spacing w:before="0"/>
        <w:rPr>
          <w:rFonts w:cs="Calibri"/>
          <w:i/>
          <w:lang w:val="sq-AL"/>
        </w:rPr>
      </w:pPr>
      <w:r w:rsidRPr="009954A8">
        <w:rPr>
          <w:rFonts w:cs="Calibri"/>
          <w:i/>
          <w:lang w:val="sq-AL"/>
        </w:rPr>
        <w:t>8.75 milionë lekë Autoriteti Rrugor Shqiptar, për pagesën e shërbimeve juridike për përfaqësimin në procedurat e anullimit të një vendimi të arbitrazhit ndërkombëtar.</w:t>
      </w:r>
    </w:p>
    <w:p w:rsidR="002111DF" w:rsidRDefault="002111DF" w:rsidP="002111DF">
      <w:pPr>
        <w:rPr>
          <w:rFonts w:eastAsia="Calibri"/>
          <w:lang w:val="sq-AL" w:eastAsia="sq-AL"/>
        </w:rPr>
      </w:pPr>
      <w:r w:rsidRPr="009954A8">
        <w:rPr>
          <w:rFonts w:eastAsia="Calibri"/>
          <w:lang w:val="sq-AL" w:eastAsia="sq-AL"/>
        </w:rPr>
        <w:t>Ministria e Financave dhe Ekonomisë, në vazhdimësi dhe me këmbëngulje, ka rekomanduar forcimin e rolit negociues të institucioneve buxhetore dhe Avokaturës së Shtetit në çështjet e kësaj natyre, si edhe disiplinimin e proçesit të shlyerjes financiare të përfituesve. Kjo, me qëllimin final të lehtësimit, reduktimit dhe/ose shmangies së barrës financiare mbi buxhetin e shtetit.</w:t>
      </w:r>
    </w:p>
    <w:p w:rsidR="00777EB2" w:rsidRPr="00476D2E" w:rsidRDefault="00083EB3" w:rsidP="00777EB2">
      <w:pPr>
        <w:pStyle w:val="Fiskale1"/>
        <w:spacing w:after="240"/>
        <w:rPr>
          <w:rFonts w:ascii="Calibri" w:hAnsi="Calibri" w:cs="Calibri"/>
        </w:rPr>
      </w:pPr>
      <w:bookmarkStart w:id="220" w:name="_Toc104980356"/>
      <w:r w:rsidRPr="00476D2E">
        <w:rPr>
          <w:rFonts w:ascii="Calibri" w:hAnsi="Calibri" w:cs="Calibri"/>
        </w:rPr>
        <w:lastRenderedPageBreak/>
        <w:t>SHTOJCAT</w:t>
      </w:r>
      <w:bookmarkStart w:id="221" w:name="_Toc10033289"/>
      <w:bookmarkStart w:id="222" w:name="_Toc10721426"/>
      <w:bookmarkEnd w:id="218"/>
      <w:bookmarkEnd w:id="219"/>
      <w:bookmarkEnd w:id="220"/>
    </w:p>
    <w:p w:rsidR="00A94670" w:rsidRPr="003D1D3B" w:rsidRDefault="00A94670" w:rsidP="00777EB2">
      <w:pPr>
        <w:pStyle w:val="Fiskale2"/>
        <w:spacing w:after="240"/>
        <w:rPr>
          <w:rFonts w:ascii="Calibri" w:hAnsi="Calibri" w:cs="Calibri"/>
        </w:rPr>
      </w:pPr>
      <w:bookmarkStart w:id="223" w:name="_Toc104980357"/>
      <w:r w:rsidRPr="003D1D3B">
        <w:rPr>
          <w:rFonts w:ascii="Calibri" w:hAnsi="Calibri" w:cs="Calibri"/>
        </w:rPr>
        <w:t>Shtojca</w:t>
      </w:r>
      <w:r w:rsidR="00DC2B59" w:rsidRPr="003D1D3B">
        <w:rPr>
          <w:rFonts w:ascii="Calibri" w:hAnsi="Calibri" w:cs="Calibri"/>
        </w:rPr>
        <w:t xml:space="preserve"> 1 - Zbatimi dhe monitorimi i parimeve dhe rregullave fiskale</w:t>
      </w:r>
      <w:bookmarkEnd w:id="221"/>
      <w:bookmarkEnd w:id="222"/>
      <w:bookmarkEnd w:id="223"/>
    </w:p>
    <w:p w:rsidR="00751B54" w:rsidRPr="005C109B" w:rsidRDefault="00751B54" w:rsidP="00751B54">
      <w:pPr>
        <w:rPr>
          <w:rFonts w:cs="Calibri"/>
          <w:lang w:val="sq-AL"/>
        </w:rPr>
      </w:pPr>
      <w:r w:rsidRPr="005C109B">
        <w:rPr>
          <w:rFonts w:cs="Calibri"/>
          <w:lang w:val="sq-AL"/>
        </w:rPr>
        <w:t>Ligji Nr.57 datë 02.06.2016 “Për disa ndryshime dhe shtesa në ligjin Nr.9936, datë 26.06.2008 “Për menaxhimin e sistemit buxhetor në Republikën e Shqipërisë, të ndryshuar” (referuar në vijim si Ligji Organik i Buxhetit - LOB), në nenin 4/1 sanksionon disa parime dhe rregulla fiskale për mirëmenaxhimin e financave publike në Shqipëri. Ky seksion paraqet zbatueshmërinë e këtyre parimeve dhe rregullave fiskale përgjatë vitit 2021.</w:t>
      </w:r>
    </w:p>
    <w:p w:rsidR="00654365" w:rsidRPr="00476D2E" w:rsidRDefault="00751B54" w:rsidP="00751B54">
      <w:pPr>
        <w:rPr>
          <w:rFonts w:cs="Calibri"/>
          <w:lang w:val="sq-AL"/>
        </w:rPr>
      </w:pPr>
      <w:r w:rsidRPr="005C109B">
        <w:rPr>
          <w:rFonts w:cs="Calibri"/>
          <w:b/>
          <w:i/>
          <w:u w:val="single"/>
          <w:lang w:val="sq-AL"/>
        </w:rPr>
        <w:t>Shënim:</w:t>
      </w:r>
      <w:r w:rsidRPr="005C109B">
        <w:rPr>
          <w:rFonts w:cs="Calibri"/>
          <w:i/>
          <w:lang w:val="sq-AL"/>
        </w:rPr>
        <w:t xml:space="preserve"> Me anë të Aktit Normativ Nr.25, datë 22.06.2021 u miratuan disa ndryshime në LOB, të cilat pezulluan aplikueshmërinë e të gjithë rregullave fiskalë në LOB për vitin fiskal 2021. Megjithatë, pavarësisht kësaj veçorie ligjore për vitin 2021 në lidhje me rregullat fiskalë, në vijim është paraqitur sërish analiza e përvitshme</w:t>
      </w:r>
      <w:r w:rsidR="00654365" w:rsidRPr="00476D2E">
        <w:rPr>
          <w:rFonts w:cs="Calibri"/>
          <w:lang w:val="sq-AL"/>
        </w:rPr>
        <w:t>.</w:t>
      </w:r>
    </w:p>
    <w:p w:rsidR="00EA1E1E" w:rsidRPr="00EA1E1E" w:rsidRDefault="00EA1E1E" w:rsidP="00654365">
      <w:pPr>
        <w:spacing w:after="120"/>
        <w:rPr>
          <w:rFonts w:cs="Calibri"/>
          <w:b/>
          <w:i/>
          <w:sz w:val="4"/>
          <w:szCs w:val="4"/>
          <w:lang w:val="sq-AL"/>
        </w:rPr>
      </w:pPr>
    </w:p>
    <w:p w:rsidR="00654365" w:rsidRPr="00476D2E" w:rsidRDefault="00654365" w:rsidP="00EA1E1E">
      <w:pPr>
        <w:spacing w:after="120"/>
        <w:ind w:firstLine="720"/>
        <w:rPr>
          <w:rFonts w:cs="Calibri"/>
          <w:b/>
          <w:i/>
          <w:lang w:val="sq-AL"/>
        </w:rPr>
      </w:pPr>
      <w:r w:rsidRPr="00476D2E">
        <w:rPr>
          <w:rFonts w:cs="Calibri"/>
          <w:b/>
          <w:i/>
          <w:lang w:val="sq-AL"/>
        </w:rPr>
        <w:t>Përcaktimi ligjor (1):</w:t>
      </w:r>
    </w:p>
    <w:p w:rsidR="00751B54" w:rsidRPr="005C109B" w:rsidRDefault="00751B54" w:rsidP="00751B54">
      <w:pPr>
        <w:spacing w:after="120"/>
        <w:rPr>
          <w:rFonts w:cs="Calibri"/>
          <w:lang w:val="sq-AL"/>
        </w:rPr>
      </w:pPr>
      <w:r w:rsidRPr="005C109B">
        <w:rPr>
          <w:rFonts w:cs="Calibri"/>
          <w:lang w:val="sq-AL"/>
        </w:rPr>
        <w:t>Neni 4/1, pika (1.a) i LOB sanksionon që në çdo ligj vjetor të buxhetit, fillestar apo të rishikuar, si dhe në planifikimet e buxhetit afatmesëm, raporti i borxhit publik ndaj Produktit të Brendshëm Bruto do të planifikohet më i ulët se niveli i vlerësuar për vitin pararendës, deri atëherë kur niveli i borxhit të arrijë dhe qendrojë poshtë nivelit 45 përqind të Produktit të Brendshëm Bruto.</w:t>
      </w:r>
    </w:p>
    <w:p w:rsidR="00751B54" w:rsidRPr="005C109B" w:rsidRDefault="00751B54" w:rsidP="00751B54">
      <w:pPr>
        <w:ind w:firstLine="720"/>
        <w:rPr>
          <w:rFonts w:cs="Calibri"/>
          <w:i/>
          <w:lang w:val="sq-AL"/>
        </w:rPr>
      </w:pPr>
      <w:r w:rsidRPr="005C109B">
        <w:rPr>
          <w:rFonts w:cs="Calibri"/>
          <w:i/>
          <w:lang w:val="sq-AL"/>
        </w:rPr>
        <w:t>Zbatimi i ligjit (1):</w:t>
      </w:r>
    </w:p>
    <w:p w:rsidR="00751B54" w:rsidRPr="005C109B" w:rsidRDefault="00751B54" w:rsidP="00751B54">
      <w:pPr>
        <w:spacing w:before="0"/>
        <w:rPr>
          <w:rFonts w:cs="Calibri"/>
          <w:lang w:val="sq-AL"/>
        </w:rPr>
      </w:pPr>
      <w:r w:rsidRPr="005C109B">
        <w:rPr>
          <w:rFonts w:cs="Calibri"/>
          <w:lang w:val="sq-AL"/>
        </w:rPr>
        <w:t>Ligji fillestar i buxhetit vjetor 2021 (Ligj nr. 137, dt. 16.12.2020) ka qenë në përputhje të plotë me këtë përcaktim ligjor. Më specifikisht, raporti i borxhit ndaj PBB për vitin 2020, i vlerësuar në kohën e hartimit dhe miratimit të ligjit fillestar të buxhetit vjetor 2021, ishte 79.9% e PBB. Ndërsa niveli i borxhit që planifikohej në ligjin fillestar të vitit 2021 ishte 79.2% e PBB, pra më i ulët se sa niveli i vlerësuar për vitin 2020.</w:t>
      </w:r>
    </w:p>
    <w:p w:rsidR="00751B54" w:rsidRPr="005C109B" w:rsidRDefault="00751B54" w:rsidP="00751B54">
      <w:pPr>
        <w:spacing w:after="120"/>
        <w:rPr>
          <w:rFonts w:cs="Calibri"/>
          <w:i/>
          <w:lang w:val="sq-AL"/>
        </w:rPr>
      </w:pPr>
      <w:r w:rsidRPr="005C109B">
        <w:rPr>
          <w:rFonts w:cs="Calibri"/>
          <w:b/>
          <w:bCs/>
          <w:i/>
          <w:u w:val="single"/>
          <w:lang w:val="sq-AL"/>
        </w:rPr>
        <w:t>Shënim</w:t>
      </w:r>
      <w:r w:rsidRPr="005C109B">
        <w:rPr>
          <w:rFonts w:cs="Calibri"/>
          <w:i/>
          <w:lang w:val="sq-AL"/>
        </w:rPr>
        <w:t>:</w:t>
      </w:r>
      <w:r w:rsidRPr="005C109B">
        <w:rPr>
          <w:rFonts w:cs="Calibri"/>
          <w:lang w:val="sq-AL"/>
        </w:rPr>
        <w:t xml:space="preserve"> </w:t>
      </w:r>
      <w:r w:rsidRPr="005C109B">
        <w:rPr>
          <w:rFonts w:cs="Calibri"/>
          <w:i/>
          <w:lang w:val="sq-AL"/>
        </w:rPr>
        <w:t>Niveli i borxhit faktik i rezultuar në fund të 2021 nuk është relevant për sa i përket zbatueshmërisë ligjore të këtij neni/pike të LOB. Ky nen sanksionon vetëm nivelin e planifikuar të borxhit për 2021 dhe jo atë të rezultuar faktikisht në fund të vitit. Niveli faktik i rezultuar në fund të vitit është informues mbi efektshmërinë e LOB sa i takon uljes faktike të borxhit, por nuk është relevant sa i takon zbatueshmërisë/përputhshmërisë me ligjin.</w:t>
      </w:r>
    </w:p>
    <w:p w:rsidR="00654365" w:rsidRPr="00EA1E1E" w:rsidRDefault="00751B54" w:rsidP="00751B54">
      <w:pPr>
        <w:pStyle w:val="ListParagraph"/>
        <w:spacing w:after="120"/>
        <w:ind w:left="0"/>
        <w:contextualSpacing w:val="0"/>
        <w:rPr>
          <w:rFonts w:cs="Calibri"/>
          <w:i/>
          <w:lang w:val="sq-AL"/>
        </w:rPr>
      </w:pPr>
      <w:r w:rsidRPr="005C109B">
        <w:rPr>
          <w:rFonts w:cs="Calibri"/>
          <w:lang w:val="sq-AL"/>
        </w:rPr>
        <w:t xml:space="preserve">Sa i takon vlerësimit të borxhit faktik gjatë vitit 2021 (sipas shifrave të disponueshme deri në momentin e hartimit të këtij raporti) rezulton 73.2% e PBB. Kjo konsiston në një rënie prej rreth 1.3 pikë përqindje të borxhit publik total nga niveli faktik prej 74.5% që ishte në 2020.  Ndёrsa, nёse nё konsideratё do merrej treguesi i borxhit publik total </w:t>
      </w:r>
      <w:r w:rsidRPr="005C109B">
        <w:rPr>
          <w:rFonts w:cs="Calibri"/>
          <w:i/>
          <w:lang w:val="sq-AL"/>
        </w:rPr>
        <w:t>neto</w:t>
      </w:r>
      <w:r w:rsidRPr="005C109B">
        <w:rPr>
          <w:rFonts w:cs="Calibri"/>
          <w:lang w:val="sq-AL"/>
        </w:rPr>
        <w:t xml:space="preserve"> nga gjendja e depozitёs sё qeverisё nё Bankёn e Shqipёrisё (Llogarisё unike tё thesarit), atёherё rënia e borxhit sipas kёtij treguesi (borxhi neto) rezulton me 4.7 pikё pёrqindje, nga 74.0% nё 2020, nё 69.3% nё 2021</w:t>
      </w:r>
      <w:r w:rsidR="00654365" w:rsidRPr="00476D2E">
        <w:rPr>
          <w:rFonts w:cs="Calibri"/>
          <w:lang w:val="sq-AL"/>
        </w:rPr>
        <w:t>.</w:t>
      </w:r>
    </w:p>
    <w:p w:rsidR="00654365" w:rsidRPr="00476D2E" w:rsidRDefault="00654365" w:rsidP="00654365">
      <w:pPr>
        <w:pStyle w:val="ListParagraph"/>
        <w:spacing w:after="120"/>
        <w:ind w:left="0"/>
        <w:rPr>
          <w:rFonts w:cs="Calibri"/>
          <w:i/>
          <w:lang w:val="sq-AL"/>
        </w:rPr>
      </w:pPr>
    </w:p>
    <w:p w:rsidR="00654365" w:rsidRPr="00476D2E" w:rsidRDefault="00654365" w:rsidP="00654365">
      <w:pPr>
        <w:pStyle w:val="ListParagraph"/>
        <w:spacing w:after="120"/>
        <w:ind w:left="0" w:firstLine="720"/>
        <w:contextualSpacing w:val="0"/>
        <w:rPr>
          <w:rFonts w:cs="Calibri"/>
          <w:b/>
          <w:i/>
          <w:lang w:val="sq-AL"/>
        </w:rPr>
      </w:pPr>
      <w:r w:rsidRPr="00476D2E">
        <w:rPr>
          <w:rFonts w:cs="Calibri"/>
          <w:b/>
          <w:i/>
          <w:lang w:val="sq-AL"/>
        </w:rPr>
        <w:t>Përcaktimi ligjor (2):</w:t>
      </w:r>
    </w:p>
    <w:p w:rsidR="00751B54" w:rsidRPr="005C109B" w:rsidRDefault="00751B54" w:rsidP="00751B54">
      <w:pPr>
        <w:spacing w:after="120"/>
        <w:rPr>
          <w:rFonts w:cs="Calibri"/>
          <w:lang w:val="sq-AL"/>
        </w:rPr>
      </w:pPr>
      <w:r w:rsidRPr="005C109B">
        <w:rPr>
          <w:rFonts w:cs="Calibri"/>
          <w:lang w:val="sq-AL"/>
        </w:rPr>
        <w:t>Neni 4/1, pika (1.b) i LOB përcakton që përjashtim nga sanksionet e pikës së mësipërme të këtij neni (pikës ''a'') mund të bëhet vetëm në rastet e rrethanave të jashtëzakonshme, të përcaktuara në nenin 4/4 të këtij LOB.</w:t>
      </w:r>
    </w:p>
    <w:p w:rsidR="00751B54" w:rsidRPr="005C109B" w:rsidRDefault="00751B54" w:rsidP="00751B54">
      <w:pPr>
        <w:ind w:firstLine="720"/>
        <w:contextualSpacing/>
        <w:rPr>
          <w:rFonts w:cs="Calibri"/>
          <w:i/>
          <w:lang w:val="sq-AL"/>
        </w:rPr>
      </w:pPr>
      <w:r w:rsidRPr="005C109B">
        <w:rPr>
          <w:rFonts w:cs="Calibri"/>
          <w:i/>
          <w:lang w:val="sq-AL"/>
        </w:rPr>
        <w:t>Zbatimi i ligjit (2):</w:t>
      </w:r>
    </w:p>
    <w:p w:rsidR="00654365" w:rsidRPr="00476D2E" w:rsidRDefault="00751B54" w:rsidP="00751B54">
      <w:pPr>
        <w:pStyle w:val="ListParagraph"/>
        <w:spacing w:before="0" w:after="120"/>
        <w:ind w:left="0"/>
        <w:contextualSpacing w:val="0"/>
        <w:rPr>
          <w:rFonts w:cs="Calibri"/>
          <w:color w:val="7CCA62" w:themeColor="accent5"/>
          <w:lang w:val="sq-AL"/>
        </w:rPr>
      </w:pPr>
      <w:r w:rsidRPr="005C109B">
        <w:rPr>
          <w:rFonts w:cs="Calibri"/>
          <w:lang w:val="sq-AL"/>
        </w:rPr>
        <w:t>Gjatë vitit 2021 nuk ka qenë rasti i aplikimit të kësaj klauzole përjashtuese</w:t>
      </w:r>
      <w:r w:rsidR="00654365" w:rsidRPr="00476D2E">
        <w:rPr>
          <w:rFonts w:cs="Calibri"/>
          <w:lang w:val="sq-AL"/>
        </w:rPr>
        <w:t>.</w:t>
      </w:r>
      <w:r w:rsidR="00654365" w:rsidRPr="00476D2E">
        <w:rPr>
          <w:rFonts w:cs="Calibri"/>
          <w:color w:val="7CCA62" w:themeColor="accent5"/>
          <w:lang w:val="sq-AL"/>
        </w:rPr>
        <w:t xml:space="preserve"> </w:t>
      </w:r>
    </w:p>
    <w:p w:rsidR="004F1049" w:rsidRDefault="004F1049" w:rsidP="004F1049">
      <w:pPr>
        <w:pStyle w:val="ListParagraph"/>
        <w:spacing w:before="0" w:line="240" w:lineRule="auto"/>
        <w:ind w:left="0"/>
        <w:rPr>
          <w:rFonts w:cs="Calibri"/>
          <w:i/>
          <w:sz w:val="18"/>
          <w:lang w:val="sq-AL"/>
        </w:rPr>
      </w:pPr>
    </w:p>
    <w:p w:rsidR="001A5183" w:rsidRDefault="001A5183" w:rsidP="004F1049">
      <w:pPr>
        <w:pStyle w:val="ListParagraph"/>
        <w:spacing w:before="0" w:line="240" w:lineRule="auto"/>
        <w:ind w:left="0"/>
        <w:rPr>
          <w:rFonts w:cs="Calibri"/>
          <w:i/>
          <w:sz w:val="18"/>
          <w:lang w:val="sq-AL"/>
        </w:rPr>
      </w:pPr>
    </w:p>
    <w:p w:rsidR="00983049" w:rsidRPr="00476D2E" w:rsidRDefault="00983049" w:rsidP="004F1049">
      <w:pPr>
        <w:pStyle w:val="ListParagraph"/>
        <w:spacing w:before="0" w:line="240" w:lineRule="auto"/>
        <w:ind w:left="0"/>
        <w:rPr>
          <w:rFonts w:cs="Calibri"/>
          <w:i/>
          <w:sz w:val="18"/>
          <w:lang w:val="sq-AL"/>
        </w:rPr>
      </w:pPr>
    </w:p>
    <w:p w:rsidR="00654365" w:rsidRPr="00476D2E" w:rsidRDefault="00654365" w:rsidP="00654365">
      <w:pPr>
        <w:pStyle w:val="ListParagraph"/>
        <w:spacing w:after="120"/>
        <w:ind w:left="0" w:firstLine="720"/>
        <w:contextualSpacing w:val="0"/>
        <w:rPr>
          <w:rFonts w:cs="Calibri"/>
          <w:b/>
          <w:i/>
          <w:lang w:val="sq-AL"/>
        </w:rPr>
      </w:pPr>
      <w:r w:rsidRPr="00476D2E">
        <w:rPr>
          <w:rFonts w:cs="Calibri"/>
          <w:b/>
          <w:i/>
          <w:lang w:val="sq-AL"/>
        </w:rPr>
        <w:lastRenderedPageBreak/>
        <w:t>Përcaktimi ligjor (3):</w:t>
      </w:r>
    </w:p>
    <w:p w:rsidR="00751B54" w:rsidRPr="005C109B" w:rsidRDefault="00751B54" w:rsidP="00751B54">
      <w:pPr>
        <w:spacing w:after="120"/>
        <w:rPr>
          <w:rFonts w:cs="Calibri"/>
          <w:color w:val="7CCA62"/>
          <w:lang w:val="sq-AL"/>
        </w:rPr>
      </w:pPr>
      <w:r w:rsidRPr="005C109B">
        <w:rPr>
          <w:rFonts w:cs="Calibri"/>
          <w:lang w:val="sq-AL"/>
        </w:rPr>
        <w:t>Neni 4/1, pika (1.c) i LOB sanksionon që vlera e Produktit të Brendshëm Bruto, nominale në lekë, e cila do të përdoret për llogaritjen e raportit të borxhit publik ndaj Produktit të Brendshëm Bruto për vitet buxhetore që planifikohen dhe për vitin pararendës, nuk mund të jetë më e lartë se vlera respektive e parashikuar ose vlerësuar në raportin “Perspektiva Ekonomike Botërore” (Ëorld Economic Outlook), të Fondit Monetar Ndërkombëtar, më i fundit i publikuar në kohën kur ligji vjetor i buxhetit dorëzohet për miratim në Kuvend. Kjo dokumentohet qartësisht në relacionin shoqërues të ligjit vjetor të buxhetit.</w:t>
      </w:r>
      <w:r w:rsidRPr="005C109B">
        <w:rPr>
          <w:rFonts w:cs="Calibri"/>
          <w:color w:val="7CCA62"/>
          <w:lang w:val="sq-AL"/>
        </w:rPr>
        <w:t xml:space="preserve"> </w:t>
      </w:r>
    </w:p>
    <w:p w:rsidR="00751B54" w:rsidRPr="005C109B" w:rsidRDefault="00751B54" w:rsidP="00751B54">
      <w:pPr>
        <w:ind w:firstLine="720"/>
        <w:rPr>
          <w:rFonts w:cs="Calibri"/>
          <w:i/>
          <w:lang w:val="sq-AL"/>
        </w:rPr>
      </w:pPr>
      <w:r w:rsidRPr="005C109B">
        <w:rPr>
          <w:rFonts w:cs="Calibri"/>
          <w:i/>
          <w:lang w:val="sq-AL"/>
        </w:rPr>
        <w:t>Zbatimi i ligjit (3):</w:t>
      </w:r>
    </w:p>
    <w:p w:rsidR="00751B54" w:rsidRPr="005C109B" w:rsidRDefault="00751B54" w:rsidP="00751B54">
      <w:pPr>
        <w:spacing w:before="0" w:after="120"/>
        <w:rPr>
          <w:rFonts w:cs="Calibri"/>
          <w:lang w:val="sq-AL"/>
        </w:rPr>
      </w:pPr>
      <w:r w:rsidRPr="005C109B">
        <w:rPr>
          <w:rFonts w:cs="Calibri"/>
          <w:lang w:val="sq-AL"/>
        </w:rPr>
        <w:t xml:space="preserve">Çdo ligj vjetor i buxhetit 2021 hartuar dhe miratuar për vitin 2021 (ligj fillestar ose i ndryshuar) ka qenë në përputhje të plotë me përcaktimet ligjore të LOB. </w:t>
      </w:r>
    </w:p>
    <w:p w:rsidR="00751B54" w:rsidRPr="005C109B" w:rsidRDefault="00751B54" w:rsidP="00751B54">
      <w:pPr>
        <w:spacing w:after="120"/>
        <w:rPr>
          <w:rFonts w:cs="Calibri"/>
          <w:i/>
          <w:lang w:val="sq-AL"/>
        </w:rPr>
      </w:pPr>
      <w:r w:rsidRPr="005C109B">
        <w:rPr>
          <w:rFonts w:cs="Calibri"/>
          <w:b/>
          <w:bCs/>
          <w:i/>
          <w:u w:val="single"/>
          <w:lang w:val="sq-AL"/>
        </w:rPr>
        <w:t>Shënim:</w:t>
      </w:r>
      <w:r w:rsidRPr="005C109B">
        <w:rPr>
          <w:rFonts w:cs="Calibri"/>
          <w:i/>
          <w:lang w:val="sq-AL"/>
        </w:rPr>
        <w:t xml:space="preserve"> Në ndryshimin e fundit të ligjit të buxhetit 2021 me anë të AN.34, si vlera referencë të projeksioneve të FMN janë marrë ato të misionit më të fundit të FMN në atë kohë (projeksionet më të rifreskuara dhe relevante) në vend të projeksioneve që gjendeshin në WEO në atë kohë. Sipas shënimit të bërë në WEO më të fundit të publikuar në muajin Tetor 2021, thuhet se “Projeksionet e WEO u përgatitën përpara fillimit të misionit të Artikullit IV që përfundoi më datë 11 Tetor 2021 dhe kështu nuk pasqyrojnë përditësimet e bëra gjatë misionit”. </w:t>
      </w:r>
    </w:p>
    <w:p w:rsidR="00751B54" w:rsidRPr="005C109B" w:rsidRDefault="00751B54" w:rsidP="00751B54">
      <w:pPr>
        <w:spacing w:after="120"/>
        <w:rPr>
          <w:rFonts w:cs="Calibri"/>
          <w:lang w:val="sq-AL"/>
        </w:rPr>
      </w:pPr>
      <w:r w:rsidRPr="005C109B">
        <w:rPr>
          <w:rFonts w:cs="Calibri"/>
          <w:lang w:val="sq-AL"/>
        </w:rPr>
        <w:t xml:space="preserve">Tabela më poshtë paraqet shifrat konkrete në kohën e hartimit dhe miratimit të lligjit fillestar dhe secilit ndryshim pasues përgjatë 2021 dhe përputheshmërinë respektive me këtë përcaktim të LOB. </w:t>
      </w:r>
    </w:p>
    <w:p w:rsidR="00751B54" w:rsidRPr="005C109B" w:rsidRDefault="00751B54" w:rsidP="00751B54">
      <w:pPr>
        <w:spacing w:after="120"/>
        <w:jc w:val="center"/>
        <w:rPr>
          <w:rFonts w:cs="Calibri"/>
          <w:lang w:val="sq-AL"/>
        </w:rPr>
      </w:pPr>
      <w:r w:rsidRPr="005C109B">
        <w:rPr>
          <w:noProof/>
        </w:rPr>
        <w:drawing>
          <wp:inline distT="0" distB="0" distL="0" distR="0" wp14:anchorId="47160B0C" wp14:editId="33B2B815">
            <wp:extent cx="6361044" cy="1388745"/>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65273" cy="1389668"/>
                    </a:xfrm>
                    <a:prstGeom prst="rect">
                      <a:avLst/>
                    </a:prstGeom>
                    <a:noFill/>
                    <a:ln>
                      <a:noFill/>
                    </a:ln>
                  </pic:spPr>
                </pic:pic>
              </a:graphicData>
            </a:graphic>
          </wp:inline>
        </w:drawing>
      </w:r>
    </w:p>
    <w:p w:rsidR="001A5183" w:rsidRPr="00476D2E" w:rsidRDefault="001A5183" w:rsidP="001A5183">
      <w:pPr>
        <w:pStyle w:val="ListParagraph"/>
        <w:spacing w:before="0"/>
        <w:ind w:left="0"/>
        <w:rPr>
          <w:rFonts w:cs="Calibri"/>
          <w:i/>
          <w:sz w:val="18"/>
          <w:lang w:val="sq-AL"/>
        </w:rPr>
      </w:pPr>
      <w:r w:rsidRPr="00476D2E">
        <w:rPr>
          <w:rFonts w:cs="Calibri"/>
          <w:b/>
          <w:i/>
          <w:sz w:val="18"/>
          <w:u w:val="single"/>
          <w:lang w:val="sq-AL"/>
        </w:rPr>
        <w:t>Shënim</w:t>
      </w:r>
      <w:r w:rsidRPr="00476D2E">
        <w:rPr>
          <w:rFonts w:cs="Calibri"/>
          <w:i/>
          <w:sz w:val="18"/>
          <w:lang w:val="sq-AL"/>
        </w:rPr>
        <w:t xml:space="preserve">: </w:t>
      </w:r>
      <w:r w:rsidR="00751B54" w:rsidRPr="005C109B">
        <w:rPr>
          <w:rFonts w:cs="Calibri"/>
          <w:i/>
          <w:sz w:val="18"/>
          <w:lang w:val="sq-AL"/>
        </w:rPr>
        <w:t>Vlerat faktike të PBB të vitit 2021 të vlerësuara dhe publikuara nga INSTAT nuk janë relevante për sa i përket zbatueshmërisë ligjore të këtij neni/pike të LOB. Ky nen/pikë sanksionon vetëm limitin e sipërm sa i takon PBB të parashikuar dhe përdorur gjatë planifikimeve të çdo ligji vjetor buxheti (pra, jo më i lartë se sa parashikmi respektiv i FMN). Ndërkohë që PBB faktike (pra, sipas INSTAT) e rezultuar në fund të vitit është informuese sa i takon efektshmërisë së LOB lidhur me ''realizmin'' e parashikimeve të PBB, dhe veçanërisht elemiminin e devijimeve ''optimiste'' sistematike (të përsëritura disa vite rresht)</w:t>
      </w:r>
      <w:r w:rsidRPr="00476D2E">
        <w:rPr>
          <w:rFonts w:cs="Calibri"/>
          <w:i/>
          <w:sz w:val="18"/>
          <w:lang w:val="sq-AL"/>
        </w:rPr>
        <w:t xml:space="preserve">. </w:t>
      </w:r>
    </w:p>
    <w:p w:rsidR="00654365" w:rsidRPr="00370140" w:rsidRDefault="00654365" w:rsidP="00654365">
      <w:pPr>
        <w:pStyle w:val="ListParagraph"/>
        <w:spacing w:after="120"/>
        <w:ind w:left="0"/>
        <w:rPr>
          <w:rFonts w:cs="Calibri"/>
          <w:sz w:val="8"/>
          <w:lang w:val="sq-AL"/>
        </w:rPr>
      </w:pPr>
    </w:p>
    <w:p w:rsidR="00370140" w:rsidRPr="00476D2E" w:rsidRDefault="00370140" w:rsidP="00654365">
      <w:pPr>
        <w:pStyle w:val="ListParagraph"/>
        <w:spacing w:after="120"/>
        <w:ind w:left="0"/>
        <w:rPr>
          <w:rFonts w:cs="Calibri"/>
          <w:lang w:val="sq-AL"/>
        </w:rPr>
      </w:pPr>
    </w:p>
    <w:p w:rsidR="00654365" w:rsidRPr="00476D2E" w:rsidRDefault="00654365" w:rsidP="00654365">
      <w:pPr>
        <w:pStyle w:val="ListParagraph"/>
        <w:ind w:left="0" w:firstLine="720"/>
        <w:contextualSpacing w:val="0"/>
        <w:rPr>
          <w:rFonts w:cs="Calibri"/>
          <w:b/>
          <w:i/>
          <w:lang w:val="sq-AL"/>
        </w:rPr>
      </w:pPr>
      <w:r w:rsidRPr="00476D2E">
        <w:rPr>
          <w:rFonts w:cs="Calibri"/>
          <w:b/>
          <w:i/>
          <w:lang w:val="sq-AL"/>
        </w:rPr>
        <w:t>Përcaktimi ligjor (4):</w:t>
      </w:r>
    </w:p>
    <w:p w:rsidR="00751B54" w:rsidRPr="005C109B" w:rsidRDefault="00751B54" w:rsidP="00751B54">
      <w:pPr>
        <w:spacing w:after="120"/>
        <w:rPr>
          <w:rFonts w:cs="Calibri"/>
          <w:lang w:val="sq-AL"/>
        </w:rPr>
      </w:pPr>
      <w:r w:rsidRPr="005C109B">
        <w:rPr>
          <w:rFonts w:cs="Calibri"/>
          <w:lang w:val="sq-AL"/>
        </w:rPr>
        <w:t>Neni 4/1, pika (1.ç) i LOB sanksionon që në çdo vit buxhetor të planifikuar duhet të përfshihet një kontingjencë e veçantë, prej jo më pak se 0.7 përqind e shpenzimeve totale të buxhetit, për të kompensuar rreziqe potenciale nga luhatjet në kurset e këmbimit ose normat e interesit, me ndikim në nivelin e borxhit.</w:t>
      </w:r>
    </w:p>
    <w:p w:rsidR="00751B54" w:rsidRPr="005C109B" w:rsidRDefault="00751B54" w:rsidP="00751B54">
      <w:pPr>
        <w:ind w:firstLine="720"/>
        <w:rPr>
          <w:rFonts w:cs="Calibri"/>
          <w:i/>
          <w:lang w:val="sq-AL"/>
        </w:rPr>
      </w:pPr>
      <w:r w:rsidRPr="005C109B">
        <w:rPr>
          <w:rFonts w:cs="Calibri"/>
          <w:i/>
          <w:lang w:val="sq-AL"/>
        </w:rPr>
        <w:t>Zbatimi i ligjit (4):</w:t>
      </w:r>
    </w:p>
    <w:p w:rsidR="00983049" w:rsidRPr="00476D2E" w:rsidRDefault="00751B54" w:rsidP="00751B54">
      <w:pPr>
        <w:spacing w:before="0" w:after="120"/>
        <w:rPr>
          <w:rFonts w:cs="Calibri"/>
          <w:lang w:val="sq-AL"/>
        </w:rPr>
      </w:pPr>
      <w:r w:rsidRPr="005C109B">
        <w:rPr>
          <w:rFonts w:cs="Calibri"/>
          <w:lang w:val="sq-AL"/>
        </w:rPr>
        <w:t>Çdo ligj vjetor i buxhetit hartuar dhe miratuar për vitin 2021 (ligj fillestar ose i ndryshuar) ka qenë në përputhje të plotë me k</w:t>
      </w:r>
      <w:r>
        <w:rPr>
          <w:rFonts w:cs="Calibri"/>
          <w:lang w:val="sq-AL"/>
        </w:rPr>
        <w:t>ëtë përcaktim ligjor. Tabela më</w:t>
      </w:r>
      <w:r w:rsidRPr="005C109B">
        <w:rPr>
          <w:rFonts w:cs="Calibri"/>
          <w:lang w:val="sq-AL"/>
        </w:rPr>
        <w:t xml:space="preserve">poshtë paraqet shifrat konkrete në kohën e hartimit e miratimit të ligjit fillestar dhe secilit ndryshim pasues përgjatë 2021 dhe përputhshmërinë respektive me këtë përcaktim të LOB. </w:t>
      </w:r>
    </w:p>
    <w:p w:rsidR="00983049" w:rsidRDefault="00751B54" w:rsidP="00751B54">
      <w:pPr>
        <w:pStyle w:val="ListParagraph"/>
        <w:spacing w:before="0" w:after="120" w:line="240" w:lineRule="auto"/>
        <w:ind w:left="0"/>
        <w:contextualSpacing w:val="0"/>
        <w:jc w:val="center"/>
        <w:rPr>
          <w:rFonts w:cs="Calibri"/>
          <w:lang w:val="sq-AL"/>
        </w:rPr>
      </w:pPr>
      <w:r w:rsidRPr="005C109B">
        <w:rPr>
          <w:noProof/>
        </w:rPr>
        <w:lastRenderedPageBreak/>
        <w:drawing>
          <wp:inline distT="0" distB="0" distL="0" distR="0" wp14:anchorId="39A5CC0C" wp14:editId="2891B011">
            <wp:extent cx="6336665" cy="1021080"/>
            <wp:effectExtent l="0" t="0" r="698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44331" cy="1022315"/>
                    </a:xfrm>
                    <a:prstGeom prst="rect">
                      <a:avLst/>
                    </a:prstGeom>
                    <a:noFill/>
                    <a:ln>
                      <a:noFill/>
                    </a:ln>
                  </pic:spPr>
                </pic:pic>
              </a:graphicData>
            </a:graphic>
          </wp:inline>
        </w:drawing>
      </w:r>
    </w:p>
    <w:p w:rsidR="00654365" w:rsidRDefault="00654365" w:rsidP="00654365">
      <w:pPr>
        <w:pStyle w:val="ListParagraph"/>
        <w:spacing w:after="120"/>
        <w:ind w:left="0"/>
        <w:rPr>
          <w:rFonts w:cs="Calibri"/>
          <w:i/>
          <w:lang w:val="sq-AL"/>
        </w:rPr>
      </w:pPr>
      <w:r w:rsidRPr="00476D2E">
        <w:rPr>
          <w:rFonts w:cs="Calibri"/>
          <w:i/>
          <w:lang w:val="sq-AL"/>
        </w:rPr>
        <w:t xml:space="preserve"> </w:t>
      </w:r>
    </w:p>
    <w:p w:rsidR="00751B54" w:rsidRPr="00476D2E" w:rsidRDefault="00751B54" w:rsidP="00654365">
      <w:pPr>
        <w:pStyle w:val="ListParagraph"/>
        <w:spacing w:after="120"/>
        <w:ind w:left="0"/>
        <w:rPr>
          <w:rFonts w:cs="Calibri"/>
          <w:i/>
          <w:lang w:val="sq-AL"/>
        </w:rPr>
      </w:pPr>
    </w:p>
    <w:p w:rsidR="00654365" w:rsidRPr="00476D2E" w:rsidRDefault="00654365" w:rsidP="00654365">
      <w:pPr>
        <w:pStyle w:val="ListParagraph"/>
        <w:spacing w:after="120"/>
        <w:ind w:left="0" w:firstLine="720"/>
        <w:contextualSpacing w:val="0"/>
        <w:rPr>
          <w:rFonts w:cs="Calibri"/>
          <w:b/>
          <w:i/>
          <w:lang w:val="sq-AL"/>
        </w:rPr>
      </w:pPr>
      <w:r w:rsidRPr="00476D2E">
        <w:rPr>
          <w:rFonts w:cs="Calibri"/>
          <w:b/>
          <w:i/>
          <w:lang w:val="sq-AL"/>
        </w:rPr>
        <w:t>Përcaktimi ligjor (5):</w:t>
      </w:r>
    </w:p>
    <w:p w:rsidR="00751B54" w:rsidRPr="005C109B" w:rsidRDefault="00751B54" w:rsidP="00751B54">
      <w:pPr>
        <w:contextualSpacing/>
        <w:rPr>
          <w:rFonts w:cs="Calibri"/>
          <w:lang w:val="sq-AL"/>
        </w:rPr>
      </w:pPr>
      <w:r w:rsidRPr="005C109B">
        <w:rPr>
          <w:rFonts w:cs="Calibri"/>
          <w:lang w:val="sq-AL"/>
        </w:rPr>
        <w:t>Neni 4/1, pika (1.d) i LOB sanksionon që në çdo ligj vjetor fillestar të buxhetit, si dhe në planifikimet e buxhetit afatmesëm, kur rritja reale e Produktit të Brendshëm Bruto, e parashikuar në raportin respektiv “Perspektiva Ekonomike Botërore”, të FMN-së, është të paktën 5 përqind, atëherë deficiti i përgjithshëm nuk mund të jetë më i lartë se 2 përqind e Produktit të Brendshëm Bruto, përveç rasteve të rrethanave të jashtëzakonshme, të përcaktuara në shkronjat “a”, “b” dhe “c”, të nenit 4/4, të këtij ligji.</w:t>
      </w:r>
    </w:p>
    <w:p w:rsidR="00751B54" w:rsidRPr="005C109B" w:rsidRDefault="00751B54" w:rsidP="00751B54">
      <w:pPr>
        <w:ind w:firstLine="720"/>
        <w:rPr>
          <w:rFonts w:cs="Calibri"/>
          <w:i/>
          <w:lang w:val="sq-AL"/>
        </w:rPr>
      </w:pPr>
      <w:r w:rsidRPr="005C109B">
        <w:rPr>
          <w:rFonts w:cs="Calibri"/>
          <w:i/>
          <w:lang w:val="sq-AL"/>
        </w:rPr>
        <w:t>Zbatimi i ligjit (5):</w:t>
      </w:r>
    </w:p>
    <w:p w:rsidR="00751B54" w:rsidRPr="005C109B" w:rsidRDefault="00751B54" w:rsidP="00751B54">
      <w:pPr>
        <w:spacing w:after="120"/>
        <w:contextualSpacing/>
        <w:rPr>
          <w:rFonts w:cs="Calibri"/>
          <w:i/>
          <w:sz w:val="20"/>
          <w:lang w:val="sq-AL"/>
        </w:rPr>
      </w:pPr>
      <w:r w:rsidRPr="005C109B">
        <w:rPr>
          <w:rFonts w:cs="Calibri"/>
          <w:lang w:val="sq-AL"/>
        </w:rPr>
        <w:t>Rritja ekonomike për vitin 2021 e parashikuar nga FMN në raportet respektive “Perspektiva Ekonomike Botërore” është të paktën 5% në të gjitha raportet.  Në rastin e ligjit fillestar  të buxhetit 2021 (ligj nr. 137, dt. 16.12.2020) gjejnë zbatueshmëri  klauzolat përjashtuese të rrethanave të jashtëzakonshme, të përcaktuara në shkronjat “a”, “b” dhe “c”, të nenit 4/4, të LOB</w:t>
      </w:r>
      <w:r w:rsidRPr="005C109B">
        <w:rPr>
          <w:rFonts w:cs="Calibri"/>
          <w:i/>
          <w:sz w:val="20"/>
          <w:lang w:val="sq-AL"/>
        </w:rPr>
        <w:t>.</w:t>
      </w:r>
    </w:p>
    <w:p w:rsidR="00751B54" w:rsidRPr="005C109B" w:rsidRDefault="00751B54" w:rsidP="00751B54">
      <w:pPr>
        <w:jc w:val="center"/>
        <w:rPr>
          <w:lang w:val="sq-AL"/>
        </w:rPr>
      </w:pPr>
      <w:r w:rsidRPr="005C109B">
        <w:rPr>
          <w:noProof/>
        </w:rPr>
        <w:drawing>
          <wp:inline distT="0" distB="0" distL="0" distR="0" wp14:anchorId="6581CDB3" wp14:editId="3FBD2798">
            <wp:extent cx="6254750" cy="1075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58009" cy="1075615"/>
                    </a:xfrm>
                    <a:prstGeom prst="rect">
                      <a:avLst/>
                    </a:prstGeom>
                    <a:noFill/>
                    <a:ln>
                      <a:noFill/>
                    </a:ln>
                  </pic:spPr>
                </pic:pic>
              </a:graphicData>
            </a:graphic>
          </wp:inline>
        </w:drawing>
      </w:r>
    </w:p>
    <w:p w:rsidR="00751B54" w:rsidRPr="005C109B" w:rsidRDefault="00751B54" w:rsidP="00751B54">
      <w:pPr>
        <w:spacing w:line="240" w:lineRule="auto"/>
        <w:contextualSpacing/>
        <w:rPr>
          <w:rFonts w:cs="Calibri"/>
          <w:b/>
          <w:i/>
          <w:sz w:val="8"/>
          <w:u w:val="single"/>
          <w:lang w:val="sq-AL"/>
        </w:rPr>
      </w:pPr>
    </w:p>
    <w:p w:rsidR="00751B54" w:rsidRPr="005C109B" w:rsidRDefault="00751B54" w:rsidP="00751B54">
      <w:pPr>
        <w:contextualSpacing/>
        <w:rPr>
          <w:rFonts w:cs="Calibri"/>
          <w:i/>
          <w:sz w:val="18"/>
          <w:lang w:val="sq-AL"/>
        </w:rPr>
      </w:pPr>
      <w:r w:rsidRPr="005C109B">
        <w:rPr>
          <w:rFonts w:cs="Calibri"/>
          <w:b/>
          <w:i/>
          <w:sz w:val="18"/>
          <w:u w:val="single"/>
          <w:lang w:val="sq-AL"/>
        </w:rPr>
        <w:t>Shënim:</w:t>
      </w:r>
      <w:r w:rsidRPr="005C109B">
        <w:rPr>
          <w:rFonts w:cs="Calibri"/>
          <w:i/>
          <w:sz w:val="18"/>
          <w:lang w:val="sq-AL"/>
        </w:rPr>
        <w:t xml:space="preserve"> Kjo pikë ka si synim të ankorojë në mënyrë kundra-ciklike politikën fiskale. Pra, nëse ekonomia parashikohet të rritet ''përtej potencialit të natyrshëm'' të saj, që në rastin konkret ky prag është kuantifikuar në LOB si ''rritja reale e parashikuar nga FMN të paktën 5%'', atëherë në këtë rast kjo pikë ankoron politikën fiskale drejt një konsolidimi më të lartë në terma të borxhit publik, duke vendosur një limit direkt mbi deficitin e targetuar në jo më shumë se 2% e PBB. P.sh., një rast hipotetik, ilustrues, nëse do të ndodhte që në një vit të caktuar rritja reale do të ishte 5% dhe nëse deficiti do të ankorohej sipas kësaj pike 2% (maksimumi i lejueshëm në këtë rast), duke supozuar një normë inflacioni (deflator) 3% dhe variablat e tjerë të pandryshuar, atëherë borxhi publik përgjatë vetëm atij viti do të reduktohej me rreth 4 pikë përqindje. Ndërkohë pika (ç) në nenin 4/4 përcakton rastin e kundërt të pikës më sipër, pra përcakton një opsion manovrimi ekspansionist të politikës fiskale për të ndikuar në stabilizimin e ciklit të ekonomisë nëse do të ndodhte një rast ku ekonomia të gjendej ''në një pikë tejet të dobët të saj'', e cila është kuantifikuar në LOB si ''rritje reale e parashikuar nga FMN në 1% ose më e ulët''. Por në këtë rast, që të mund të përdoret ky opsion lehtësues për stabilizim kundra-ciklik duhet që gjithashtu të jetë siguruar një farë niveli relativisht i qëndrueshëm i borxhit publik, i cili në këtë pikë të LOB kuantifikohet si niveli poshtë 60% të PBB.  </w:t>
      </w:r>
    </w:p>
    <w:p w:rsidR="00654365" w:rsidRPr="00476D2E" w:rsidRDefault="00654365" w:rsidP="00654365">
      <w:pPr>
        <w:pStyle w:val="ListParagraph"/>
        <w:spacing w:after="120"/>
        <w:ind w:left="0"/>
        <w:rPr>
          <w:rFonts w:cs="Calibri"/>
          <w:i/>
          <w:lang w:val="sq-AL"/>
        </w:rPr>
      </w:pPr>
    </w:p>
    <w:p w:rsidR="00654365" w:rsidRPr="00476D2E" w:rsidRDefault="00654365" w:rsidP="00654365">
      <w:pPr>
        <w:pStyle w:val="ListParagraph"/>
        <w:spacing w:after="120"/>
        <w:ind w:left="0" w:firstLine="720"/>
        <w:rPr>
          <w:rFonts w:cs="Calibri"/>
          <w:b/>
          <w:i/>
          <w:lang w:val="sq-AL"/>
        </w:rPr>
      </w:pPr>
      <w:r w:rsidRPr="00476D2E">
        <w:rPr>
          <w:rFonts w:cs="Calibri"/>
          <w:b/>
          <w:i/>
          <w:lang w:val="sq-AL"/>
        </w:rPr>
        <w:t>Përcaktimi ligjor (6):</w:t>
      </w:r>
    </w:p>
    <w:p w:rsidR="00654365" w:rsidRDefault="00751B54" w:rsidP="00654365">
      <w:pPr>
        <w:rPr>
          <w:rFonts w:cs="Calibri"/>
          <w:lang w:val="sq-AL"/>
        </w:rPr>
      </w:pPr>
      <w:r w:rsidRPr="005C109B">
        <w:rPr>
          <w:rFonts w:cs="Calibri"/>
          <w:lang w:val="sq-AL"/>
        </w:rPr>
        <w:t>Neni 4/1, pika (1.dh) i LOB sanksionon që në  fazat monitoruese të buxheteve faktike, nëse për shkak të rishikimeve të mundshme të PBB-së nominale ose për shkak të ndryshimeve në kurset e këmbimit, që përdoren për vlerësimin e stokut faktik të borxhit publik, rezulton se raporti i borxhit publik ndaj PBB-së nuk është më i ulët, kundrejt nivelit të vitit pararendës, atëherë, si rregull këto devijime duhet të kompensohen në planifikimet e viteve buxhetore pasuese</w:t>
      </w:r>
      <w:r w:rsidR="00654365" w:rsidRPr="00476D2E">
        <w:rPr>
          <w:rFonts w:cs="Calibri"/>
          <w:lang w:val="sq-AL"/>
        </w:rPr>
        <w:t>.</w:t>
      </w:r>
    </w:p>
    <w:p w:rsidR="00AB7A9F" w:rsidRPr="00476D2E" w:rsidRDefault="00AB7A9F" w:rsidP="00654365">
      <w:pPr>
        <w:rPr>
          <w:rFonts w:cs="Calibri"/>
          <w:lang w:val="sq-AL"/>
        </w:rPr>
      </w:pPr>
    </w:p>
    <w:p w:rsidR="00654365" w:rsidRPr="00476D2E" w:rsidRDefault="00654365" w:rsidP="00370140">
      <w:pPr>
        <w:pStyle w:val="ListParagraph"/>
        <w:ind w:left="0" w:firstLine="720"/>
        <w:contextualSpacing w:val="0"/>
        <w:rPr>
          <w:rFonts w:cs="Calibri"/>
          <w:i/>
          <w:lang w:val="sq-AL"/>
        </w:rPr>
      </w:pPr>
      <w:r w:rsidRPr="00476D2E">
        <w:rPr>
          <w:rFonts w:cs="Calibri"/>
          <w:i/>
          <w:lang w:val="sq-AL"/>
        </w:rPr>
        <w:lastRenderedPageBreak/>
        <w:t>Zbatimi i ligjit (6):</w:t>
      </w:r>
    </w:p>
    <w:p w:rsidR="00751B54" w:rsidRPr="005C109B" w:rsidRDefault="00751B54" w:rsidP="00751B54">
      <w:pPr>
        <w:spacing w:before="0" w:after="120"/>
        <w:rPr>
          <w:rFonts w:cs="Calibri"/>
          <w:lang w:val="sq-AL"/>
        </w:rPr>
      </w:pPr>
      <w:r w:rsidRPr="005C109B">
        <w:rPr>
          <w:rFonts w:cs="Calibri"/>
          <w:lang w:val="sq-AL"/>
        </w:rPr>
        <w:t>Në fund të vitit 2021 niveli i borxhit faktik ka rezultuar më i ulët se niveli që shënonte në vitin 2020, specifikisht (deri në këtë moment të pёrgatitjes së këtij raporti) borxhi në vitin 2020 shënonte 74.5% ndërsa në fund të 2021 shënon 73.2%. Rrjedhimisht, kjo pikë nuk është relevante  për sa i takon planifikimive në buxhetet pasuese.</w:t>
      </w:r>
    </w:p>
    <w:p w:rsidR="00370140" w:rsidRDefault="00751B54" w:rsidP="00751B54">
      <w:pPr>
        <w:spacing w:after="120"/>
        <w:contextualSpacing/>
        <w:rPr>
          <w:rFonts w:cs="Calibri"/>
          <w:i/>
          <w:sz w:val="20"/>
          <w:lang w:val="sq-AL"/>
        </w:rPr>
      </w:pPr>
      <w:r w:rsidRPr="005C109B">
        <w:rPr>
          <w:rFonts w:cs="Calibri"/>
          <w:b/>
          <w:i/>
          <w:sz w:val="20"/>
          <w:u w:val="single"/>
          <w:lang w:val="sq-AL"/>
        </w:rPr>
        <w:t>Shënim:</w:t>
      </w:r>
      <w:r w:rsidRPr="005C109B">
        <w:rPr>
          <w:rFonts w:cs="Calibri"/>
          <w:i/>
          <w:sz w:val="20"/>
          <w:lang w:val="sq-AL"/>
        </w:rPr>
        <w:t xml:space="preserve"> Kjo pikë nuk është relevante sa i takon përputhshmërisë me LOB për vitin që analizohet aktualisht, konkretisht viti 2021, por ajo ka implikime që duhen adresuar në ligjet e buxheteve të viteve të tjera në vijim nëse ndodh rasti që parashikohet në këtë pikë të LOB</w:t>
      </w:r>
      <w:r w:rsidR="00370140" w:rsidRPr="007C404B">
        <w:rPr>
          <w:rFonts w:cs="Calibri"/>
          <w:i/>
          <w:sz w:val="20"/>
          <w:lang w:val="sq-AL"/>
        </w:rPr>
        <w:t>.</w:t>
      </w:r>
    </w:p>
    <w:p w:rsidR="00772BF0" w:rsidRPr="00476D2E" w:rsidRDefault="00772BF0" w:rsidP="00772BF0">
      <w:pPr>
        <w:pStyle w:val="ListParagraph"/>
        <w:spacing w:before="0" w:line="240" w:lineRule="auto"/>
        <w:ind w:left="0"/>
        <w:contextualSpacing w:val="0"/>
        <w:rPr>
          <w:rFonts w:cs="Calibri"/>
          <w:lang w:val="sq-AL"/>
        </w:rPr>
      </w:pPr>
    </w:p>
    <w:p w:rsidR="00654365" w:rsidRPr="00476D2E" w:rsidRDefault="00654365" w:rsidP="00772BF0">
      <w:pPr>
        <w:pStyle w:val="ListParagraph"/>
        <w:spacing w:before="0" w:after="120"/>
        <w:ind w:left="0" w:firstLine="720"/>
        <w:contextualSpacing w:val="0"/>
        <w:rPr>
          <w:rFonts w:cs="Calibri"/>
          <w:b/>
          <w:i/>
          <w:lang w:val="sq-AL"/>
        </w:rPr>
      </w:pPr>
      <w:r w:rsidRPr="00476D2E">
        <w:rPr>
          <w:rFonts w:cs="Calibri"/>
          <w:b/>
          <w:i/>
          <w:lang w:val="sq-AL"/>
        </w:rPr>
        <w:t>Përcaktimi ligjor (7):</w:t>
      </w:r>
    </w:p>
    <w:p w:rsidR="00751B54" w:rsidRPr="005C109B" w:rsidRDefault="00751B54" w:rsidP="00751B54">
      <w:pPr>
        <w:spacing w:after="120"/>
        <w:rPr>
          <w:rFonts w:cs="Calibri"/>
          <w:lang w:val="sq-AL"/>
        </w:rPr>
      </w:pPr>
      <w:r w:rsidRPr="005C109B">
        <w:rPr>
          <w:rFonts w:cs="Calibri"/>
          <w:lang w:val="sq-AL"/>
        </w:rPr>
        <w:t>Neni 4/1, pika (2) i LOB sanksionon që të ardhurat nga privatizimi nuk janë pjesë e procesit të programimit buxhetor. Në rastet e arkëtimit ato përdoren, jo më pak se 50 përqind, për uljen e borxhit publik dhe pjesa tjetër për investime publike. Pas arritjes së nivelit të borxhit publik, sipas përcaktimeve të shkronjës “a”, të pikës 1, të këtij neni, përdorimi i të ardhurave të arkëtuara nga privatizimet përcaktohet në ligjin vjetor të buxhetit.</w:t>
      </w:r>
    </w:p>
    <w:p w:rsidR="00751B54" w:rsidRPr="005C109B" w:rsidRDefault="00751B54" w:rsidP="00751B54">
      <w:pPr>
        <w:ind w:left="720"/>
        <w:contextualSpacing/>
        <w:rPr>
          <w:rFonts w:cs="Calibri"/>
          <w:lang w:val="sq-AL"/>
        </w:rPr>
      </w:pPr>
      <w:r w:rsidRPr="005C109B">
        <w:rPr>
          <w:rFonts w:cs="Calibri"/>
          <w:lang w:val="sq-AL"/>
        </w:rPr>
        <w:t>Zbatimi i ligjit (7):</w:t>
      </w:r>
    </w:p>
    <w:p w:rsidR="00654365" w:rsidRPr="00476D2E" w:rsidRDefault="00751B54" w:rsidP="00751B54">
      <w:pPr>
        <w:pStyle w:val="ListParagraph"/>
        <w:spacing w:before="0" w:after="120"/>
        <w:ind w:left="0"/>
        <w:rPr>
          <w:rFonts w:eastAsiaTheme="minorHAnsi" w:cs="Calibri"/>
          <w:lang w:val="sq-AL"/>
        </w:rPr>
      </w:pPr>
      <w:r w:rsidRPr="005C109B">
        <w:rPr>
          <w:rFonts w:cs="Calibri"/>
          <w:lang w:val="sq-AL"/>
        </w:rPr>
        <w:t>Çdo ligj vjetor i buxhetit hartuar dhe miratuar për vitin 2021 ka qenë në përputhje të plotë me këtë përcaktim ligjor. Së pari, në asnjë ligj vjetor të buxhetit 2021 nuk janë parashikuar të ardhura shtesë nga privatizimet. Së dyti, të ardhurat nga privatizimet të realizuara gjatë vitit 2021 kanë qenë në vlerën e rreth 0.3 miliardë Lekë, e cila është një vlerë marxhinale, pa rëndësi relative, krahasuar me ndryshimet e pësuara përgjatë vitit (në ndryshimet ligjore, si dhe rezultatet faktike) të zërit të shpenzimeve kapitale totale, si dhe atij të huamarrjes totale neto. Pra, pjesa e dytë e kësaj pike (lidhur me përdorimin e këtyre të hyrave në rast arkëtimi) nuk gjen aplikim (nuk është relevante) në këtë rast</w:t>
      </w:r>
      <w:r w:rsidR="00654365" w:rsidRPr="00476D2E">
        <w:rPr>
          <w:rFonts w:cs="Calibri"/>
          <w:lang w:val="sq-AL"/>
        </w:rPr>
        <w:t>.</w:t>
      </w:r>
    </w:p>
    <w:p w:rsidR="00FD5B8E" w:rsidRPr="00476D2E" w:rsidRDefault="00FD5B8E" w:rsidP="00654365">
      <w:pPr>
        <w:pStyle w:val="ListParagraph"/>
        <w:spacing w:after="120"/>
        <w:ind w:left="0"/>
        <w:rPr>
          <w:rFonts w:eastAsiaTheme="minorHAnsi" w:cs="Calibri"/>
          <w:lang w:val="sq-AL"/>
        </w:rPr>
      </w:pPr>
    </w:p>
    <w:p w:rsidR="00654365" w:rsidRPr="00476D2E" w:rsidRDefault="00654365" w:rsidP="00654365">
      <w:pPr>
        <w:pStyle w:val="ListParagraph"/>
        <w:spacing w:after="120"/>
        <w:ind w:left="0" w:firstLine="720"/>
        <w:contextualSpacing w:val="0"/>
        <w:rPr>
          <w:rFonts w:cs="Calibri"/>
          <w:b/>
          <w:i/>
          <w:lang w:val="sq-AL"/>
        </w:rPr>
      </w:pPr>
      <w:r w:rsidRPr="00476D2E">
        <w:rPr>
          <w:rFonts w:cs="Calibri"/>
          <w:b/>
          <w:i/>
          <w:lang w:val="sq-AL"/>
        </w:rPr>
        <w:t>Përcaktimi ligjor (8):</w:t>
      </w:r>
    </w:p>
    <w:p w:rsidR="00751B54" w:rsidRPr="005C109B" w:rsidRDefault="00751B54" w:rsidP="00751B54">
      <w:pPr>
        <w:spacing w:after="120"/>
        <w:rPr>
          <w:rFonts w:cs="Calibri"/>
          <w:lang w:val="sq-AL"/>
        </w:rPr>
      </w:pPr>
      <w:r w:rsidRPr="005C109B">
        <w:rPr>
          <w:rFonts w:cs="Calibri"/>
          <w:lang w:val="sq-AL"/>
        </w:rPr>
        <w:t xml:space="preserve">Neni 4/1, pika (3) i LOB sanksionon që ndryshimet e ligjeve tatimore, me efekte në të ardhurat buxhetore, bëhen një herë në vit, jo më vonë se tre muaj përpara fillimit të vitit të ri fiskal. Ligjet tatimore konsultohen paraprakisht me përfaqësuesit e biznesit dhe grupe të tjera interesi, në strukturat e ngritura për këtë qëllim. </w:t>
      </w:r>
    </w:p>
    <w:p w:rsidR="00751B54" w:rsidRPr="005C109B" w:rsidRDefault="00751B54" w:rsidP="00751B54">
      <w:pPr>
        <w:ind w:firstLine="720"/>
        <w:rPr>
          <w:rFonts w:cs="Calibri"/>
          <w:i/>
          <w:lang w:val="sq-AL"/>
        </w:rPr>
      </w:pPr>
      <w:r w:rsidRPr="005C109B">
        <w:rPr>
          <w:rFonts w:cs="Calibri"/>
          <w:i/>
          <w:lang w:val="sq-AL"/>
        </w:rPr>
        <w:t>Zbatimi i ligjit (8):</w:t>
      </w:r>
    </w:p>
    <w:p w:rsidR="00654365" w:rsidRPr="00476D2E" w:rsidRDefault="00751B54" w:rsidP="00751B54">
      <w:pPr>
        <w:pStyle w:val="ListParagraph"/>
        <w:spacing w:before="0" w:after="120"/>
        <w:ind w:left="0"/>
        <w:contextualSpacing w:val="0"/>
        <w:rPr>
          <w:rFonts w:cs="Calibri"/>
          <w:lang w:val="sq-AL"/>
        </w:rPr>
      </w:pPr>
      <w:r w:rsidRPr="005C109B">
        <w:rPr>
          <w:rFonts w:cs="Calibri"/>
          <w:lang w:val="sq-AL"/>
        </w:rPr>
        <w:t>Amendimet kryesore të ligjeve tatimore me efekt nё tё ardhurat e buxhetit pёr vitin 2021, kanё nisur nё fillim tё 4-mujorit tё dytё të vitit 2020. Ndryshimet kryesore ligjore për TVSH-në, për tatimin mbi të ardhurat dhe për taksat kombëtare i janë ёshtё nёnshtruar diskutimit dhe marrjes sё mendimeve nga Ministritё e linjёs, si dhe nga organizatat  pёrfaqёsuese dhe grupet e interesuara tё biznesit, duke reflektuar kёrkesat dhe sugjerimet e tyre. Këto ndryshime janë miratuar nё mbledhjen e Kёshillit tё Ministrave dhe me pas nga Kuvendi nё muajin Korrik 2020, me efekte që fillojnë nga viti 2021. Efektet e ndryshimeve fiskale pёrgjithёsisht janё marrё nё konsideratё nё planifikimin e tё ardhurave tatimore tё buxhetit 2021, buxhet i cili u miratua pas miratimit tё ndryshimeve ligjore të legjislacionit fiskal</w:t>
      </w:r>
      <w:r w:rsidR="00654365" w:rsidRPr="00476D2E">
        <w:rPr>
          <w:rFonts w:cs="Calibri"/>
          <w:lang w:val="sq-AL"/>
        </w:rPr>
        <w:t xml:space="preserve">. </w:t>
      </w:r>
    </w:p>
    <w:p w:rsidR="00654365" w:rsidRPr="00476D2E" w:rsidRDefault="00654365" w:rsidP="00654365">
      <w:pPr>
        <w:pStyle w:val="ListParagraph"/>
        <w:spacing w:after="120"/>
        <w:ind w:left="0"/>
        <w:contextualSpacing w:val="0"/>
        <w:rPr>
          <w:rFonts w:cs="Calibri"/>
          <w:i/>
          <w:sz w:val="8"/>
          <w:lang w:val="sq-AL"/>
        </w:rPr>
      </w:pPr>
    </w:p>
    <w:p w:rsidR="00654365" w:rsidRPr="00476D2E" w:rsidRDefault="00654365" w:rsidP="00654365">
      <w:pPr>
        <w:spacing w:after="120"/>
        <w:ind w:firstLine="720"/>
        <w:rPr>
          <w:rFonts w:cs="Calibri"/>
          <w:b/>
          <w:i/>
          <w:lang w:val="sq-AL"/>
        </w:rPr>
      </w:pPr>
      <w:r w:rsidRPr="00476D2E">
        <w:rPr>
          <w:rFonts w:cs="Calibri"/>
          <w:b/>
          <w:i/>
          <w:lang w:val="sq-AL"/>
        </w:rPr>
        <w:t>Përcaktimi ligjor (9):</w:t>
      </w:r>
    </w:p>
    <w:p w:rsidR="00654365" w:rsidRPr="00476D2E" w:rsidRDefault="00751B54" w:rsidP="00654365">
      <w:pPr>
        <w:spacing w:after="120"/>
        <w:rPr>
          <w:rFonts w:cs="Calibri"/>
          <w:lang w:val="sq-AL"/>
        </w:rPr>
      </w:pPr>
      <w:r w:rsidRPr="005C109B">
        <w:rPr>
          <w:rFonts w:cs="Calibri"/>
          <w:lang w:val="sq-AL"/>
        </w:rPr>
        <w:t>Neni 4/1, pika (4) i LOB sanksionon që masa e deficitit buxhetor nuk mund të tejkalojë masën e shpenzimeve kapitale të parashikuara çdo vit në ligjin e buxhetit, përveç në rastet e rrethanave të jashtëzakonshme, që parashikohen në nenin 4/4 të këtij ligji</w:t>
      </w:r>
      <w:r w:rsidR="00654365" w:rsidRPr="00476D2E">
        <w:rPr>
          <w:rFonts w:cs="Calibri"/>
          <w:lang w:val="sq-AL"/>
        </w:rPr>
        <w:t>.</w:t>
      </w:r>
    </w:p>
    <w:p w:rsidR="00654365" w:rsidRPr="00476D2E" w:rsidRDefault="00654365" w:rsidP="00F90F81">
      <w:pPr>
        <w:ind w:firstLine="720"/>
        <w:rPr>
          <w:rFonts w:cs="Calibri"/>
          <w:i/>
          <w:lang w:val="sq-AL"/>
        </w:rPr>
      </w:pPr>
      <w:r w:rsidRPr="00476D2E">
        <w:rPr>
          <w:rFonts w:cs="Calibri"/>
          <w:i/>
          <w:lang w:val="sq-AL"/>
        </w:rPr>
        <w:lastRenderedPageBreak/>
        <w:t>Zbatimi i Ligjit (9):</w:t>
      </w:r>
    </w:p>
    <w:p w:rsidR="00751B54" w:rsidRPr="005C109B" w:rsidRDefault="00751B54" w:rsidP="00751B54">
      <w:pPr>
        <w:spacing w:before="0" w:after="120"/>
        <w:rPr>
          <w:rFonts w:cs="Calibri"/>
          <w:lang w:val="sq-AL"/>
        </w:rPr>
      </w:pPr>
      <w:r w:rsidRPr="005C109B">
        <w:rPr>
          <w:rFonts w:cs="Calibri"/>
          <w:lang w:val="sq-AL"/>
        </w:rPr>
        <w:t>Çdo ligj vjetor i buxhetit hartuar dhe miratuar për vitin 2021 ka qenë në përputhje të plotë me këtë përcaktim ligjor. Tabela më poshtë paraqet me shifra specifike përputhshmërinë e secilit ligj të buxhetit për vitin 2021 me këtë përcaktim të LOB.</w:t>
      </w:r>
    </w:p>
    <w:p w:rsidR="00751B54" w:rsidRPr="005C109B" w:rsidRDefault="00751B54" w:rsidP="00751B54">
      <w:pPr>
        <w:spacing w:after="120"/>
        <w:rPr>
          <w:rFonts w:cs="Calibri"/>
          <w:lang w:val="sq-AL"/>
        </w:rPr>
      </w:pPr>
      <w:r w:rsidRPr="005C109B">
        <w:rPr>
          <w:noProof/>
        </w:rPr>
        <w:drawing>
          <wp:inline distT="0" distB="0" distL="0" distR="0" wp14:anchorId="0AA9BEE6" wp14:editId="2D0D3215">
            <wp:extent cx="6515100" cy="109305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515100" cy="1093052"/>
                    </a:xfrm>
                    <a:prstGeom prst="rect">
                      <a:avLst/>
                    </a:prstGeom>
                    <a:noFill/>
                    <a:ln>
                      <a:noFill/>
                    </a:ln>
                  </pic:spPr>
                </pic:pic>
              </a:graphicData>
            </a:graphic>
          </wp:inline>
        </w:drawing>
      </w:r>
    </w:p>
    <w:p w:rsidR="00751B54" w:rsidRPr="005C109B" w:rsidRDefault="00751B54" w:rsidP="00751B54">
      <w:pPr>
        <w:rPr>
          <w:rFonts w:cs="Calibri"/>
          <w:i/>
          <w:sz w:val="18"/>
          <w:lang w:val="sq-AL"/>
        </w:rPr>
      </w:pPr>
      <w:r w:rsidRPr="005C109B">
        <w:rPr>
          <w:rFonts w:cs="Calibri"/>
          <w:b/>
          <w:i/>
          <w:sz w:val="18"/>
          <w:u w:val="single"/>
          <w:lang w:val="sq-AL"/>
        </w:rPr>
        <w:t>Shënim:</w:t>
      </w:r>
      <w:r w:rsidRPr="005C109B">
        <w:rPr>
          <w:rFonts w:cs="Calibri"/>
          <w:i/>
          <w:sz w:val="18"/>
          <w:lang w:val="sq-AL"/>
        </w:rPr>
        <w:t xml:space="preserve"> Edhe kjo pikë e LOB jep përcaktime ligjore të detyrueshme për fazën planifikuese të buxhetit, ndërkohë që nuk është sanksionuese për rezultatin faktik në mbyllje të vitit. </w:t>
      </w:r>
    </w:p>
    <w:p w:rsidR="00654365" w:rsidRPr="00F90F81" w:rsidRDefault="00654365" w:rsidP="00FD5B8E">
      <w:pPr>
        <w:spacing w:before="0" w:line="240" w:lineRule="auto"/>
        <w:contextualSpacing/>
        <w:rPr>
          <w:rFonts w:cs="Calibri"/>
          <w:lang w:val="sq-AL"/>
        </w:rPr>
      </w:pPr>
    </w:p>
    <w:p w:rsidR="00654365" w:rsidRPr="00476D2E" w:rsidRDefault="00654365" w:rsidP="00654365">
      <w:pPr>
        <w:pStyle w:val="ListParagraph"/>
        <w:spacing w:after="120"/>
        <w:ind w:left="0" w:firstLine="720"/>
        <w:contextualSpacing w:val="0"/>
        <w:rPr>
          <w:rFonts w:cs="Calibri"/>
          <w:b/>
          <w:i/>
          <w:lang w:val="sq-AL"/>
        </w:rPr>
      </w:pPr>
      <w:r w:rsidRPr="00476D2E">
        <w:rPr>
          <w:rFonts w:cs="Calibri"/>
          <w:b/>
          <w:i/>
          <w:lang w:val="sq-AL"/>
        </w:rPr>
        <w:t>Përcaktimi ligjor (10):</w:t>
      </w:r>
    </w:p>
    <w:p w:rsidR="00317AD6" w:rsidRPr="005C109B" w:rsidRDefault="00317AD6" w:rsidP="00317AD6">
      <w:pPr>
        <w:rPr>
          <w:rFonts w:cs="Calibri"/>
          <w:lang w:val="sq-AL"/>
        </w:rPr>
      </w:pPr>
      <w:r w:rsidRPr="005C109B">
        <w:rPr>
          <w:rFonts w:cs="Calibri"/>
          <w:lang w:val="sq-AL"/>
        </w:rPr>
        <w:t xml:space="preserve">Neni 4/3 sanksionon që në vitet buxhetore, gjatë të cilave mbahen zgjedhjet e përgjithshme, ekzekutimi i deficitit buxhetor të qeverisjes së përgjithshme, përveç rasteve të jashtëzakonshme, të parashikuara në nenin 4/4, të këtij ligji, bëhet në përputhje me përcaktimet e këtij neni si më poshtë: </w:t>
      </w:r>
    </w:p>
    <w:p w:rsidR="00317AD6" w:rsidRPr="005C109B" w:rsidRDefault="00317AD6" w:rsidP="00317AD6">
      <w:pPr>
        <w:numPr>
          <w:ilvl w:val="0"/>
          <w:numId w:val="7"/>
        </w:numPr>
        <w:ind w:left="540"/>
        <w:contextualSpacing/>
        <w:rPr>
          <w:rFonts w:cs="Calibri"/>
          <w:i/>
          <w:lang w:val="sq-AL"/>
        </w:rPr>
      </w:pPr>
      <w:r w:rsidRPr="005C109B">
        <w:rPr>
          <w:rFonts w:cs="Calibri"/>
          <w:i/>
          <w:lang w:val="sq-AL"/>
        </w:rPr>
        <w:t>ekzekutimi i deficitit deri në fund të tremujorit të parë të vitit buxhetor nuk mund të jetë më i lartë se 30 përqind e deficitit vjetor të përcaktuar në ligjin e buxhetit vjetor;</w:t>
      </w:r>
    </w:p>
    <w:p w:rsidR="00317AD6" w:rsidRPr="005C109B" w:rsidRDefault="00317AD6" w:rsidP="00317AD6">
      <w:pPr>
        <w:numPr>
          <w:ilvl w:val="0"/>
          <w:numId w:val="7"/>
        </w:numPr>
        <w:ind w:left="540"/>
        <w:contextualSpacing/>
        <w:rPr>
          <w:rFonts w:cs="Calibri"/>
          <w:i/>
          <w:lang w:val="sq-AL"/>
        </w:rPr>
      </w:pPr>
      <w:r w:rsidRPr="005C109B">
        <w:rPr>
          <w:rFonts w:cs="Calibri"/>
          <w:i/>
          <w:lang w:val="sq-AL"/>
        </w:rPr>
        <w:t>ekzekutimi i deficitit deri në fund të gjashtëmujorit të parë të vitit buxhetor nuk mund të jetë më i lartë se 55 përqind e deficitit vjetor të përcaktuar në ligjin e buxhetit vjetor;</w:t>
      </w:r>
    </w:p>
    <w:p w:rsidR="00317AD6" w:rsidRDefault="00317AD6" w:rsidP="00317AD6">
      <w:pPr>
        <w:numPr>
          <w:ilvl w:val="0"/>
          <w:numId w:val="7"/>
        </w:numPr>
        <w:ind w:left="540"/>
        <w:contextualSpacing/>
        <w:rPr>
          <w:rFonts w:cs="Calibri"/>
          <w:i/>
          <w:lang w:val="sq-AL"/>
        </w:rPr>
      </w:pPr>
      <w:r w:rsidRPr="005C109B">
        <w:rPr>
          <w:rFonts w:cs="Calibri"/>
          <w:i/>
          <w:lang w:val="sq-AL"/>
        </w:rPr>
        <w:t>ekzekutimi i deficitit deri në fund të nëntëmujorit të parë të vitit buxhetor nuk mund të jetë më i lartë se 80 përqind e deficitit vjetor të përcaktuar në ligjin e buxhetit vjetor.</w:t>
      </w:r>
    </w:p>
    <w:p w:rsidR="00317AD6" w:rsidRPr="00317AD6" w:rsidRDefault="00317AD6" w:rsidP="00317AD6">
      <w:pPr>
        <w:ind w:left="540"/>
        <w:contextualSpacing/>
        <w:rPr>
          <w:rFonts w:cs="Calibri"/>
          <w:i/>
          <w:sz w:val="16"/>
          <w:lang w:val="sq-AL"/>
        </w:rPr>
      </w:pPr>
    </w:p>
    <w:p w:rsidR="001A5052" w:rsidRPr="000E4FF6" w:rsidRDefault="001A5052" w:rsidP="001A5052">
      <w:pPr>
        <w:pStyle w:val="ListParagraph"/>
        <w:spacing w:after="120"/>
        <w:ind w:left="0" w:firstLine="540"/>
        <w:contextualSpacing w:val="0"/>
        <w:rPr>
          <w:rFonts w:cs="Calibri"/>
          <w:i/>
          <w:lang w:val="sq-AL"/>
        </w:rPr>
      </w:pPr>
      <w:r w:rsidRPr="00476D2E">
        <w:rPr>
          <w:rFonts w:cs="Calibri"/>
          <w:i/>
          <w:lang w:val="sq-AL"/>
        </w:rPr>
        <w:t>Zbatimi i ligjit (</w:t>
      </w:r>
      <w:r>
        <w:rPr>
          <w:rFonts w:cs="Calibri"/>
          <w:i/>
          <w:lang w:val="sq-AL"/>
        </w:rPr>
        <w:t>10</w:t>
      </w:r>
      <w:r w:rsidRPr="00476D2E">
        <w:rPr>
          <w:rFonts w:cs="Calibri"/>
          <w:i/>
          <w:lang w:val="sq-AL"/>
        </w:rPr>
        <w:t xml:space="preserve">): </w:t>
      </w:r>
    </w:p>
    <w:p w:rsidR="00317AD6" w:rsidRPr="005C109B" w:rsidRDefault="00317AD6" w:rsidP="00317AD6">
      <w:pPr>
        <w:spacing w:after="120"/>
        <w:rPr>
          <w:rFonts w:cs="Calibri"/>
          <w:lang w:val="sq-AL"/>
        </w:rPr>
      </w:pPr>
      <w:bookmarkStart w:id="224" w:name="_Ref10032567"/>
      <w:bookmarkStart w:id="225" w:name="_Toc10033290"/>
      <w:bookmarkStart w:id="226" w:name="_Toc10721427"/>
      <w:bookmarkStart w:id="227" w:name="_Toc104980358"/>
      <w:r w:rsidRPr="005C109B">
        <w:rPr>
          <w:rFonts w:cs="Calibri"/>
          <w:lang w:val="sq-AL"/>
        </w:rPr>
        <w:t>Më 25 prilll 2021 u mbajtën zgjedhjet e përgjithshme parlamentare, ku në sajë të specifikimeve të nenit më sipër, ekzekutimi i deficitit në bazë të planit vjetor është në përputhje të plotë më këtë përcaktim ligjor.</w:t>
      </w:r>
    </w:p>
    <w:p w:rsidR="00317AD6" w:rsidRPr="005C109B" w:rsidRDefault="00317AD6" w:rsidP="00317AD6">
      <w:pPr>
        <w:keepNext/>
        <w:keepLines/>
        <w:jc w:val="center"/>
        <w:outlineLvl w:val="1"/>
        <w:rPr>
          <w:rFonts w:ascii="Calibri Light" w:eastAsia="SimSun" w:hAnsi="Calibri Light" w:cs="Calibri"/>
          <w:b/>
          <w:bCs/>
          <w:noProof/>
          <w:color w:val="0F6FC6"/>
          <w:sz w:val="18"/>
          <w:szCs w:val="26"/>
          <w:lang w:val="sq-AL"/>
        </w:rPr>
      </w:pPr>
      <w:bookmarkStart w:id="228" w:name="_Toc104907149"/>
      <w:r w:rsidRPr="005C109B">
        <w:rPr>
          <w:rFonts w:ascii="Calibri Light" w:eastAsia="MS Gothic" w:hAnsi="Calibri Light"/>
          <w:b/>
          <w:bCs/>
          <w:noProof/>
          <w:color w:val="0F6FC6"/>
          <w:szCs w:val="26"/>
        </w:rPr>
        <w:drawing>
          <wp:inline distT="0" distB="0" distL="0" distR="0" wp14:anchorId="229645D0" wp14:editId="7A010457">
            <wp:extent cx="1930400" cy="7857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54963" cy="795703"/>
                    </a:xfrm>
                    <a:prstGeom prst="rect">
                      <a:avLst/>
                    </a:prstGeom>
                    <a:noFill/>
                    <a:ln>
                      <a:noFill/>
                    </a:ln>
                  </pic:spPr>
                </pic:pic>
              </a:graphicData>
            </a:graphic>
          </wp:inline>
        </w:drawing>
      </w:r>
      <w:bookmarkEnd w:id="228"/>
    </w:p>
    <w:p w:rsidR="00317AD6" w:rsidRDefault="00317AD6" w:rsidP="00317AD6">
      <w:pPr>
        <w:rPr>
          <w:rFonts w:eastAsia="SimSun"/>
          <w:lang w:val="sq-AL"/>
        </w:rPr>
      </w:pPr>
    </w:p>
    <w:p w:rsidR="00AB7A9F" w:rsidRDefault="00AB7A9F" w:rsidP="00317AD6">
      <w:pPr>
        <w:rPr>
          <w:rFonts w:eastAsia="SimSun"/>
          <w:lang w:val="sq-AL"/>
        </w:rPr>
      </w:pPr>
    </w:p>
    <w:p w:rsidR="00AB7A9F" w:rsidRPr="005C109B" w:rsidRDefault="00AB7A9F" w:rsidP="00317AD6">
      <w:pPr>
        <w:rPr>
          <w:rFonts w:eastAsia="SimSun"/>
          <w:lang w:val="sq-AL"/>
        </w:rPr>
      </w:pPr>
    </w:p>
    <w:p w:rsidR="00DC2B59" w:rsidRPr="003D1D3B" w:rsidRDefault="00DC2B59" w:rsidP="00351572">
      <w:pPr>
        <w:pStyle w:val="Fiskale2"/>
        <w:rPr>
          <w:rFonts w:ascii="Calibri" w:hAnsi="Calibri" w:cs="Calibri"/>
        </w:rPr>
      </w:pPr>
      <w:r w:rsidRPr="003D1D3B">
        <w:rPr>
          <w:rFonts w:ascii="Calibri" w:hAnsi="Calibri" w:cs="Calibri"/>
        </w:rPr>
        <w:lastRenderedPageBreak/>
        <w:t>Shtojca 2 – Efektet e paket</w:t>
      </w:r>
      <w:r w:rsidR="00C33B16" w:rsidRPr="003D1D3B">
        <w:rPr>
          <w:rFonts w:ascii="Calibri" w:hAnsi="Calibri" w:cs="Calibri"/>
        </w:rPr>
        <w:t>ë</w:t>
      </w:r>
      <w:r w:rsidRPr="003D1D3B">
        <w:rPr>
          <w:rFonts w:ascii="Calibri" w:hAnsi="Calibri" w:cs="Calibri"/>
        </w:rPr>
        <w:t>s fiskale 20</w:t>
      </w:r>
      <w:bookmarkEnd w:id="224"/>
      <w:bookmarkEnd w:id="225"/>
      <w:bookmarkEnd w:id="226"/>
      <w:r w:rsidR="00741C6D" w:rsidRPr="003D1D3B">
        <w:rPr>
          <w:rFonts w:ascii="Calibri" w:hAnsi="Calibri" w:cs="Calibri"/>
        </w:rPr>
        <w:t>2</w:t>
      </w:r>
      <w:r w:rsidR="00875E7E" w:rsidRPr="003D1D3B">
        <w:rPr>
          <w:rFonts w:ascii="Calibri" w:hAnsi="Calibri" w:cs="Calibri"/>
        </w:rPr>
        <w:t>1</w:t>
      </w:r>
      <w:bookmarkEnd w:id="227"/>
    </w:p>
    <w:tbl>
      <w:tblPr>
        <w:tblStyle w:val="ListTable3-Accent52"/>
        <w:tblW w:w="5334" w:type="pct"/>
        <w:jc w:val="center"/>
        <w:tblBorders>
          <w:top w:val="single" w:sz="4" w:space="0" w:color="0B5294" w:themeColor="accent1" w:themeShade="BF"/>
          <w:left w:val="single" w:sz="4" w:space="0" w:color="0B5294" w:themeColor="accent1" w:themeShade="BF"/>
          <w:bottom w:val="single" w:sz="4" w:space="0" w:color="0B5294" w:themeColor="accent1" w:themeShade="BF"/>
          <w:right w:val="single" w:sz="4" w:space="0" w:color="0B5294" w:themeColor="accent1" w:themeShade="BF"/>
          <w:insideH w:val="single" w:sz="4" w:space="0" w:color="0B5294" w:themeColor="accent1" w:themeShade="BF"/>
          <w:insideV w:val="single" w:sz="4" w:space="0" w:color="0B5294" w:themeColor="accent1" w:themeShade="BF"/>
        </w:tblBorders>
        <w:tblLayout w:type="fixed"/>
        <w:tblLook w:val="04A0" w:firstRow="1" w:lastRow="0" w:firstColumn="1" w:lastColumn="0" w:noHBand="0" w:noVBand="1"/>
      </w:tblPr>
      <w:tblGrid>
        <w:gridCol w:w="2099"/>
        <w:gridCol w:w="1196"/>
        <w:gridCol w:w="1231"/>
        <w:gridCol w:w="1536"/>
        <w:gridCol w:w="1039"/>
        <w:gridCol w:w="1646"/>
        <w:gridCol w:w="2717"/>
      </w:tblGrid>
      <w:tr w:rsidR="00C73EE9" w:rsidRPr="008A2931" w:rsidTr="00C73EE9">
        <w:trPr>
          <w:cnfStyle w:val="100000000000" w:firstRow="1" w:lastRow="0" w:firstColumn="0" w:lastColumn="0" w:oddVBand="0" w:evenVBand="0" w:oddHBand="0" w:evenHBand="0" w:firstRowFirstColumn="0" w:firstRowLastColumn="0" w:lastRowFirstColumn="0" w:lastRowLastColumn="0"/>
          <w:trHeight w:val="1776"/>
          <w:jc w:val="center"/>
        </w:trPr>
        <w:tc>
          <w:tcPr>
            <w:cnfStyle w:val="001000000100" w:firstRow="0" w:lastRow="0" w:firstColumn="1" w:lastColumn="0" w:oddVBand="0" w:evenVBand="0" w:oddHBand="0" w:evenHBand="0" w:firstRowFirstColumn="1" w:firstRowLastColumn="0" w:lastRowFirstColumn="0" w:lastRowLastColumn="0"/>
            <w:tcW w:w="915" w:type="pct"/>
            <w:shd w:val="clear" w:color="auto" w:fill="0B5294" w:themeFill="accent1" w:themeFillShade="BF"/>
            <w:noWrap/>
            <w:hideMark/>
          </w:tcPr>
          <w:p w:rsidR="00E72080" w:rsidRPr="00476D2E" w:rsidRDefault="00E72080" w:rsidP="00214DF1">
            <w:pPr>
              <w:spacing w:before="0" w:line="240" w:lineRule="auto"/>
              <w:contextualSpacing/>
              <w:jc w:val="center"/>
              <w:rPr>
                <w:rFonts w:cs="Calibri"/>
                <w:sz w:val="18"/>
                <w:szCs w:val="18"/>
                <w:lang w:val="sq-AL"/>
              </w:rPr>
            </w:pPr>
          </w:p>
          <w:p w:rsidR="00E72080" w:rsidRPr="00476D2E" w:rsidRDefault="00E72080" w:rsidP="00214DF1">
            <w:pPr>
              <w:spacing w:before="0" w:line="240" w:lineRule="auto"/>
              <w:contextualSpacing/>
              <w:jc w:val="center"/>
              <w:rPr>
                <w:rFonts w:cs="Calibri"/>
                <w:sz w:val="18"/>
                <w:szCs w:val="18"/>
                <w:lang w:val="sq-AL"/>
              </w:rPr>
            </w:pPr>
          </w:p>
          <w:p w:rsidR="00E72080" w:rsidRPr="00476D2E" w:rsidRDefault="00E72080" w:rsidP="00214DF1">
            <w:pPr>
              <w:spacing w:before="0" w:line="240" w:lineRule="auto"/>
              <w:contextualSpacing/>
              <w:jc w:val="center"/>
              <w:rPr>
                <w:rFonts w:cs="Calibri"/>
                <w:sz w:val="18"/>
                <w:szCs w:val="18"/>
                <w:lang w:val="sq-AL"/>
              </w:rPr>
            </w:pPr>
          </w:p>
          <w:p w:rsidR="00E72080" w:rsidRPr="008A2931" w:rsidRDefault="00E72080" w:rsidP="00214DF1">
            <w:pPr>
              <w:spacing w:before="0" w:line="240" w:lineRule="auto"/>
              <w:contextualSpacing/>
              <w:jc w:val="center"/>
              <w:rPr>
                <w:rFonts w:cs="Calibri"/>
                <w:sz w:val="18"/>
                <w:szCs w:val="18"/>
                <w:lang w:val="sq-AL"/>
              </w:rPr>
            </w:pPr>
            <w:r w:rsidRPr="008A2931">
              <w:rPr>
                <w:rFonts w:cs="Calibri"/>
                <w:sz w:val="18"/>
                <w:szCs w:val="18"/>
                <w:lang w:val="sq-AL"/>
              </w:rPr>
              <w:t>Masat</w:t>
            </w:r>
          </w:p>
        </w:tc>
        <w:tc>
          <w:tcPr>
            <w:tcW w:w="521" w:type="pct"/>
            <w:shd w:val="clear" w:color="auto" w:fill="0B5294" w:themeFill="accent1" w:themeFillShade="BF"/>
            <w:hideMark/>
          </w:tcPr>
          <w:p w:rsidR="00E72080" w:rsidRPr="008A2931" w:rsidRDefault="00E72080" w:rsidP="00214DF1">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8"/>
                <w:szCs w:val="18"/>
                <w:lang w:val="sq-AL"/>
              </w:rPr>
            </w:pPr>
          </w:p>
          <w:p w:rsidR="00E72080" w:rsidRPr="008A2931" w:rsidRDefault="00E72080" w:rsidP="00214DF1">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8"/>
                <w:szCs w:val="18"/>
                <w:lang w:val="sq-AL"/>
              </w:rPr>
            </w:pPr>
          </w:p>
          <w:p w:rsidR="00E72080" w:rsidRPr="008A2931" w:rsidRDefault="00E72080" w:rsidP="00214DF1">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8"/>
                <w:szCs w:val="18"/>
                <w:lang w:val="sq-AL"/>
              </w:rPr>
            </w:pPr>
            <w:r w:rsidRPr="008A2931">
              <w:rPr>
                <w:rFonts w:cs="Calibri"/>
                <w:sz w:val="18"/>
                <w:szCs w:val="18"/>
                <w:lang w:val="sq-AL"/>
              </w:rPr>
              <w:t>Efekti i parashikuar i paketës</w:t>
            </w:r>
          </w:p>
        </w:tc>
        <w:tc>
          <w:tcPr>
            <w:tcW w:w="537" w:type="pct"/>
            <w:shd w:val="clear" w:color="auto" w:fill="0B5294" w:themeFill="accent1" w:themeFillShade="BF"/>
            <w:hideMark/>
          </w:tcPr>
          <w:p w:rsidR="00E72080" w:rsidRPr="008A2931" w:rsidRDefault="00E72080" w:rsidP="00214DF1">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8"/>
                <w:szCs w:val="18"/>
                <w:lang w:val="sq-AL"/>
              </w:rPr>
            </w:pPr>
          </w:p>
          <w:p w:rsidR="00E72080" w:rsidRPr="008A2931" w:rsidRDefault="00E72080" w:rsidP="00214DF1">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8"/>
                <w:szCs w:val="18"/>
                <w:lang w:val="sq-AL"/>
              </w:rPr>
            </w:pPr>
            <w:r w:rsidRPr="008A2931">
              <w:rPr>
                <w:rFonts w:cs="Calibri"/>
                <w:sz w:val="18"/>
                <w:szCs w:val="18"/>
                <w:lang w:val="sq-AL"/>
              </w:rPr>
              <w:t>Të ardhura të mbledhura si efekt i masës fiskale</w:t>
            </w:r>
          </w:p>
        </w:tc>
        <w:tc>
          <w:tcPr>
            <w:tcW w:w="670" w:type="pct"/>
            <w:shd w:val="clear" w:color="auto" w:fill="0B5294" w:themeFill="accent1" w:themeFillShade="BF"/>
            <w:hideMark/>
          </w:tcPr>
          <w:p w:rsidR="00E72080" w:rsidRPr="008A2931" w:rsidRDefault="00E72080" w:rsidP="00214DF1">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8"/>
                <w:szCs w:val="18"/>
                <w:lang w:val="sq-AL"/>
              </w:rPr>
            </w:pPr>
          </w:p>
          <w:p w:rsidR="00E72080" w:rsidRPr="008A2931" w:rsidRDefault="00E72080" w:rsidP="00214DF1">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8"/>
                <w:szCs w:val="18"/>
                <w:lang w:val="sq-AL"/>
              </w:rPr>
            </w:pPr>
          </w:p>
          <w:p w:rsidR="00E72080" w:rsidRPr="008A2931" w:rsidRDefault="00E72080" w:rsidP="00214DF1">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8"/>
                <w:szCs w:val="18"/>
                <w:lang w:val="sq-AL"/>
              </w:rPr>
            </w:pPr>
            <w:r w:rsidRPr="008A2931">
              <w:rPr>
                <w:rFonts w:cs="Calibri"/>
                <w:sz w:val="18"/>
                <w:szCs w:val="18"/>
                <w:lang w:val="sq-AL"/>
              </w:rPr>
              <w:t>Diferenca Parashikimi/Të ardhura të mbledhura</w:t>
            </w:r>
          </w:p>
        </w:tc>
        <w:tc>
          <w:tcPr>
            <w:tcW w:w="453" w:type="pct"/>
            <w:shd w:val="clear" w:color="auto" w:fill="0B5294" w:themeFill="accent1" w:themeFillShade="BF"/>
            <w:hideMark/>
          </w:tcPr>
          <w:p w:rsidR="00E72080" w:rsidRPr="008A2931" w:rsidRDefault="00E72080" w:rsidP="00214DF1">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8"/>
                <w:szCs w:val="18"/>
                <w:lang w:val="sq-AL"/>
              </w:rPr>
            </w:pPr>
          </w:p>
          <w:p w:rsidR="00E72080" w:rsidRPr="008A2931" w:rsidRDefault="00E72080" w:rsidP="00214DF1">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8"/>
                <w:szCs w:val="18"/>
                <w:lang w:val="sq-AL"/>
              </w:rPr>
            </w:pPr>
          </w:p>
          <w:p w:rsidR="00E72080" w:rsidRPr="008A2931" w:rsidRDefault="00E72080" w:rsidP="00214DF1">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8"/>
                <w:szCs w:val="18"/>
                <w:lang w:val="sq-AL"/>
              </w:rPr>
            </w:pPr>
            <w:r w:rsidRPr="008A2931">
              <w:rPr>
                <w:rFonts w:cs="Calibri"/>
                <w:sz w:val="18"/>
                <w:szCs w:val="18"/>
                <w:lang w:val="sq-AL"/>
              </w:rPr>
              <w:t>Diferenca Fakt 2020/Fakt 2019</w:t>
            </w:r>
          </w:p>
        </w:tc>
        <w:tc>
          <w:tcPr>
            <w:tcW w:w="718" w:type="pct"/>
            <w:shd w:val="clear" w:color="auto" w:fill="0B5294" w:themeFill="accent1" w:themeFillShade="BF"/>
            <w:noWrap/>
            <w:hideMark/>
          </w:tcPr>
          <w:p w:rsidR="00E72080" w:rsidRPr="008A2931" w:rsidRDefault="00E72080" w:rsidP="00214DF1">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8"/>
                <w:szCs w:val="18"/>
                <w:lang w:val="sq-AL"/>
              </w:rPr>
            </w:pPr>
          </w:p>
          <w:p w:rsidR="00E72080" w:rsidRPr="008A2931" w:rsidRDefault="00E72080" w:rsidP="00214DF1">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8"/>
                <w:szCs w:val="18"/>
                <w:lang w:val="sq-AL"/>
              </w:rPr>
            </w:pPr>
          </w:p>
          <w:p w:rsidR="00E72080" w:rsidRPr="008A2931" w:rsidRDefault="00E72080" w:rsidP="00214DF1">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8"/>
                <w:szCs w:val="18"/>
                <w:lang w:val="sq-AL"/>
              </w:rPr>
            </w:pPr>
          </w:p>
          <w:p w:rsidR="00E72080" w:rsidRPr="008A2931" w:rsidRDefault="00E72080" w:rsidP="00214DF1">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8"/>
                <w:szCs w:val="18"/>
                <w:lang w:val="sq-AL"/>
              </w:rPr>
            </w:pPr>
            <w:r w:rsidRPr="008A2931">
              <w:rPr>
                <w:rFonts w:cs="Calibri"/>
                <w:sz w:val="18"/>
                <w:szCs w:val="18"/>
                <w:lang w:val="sq-AL"/>
              </w:rPr>
              <w:t>Faktorët</w:t>
            </w:r>
          </w:p>
        </w:tc>
        <w:tc>
          <w:tcPr>
            <w:tcW w:w="1185" w:type="pct"/>
            <w:shd w:val="clear" w:color="auto" w:fill="0B5294" w:themeFill="accent1" w:themeFillShade="BF"/>
            <w:noWrap/>
            <w:hideMark/>
          </w:tcPr>
          <w:p w:rsidR="00E72080" w:rsidRPr="008A2931" w:rsidRDefault="00E72080" w:rsidP="00214DF1">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8"/>
                <w:szCs w:val="18"/>
                <w:lang w:val="sq-AL"/>
              </w:rPr>
            </w:pPr>
          </w:p>
          <w:p w:rsidR="00E72080" w:rsidRPr="008A2931" w:rsidRDefault="00E72080" w:rsidP="00214DF1">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8"/>
                <w:szCs w:val="18"/>
                <w:lang w:val="sq-AL"/>
              </w:rPr>
            </w:pPr>
          </w:p>
          <w:p w:rsidR="00E72080" w:rsidRPr="008A2931" w:rsidRDefault="00E72080" w:rsidP="00214DF1">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8"/>
                <w:szCs w:val="18"/>
                <w:lang w:val="sq-AL"/>
              </w:rPr>
            </w:pPr>
          </w:p>
          <w:p w:rsidR="00E72080" w:rsidRPr="008A2931" w:rsidRDefault="00E72080" w:rsidP="00214DF1">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8"/>
                <w:szCs w:val="18"/>
                <w:lang w:val="sq-AL"/>
              </w:rPr>
            </w:pPr>
            <w:r w:rsidRPr="008A2931">
              <w:rPr>
                <w:rFonts w:cs="Calibri"/>
                <w:sz w:val="18"/>
                <w:szCs w:val="18"/>
                <w:lang w:val="sq-AL"/>
              </w:rPr>
              <w:t>Efektet</w:t>
            </w:r>
          </w:p>
        </w:tc>
      </w:tr>
      <w:tr w:rsidR="00E72080" w:rsidRPr="008A2931" w:rsidTr="00C73EE9">
        <w:trPr>
          <w:cnfStyle w:val="000000100000" w:firstRow="0" w:lastRow="0" w:firstColumn="0" w:lastColumn="0" w:oddVBand="0" w:evenVBand="0" w:oddHBand="1" w:evenHBand="0" w:firstRowFirstColumn="0" w:firstRowLastColumn="0" w:lastRowFirstColumn="0" w:lastRowLastColumn="0"/>
          <w:trHeight w:val="1838"/>
          <w:jc w:val="center"/>
        </w:trPr>
        <w:tc>
          <w:tcPr>
            <w:cnfStyle w:val="001000000000" w:firstRow="0" w:lastRow="0" w:firstColumn="1" w:lastColumn="0" w:oddVBand="0" w:evenVBand="0" w:oddHBand="0" w:evenHBand="0" w:firstRowFirstColumn="0" w:firstRowLastColumn="0" w:lastRowFirstColumn="0" w:lastRowLastColumn="0"/>
            <w:tcW w:w="915" w:type="pct"/>
            <w:tcBorders>
              <w:top w:val="none" w:sz="0" w:space="0" w:color="auto"/>
              <w:bottom w:val="none" w:sz="0" w:space="0" w:color="auto"/>
              <w:right w:val="none" w:sz="0" w:space="0" w:color="auto"/>
            </w:tcBorders>
            <w:vAlign w:val="center"/>
            <w:hideMark/>
          </w:tcPr>
          <w:p w:rsidR="00E72080" w:rsidRPr="003251EE" w:rsidRDefault="00E72080" w:rsidP="00214DF1">
            <w:pPr>
              <w:spacing w:before="0" w:line="240" w:lineRule="auto"/>
              <w:contextualSpacing/>
              <w:jc w:val="center"/>
              <w:rPr>
                <w:rFonts w:cs="Calibri"/>
                <w:sz w:val="18"/>
                <w:lang w:val="sq-AL"/>
              </w:rPr>
            </w:pPr>
            <w:r w:rsidRPr="003251EE">
              <w:rPr>
                <w:rFonts w:cs="Calibri"/>
                <w:sz w:val="18"/>
                <w:lang w:val="sq-AL"/>
              </w:rPr>
              <w:t>Rritet niveli i akcizës së cigareve për vitin 2021 sipas kalendarit, nga 6,250 lekë/1000 në 6,500  lekë/1000 fije.</w:t>
            </w:r>
          </w:p>
        </w:tc>
        <w:tc>
          <w:tcPr>
            <w:tcW w:w="521" w:type="pct"/>
            <w:tcBorders>
              <w:top w:val="none" w:sz="0" w:space="0" w:color="auto"/>
              <w:bottom w:val="none" w:sz="0" w:space="0" w:color="auto"/>
            </w:tcBorders>
            <w:vAlign w:val="center"/>
            <w:hideMark/>
          </w:tcPr>
          <w:p w:rsidR="00E72080" w:rsidRPr="008A2931" w:rsidRDefault="00E72080" w:rsidP="00214DF1">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r w:rsidRPr="008A2931">
              <w:rPr>
                <w:rFonts w:cs="Calibri"/>
                <w:sz w:val="18"/>
                <w:lang w:val="sq-AL"/>
              </w:rPr>
              <w:t>+0.76 miliardë</w:t>
            </w:r>
          </w:p>
          <w:p w:rsidR="00E72080" w:rsidRPr="008A2931" w:rsidRDefault="00E72080" w:rsidP="00214DF1">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r w:rsidRPr="008A2931">
              <w:rPr>
                <w:rFonts w:cs="Calibri"/>
                <w:sz w:val="18"/>
                <w:lang w:val="sq-AL"/>
              </w:rPr>
              <w:t>lekë</w:t>
            </w:r>
          </w:p>
        </w:tc>
        <w:tc>
          <w:tcPr>
            <w:tcW w:w="537" w:type="pct"/>
            <w:tcBorders>
              <w:top w:val="none" w:sz="0" w:space="0" w:color="auto"/>
              <w:bottom w:val="none" w:sz="0" w:space="0" w:color="auto"/>
            </w:tcBorders>
            <w:vAlign w:val="center"/>
            <w:hideMark/>
          </w:tcPr>
          <w:p w:rsidR="00E72080" w:rsidRPr="008A2931" w:rsidRDefault="00E72080" w:rsidP="00214DF1">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r w:rsidRPr="008A2931">
              <w:rPr>
                <w:rFonts w:cs="Calibri"/>
                <w:sz w:val="18"/>
                <w:lang w:val="sq-AL"/>
              </w:rPr>
              <w:t>0.</w:t>
            </w:r>
            <w:r>
              <w:rPr>
                <w:rFonts w:cs="Calibri"/>
                <w:sz w:val="18"/>
                <w:lang w:val="sq-AL"/>
              </w:rPr>
              <w:t>74</w:t>
            </w:r>
            <w:r w:rsidRPr="008A2931">
              <w:rPr>
                <w:rFonts w:cs="Calibri"/>
                <w:sz w:val="18"/>
                <w:lang w:val="sq-AL"/>
              </w:rPr>
              <w:t xml:space="preserve"> miliardë</w:t>
            </w:r>
          </w:p>
          <w:p w:rsidR="00E72080" w:rsidRPr="008A2931" w:rsidRDefault="00E72080" w:rsidP="00214DF1">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r w:rsidRPr="008A2931">
              <w:rPr>
                <w:rFonts w:cs="Calibri"/>
                <w:sz w:val="18"/>
                <w:lang w:val="sq-AL"/>
              </w:rPr>
              <w:t>lekë</w:t>
            </w:r>
          </w:p>
        </w:tc>
        <w:tc>
          <w:tcPr>
            <w:tcW w:w="670" w:type="pct"/>
            <w:tcBorders>
              <w:top w:val="none" w:sz="0" w:space="0" w:color="auto"/>
              <w:bottom w:val="none" w:sz="0" w:space="0" w:color="auto"/>
            </w:tcBorders>
            <w:vAlign w:val="center"/>
            <w:hideMark/>
          </w:tcPr>
          <w:p w:rsidR="00E72080" w:rsidRPr="008A2931" w:rsidRDefault="00E72080" w:rsidP="00214DF1">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r w:rsidRPr="008A2931">
              <w:rPr>
                <w:rFonts w:cs="Calibri"/>
                <w:sz w:val="18"/>
                <w:lang w:val="sq-AL"/>
              </w:rPr>
              <w:t>-</w:t>
            </w:r>
            <w:r>
              <w:rPr>
                <w:rFonts w:cs="Calibri"/>
                <w:sz w:val="18"/>
                <w:lang w:val="sq-AL"/>
              </w:rPr>
              <w:t>20</w:t>
            </w:r>
          </w:p>
          <w:p w:rsidR="00E72080" w:rsidRPr="008A2931" w:rsidRDefault="00E72080" w:rsidP="00214DF1">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r>
              <w:rPr>
                <w:rFonts w:cs="Calibri"/>
                <w:sz w:val="18"/>
                <w:lang w:val="sq-AL"/>
              </w:rPr>
              <w:t>Milion</w:t>
            </w:r>
            <w:r w:rsidRPr="008A2931">
              <w:rPr>
                <w:rFonts w:cs="Calibri"/>
                <w:sz w:val="18"/>
                <w:lang w:val="sq-AL"/>
              </w:rPr>
              <w:t>ë</w:t>
            </w:r>
          </w:p>
          <w:p w:rsidR="00E72080" w:rsidRPr="008A2931" w:rsidRDefault="00E72080" w:rsidP="00214DF1">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r w:rsidRPr="008A2931">
              <w:rPr>
                <w:rFonts w:cs="Calibri"/>
                <w:sz w:val="18"/>
                <w:lang w:val="sq-AL"/>
              </w:rPr>
              <w:t>lekë</w:t>
            </w:r>
          </w:p>
        </w:tc>
        <w:tc>
          <w:tcPr>
            <w:tcW w:w="453" w:type="pct"/>
            <w:tcBorders>
              <w:top w:val="none" w:sz="0" w:space="0" w:color="auto"/>
              <w:bottom w:val="none" w:sz="0" w:space="0" w:color="auto"/>
            </w:tcBorders>
            <w:vAlign w:val="center"/>
            <w:hideMark/>
          </w:tcPr>
          <w:p w:rsidR="00E72080" w:rsidRPr="008A2931" w:rsidRDefault="00E72080" w:rsidP="00214DF1">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r>
              <w:rPr>
                <w:rFonts w:cs="Calibri"/>
                <w:sz w:val="18"/>
                <w:lang w:val="sq-AL"/>
              </w:rPr>
              <w:t>+2.7</w:t>
            </w:r>
            <w:r w:rsidRPr="008A2931">
              <w:rPr>
                <w:rFonts w:cs="Calibri"/>
                <w:sz w:val="18"/>
                <w:lang w:val="sq-AL"/>
              </w:rPr>
              <w:t xml:space="preserve"> miliardë lekë</w:t>
            </w:r>
          </w:p>
        </w:tc>
        <w:tc>
          <w:tcPr>
            <w:tcW w:w="718" w:type="pct"/>
            <w:tcBorders>
              <w:top w:val="none" w:sz="0" w:space="0" w:color="auto"/>
              <w:bottom w:val="none" w:sz="0" w:space="0" w:color="auto"/>
            </w:tcBorders>
            <w:vAlign w:val="center"/>
            <w:hideMark/>
          </w:tcPr>
          <w:p w:rsidR="00E72080" w:rsidRPr="008A2931" w:rsidRDefault="00E72080" w:rsidP="00214DF1">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r w:rsidRPr="008A2931">
              <w:rPr>
                <w:rFonts w:cs="Calibri"/>
                <w:sz w:val="18"/>
                <w:lang w:val="sq-AL"/>
              </w:rPr>
              <w:t>R</w:t>
            </w:r>
            <w:r>
              <w:rPr>
                <w:rFonts w:cs="Calibri"/>
                <w:sz w:val="18"/>
                <w:lang w:val="sq-AL"/>
              </w:rPr>
              <w:t>ritje</w:t>
            </w:r>
            <w:r w:rsidRPr="008A2931">
              <w:rPr>
                <w:rFonts w:cs="Calibri"/>
                <w:sz w:val="18"/>
                <w:lang w:val="sq-AL"/>
              </w:rPr>
              <w:t xml:space="preserve"> e sasisë së</w:t>
            </w:r>
            <w:r>
              <w:rPr>
                <w:rFonts w:cs="Calibri"/>
                <w:sz w:val="18"/>
                <w:lang w:val="sq-AL"/>
              </w:rPr>
              <w:t xml:space="preserve">  cigareve në import</w:t>
            </w:r>
          </w:p>
        </w:tc>
        <w:tc>
          <w:tcPr>
            <w:tcW w:w="1185" w:type="pct"/>
            <w:tcBorders>
              <w:top w:val="none" w:sz="0" w:space="0" w:color="auto"/>
              <w:bottom w:val="none" w:sz="0" w:space="0" w:color="auto"/>
            </w:tcBorders>
            <w:vAlign w:val="center"/>
            <w:hideMark/>
          </w:tcPr>
          <w:p w:rsidR="00E72080" w:rsidRPr="008A2931" w:rsidRDefault="00E72080" w:rsidP="00214DF1">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r w:rsidRPr="008A2931">
              <w:rPr>
                <w:rFonts w:cs="Calibri"/>
                <w:sz w:val="18"/>
                <w:lang w:val="sq-AL"/>
              </w:rPr>
              <w:t>R</w:t>
            </w:r>
            <w:r>
              <w:rPr>
                <w:rFonts w:cs="Calibri"/>
                <w:sz w:val="18"/>
                <w:lang w:val="sq-AL"/>
              </w:rPr>
              <w:t>ritje</w:t>
            </w:r>
            <w:r w:rsidRPr="008A2931">
              <w:rPr>
                <w:rFonts w:cs="Calibri"/>
                <w:sz w:val="18"/>
                <w:lang w:val="sq-AL"/>
              </w:rPr>
              <w:t xml:space="preserve"> e nivelit të të ardhurave të mbledhura në buxhetin e s</w:t>
            </w:r>
            <w:r>
              <w:rPr>
                <w:rFonts w:cs="Calibri"/>
                <w:sz w:val="18"/>
                <w:lang w:val="sq-AL"/>
              </w:rPr>
              <w:t>htetit nga akciza për cigaret në vitin 2021</w:t>
            </w:r>
            <w:r w:rsidRPr="008A2931">
              <w:rPr>
                <w:rFonts w:cs="Calibri"/>
                <w:sz w:val="18"/>
                <w:lang w:val="sq-AL"/>
              </w:rPr>
              <w:t xml:space="preserve">, me efekt total </w:t>
            </w:r>
            <w:r>
              <w:rPr>
                <w:rFonts w:cs="Calibri"/>
                <w:sz w:val="18"/>
                <w:lang w:val="sq-AL"/>
              </w:rPr>
              <w:t>+2.7</w:t>
            </w:r>
            <w:r w:rsidRPr="008A2931">
              <w:rPr>
                <w:rFonts w:cs="Calibri"/>
                <w:sz w:val="18"/>
                <w:lang w:val="sq-AL"/>
              </w:rPr>
              <w:t xml:space="preserve"> miliardë lekë krahasuar me një vit më parë.</w:t>
            </w:r>
          </w:p>
        </w:tc>
      </w:tr>
      <w:tr w:rsidR="00E72080" w:rsidRPr="008A2931" w:rsidTr="00C73EE9">
        <w:trPr>
          <w:trHeight w:val="2247"/>
          <w:jc w:val="center"/>
        </w:trPr>
        <w:tc>
          <w:tcPr>
            <w:cnfStyle w:val="001000000000" w:firstRow="0" w:lastRow="0" w:firstColumn="1" w:lastColumn="0" w:oddVBand="0" w:evenVBand="0" w:oddHBand="0" w:evenHBand="0" w:firstRowFirstColumn="0" w:firstRowLastColumn="0" w:lastRowFirstColumn="0" w:lastRowLastColumn="0"/>
            <w:tcW w:w="915" w:type="pct"/>
            <w:tcBorders>
              <w:right w:val="none" w:sz="0" w:space="0" w:color="auto"/>
            </w:tcBorders>
            <w:vAlign w:val="center"/>
          </w:tcPr>
          <w:p w:rsidR="00E72080" w:rsidRPr="00BA59D9" w:rsidRDefault="00E72080" w:rsidP="00214DF1">
            <w:pPr>
              <w:spacing w:before="0" w:line="240" w:lineRule="auto"/>
              <w:contextualSpacing/>
              <w:jc w:val="center"/>
              <w:rPr>
                <w:rFonts w:eastAsia="Calibri" w:cs="Calibri"/>
                <w:bCs w:val="0"/>
                <w:sz w:val="18"/>
                <w:szCs w:val="18"/>
              </w:rPr>
            </w:pPr>
            <w:r w:rsidRPr="00BA59D9">
              <w:rPr>
                <w:rFonts w:eastAsia="Calibri" w:cs="Calibri"/>
                <w:bCs w:val="0"/>
                <w:sz w:val="18"/>
                <w:szCs w:val="18"/>
              </w:rPr>
              <w:t>Shtyrja e afatit te rivlerësimit të pasuris</w:t>
            </w:r>
            <w:r w:rsidRPr="00BA59D9">
              <w:rPr>
                <w:rFonts w:eastAsia="Calibri" w:cs="Calibri"/>
                <w:b w:val="0"/>
                <w:sz w:val="18"/>
                <w:szCs w:val="18"/>
              </w:rPr>
              <w:t>ë s</w:t>
            </w:r>
            <w:r w:rsidRPr="00BA59D9">
              <w:rPr>
                <w:rFonts w:eastAsia="Calibri" w:cs="Calibri"/>
                <w:bCs w:val="0"/>
                <w:sz w:val="18"/>
                <w:szCs w:val="18"/>
              </w:rPr>
              <w:t>ë paluajtshme</w:t>
            </w:r>
          </w:p>
        </w:tc>
        <w:tc>
          <w:tcPr>
            <w:tcW w:w="521" w:type="pct"/>
            <w:vAlign w:val="center"/>
          </w:tcPr>
          <w:p w:rsidR="00E72080" w:rsidRPr="00BA59D9" w:rsidRDefault="00E72080" w:rsidP="00214DF1">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Calibri"/>
                <w:sz w:val="18"/>
                <w:lang w:val="sq-AL"/>
              </w:rPr>
            </w:pPr>
            <w:r w:rsidRPr="00BA59D9">
              <w:rPr>
                <w:rFonts w:cs="Calibri"/>
                <w:sz w:val="18"/>
                <w:lang w:val="sq-AL"/>
              </w:rPr>
              <w:t>+4</w:t>
            </w:r>
          </w:p>
          <w:p w:rsidR="00E72080" w:rsidRPr="00BA59D9" w:rsidRDefault="00E72080" w:rsidP="00214DF1">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Calibri"/>
                <w:sz w:val="18"/>
                <w:lang w:val="sq-AL"/>
              </w:rPr>
            </w:pPr>
            <w:r w:rsidRPr="00BA59D9">
              <w:rPr>
                <w:rFonts w:cs="Calibri"/>
                <w:sz w:val="18"/>
                <w:lang w:val="sq-AL"/>
              </w:rPr>
              <w:t>miliardë</w:t>
            </w:r>
          </w:p>
          <w:p w:rsidR="00E72080" w:rsidRPr="00BA59D9" w:rsidRDefault="00E72080" w:rsidP="00214DF1">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Calibri"/>
                <w:sz w:val="18"/>
                <w:lang w:val="sq-AL"/>
              </w:rPr>
            </w:pPr>
            <w:r w:rsidRPr="00BA59D9">
              <w:rPr>
                <w:rFonts w:cs="Calibri"/>
                <w:sz w:val="18"/>
                <w:lang w:val="sq-AL"/>
              </w:rPr>
              <w:t>lekë</w:t>
            </w:r>
          </w:p>
          <w:p w:rsidR="00E72080" w:rsidRPr="00BA59D9" w:rsidRDefault="00E72080" w:rsidP="00214DF1">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Calibri"/>
                <w:sz w:val="18"/>
                <w:lang w:val="sq-AL"/>
              </w:rPr>
            </w:pPr>
          </w:p>
        </w:tc>
        <w:tc>
          <w:tcPr>
            <w:tcW w:w="537" w:type="pct"/>
            <w:vAlign w:val="center"/>
          </w:tcPr>
          <w:p w:rsidR="00E72080" w:rsidRPr="00BA59D9" w:rsidRDefault="00E72080" w:rsidP="00214DF1">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Calibri"/>
                <w:sz w:val="18"/>
                <w:lang w:val="sq-AL"/>
              </w:rPr>
            </w:pPr>
            <w:r w:rsidRPr="00BA59D9">
              <w:rPr>
                <w:rFonts w:cs="Calibri"/>
                <w:sz w:val="18"/>
                <w:lang w:val="sq-AL"/>
              </w:rPr>
              <w:t>+4.4    miliardë</w:t>
            </w:r>
          </w:p>
          <w:p w:rsidR="00E72080" w:rsidRPr="00BA59D9" w:rsidRDefault="00E72080" w:rsidP="00214DF1">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Calibri"/>
                <w:sz w:val="18"/>
                <w:lang w:val="sq-AL"/>
              </w:rPr>
            </w:pPr>
            <w:r w:rsidRPr="00BA59D9">
              <w:rPr>
                <w:rFonts w:cs="Calibri"/>
                <w:sz w:val="18"/>
                <w:lang w:val="sq-AL"/>
              </w:rPr>
              <w:t>lekë</w:t>
            </w:r>
          </w:p>
        </w:tc>
        <w:tc>
          <w:tcPr>
            <w:tcW w:w="670" w:type="pct"/>
            <w:vAlign w:val="center"/>
          </w:tcPr>
          <w:p w:rsidR="00E72080" w:rsidRPr="00BA59D9" w:rsidRDefault="00E72080" w:rsidP="00214DF1">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Calibri"/>
                <w:sz w:val="18"/>
                <w:lang w:val="sq-AL"/>
              </w:rPr>
            </w:pPr>
            <w:r w:rsidRPr="00BA59D9">
              <w:rPr>
                <w:rFonts w:cs="Calibri"/>
                <w:sz w:val="18"/>
                <w:lang w:val="sq-AL"/>
              </w:rPr>
              <w:t>+0.4</w:t>
            </w:r>
          </w:p>
          <w:p w:rsidR="00E72080" w:rsidRPr="00BA59D9" w:rsidRDefault="00E72080" w:rsidP="00214DF1">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Calibri"/>
                <w:sz w:val="18"/>
                <w:lang w:val="sq-AL"/>
              </w:rPr>
            </w:pPr>
            <w:r w:rsidRPr="00BA59D9">
              <w:rPr>
                <w:rFonts w:cs="Calibri"/>
                <w:sz w:val="18"/>
                <w:lang w:val="sq-AL"/>
              </w:rPr>
              <w:t>miliardë</w:t>
            </w:r>
          </w:p>
          <w:p w:rsidR="00E72080" w:rsidRPr="00BA59D9" w:rsidRDefault="00E72080" w:rsidP="00214DF1">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Calibri"/>
                <w:sz w:val="18"/>
                <w:lang w:val="sq-AL"/>
              </w:rPr>
            </w:pPr>
            <w:r w:rsidRPr="00BA59D9">
              <w:rPr>
                <w:rFonts w:cs="Calibri"/>
                <w:sz w:val="18"/>
                <w:lang w:val="sq-AL"/>
              </w:rPr>
              <w:t>lekë</w:t>
            </w:r>
          </w:p>
        </w:tc>
        <w:tc>
          <w:tcPr>
            <w:tcW w:w="453" w:type="pct"/>
            <w:vAlign w:val="center"/>
          </w:tcPr>
          <w:p w:rsidR="00E72080" w:rsidRPr="00BA59D9" w:rsidRDefault="00E72080" w:rsidP="00214DF1">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Calibri"/>
                <w:sz w:val="18"/>
                <w:lang w:val="sq-AL"/>
              </w:rPr>
            </w:pPr>
          </w:p>
        </w:tc>
        <w:tc>
          <w:tcPr>
            <w:tcW w:w="718" w:type="pct"/>
            <w:vAlign w:val="center"/>
          </w:tcPr>
          <w:p w:rsidR="00E72080" w:rsidRPr="00BA59D9" w:rsidRDefault="00E72080" w:rsidP="00214DF1">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BA59D9">
              <w:rPr>
                <w:rFonts w:eastAsia="MS Mincho" w:cs="Calibri"/>
                <w:sz w:val="18"/>
                <w:szCs w:val="18"/>
              </w:rPr>
              <w:t>Të jepet kohë e mjaftueshme të gjithë individëve apo subjekteve që kanë interes ta kryejnë procesin e rivlerësimit të pasurive të paluajtshme</w:t>
            </w:r>
          </w:p>
        </w:tc>
        <w:tc>
          <w:tcPr>
            <w:tcW w:w="1185" w:type="pct"/>
            <w:vAlign w:val="center"/>
          </w:tcPr>
          <w:p w:rsidR="00E72080" w:rsidRPr="00BA59D9" w:rsidRDefault="00E72080" w:rsidP="00214DF1">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Calibri"/>
                <w:sz w:val="18"/>
                <w:lang w:val="sq-AL"/>
              </w:rPr>
            </w:pPr>
            <w:r w:rsidRPr="00BA59D9">
              <w:rPr>
                <w:rFonts w:eastAsia="MS Mincho" w:cs="Calibri"/>
                <w:sz w:val="18"/>
                <w:szCs w:val="18"/>
              </w:rPr>
              <w:t>Efekt të drejtpërdrejtë në nxitjen dhe formalizimin me vlerën e tregut të pasurive të paluajtshme</w:t>
            </w:r>
          </w:p>
        </w:tc>
      </w:tr>
    </w:tbl>
    <w:p w:rsidR="004B06BA" w:rsidRPr="00476D2E" w:rsidRDefault="004B06BA" w:rsidP="00DC2B59">
      <w:pPr>
        <w:rPr>
          <w:rFonts w:cs="Calibri"/>
          <w:lang w:val="sq-AL"/>
        </w:rPr>
      </w:pPr>
    </w:p>
    <w:p w:rsidR="00DC2B59" w:rsidRPr="00476D2E" w:rsidRDefault="00DC2B59" w:rsidP="0052275F">
      <w:pPr>
        <w:spacing w:before="240"/>
        <w:contextualSpacing/>
        <w:jc w:val="center"/>
        <w:rPr>
          <w:rFonts w:cs="Calibri"/>
          <w:i/>
          <w:color w:val="FF0000"/>
          <w:sz w:val="8"/>
          <w:szCs w:val="22"/>
          <w:lang w:val="sq-AL"/>
        </w:rPr>
      </w:pPr>
    </w:p>
    <w:p w:rsidR="00A94670" w:rsidRPr="00476D2E" w:rsidRDefault="00A94670" w:rsidP="00A94670">
      <w:pPr>
        <w:rPr>
          <w:rFonts w:cs="Calibri"/>
          <w:lang w:val="sq-AL"/>
        </w:rPr>
      </w:pPr>
    </w:p>
    <w:p w:rsidR="00DC2B59" w:rsidRPr="00476D2E" w:rsidRDefault="00DC2B59" w:rsidP="00A94670">
      <w:pPr>
        <w:rPr>
          <w:rFonts w:cs="Calibri"/>
          <w:lang w:val="sq-AL"/>
        </w:rPr>
        <w:sectPr w:rsidR="00DC2B59" w:rsidRPr="00476D2E" w:rsidSect="00F1402E">
          <w:pgSz w:w="12240" w:h="15840"/>
          <w:pgMar w:top="720" w:right="810" w:bottom="720" w:left="900" w:header="720" w:footer="0" w:gutter="0"/>
          <w:cols w:space="720"/>
          <w:docGrid w:linePitch="360"/>
        </w:sectPr>
      </w:pPr>
    </w:p>
    <w:p w:rsidR="007B7B50" w:rsidRPr="00C55233" w:rsidRDefault="00DD76EF" w:rsidP="007B7B50">
      <w:pPr>
        <w:pStyle w:val="Fiskale2"/>
        <w:rPr>
          <w:rFonts w:ascii="Calibri" w:hAnsi="Calibri" w:cs="Calibri"/>
        </w:rPr>
      </w:pPr>
      <w:bookmarkStart w:id="229" w:name="_Toc104980359"/>
      <w:bookmarkStart w:id="230" w:name="_Toc10033291"/>
      <w:bookmarkStart w:id="231" w:name="_Toc10721428"/>
      <w:r w:rsidRPr="00C55233">
        <w:rPr>
          <w:rFonts w:ascii="Calibri" w:hAnsi="Calibri" w:cs="Calibri"/>
        </w:rPr>
        <w:lastRenderedPageBreak/>
        <w:t xml:space="preserve">Shtojca 3 </w:t>
      </w:r>
      <w:r w:rsidR="007B7B50" w:rsidRPr="00C55233">
        <w:rPr>
          <w:rFonts w:ascii="Calibri" w:hAnsi="Calibri" w:cs="Calibri"/>
        </w:rPr>
        <w:t>Treguesit kryesorë të performancës sipas ministrive të linjës</w:t>
      </w:r>
      <w:bookmarkEnd w:id="229"/>
      <w:r w:rsidR="007B7B50" w:rsidRPr="00C55233">
        <w:rPr>
          <w:rFonts w:ascii="Calibri" w:hAnsi="Calibri" w:cs="Calibri"/>
        </w:rPr>
        <w:t xml:space="preserve"> </w:t>
      </w:r>
    </w:p>
    <w:p w:rsidR="007B7B50" w:rsidRPr="00476D2E" w:rsidRDefault="00C55233" w:rsidP="007B7B50">
      <w:pPr>
        <w:rPr>
          <w:rFonts w:cs="Calibri"/>
          <w:color w:val="000000"/>
          <w:lang w:val="sq-AL"/>
        </w:rPr>
      </w:pPr>
      <w:r w:rsidRPr="00CB2FCF">
        <w:rPr>
          <w:rFonts w:cs="Calibri"/>
          <w:color w:val="000000"/>
          <w:lang w:val="sq-AL"/>
        </w:rPr>
        <w:t>Buxheti i vitit 2021, financoi 132 programe buxhetore</w:t>
      </w:r>
      <w:r w:rsidRPr="00476D2E">
        <w:rPr>
          <w:rFonts w:cs="Calibri"/>
          <w:color w:val="000000"/>
          <w:lang w:val="sq-AL"/>
        </w:rPr>
        <w:t xml:space="preserve"> dhe synonte realizimin e </w:t>
      </w:r>
      <w:r>
        <w:rPr>
          <w:rFonts w:cs="Calibri"/>
          <w:color w:val="000000"/>
          <w:lang w:val="sq-AL"/>
        </w:rPr>
        <w:t>867</w:t>
      </w:r>
      <w:r w:rsidRPr="00476D2E">
        <w:rPr>
          <w:rFonts w:cs="Calibri"/>
          <w:color w:val="000000"/>
          <w:lang w:val="sq-AL"/>
        </w:rPr>
        <w:t xml:space="preserve"> produkteve të 11 ministrive të linjës. Gjithashtu, këto shpenzime kanë financuar edhe buxhetin e institucioneve të pavarura; fondeve speciale si edhe njësive të vetëqeverisjes vendore: 61 bashki dhe 12 qarqe. Në përgjithësi evidentohet një performancë relativisht e mirë e realizimit të produkteve buxhetore nga ministritë e linjës, po të kemi parasysh vështirësitë e krijuara nga pandemia. Nga </w:t>
      </w:r>
      <w:r>
        <w:rPr>
          <w:rFonts w:cs="Calibri"/>
          <w:color w:val="000000"/>
          <w:lang w:val="sq-AL"/>
        </w:rPr>
        <w:t>867</w:t>
      </w:r>
      <w:r w:rsidRPr="00476D2E">
        <w:rPr>
          <w:rFonts w:cs="Calibri"/>
          <w:color w:val="000000"/>
          <w:lang w:val="sq-AL"/>
        </w:rPr>
        <w:t xml:space="preserve"> produkte të parashikuara për vitin 202</w:t>
      </w:r>
      <w:r>
        <w:rPr>
          <w:rFonts w:cs="Calibri"/>
          <w:color w:val="000000"/>
          <w:lang w:val="sq-AL"/>
        </w:rPr>
        <w:t>1</w:t>
      </w:r>
      <w:r w:rsidRPr="00476D2E">
        <w:rPr>
          <w:rFonts w:cs="Calibri"/>
          <w:color w:val="000000"/>
          <w:lang w:val="sq-AL"/>
        </w:rPr>
        <w:t xml:space="preserve">, janë realizuar plotësisht </w:t>
      </w:r>
      <w:r>
        <w:rPr>
          <w:rFonts w:cs="Calibri"/>
          <w:color w:val="000000"/>
          <w:lang w:val="sq-AL"/>
        </w:rPr>
        <w:t>618</w:t>
      </w:r>
      <w:r w:rsidR="005E1F7E">
        <w:rPr>
          <w:rFonts w:cs="Calibri"/>
          <w:color w:val="000000"/>
          <w:lang w:val="sq-AL"/>
        </w:rPr>
        <w:t xml:space="preserve"> produkte ose 71.2 për</w:t>
      </w:r>
      <w:r w:rsidRPr="00476D2E">
        <w:rPr>
          <w:rFonts w:cs="Calibri"/>
          <w:color w:val="000000"/>
          <w:lang w:val="sq-AL"/>
        </w:rPr>
        <w:t>qind; realizuar pjesërisht 1</w:t>
      </w:r>
      <w:r w:rsidR="005E1F7E">
        <w:rPr>
          <w:rFonts w:cs="Calibri"/>
          <w:color w:val="000000"/>
          <w:lang w:val="sq-AL"/>
        </w:rPr>
        <w:t>62</w:t>
      </w:r>
      <w:r w:rsidRPr="00476D2E">
        <w:rPr>
          <w:rFonts w:cs="Calibri"/>
          <w:color w:val="000000"/>
          <w:lang w:val="sq-AL"/>
        </w:rPr>
        <w:t xml:space="preserve"> produkte ose </w:t>
      </w:r>
      <w:r>
        <w:rPr>
          <w:rFonts w:cs="Calibri"/>
          <w:color w:val="000000"/>
          <w:lang w:val="sq-AL"/>
        </w:rPr>
        <w:t>18.6</w:t>
      </w:r>
      <w:r w:rsidRPr="00476D2E">
        <w:rPr>
          <w:rFonts w:cs="Calibri"/>
          <w:color w:val="000000"/>
          <w:lang w:val="sq-AL"/>
        </w:rPr>
        <w:t xml:space="preserve"> </w:t>
      </w:r>
      <w:r w:rsidR="005E1F7E">
        <w:rPr>
          <w:rFonts w:cs="Calibri"/>
          <w:color w:val="000000"/>
          <w:lang w:val="sq-AL"/>
        </w:rPr>
        <w:t>për</w:t>
      </w:r>
      <w:r w:rsidRPr="00476D2E">
        <w:rPr>
          <w:rFonts w:cs="Calibri"/>
          <w:color w:val="000000"/>
          <w:lang w:val="sq-AL"/>
        </w:rPr>
        <w:t xml:space="preserve">qind dhe nuk janë realizuar vëtëm </w:t>
      </w:r>
      <w:r>
        <w:rPr>
          <w:rFonts w:cs="Calibri"/>
          <w:color w:val="000000"/>
          <w:lang w:val="sq-AL"/>
        </w:rPr>
        <w:t>87</w:t>
      </w:r>
      <w:r w:rsidRPr="00476D2E">
        <w:rPr>
          <w:rFonts w:cs="Calibri"/>
          <w:color w:val="000000"/>
          <w:lang w:val="sq-AL"/>
        </w:rPr>
        <w:t xml:space="preserve"> produkte ose </w:t>
      </w:r>
      <w:r>
        <w:rPr>
          <w:rFonts w:cs="Calibri"/>
          <w:color w:val="000000"/>
          <w:lang w:val="sq-AL"/>
        </w:rPr>
        <w:t>10</w:t>
      </w:r>
      <w:r w:rsidR="005E1F7E">
        <w:rPr>
          <w:rFonts w:cs="Calibri"/>
          <w:color w:val="000000"/>
          <w:lang w:val="sq-AL"/>
        </w:rPr>
        <w:t xml:space="preserve"> për</w:t>
      </w:r>
      <w:r w:rsidRPr="00476D2E">
        <w:rPr>
          <w:rFonts w:cs="Calibri"/>
          <w:color w:val="000000"/>
          <w:lang w:val="sq-AL"/>
        </w:rPr>
        <w:t xml:space="preserve">qind nga të planifikuarat në vitin 2020. </w:t>
      </w:r>
      <w:r>
        <w:rPr>
          <w:rFonts w:cs="Calibri"/>
          <w:lang w:val="sq-AL"/>
        </w:rPr>
        <w:t>Konkretisht</w:t>
      </w:r>
      <w:r w:rsidR="007B7B50" w:rsidRPr="00476D2E">
        <w:rPr>
          <w:rFonts w:cs="Calibri"/>
          <w:lang w:val="sq-AL"/>
        </w:rPr>
        <w:t>:</w:t>
      </w:r>
    </w:p>
    <w:p w:rsidR="007B7B50" w:rsidRPr="00476D2E" w:rsidRDefault="007B7B50" w:rsidP="007B7B50">
      <w:pPr>
        <w:pStyle w:val="Caption"/>
        <w:spacing w:after="0"/>
        <w:rPr>
          <w:rFonts w:cs="Calibri"/>
          <w:lang w:val="sq-AL"/>
        </w:rPr>
      </w:pPr>
      <w:bookmarkStart w:id="232" w:name="_Toc104984091"/>
      <w:r w:rsidRPr="00476D2E">
        <w:rPr>
          <w:rFonts w:cs="Calibri"/>
          <w:lang w:val="sq-AL"/>
        </w:rPr>
        <w:t xml:space="preserve">Tabela </w:t>
      </w:r>
      <w:r w:rsidRPr="00476D2E">
        <w:rPr>
          <w:rFonts w:cs="Calibri"/>
          <w:lang w:val="sq-AL"/>
        </w:rPr>
        <w:fldChar w:fldCharType="begin"/>
      </w:r>
      <w:r w:rsidRPr="00476D2E">
        <w:rPr>
          <w:rFonts w:cs="Calibri"/>
          <w:lang w:val="sq-AL"/>
        </w:rPr>
        <w:instrText xml:space="preserve"> SEQ Tabela \* ARABIC </w:instrText>
      </w:r>
      <w:r w:rsidRPr="00476D2E">
        <w:rPr>
          <w:rFonts w:cs="Calibri"/>
          <w:lang w:val="sq-AL"/>
        </w:rPr>
        <w:fldChar w:fldCharType="separate"/>
      </w:r>
      <w:r w:rsidR="00276062">
        <w:rPr>
          <w:rFonts w:cs="Calibri"/>
          <w:noProof/>
          <w:lang w:val="sq-AL"/>
        </w:rPr>
        <w:t>19</w:t>
      </w:r>
      <w:r w:rsidRPr="00476D2E">
        <w:rPr>
          <w:rFonts w:cs="Calibri"/>
          <w:lang w:val="sq-AL"/>
        </w:rPr>
        <w:fldChar w:fldCharType="end"/>
      </w:r>
      <w:r w:rsidRPr="00476D2E">
        <w:rPr>
          <w:rFonts w:cs="Calibri"/>
          <w:lang w:val="sq-AL"/>
        </w:rPr>
        <w:t xml:space="preserve"> Treguesit kryesorë të performancës sipas ministrive të linjës</w:t>
      </w:r>
      <w:bookmarkEnd w:id="232"/>
    </w:p>
    <w:tbl>
      <w:tblPr>
        <w:tblStyle w:val="ListTable3-Accent12"/>
        <w:tblW w:w="5155" w:type="pct"/>
        <w:jc w:val="center"/>
        <w:tblLook w:val="04A0" w:firstRow="1" w:lastRow="0" w:firstColumn="1" w:lastColumn="0" w:noHBand="0" w:noVBand="1"/>
      </w:tblPr>
      <w:tblGrid>
        <w:gridCol w:w="583"/>
        <w:gridCol w:w="4068"/>
        <w:gridCol w:w="1414"/>
        <w:gridCol w:w="1414"/>
        <w:gridCol w:w="1412"/>
        <w:gridCol w:w="1539"/>
      </w:tblGrid>
      <w:tr w:rsidR="00C55233" w:rsidRPr="00476D2E" w:rsidTr="00E841D1">
        <w:trPr>
          <w:cnfStyle w:val="100000000000" w:firstRow="1" w:lastRow="0" w:firstColumn="0" w:lastColumn="0" w:oddVBand="0" w:evenVBand="0" w:oddHBand="0" w:evenHBand="0" w:firstRowFirstColumn="0" w:firstRowLastColumn="0" w:lastRowFirstColumn="0" w:lastRowLastColumn="0"/>
          <w:trHeight w:val="241"/>
          <w:jc w:val="center"/>
        </w:trPr>
        <w:tc>
          <w:tcPr>
            <w:cnfStyle w:val="001000000100" w:firstRow="0" w:lastRow="0" w:firstColumn="1" w:lastColumn="0" w:oddVBand="0" w:evenVBand="0" w:oddHBand="0" w:evenHBand="0" w:firstRowFirstColumn="1" w:firstRowLastColumn="0" w:lastRowFirstColumn="0" w:lastRowLastColumn="0"/>
            <w:tcW w:w="279" w:type="pct"/>
            <w:vMerge w:val="restart"/>
            <w:tcBorders>
              <w:top w:val="single" w:sz="4" w:space="0" w:color="0F6FC6" w:themeColor="accent1"/>
            </w:tcBorders>
            <w:shd w:val="clear" w:color="auto" w:fill="0B5294" w:themeFill="accent1" w:themeFillShade="BF"/>
            <w:noWrap/>
            <w:hideMark/>
          </w:tcPr>
          <w:p w:rsidR="00C55233" w:rsidRPr="00476D2E" w:rsidRDefault="00C55233" w:rsidP="00C55233">
            <w:pPr>
              <w:spacing w:before="0" w:line="240" w:lineRule="auto"/>
              <w:jc w:val="center"/>
              <w:rPr>
                <w:rFonts w:cs="Calibri"/>
                <w:b w:val="0"/>
                <w:bCs w:val="0"/>
                <w:sz w:val="18"/>
                <w:lang w:val="sq-AL"/>
              </w:rPr>
            </w:pPr>
          </w:p>
          <w:p w:rsidR="00C55233" w:rsidRPr="00476D2E" w:rsidRDefault="00C55233" w:rsidP="00C55233">
            <w:pPr>
              <w:spacing w:before="0" w:line="240" w:lineRule="auto"/>
              <w:jc w:val="center"/>
              <w:rPr>
                <w:rFonts w:cs="Calibri"/>
                <w:b w:val="0"/>
                <w:bCs w:val="0"/>
                <w:sz w:val="18"/>
                <w:lang w:val="sq-AL"/>
              </w:rPr>
            </w:pPr>
            <w:r w:rsidRPr="00476D2E">
              <w:rPr>
                <w:rFonts w:cs="Calibri"/>
                <w:b w:val="0"/>
                <w:bCs w:val="0"/>
                <w:sz w:val="18"/>
                <w:lang w:val="sq-AL"/>
              </w:rPr>
              <w:t>Nr</w:t>
            </w:r>
          </w:p>
        </w:tc>
        <w:tc>
          <w:tcPr>
            <w:tcW w:w="1950" w:type="pct"/>
            <w:vMerge w:val="restart"/>
            <w:tcBorders>
              <w:top w:val="single" w:sz="4" w:space="0" w:color="0F6FC6" w:themeColor="accent1"/>
            </w:tcBorders>
            <w:shd w:val="clear" w:color="auto" w:fill="0B5294" w:themeFill="accent1" w:themeFillShade="BF"/>
            <w:noWrap/>
            <w:hideMark/>
          </w:tcPr>
          <w:p w:rsidR="00C55233" w:rsidRPr="00476D2E" w:rsidRDefault="00C55233" w:rsidP="00C55233">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sz w:val="18"/>
                <w:lang w:val="sq-AL"/>
              </w:rPr>
            </w:pPr>
          </w:p>
          <w:p w:rsidR="00C55233" w:rsidRPr="00476D2E" w:rsidRDefault="00C55233" w:rsidP="00C55233">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sz w:val="18"/>
                <w:lang w:val="sq-AL"/>
              </w:rPr>
            </w:pPr>
            <w:r w:rsidRPr="00476D2E">
              <w:rPr>
                <w:rFonts w:cs="Calibri"/>
                <w:b w:val="0"/>
                <w:bCs w:val="0"/>
                <w:sz w:val="18"/>
                <w:lang w:val="sq-AL"/>
              </w:rPr>
              <w:t>Ministria e Linjës</w:t>
            </w:r>
          </w:p>
        </w:tc>
        <w:tc>
          <w:tcPr>
            <w:tcW w:w="2771" w:type="pct"/>
            <w:gridSpan w:val="4"/>
            <w:tcBorders>
              <w:top w:val="single" w:sz="4" w:space="0" w:color="0F6FC6" w:themeColor="accent1"/>
            </w:tcBorders>
            <w:shd w:val="clear" w:color="auto" w:fill="0B5294" w:themeFill="accent1" w:themeFillShade="BF"/>
            <w:noWrap/>
            <w:hideMark/>
          </w:tcPr>
          <w:p w:rsidR="00C55233" w:rsidRPr="00476D2E" w:rsidRDefault="00C55233" w:rsidP="00C55233">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sz w:val="18"/>
                <w:lang w:val="sq-AL"/>
              </w:rPr>
            </w:pPr>
            <w:r w:rsidRPr="00476D2E">
              <w:rPr>
                <w:rFonts w:cs="Calibri"/>
                <w:b w:val="0"/>
                <w:bCs w:val="0"/>
                <w:sz w:val="18"/>
                <w:lang w:val="sq-AL"/>
              </w:rPr>
              <w:t>Produktet (në numër)</w:t>
            </w:r>
          </w:p>
        </w:tc>
      </w:tr>
      <w:tr w:rsidR="00C55233" w:rsidRPr="00476D2E" w:rsidTr="00E841D1">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279" w:type="pct"/>
            <w:vMerge/>
            <w:shd w:val="clear" w:color="auto" w:fill="0B5294" w:themeFill="accent1" w:themeFillShade="BF"/>
            <w:hideMark/>
          </w:tcPr>
          <w:p w:rsidR="00C55233" w:rsidRPr="00476D2E" w:rsidRDefault="00C55233" w:rsidP="00C55233">
            <w:pPr>
              <w:spacing w:before="0" w:line="240" w:lineRule="auto"/>
              <w:rPr>
                <w:rFonts w:cs="Calibri"/>
                <w:b w:val="0"/>
                <w:bCs w:val="0"/>
                <w:sz w:val="18"/>
                <w:lang w:val="sq-AL"/>
              </w:rPr>
            </w:pPr>
          </w:p>
        </w:tc>
        <w:tc>
          <w:tcPr>
            <w:tcW w:w="1950" w:type="pct"/>
            <w:vMerge/>
            <w:shd w:val="clear" w:color="auto" w:fill="0B5294" w:themeFill="accent1" w:themeFillShade="BF"/>
            <w:hideMark/>
          </w:tcPr>
          <w:p w:rsidR="00C55233" w:rsidRPr="00476D2E" w:rsidRDefault="00C55233" w:rsidP="00C55233">
            <w:pPr>
              <w:spacing w:before="0" w:line="240" w:lineRule="auto"/>
              <w:cnfStyle w:val="000000100000" w:firstRow="0" w:lastRow="0" w:firstColumn="0" w:lastColumn="0" w:oddVBand="0" w:evenVBand="0" w:oddHBand="1" w:evenHBand="0" w:firstRowFirstColumn="0" w:firstRowLastColumn="0" w:lastRowFirstColumn="0" w:lastRowLastColumn="0"/>
              <w:rPr>
                <w:rFonts w:cs="Calibri"/>
                <w:b/>
                <w:bCs/>
                <w:sz w:val="18"/>
                <w:lang w:val="sq-AL"/>
              </w:rPr>
            </w:pPr>
          </w:p>
        </w:tc>
        <w:tc>
          <w:tcPr>
            <w:tcW w:w="678" w:type="pct"/>
            <w:shd w:val="clear" w:color="auto" w:fill="0B5294" w:themeFill="accent1" w:themeFillShade="BF"/>
            <w:noWrap/>
            <w:hideMark/>
          </w:tcPr>
          <w:p w:rsidR="00C55233" w:rsidRPr="00476D2E" w:rsidRDefault="00C55233" w:rsidP="00C55233">
            <w:pPr>
              <w:spacing w:before="0" w:line="240" w:lineRule="auto"/>
              <w:cnfStyle w:val="000000100000" w:firstRow="0" w:lastRow="0" w:firstColumn="0" w:lastColumn="0" w:oddVBand="0" w:evenVBand="0" w:oddHBand="1" w:evenHBand="0" w:firstRowFirstColumn="0" w:firstRowLastColumn="0" w:lastRowFirstColumn="0" w:lastRowLastColumn="0"/>
              <w:rPr>
                <w:rFonts w:cs="Calibri"/>
                <w:b/>
                <w:bCs/>
                <w:sz w:val="18"/>
                <w:lang w:val="sq-AL"/>
              </w:rPr>
            </w:pPr>
            <w:r w:rsidRPr="00476D2E">
              <w:rPr>
                <w:rFonts w:cs="Calibri"/>
                <w:b/>
                <w:bCs/>
                <w:sz w:val="18"/>
                <w:lang w:val="sq-AL"/>
              </w:rPr>
              <w:t> </w:t>
            </w:r>
          </w:p>
        </w:tc>
        <w:tc>
          <w:tcPr>
            <w:tcW w:w="1355" w:type="pct"/>
            <w:gridSpan w:val="2"/>
            <w:shd w:val="clear" w:color="auto" w:fill="0B5294" w:themeFill="accent1" w:themeFillShade="BF"/>
            <w:noWrap/>
            <w:hideMark/>
          </w:tcPr>
          <w:p w:rsidR="00C55233" w:rsidRPr="00476D2E" w:rsidRDefault="00C55233" w:rsidP="00C55233">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b/>
                <w:bCs/>
                <w:color w:val="FFFFFF" w:themeColor="background1"/>
                <w:sz w:val="18"/>
                <w:lang w:val="sq-AL"/>
              </w:rPr>
            </w:pPr>
            <w:r w:rsidRPr="00476D2E">
              <w:rPr>
                <w:rFonts w:cs="Calibri"/>
                <w:b/>
                <w:bCs/>
                <w:color w:val="FFFFFF" w:themeColor="background1"/>
                <w:sz w:val="18"/>
                <w:lang w:val="sq-AL"/>
              </w:rPr>
              <w:t>Realizuar</w:t>
            </w:r>
          </w:p>
        </w:tc>
        <w:tc>
          <w:tcPr>
            <w:tcW w:w="738" w:type="pct"/>
            <w:shd w:val="clear" w:color="auto" w:fill="0B5294" w:themeFill="accent1" w:themeFillShade="BF"/>
            <w:noWrap/>
            <w:hideMark/>
          </w:tcPr>
          <w:p w:rsidR="00C55233" w:rsidRPr="00476D2E" w:rsidRDefault="00C55233" w:rsidP="00C55233">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b/>
                <w:bCs/>
                <w:color w:val="FFFFFF" w:themeColor="background1"/>
                <w:sz w:val="18"/>
                <w:lang w:val="sq-AL"/>
              </w:rPr>
            </w:pPr>
            <w:r w:rsidRPr="00476D2E">
              <w:rPr>
                <w:rFonts w:cs="Calibri"/>
                <w:b/>
                <w:bCs/>
                <w:color w:val="FFFFFF" w:themeColor="background1"/>
                <w:sz w:val="18"/>
                <w:lang w:val="sq-AL"/>
              </w:rPr>
              <w:t> </w:t>
            </w:r>
          </w:p>
        </w:tc>
      </w:tr>
      <w:tr w:rsidR="00C55233" w:rsidRPr="00476D2E" w:rsidTr="00E841D1">
        <w:trPr>
          <w:trHeight w:val="174"/>
          <w:jc w:val="center"/>
        </w:trPr>
        <w:tc>
          <w:tcPr>
            <w:cnfStyle w:val="001000000000" w:firstRow="0" w:lastRow="0" w:firstColumn="1" w:lastColumn="0" w:oddVBand="0" w:evenVBand="0" w:oddHBand="0" w:evenHBand="0" w:firstRowFirstColumn="0" w:firstRowLastColumn="0" w:lastRowFirstColumn="0" w:lastRowLastColumn="0"/>
            <w:tcW w:w="279" w:type="pct"/>
            <w:vMerge/>
            <w:tcBorders>
              <w:bottom w:val="single" w:sz="4" w:space="0" w:color="0F6FC6" w:themeColor="accent1"/>
            </w:tcBorders>
            <w:shd w:val="clear" w:color="auto" w:fill="0B5294" w:themeFill="accent1" w:themeFillShade="BF"/>
            <w:hideMark/>
          </w:tcPr>
          <w:p w:rsidR="00C55233" w:rsidRPr="00476D2E" w:rsidRDefault="00C55233" w:rsidP="00C55233">
            <w:pPr>
              <w:spacing w:before="0" w:line="240" w:lineRule="auto"/>
              <w:rPr>
                <w:rFonts w:cs="Calibri"/>
                <w:b w:val="0"/>
                <w:bCs w:val="0"/>
                <w:sz w:val="18"/>
                <w:lang w:val="sq-AL"/>
              </w:rPr>
            </w:pPr>
          </w:p>
        </w:tc>
        <w:tc>
          <w:tcPr>
            <w:tcW w:w="1950" w:type="pct"/>
            <w:vMerge/>
            <w:tcBorders>
              <w:bottom w:val="single" w:sz="4" w:space="0" w:color="0F6FC6" w:themeColor="accent1"/>
            </w:tcBorders>
            <w:shd w:val="clear" w:color="auto" w:fill="0B5294" w:themeFill="accent1" w:themeFillShade="BF"/>
            <w:hideMark/>
          </w:tcPr>
          <w:p w:rsidR="00C55233" w:rsidRPr="00476D2E" w:rsidRDefault="00C55233" w:rsidP="00C55233">
            <w:pPr>
              <w:spacing w:before="0" w:line="240" w:lineRule="auto"/>
              <w:cnfStyle w:val="000000000000" w:firstRow="0" w:lastRow="0" w:firstColumn="0" w:lastColumn="0" w:oddVBand="0" w:evenVBand="0" w:oddHBand="0" w:evenHBand="0" w:firstRowFirstColumn="0" w:firstRowLastColumn="0" w:lastRowFirstColumn="0" w:lastRowLastColumn="0"/>
              <w:rPr>
                <w:rFonts w:cs="Calibri"/>
                <w:b/>
                <w:bCs/>
                <w:sz w:val="18"/>
                <w:lang w:val="sq-AL"/>
              </w:rPr>
            </w:pPr>
          </w:p>
        </w:tc>
        <w:tc>
          <w:tcPr>
            <w:tcW w:w="678" w:type="pct"/>
            <w:tcBorders>
              <w:bottom w:val="single" w:sz="4" w:space="0" w:color="0F6FC6" w:themeColor="accent1"/>
            </w:tcBorders>
            <w:shd w:val="clear" w:color="auto" w:fill="0B5294" w:themeFill="accent1" w:themeFillShade="BF"/>
            <w:noWrap/>
            <w:hideMark/>
          </w:tcPr>
          <w:p w:rsidR="00C55233" w:rsidRPr="00476D2E" w:rsidRDefault="00C55233" w:rsidP="00C5523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FFFFFF" w:themeColor="background1"/>
                <w:sz w:val="18"/>
                <w:lang w:val="sq-AL"/>
              </w:rPr>
            </w:pPr>
            <w:r w:rsidRPr="00476D2E">
              <w:rPr>
                <w:rFonts w:cs="Calibri"/>
                <w:b/>
                <w:bCs/>
                <w:color w:val="FFFFFF" w:themeColor="background1"/>
                <w:sz w:val="18"/>
                <w:lang w:val="sq-AL"/>
              </w:rPr>
              <w:t>Planifikuar</w:t>
            </w:r>
          </w:p>
        </w:tc>
        <w:tc>
          <w:tcPr>
            <w:tcW w:w="678" w:type="pct"/>
            <w:tcBorders>
              <w:bottom w:val="single" w:sz="4" w:space="0" w:color="0F6FC6" w:themeColor="accent1"/>
            </w:tcBorders>
            <w:shd w:val="clear" w:color="auto" w:fill="0B5294" w:themeFill="accent1" w:themeFillShade="BF"/>
            <w:hideMark/>
          </w:tcPr>
          <w:p w:rsidR="00C55233" w:rsidRPr="00476D2E" w:rsidRDefault="00C55233" w:rsidP="00C5523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FFFFFF" w:themeColor="background1"/>
                <w:sz w:val="18"/>
                <w:lang w:val="sq-AL"/>
              </w:rPr>
            </w:pPr>
            <w:r w:rsidRPr="00476D2E">
              <w:rPr>
                <w:rFonts w:cs="Calibri"/>
                <w:b/>
                <w:bCs/>
                <w:color w:val="FFFFFF" w:themeColor="background1"/>
                <w:sz w:val="18"/>
                <w:lang w:val="sq-AL"/>
              </w:rPr>
              <w:t>Plotesisht</w:t>
            </w:r>
          </w:p>
        </w:tc>
        <w:tc>
          <w:tcPr>
            <w:tcW w:w="677" w:type="pct"/>
            <w:tcBorders>
              <w:bottom w:val="single" w:sz="4" w:space="0" w:color="0F6FC6" w:themeColor="accent1"/>
            </w:tcBorders>
            <w:shd w:val="clear" w:color="auto" w:fill="0B5294" w:themeFill="accent1" w:themeFillShade="BF"/>
            <w:hideMark/>
          </w:tcPr>
          <w:p w:rsidR="00C55233" w:rsidRPr="00476D2E" w:rsidRDefault="00C55233" w:rsidP="00C5523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FFFFFF" w:themeColor="background1"/>
                <w:sz w:val="18"/>
                <w:lang w:val="sq-AL"/>
              </w:rPr>
            </w:pPr>
            <w:r w:rsidRPr="00476D2E">
              <w:rPr>
                <w:rFonts w:cs="Calibri"/>
                <w:b/>
                <w:bCs/>
                <w:color w:val="FFFFFF" w:themeColor="background1"/>
                <w:sz w:val="18"/>
                <w:lang w:val="sq-AL"/>
              </w:rPr>
              <w:t>Pjeserisht</w:t>
            </w:r>
          </w:p>
        </w:tc>
        <w:tc>
          <w:tcPr>
            <w:tcW w:w="738" w:type="pct"/>
            <w:tcBorders>
              <w:bottom w:val="single" w:sz="4" w:space="0" w:color="0F6FC6" w:themeColor="accent1"/>
            </w:tcBorders>
            <w:shd w:val="clear" w:color="auto" w:fill="0B5294" w:themeFill="accent1" w:themeFillShade="BF"/>
            <w:noWrap/>
            <w:hideMark/>
          </w:tcPr>
          <w:p w:rsidR="00C55233" w:rsidRPr="00476D2E" w:rsidRDefault="00C55233" w:rsidP="00C5523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FFFFFF" w:themeColor="background1"/>
                <w:sz w:val="18"/>
                <w:lang w:val="sq-AL"/>
              </w:rPr>
            </w:pPr>
            <w:r w:rsidRPr="00476D2E">
              <w:rPr>
                <w:rFonts w:cs="Calibri"/>
                <w:b/>
                <w:bCs/>
                <w:color w:val="FFFFFF" w:themeColor="background1"/>
                <w:sz w:val="18"/>
                <w:lang w:val="sq-AL"/>
              </w:rPr>
              <w:t xml:space="preserve">Pa realizuar </w:t>
            </w:r>
          </w:p>
        </w:tc>
      </w:tr>
      <w:tr w:rsidR="00C55233" w:rsidRPr="00CB2FCF" w:rsidTr="00E841D1">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279" w:type="pct"/>
            <w:noWrap/>
            <w:hideMark/>
          </w:tcPr>
          <w:p w:rsidR="00C55233" w:rsidRPr="00CB2FCF" w:rsidRDefault="00C55233" w:rsidP="00C55233">
            <w:pPr>
              <w:spacing w:before="0" w:line="240" w:lineRule="auto"/>
              <w:jc w:val="center"/>
              <w:rPr>
                <w:rFonts w:cs="Calibri"/>
                <w:sz w:val="18"/>
                <w:lang w:val="sq-AL"/>
              </w:rPr>
            </w:pPr>
            <w:r w:rsidRPr="00CB2FCF">
              <w:rPr>
                <w:rFonts w:cs="Calibri"/>
                <w:sz w:val="18"/>
                <w:lang w:val="sq-AL"/>
              </w:rPr>
              <w:t>1</w:t>
            </w:r>
          </w:p>
        </w:tc>
        <w:tc>
          <w:tcPr>
            <w:tcW w:w="1950" w:type="pct"/>
            <w:noWrap/>
            <w:hideMark/>
          </w:tcPr>
          <w:p w:rsidR="00C55233" w:rsidRPr="00CB2FCF" w:rsidRDefault="00C55233" w:rsidP="00C55233">
            <w:pPr>
              <w:spacing w:before="0" w:line="240" w:lineRule="auto"/>
              <w:cnfStyle w:val="000000100000" w:firstRow="0" w:lastRow="0" w:firstColumn="0" w:lastColumn="0" w:oddVBand="0" w:evenVBand="0" w:oddHBand="1" w:evenHBand="0" w:firstRowFirstColumn="0" w:firstRowLastColumn="0" w:lastRowFirstColumn="0" w:lastRowLastColumn="0"/>
              <w:rPr>
                <w:rFonts w:cs="Calibri"/>
                <w:b/>
                <w:bCs/>
                <w:sz w:val="18"/>
                <w:szCs w:val="18"/>
                <w:lang w:val="sq-AL"/>
              </w:rPr>
            </w:pPr>
            <w:r w:rsidRPr="00CB2FCF">
              <w:rPr>
                <w:rFonts w:cs="Calibri"/>
                <w:b/>
                <w:bCs/>
                <w:sz w:val="18"/>
                <w:szCs w:val="18"/>
                <w:lang w:val="sq-AL"/>
              </w:rPr>
              <w:t xml:space="preserve">Ministria e Bujqesise dhe Zhvillimit Rural </w:t>
            </w:r>
          </w:p>
        </w:tc>
        <w:tc>
          <w:tcPr>
            <w:tcW w:w="678" w:type="pct"/>
            <w:noWrap/>
            <w:hideMark/>
          </w:tcPr>
          <w:p w:rsidR="00C55233" w:rsidRPr="00CB2FCF" w:rsidRDefault="00C55233" w:rsidP="00C55233">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B2FCF">
              <w:rPr>
                <w:rFonts w:ascii="Times New Roman" w:hAnsi="Times New Roman"/>
                <w:sz w:val="20"/>
                <w:szCs w:val="20"/>
              </w:rPr>
              <w:t>92</w:t>
            </w:r>
          </w:p>
        </w:tc>
        <w:tc>
          <w:tcPr>
            <w:tcW w:w="678" w:type="pct"/>
            <w:noWrap/>
            <w:hideMark/>
          </w:tcPr>
          <w:p w:rsidR="00C55233" w:rsidRPr="00CB2FCF" w:rsidRDefault="00C55233" w:rsidP="00C55233">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B2FCF">
              <w:rPr>
                <w:rFonts w:ascii="Times New Roman" w:hAnsi="Times New Roman"/>
                <w:sz w:val="20"/>
                <w:szCs w:val="20"/>
              </w:rPr>
              <w:t>67</w:t>
            </w:r>
          </w:p>
        </w:tc>
        <w:tc>
          <w:tcPr>
            <w:tcW w:w="677" w:type="pct"/>
            <w:noWrap/>
            <w:hideMark/>
          </w:tcPr>
          <w:p w:rsidR="00C55233" w:rsidRPr="00CB2FCF" w:rsidRDefault="00C55233" w:rsidP="00C55233">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B2FCF">
              <w:rPr>
                <w:rFonts w:ascii="Times New Roman" w:hAnsi="Times New Roman"/>
                <w:sz w:val="20"/>
                <w:szCs w:val="20"/>
              </w:rPr>
              <w:t>17</w:t>
            </w:r>
          </w:p>
        </w:tc>
        <w:tc>
          <w:tcPr>
            <w:tcW w:w="738" w:type="pct"/>
            <w:noWrap/>
            <w:hideMark/>
          </w:tcPr>
          <w:p w:rsidR="00C55233" w:rsidRPr="00CB2FCF" w:rsidRDefault="00C55233" w:rsidP="00C55233">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B2FCF">
              <w:rPr>
                <w:rFonts w:ascii="Times New Roman" w:hAnsi="Times New Roman"/>
                <w:sz w:val="20"/>
                <w:szCs w:val="20"/>
              </w:rPr>
              <w:t>8</w:t>
            </w:r>
          </w:p>
        </w:tc>
      </w:tr>
      <w:tr w:rsidR="00C55233" w:rsidRPr="00CB2FCF" w:rsidTr="00E841D1">
        <w:trPr>
          <w:trHeight w:val="213"/>
          <w:jc w:val="center"/>
        </w:trPr>
        <w:tc>
          <w:tcPr>
            <w:cnfStyle w:val="001000000000" w:firstRow="0" w:lastRow="0" w:firstColumn="1" w:lastColumn="0" w:oddVBand="0" w:evenVBand="0" w:oddHBand="0" w:evenHBand="0" w:firstRowFirstColumn="0" w:firstRowLastColumn="0" w:lastRowFirstColumn="0" w:lastRowLastColumn="0"/>
            <w:tcW w:w="279" w:type="pct"/>
            <w:noWrap/>
            <w:hideMark/>
          </w:tcPr>
          <w:p w:rsidR="00C55233" w:rsidRPr="00CB2FCF" w:rsidRDefault="00C55233" w:rsidP="00C55233">
            <w:pPr>
              <w:spacing w:before="0" w:line="240" w:lineRule="auto"/>
              <w:jc w:val="center"/>
              <w:rPr>
                <w:rFonts w:cs="Calibri"/>
                <w:sz w:val="18"/>
                <w:lang w:val="sq-AL"/>
              </w:rPr>
            </w:pPr>
            <w:r w:rsidRPr="00CB2FCF">
              <w:rPr>
                <w:rFonts w:cs="Calibri"/>
                <w:sz w:val="18"/>
                <w:lang w:val="sq-AL"/>
              </w:rPr>
              <w:t>2</w:t>
            </w:r>
          </w:p>
        </w:tc>
        <w:tc>
          <w:tcPr>
            <w:tcW w:w="1950" w:type="pct"/>
            <w:hideMark/>
          </w:tcPr>
          <w:p w:rsidR="00C55233" w:rsidRPr="00CB2FCF" w:rsidRDefault="00C55233" w:rsidP="00C55233">
            <w:pPr>
              <w:spacing w:before="0" w:line="240" w:lineRule="auto"/>
              <w:cnfStyle w:val="000000000000" w:firstRow="0" w:lastRow="0" w:firstColumn="0" w:lastColumn="0" w:oddVBand="0" w:evenVBand="0" w:oddHBand="0" w:evenHBand="0" w:firstRowFirstColumn="0" w:firstRowLastColumn="0" w:lastRowFirstColumn="0" w:lastRowLastColumn="0"/>
              <w:rPr>
                <w:rFonts w:cs="Calibri"/>
                <w:b/>
                <w:bCs/>
                <w:sz w:val="18"/>
                <w:szCs w:val="18"/>
                <w:lang w:val="sq-AL"/>
              </w:rPr>
            </w:pPr>
            <w:r w:rsidRPr="00CB2FCF">
              <w:rPr>
                <w:rFonts w:cs="Calibri"/>
                <w:b/>
                <w:bCs/>
                <w:sz w:val="18"/>
                <w:szCs w:val="18"/>
                <w:lang w:val="sq-AL"/>
              </w:rPr>
              <w:t>Ministria e Infrastruktures dhe Energjise</w:t>
            </w:r>
          </w:p>
        </w:tc>
        <w:tc>
          <w:tcPr>
            <w:tcW w:w="678" w:type="pct"/>
            <w:noWrap/>
            <w:hideMark/>
          </w:tcPr>
          <w:p w:rsidR="00C55233" w:rsidRPr="00CB2FCF" w:rsidRDefault="00C55233" w:rsidP="00C55233">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CB2FCF">
              <w:rPr>
                <w:rFonts w:cs="Calibri"/>
                <w:sz w:val="18"/>
                <w:szCs w:val="18"/>
                <w:lang w:val="sq-AL"/>
              </w:rPr>
              <w:t>176</w:t>
            </w:r>
          </w:p>
        </w:tc>
        <w:tc>
          <w:tcPr>
            <w:tcW w:w="678" w:type="pct"/>
            <w:noWrap/>
            <w:hideMark/>
          </w:tcPr>
          <w:p w:rsidR="00C55233" w:rsidRPr="00CB2FCF" w:rsidRDefault="00C55233" w:rsidP="00C55233">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CB2FCF">
              <w:rPr>
                <w:rFonts w:cs="Calibri"/>
                <w:sz w:val="18"/>
                <w:szCs w:val="18"/>
                <w:lang w:val="sq-AL"/>
              </w:rPr>
              <w:t>123</w:t>
            </w:r>
          </w:p>
        </w:tc>
        <w:tc>
          <w:tcPr>
            <w:tcW w:w="677" w:type="pct"/>
            <w:noWrap/>
            <w:hideMark/>
          </w:tcPr>
          <w:p w:rsidR="00C55233" w:rsidRPr="00CB2FCF" w:rsidRDefault="00C55233" w:rsidP="00C55233">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CB2FCF">
              <w:rPr>
                <w:rFonts w:cs="Calibri"/>
                <w:sz w:val="18"/>
                <w:szCs w:val="18"/>
                <w:lang w:val="sq-AL"/>
              </w:rPr>
              <w:t>20</w:t>
            </w:r>
          </w:p>
        </w:tc>
        <w:tc>
          <w:tcPr>
            <w:tcW w:w="738" w:type="pct"/>
            <w:noWrap/>
            <w:hideMark/>
          </w:tcPr>
          <w:p w:rsidR="00C55233" w:rsidRPr="00CB2FCF" w:rsidRDefault="00C55233" w:rsidP="00C55233">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CB2FCF">
              <w:rPr>
                <w:rFonts w:cs="Calibri"/>
                <w:sz w:val="18"/>
                <w:szCs w:val="18"/>
                <w:lang w:val="sq-AL"/>
              </w:rPr>
              <w:t>33</w:t>
            </w:r>
          </w:p>
        </w:tc>
      </w:tr>
      <w:tr w:rsidR="00C55233" w:rsidRPr="00CB2FCF" w:rsidTr="00E841D1">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279" w:type="pct"/>
            <w:noWrap/>
            <w:hideMark/>
          </w:tcPr>
          <w:p w:rsidR="00C55233" w:rsidRPr="00CB2FCF" w:rsidRDefault="00C55233" w:rsidP="00C55233">
            <w:pPr>
              <w:spacing w:before="0" w:line="240" w:lineRule="auto"/>
              <w:jc w:val="center"/>
              <w:rPr>
                <w:rFonts w:cs="Calibri"/>
                <w:sz w:val="18"/>
                <w:lang w:val="sq-AL"/>
              </w:rPr>
            </w:pPr>
            <w:r w:rsidRPr="00CB2FCF">
              <w:rPr>
                <w:rFonts w:cs="Calibri"/>
                <w:sz w:val="18"/>
                <w:lang w:val="sq-AL"/>
              </w:rPr>
              <w:t>3</w:t>
            </w:r>
          </w:p>
        </w:tc>
        <w:tc>
          <w:tcPr>
            <w:tcW w:w="1950" w:type="pct"/>
            <w:hideMark/>
          </w:tcPr>
          <w:p w:rsidR="00C55233" w:rsidRPr="00CB2FCF" w:rsidRDefault="00C55233" w:rsidP="00C55233">
            <w:pPr>
              <w:spacing w:before="0" w:line="240" w:lineRule="auto"/>
              <w:cnfStyle w:val="000000100000" w:firstRow="0" w:lastRow="0" w:firstColumn="0" w:lastColumn="0" w:oddVBand="0" w:evenVBand="0" w:oddHBand="1" w:evenHBand="0" w:firstRowFirstColumn="0" w:firstRowLastColumn="0" w:lastRowFirstColumn="0" w:lastRowLastColumn="0"/>
              <w:rPr>
                <w:rFonts w:cs="Calibri"/>
                <w:b/>
                <w:bCs/>
                <w:sz w:val="18"/>
                <w:szCs w:val="18"/>
                <w:lang w:val="sq-AL"/>
              </w:rPr>
            </w:pPr>
            <w:r w:rsidRPr="00CB2FCF">
              <w:rPr>
                <w:rFonts w:cs="Calibri"/>
                <w:b/>
                <w:bCs/>
                <w:sz w:val="18"/>
                <w:szCs w:val="18"/>
                <w:lang w:val="sq-AL"/>
              </w:rPr>
              <w:t>Ministria e Financave dhe Ekonomise</w:t>
            </w:r>
          </w:p>
        </w:tc>
        <w:tc>
          <w:tcPr>
            <w:tcW w:w="678" w:type="pct"/>
            <w:noWrap/>
            <w:hideMark/>
          </w:tcPr>
          <w:p w:rsidR="00C55233" w:rsidRPr="00CB2FCF" w:rsidRDefault="00C55233" w:rsidP="00C55233">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sq-AL"/>
              </w:rPr>
            </w:pPr>
            <w:r w:rsidRPr="00CB2FCF">
              <w:rPr>
                <w:rFonts w:ascii="Times New Roman" w:hAnsi="Times New Roman"/>
                <w:sz w:val="18"/>
                <w:szCs w:val="18"/>
                <w:lang w:val="sq-AL"/>
              </w:rPr>
              <w:t>112</w:t>
            </w:r>
          </w:p>
        </w:tc>
        <w:tc>
          <w:tcPr>
            <w:tcW w:w="678" w:type="pct"/>
            <w:noWrap/>
          </w:tcPr>
          <w:p w:rsidR="00C55233" w:rsidRPr="00CB2FCF" w:rsidRDefault="00C55233" w:rsidP="00C55233">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sq-AL"/>
              </w:rPr>
            </w:pPr>
            <w:r w:rsidRPr="00CB2FCF">
              <w:rPr>
                <w:rFonts w:ascii="Times New Roman" w:hAnsi="Times New Roman"/>
                <w:sz w:val="18"/>
                <w:szCs w:val="18"/>
                <w:lang w:val="sq-AL"/>
              </w:rPr>
              <w:t>62</w:t>
            </w:r>
          </w:p>
        </w:tc>
        <w:tc>
          <w:tcPr>
            <w:tcW w:w="677" w:type="pct"/>
            <w:noWrap/>
          </w:tcPr>
          <w:p w:rsidR="00C55233" w:rsidRPr="00CB2FCF" w:rsidRDefault="00C55233" w:rsidP="00C55233">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sq-AL"/>
              </w:rPr>
            </w:pPr>
            <w:r w:rsidRPr="00CB2FCF">
              <w:rPr>
                <w:rFonts w:ascii="Times New Roman" w:hAnsi="Times New Roman"/>
                <w:sz w:val="18"/>
                <w:szCs w:val="18"/>
                <w:lang w:val="sq-AL"/>
              </w:rPr>
              <w:t>38</w:t>
            </w:r>
          </w:p>
        </w:tc>
        <w:tc>
          <w:tcPr>
            <w:tcW w:w="738" w:type="pct"/>
            <w:noWrap/>
          </w:tcPr>
          <w:p w:rsidR="00C55233" w:rsidRPr="00CB2FCF" w:rsidRDefault="00C55233" w:rsidP="00C55233">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sq-AL"/>
              </w:rPr>
            </w:pPr>
            <w:r w:rsidRPr="00CB2FCF">
              <w:rPr>
                <w:rFonts w:ascii="Times New Roman" w:hAnsi="Times New Roman"/>
                <w:sz w:val="18"/>
                <w:szCs w:val="18"/>
                <w:lang w:val="sq-AL"/>
              </w:rPr>
              <w:t>12</w:t>
            </w:r>
          </w:p>
        </w:tc>
      </w:tr>
      <w:tr w:rsidR="00C55233" w:rsidRPr="00CB2FCF" w:rsidTr="00E841D1">
        <w:trPr>
          <w:trHeight w:val="213"/>
          <w:jc w:val="center"/>
        </w:trPr>
        <w:tc>
          <w:tcPr>
            <w:cnfStyle w:val="001000000000" w:firstRow="0" w:lastRow="0" w:firstColumn="1" w:lastColumn="0" w:oddVBand="0" w:evenVBand="0" w:oddHBand="0" w:evenHBand="0" w:firstRowFirstColumn="0" w:firstRowLastColumn="0" w:lastRowFirstColumn="0" w:lastRowLastColumn="0"/>
            <w:tcW w:w="279" w:type="pct"/>
            <w:noWrap/>
            <w:hideMark/>
          </w:tcPr>
          <w:p w:rsidR="00C55233" w:rsidRPr="00CB2FCF" w:rsidRDefault="00C55233" w:rsidP="00C55233">
            <w:pPr>
              <w:spacing w:before="0" w:line="240" w:lineRule="auto"/>
              <w:jc w:val="center"/>
              <w:rPr>
                <w:rFonts w:cs="Calibri"/>
                <w:sz w:val="18"/>
                <w:lang w:val="sq-AL"/>
              </w:rPr>
            </w:pPr>
            <w:r w:rsidRPr="00CB2FCF">
              <w:rPr>
                <w:rFonts w:cs="Calibri"/>
                <w:sz w:val="18"/>
                <w:lang w:val="sq-AL"/>
              </w:rPr>
              <w:t>4</w:t>
            </w:r>
          </w:p>
        </w:tc>
        <w:tc>
          <w:tcPr>
            <w:tcW w:w="1950" w:type="pct"/>
            <w:hideMark/>
          </w:tcPr>
          <w:p w:rsidR="00C55233" w:rsidRPr="00CB2FCF" w:rsidRDefault="00C55233" w:rsidP="00C55233">
            <w:pPr>
              <w:spacing w:before="0" w:line="240" w:lineRule="auto"/>
              <w:cnfStyle w:val="000000000000" w:firstRow="0" w:lastRow="0" w:firstColumn="0" w:lastColumn="0" w:oddVBand="0" w:evenVBand="0" w:oddHBand="0" w:evenHBand="0" w:firstRowFirstColumn="0" w:firstRowLastColumn="0" w:lastRowFirstColumn="0" w:lastRowLastColumn="0"/>
              <w:rPr>
                <w:rFonts w:cs="Calibri"/>
                <w:b/>
                <w:bCs/>
                <w:sz w:val="18"/>
                <w:szCs w:val="18"/>
                <w:lang w:val="sq-AL"/>
              </w:rPr>
            </w:pPr>
            <w:r w:rsidRPr="00CB2FCF">
              <w:rPr>
                <w:rFonts w:cs="Calibri"/>
                <w:b/>
                <w:bCs/>
                <w:sz w:val="18"/>
                <w:szCs w:val="18"/>
                <w:lang w:val="sq-AL"/>
              </w:rPr>
              <w:t>Ministria e Arsimit, Sportit dhe Rinise</w:t>
            </w:r>
          </w:p>
        </w:tc>
        <w:tc>
          <w:tcPr>
            <w:tcW w:w="678" w:type="pct"/>
            <w:noWrap/>
            <w:hideMark/>
          </w:tcPr>
          <w:p w:rsidR="00C55233" w:rsidRPr="00CB2FCF" w:rsidRDefault="00C55233" w:rsidP="00C55233">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CB2FCF">
              <w:rPr>
                <w:rFonts w:cs="Calibri"/>
                <w:sz w:val="18"/>
                <w:szCs w:val="18"/>
                <w:lang w:val="sq-AL"/>
              </w:rPr>
              <w:t>68</w:t>
            </w:r>
          </w:p>
        </w:tc>
        <w:tc>
          <w:tcPr>
            <w:tcW w:w="678" w:type="pct"/>
            <w:noWrap/>
            <w:hideMark/>
          </w:tcPr>
          <w:p w:rsidR="00C55233" w:rsidRPr="00CB2FCF" w:rsidRDefault="00C55233" w:rsidP="00C55233">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CB2FCF">
              <w:rPr>
                <w:rFonts w:cs="Calibri"/>
                <w:sz w:val="18"/>
                <w:szCs w:val="18"/>
                <w:lang w:val="sq-AL"/>
              </w:rPr>
              <w:t>52</w:t>
            </w:r>
          </w:p>
        </w:tc>
        <w:tc>
          <w:tcPr>
            <w:tcW w:w="677" w:type="pct"/>
            <w:noWrap/>
            <w:hideMark/>
          </w:tcPr>
          <w:p w:rsidR="00C55233" w:rsidRPr="00CB2FCF" w:rsidRDefault="00C55233" w:rsidP="00C55233">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CB2FCF">
              <w:rPr>
                <w:rFonts w:cs="Calibri"/>
                <w:sz w:val="18"/>
                <w:szCs w:val="18"/>
                <w:lang w:val="sq-AL"/>
              </w:rPr>
              <w:t>9</w:t>
            </w:r>
          </w:p>
        </w:tc>
        <w:tc>
          <w:tcPr>
            <w:tcW w:w="738" w:type="pct"/>
            <w:noWrap/>
            <w:hideMark/>
          </w:tcPr>
          <w:p w:rsidR="00C55233" w:rsidRPr="00CB2FCF" w:rsidRDefault="00C55233" w:rsidP="00C55233">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CB2FCF">
              <w:rPr>
                <w:rFonts w:cs="Calibri"/>
                <w:sz w:val="18"/>
                <w:szCs w:val="18"/>
                <w:lang w:val="sq-AL"/>
              </w:rPr>
              <w:t>7</w:t>
            </w:r>
          </w:p>
        </w:tc>
      </w:tr>
      <w:tr w:rsidR="00C55233" w:rsidRPr="00CB2FCF" w:rsidTr="00E841D1">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279" w:type="pct"/>
            <w:noWrap/>
            <w:hideMark/>
          </w:tcPr>
          <w:p w:rsidR="00C55233" w:rsidRPr="00CB2FCF" w:rsidRDefault="00C55233" w:rsidP="00C55233">
            <w:pPr>
              <w:spacing w:before="0" w:line="240" w:lineRule="auto"/>
              <w:jc w:val="center"/>
              <w:rPr>
                <w:rFonts w:cs="Calibri"/>
                <w:sz w:val="18"/>
                <w:lang w:val="sq-AL"/>
              </w:rPr>
            </w:pPr>
            <w:r w:rsidRPr="00CB2FCF">
              <w:rPr>
                <w:rFonts w:cs="Calibri"/>
                <w:sz w:val="18"/>
                <w:lang w:val="sq-AL"/>
              </w:rPr>
              <w:t>5</w:t>
            </w:r>
          </w:p>
        </w:tc>
        <w:tc>
          <w:tcPr>
            <w:tcW w:w="1950" w:type="pct"/>
            <w:hideMark/>
          </w:tcPr>
          <w:p w:rsidR="00C55233" w:rsidRPr="00CB2FCF" w:rsidRDefault="00C55233" w:rsidP="00C55233">
            <w:pPr>
              <w:spacing w:before="0" w:line="240" w:lineRule="auto"/>
              <w:cnfStyle w:val="000000100000" w:firstRow="0" w:lastRow="0" w:firstColumn="0" w:lastColumn="0" w:oddVBand="0" w:evenVBand="0" w:oddHBand="1" w:evenHBand="0" w:firstRowFirstColumn="0" w:firstRowLastColumn="0" w:lastRowFirstColumn="0" w:lastRowLastColumn="0"/>
              <w:rPr>
                <w:rFonts w:cs="Calibri"/>
                <w:b/>
                <w:bCs/>
                <w:sz w:val="18"/>
                <w:szCs w:val="18"/>
                <w:lang w:val="sq-AL"/>
              </w:rPr>
            </w:pPr>
            <w:r w:rsidRPr="00CB2FCF">
              <w:rPr>
                <w:rFonts w:cs="Calibri"/>
                <w:b/>
                <w:bCs/>
                <w:sz w:val="18"/>
                <w:szCs w:val="18"/>
                <w:lang w:val="sq-AL"/>
              </w:rPr>
              <w:t>Ministria e Kultures</w:t>
            </w:r>
          </w:p>
        </w:tc>
        <w:tc>
          <w:tcPr>
            <w:tcW w:w="678" w:type="pct"/>
            <w:noWrap/>
            <w:hideMark/>
          </w:tcPr>
          <w:p w:rsidR="00C55233" w:rsidRPr="00CB2FCF" w:rsidRDefault="00C55233" w:rsidP="00C55233">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r w:rsidRPr="00CB2FCF">
              <w:rPr>
                <w:rFonts w:cs="Calibri"/>
                <w:sz w:val="18"/>
                <w:lang w:val="sq-AL"/>
              </w:rPr>
              <w:t>38</w:t>
            </w:r>
          </w:p>
        </w:tc>
        <w:tc>
          <w:tcPr>
            <w:tcW w:w="678" w:type="pct"/>
            <w:noWrap/>
            <w:hideMark/>
          </w:tcPr>
          <w:p w:rsidR="00C55233" w:rsidRPr="00CB2FCF" w:rsidRDefault="00C55233" w:rsidP="00C55233">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r w:rsidRPr="00CB2FCF">
              <w:rPr>
                <w:rFonts w:cs="Calibri"/>
                <w:sz w:val="18"/>
                <w:lang w:val="sq-AL"/>
              </w:rPr>
              <w:t>20</w:t>
            </w:r>
          </w:p>
        </w:tc>
        <w:tc>
          <w:tcPr>
            <w:tcW w:w="677" w:type="pct"/>
            <w:noWrap/>
            <w:hideMark/>
          </w:tcPr>
          <w:p w:rsidR="00C55233" w:rsidRPr="00CB2FCF" w:rsidRDefault="00C55233" w:rsidP="00C55233">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r w:rsidRPr="00CB2FCF">
              <w:rPr>
                <w:rFonts w:cs="Calibri"/>
                <w:sz w:val="18"/>
                <w:lang w:val="sq-AL"/>
              </w:rPr>
              <w:t>14</w:t>
            </w:r>
          </w:p>
        </w:tc>
        <w:tc>
          <w:tcPr>
            <w:tcW w:w="738" w:type="pct"/>
            <w:noWrap/>
            <w:hideMark/>
          </w:tcPr>
          <w:p w:rsidR="00C55233" w:rsidRPr="00CB2FCF" w:rsidRDefault="00C55233" w:rsidP="00C55233">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r w:rsidRPr="00CB2FCF">
              <w:rPr>
                <w:rFonts w:cs="Calibri"/>
                <w:sz w:val="18"/>
                <w:lang w:val="sq-AL"/>
              </w:rPr>
              <w:t>4</w:t>
            </w:r>
          </w:p>
        </w:tc>
      </w:tr>
      <w:tr w:rsidR="00C55233" w:rsidRPr="00CB2FCF" w:rsidTr="00E841D1">
        <w:trPr>
          <w:trHeight w:val="260"/>
          <w:jc w:val="center"/>
        </w:trPr>
        <w:tc>
          <w:tcPr>
            <w:cnfStyle w:val="001000000000" w:firstRow="0" w:lastRow="0" w:firstColumn="1" w:lastColumn="0" w:oddVBand="0" w:evenVBand="0" w:oddHBand="0" w:evenHBand="0" w:firstRowFirstColumn="0" w:firstRowLastColumn="0" w:lastRowFirstColumn="0" w:lastRowLastColumn="0"/>
            <w:tcW w:w="279" w:type="pct"/>
            <w:noWrap/>
            <w:hideMark/>
          </w:tcPr>
          <w:p w:rsidR="00C55233" w:rsidRPr="00CB2FCF" w:rsidRDefault="00C55233" w:rsidP="00C55233">
            <w:pPr>
              <w:spacing w:before="0" w:line="240" w:lineRule="auto"/>
              <w:jc w:val="center"/>
              <w:rPr>
                <w:rFonts w:cs="Calibri"/>
                <w:sz w:val="18"/>
                <w:lang w:val="sq-AL"/>
              </w:rPr>
            </w:pPr>
            <w:r w:rsidRPr="00CB2FCF">
              <w:rPr>
                <w:rFonts w:cs="Calibri"/>
                <w:sz w:val="18"/>
                <w:lang w:val="sq-AL"/>
              </w:rPr>
              <w:t>6</w:t>
            </w:r>
          </w:p>
        </w:tc>
        <w:tc>
          <w:tcPr>
            <w:tcW w:w="1950" w:type="pct"/>
            <w:hideMark/>
          </w:tcPr>
          <w:p w:rsidR="00C55233" w:rsidRPr="00CB2FCF" w:rsidRDefault="00C55233" w:rsidP="00C55233">
            <w:pPr>
              <w:spacing w:before="0" w:line="240" w:lineRule="auto"/>
              <w:cnfStyle w:val="000000000000" w:firstRow="0" w:lastRow="0" w:firstColumn="0" w:lastColumn="0" w:oddVBand="0" w:evenVBand="0" w:oddHBand="0" w:evenHBand="0" w:firstRowFirstColumn="0" w:firstRowLastColumn="0" w:lastRowFirstColumn="0" w:lastRowLastColumn="0"/>
              <w:rPr>
                <w:rFonts w:cs="Calibri"/>
                <w:b/>
                <w:bCs/>
                <w:sz w:val="18"/>
                <w:szCs w:val="18"/>
                <w:lang w:val="sq-AL"/>
              </w:rPr>
            </w:pPr>
            <w:r w:rsidRPr="00CB2FCF">
              <w:rPr>
                <w:rFonts w:cs="Calibri"/>
                <w:b/>
                <w:bCs/>
                <w:sz w:val="18"/>
                <w:szCs w:val="18"/>
                <w:lang w:val="sq-AL"/>
              </w:rPr>
              <w:t>Ministria e Shendetesise dhe Mbrotjes Sociale</w:t>
            </w:r>
          </w:p>
        </w:tc>
        <w:tc>
          <w:tcPr>
            <w:tcW w:w="678" w:type="pct"/>
            <w:noWrap/>
            <w:hideMark/>
          </w:tcPr>
          <w:p w:rsidR="00C55233" w:rsidRPr="00CB2FCF" w:rsidRDefault="00C55233" w:rsidP="00C55233">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CB2FCF">
              <w:rPr>
                <w:rFonts w:cs="Calibri"/>
                <w:sz w:val="18"/>
                <w:szCs w:val="18"/>
                <w:lang w:val="sq-AL"/>
              </w:rPr>
              <w:t>51</w:t>
            </w:r>
          </w:p>
        </w:tc>
        <w:tc>
          <w:tcPr>
            <w:tcW w:w="678" w:type="pct"/>
            <w:noWrap/>
            <w:hideMark/>
          </w:tcPr>
          <w:p w:rsidR="00C55233" w:rsidRPr="00CB2FCF" w:rsidRDefault="00C55233" w:rsidP="00C55233">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CB2FCF">
              <w:rPr>
                <w:rFonts w:cs="Calibri"/>
                <w:sz w:val="18"/>
                <w:szCs w:val="18"/>
                <w:lang w:val="sq-AL"/>
              </w:rPr>
              <w:t>26</w:t>
            </w:r>
          </w:p>
        </w:tc>
        <w:tc>
          <w:tcPr>
            <w:tcW w:w="677" w:type="pct"/>
            <w:noWrap/>
            <w:hideMark/>
          </w:tcPr>
          <w:p w:rsidR="00C55233" w:rsidRPr="00CB2FCF" w:rsidRDefault="00C55233" w:rsidP="00C55233">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CB2FCF">
              <w:rPr>
                <w:rFonts w:cs="Calibri"/>
                <w:sz w:val="18"/>
                <w:szCs w:val="18"/>
                <w:lang w:val="sq-AL"/>
              </w:rPr>
              <w:t>24</w:t>
            </w:r>
          </w:p>
        </w:tc>
        <w:tc>
          <w:tcPr>
            <w:tcW w:w="738" w:type="pct"/>
            <w:noWrap/>
            <w:hideMark/>
          </w:tcPr>
          <w:p w:rsidR="00C55233" w:rsidRPr="00CB2FCF" w:rsidRDefault="00C55233" w:rsidP="00C55233">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CB2FCF">
              <w:rPr>
                <w:rFonts w:cs="Calibri"/>
                <w:sz w:val="18"/>
                <w:szCs w:val="18"/>
                <w:lang w:val="sq-AL"/>
              </w:rPr>
              <w:t>1</w:t>
            </w:r>
          </w:p>
        </w:tc>
      </w:tr>
      <w:tr w:rsidR="00C55233" w:rsidRPr="00CB2FCF" w:rsidTr="00E841D1">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279" w:type="pct"/>
            <w:noWrap/>
            <w:hideMark/>
          </w:tcPr>
          <w:p w:rsidR="00C55233" w:rsidRPr="00CB2FCF" w:rsidRDefault="00C55233" w:rsidP="00C55233">
            <w:pPr>
              <w:spacing w:before="0" w:line="240" w:lineRule="auto"/>
              <w:jc w:val="center"/>
              <w:rPr>
                <w:rFonts w:cs="Calibri"/>
                <w:sz w:val="18"/>
                <w:lang w:val="sq-AL"/>
              </w:rPr>
            </w:pPr>
            <w:r w:rsidRPr="00CB2FCF">
              <w:rPr>
                <w:rFonts w:cs="Calibri"/>
                <w:sz w:val="18"/>
                <w:lang w:val="sq-AL"/>
              </w:rPr>
              <w:t>7</w:t>
            </w:r>
          </w:p>
        </w:tc>
        <w:tc>
          <w:tcPr>
            <w:tcW w:w="1950" w:type="pct"/>
            <w:hideMark/>
          </w:tcPr>
          <w:p w:rsidR="00C55233" w:rsidRPr="00CB2FCF" w:rsidRDefault="00C55233" w:rsidP="00C55233">
            <w:pPr>
              <w:spacing w:before="0" w:line="240" w:lineRule="auto"/>
              <w:cnfStyle w:val="000000100000" w:firstRow="0" w:lastRow="0" w:firstColumn="0" w:lastColumn="0" w:oddVBand="0" w:evenVBand="0" w:oddHBand="1" w:evenHBand="0" w:firstRowFirstColumn="0" w:firstRowLastColumn="0" w:lastRowFirstColumn="0" w:lastRowLastColumn="0"/>
              <w:rPr>
                <w:rFonts w:cs="Calibri"/>
                <w:b/>
                <w:bCs/>
                <w:sz w:val="18"/>
                <w:szCs w:val="18"/>
                <w:lang w:val="sq-AL"/>
              </w:rPr>
            </w:pPr>
            <w:r w:rsidRPr="00CB2FCF">
              <w:rPr>
                <w:rFonts w:cs="Calibri"/>
                <w:b/>
                <w:bCs/>
                <w:sz w:val="18"/>
                <w:szCs w:val="18"/>
                <w:lang w:val="sq-AL"/>
              </w:rPr>
              <w:t>Ministria e Drejtesise</w:t>
            </w:r>
          </w:p>
        </w:tc>
        <w:tc>
          <w:tcPr>
            <w:tcW w:w="678" w:type="pct"/>
            <w:noWrap/>
            <w:hideMark/>
          </w:tcPr>
          <w:p w:rsidR="00C55233" w:rsidRPr="00CB2FCF" w:rsidRDefault="00C55233" w:rsidP="00C55233">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CB2FCF">
              <w:rPr>
                <w:rFonts w:ascii="Times New Roman" w:hAnsi="Times New Roman"/>
                <w:sz w:val="18"/>
                <w:szCs w:val="18"/>
              </w:rPr>
              <w:t>53</w:t>
            </w:r>
          </w:p>
        </w:tc>
        <w:tc>
          <w:tcPr>
            <w:tcW w:w="678" w:type="pct"/>
            <w:noWrap/>
            <w:hideMark/>
          </w:tcPr>
          <w:p w:rsidR="00C55233" w:rsidRPr="00CB2FCF" w:rsidRDefault="00C55233" w:rsidP="00C55233">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CB2FCF">
              <w:rPr>
                <w:rFonts w:ascii="Times New Roman" w:hAnsi="Times New Roman"/>
                <w:sz w:val="18"/>
                <w:szCs w:val="18"/>
              </w:rPr>
              <w:t>32</w:t>
            </w:r>
          </w:p>
        </w:tc>
        <w:tc>
          <w:tcPr>
            <w:tcW w:w="677" w:type="pct"/>
            <w:noWrap/>
            <w:hideMark/>
          </w:tcPr>
          <w:p w:rsidR="00C55233" w:rsidRPr="00CB2FCF" w:rsidRDefault="00C55233" w:rsidP="00C55233">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CB2FCF">
              <w:rPr>
                <w:rFonts w:ascii="Times New Roman" w:hAnsi="Times New Roman"/>
                <w:sz w:val="18"/>
                <w:szCs w:val="18"/>
              </w:rPr>
              <w:t>12</w:t>
            </w:r>
          </w:p>
        </w:tc>
        <w:tc>
          <w:tcPr>
            <w:tcW w:w="738" w:type="pct"/>
            <w:noWrap/>
            <w:hideMark/>
          </w:tcPr>
          <w:p w:rsidR="00C55233" w:rsidRPr="00CB2FCF" w:rsidRDefault="00C55233" w:rsidP="00C55233">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CB2FCF">
              <w:rPr>
                <w:rFonts w:ascii="Times New Roman" w:hAnsi="Times New Roman"/>
                <w:sz w:val="18"/>
                <w:szCs w:val="18"/>
              </w:rPr>
              <w:t>9</w:t>
            </w:r>
          </w:p>
        </w:tc>
      </w:tr>
      <w:tr w:rsidR="00C55233" w:rsidRPr="00CB2FCF" w:rsidTr="00E841D1">
        <w:trPr>
          <w:trHeight w:val="213"/>
          <w:jc w:val="center"/>
        </w:trPr>
        <w:tc>
          <w:tcPr>
            <w:cnfStyle w:val="001000000000" w:firstRow="0" w:lastRow="0" w:firstColumn="1" w:lastColumn="0" w:oddVBand="0" w:evenVBand="0" w:oddHBand="0" w:evenHBand="0" w:firstRowFirstColumn="0" w:firstRowLastColumn="0" w:lastRowFirstColumn="0" w:lastRowLastColumn="0"/>
            <w:tcW w:w="279" w:type="pct"/>
            <w:noWrap/>
            <w:hideMark/>
          </w:tcPr>
          <w:p w:rsidR="00C55233" w:rsidRPr="00CB2FCF" w:rsidRDefault="00C55233" w:rsidP="00C55233">
            <w:pPr>
              <w:spacing w:before="0" w:line="240" w:lineRule="auto"/>
              <w:jc w:val="center"/>
              <w:rPr>
                <w:rFonts w:cs="Calibri"/>
                <w:sz w:val="18"/>
                <w:lang w:val="sq-AL"/>
              </w:rPr>
            </w:pPr>
            <w:r w:rsidRPr="00CB2FCF">
              <w:rPr>
                <w:rFonts w:cs="Calibri"/>
                <w:sz w:val="18"/>
                <w:lang w:val="sq-AL"/>
              </w:rPr>
              <w:t>8</w:t>
            </w:r>
          </w:p>
        </w:tc>
        <w:tc>
          <w:tcPr>
            <w:tcW w:w="1950" w:type="pct"/>
            <w:hideMark/>
          </w:tcPr>
          <w:p w:rsidR="00C55233" w:rsidRPr="00CB2FCF" w:rsidRDefault="00C55233" w:rsidP="00C55233">
            <w:pPr>
              <w:spacing w:before="0" w:line="240" w:lineRule="auto"/>
              <w:cnfStyle w:val="000000000000" w:firstRow="0" w:lastRow="0" w:firstColumn="0" w:lastColumn="0" w:oddVBand="0" w:evenVBand="0" w:oddHBand="0" w:evenHBand="0" w:firstRowFirstColumn="0" w:firstRowLastColumn="0" w:lastRowFirstColumn="0" w:lastRowLastColumn="0"/>
              <w:rPr>
                <w:rFonts w:cs="Calibri"/>
                <w:b/>
                <w:bCs/>
                <w:sz w:val="18"/>
                <w:szCs w:val="18"/>
                <w:lang w:val="sq-AL"/>
              </w:rPr>
            </w:pPr>
            <w:r w:rsidRPr="00CB2FCF">
              <w:rPr>
                <w:rFonts w:cs="Calibri"/>
                <w:b/>
                <w:bCs/>
                <w:sz w:val="18"/>
                <w:szCs w:val="18"/>
                <w:lang w:val="sq-AL"/>
              </w:rPr>
              <w:t>Ministria per Evropen dhe Punet e Jashtme</w:t>
            </w:r>
          </w:p>
        </w:tc>
        <w:tc>
          <w:tcPr>
            <w:tcW w:w="678" w:type="pct"/>
            <w:noWrap/>
            <w:hideMark/>
          </w:tcPr>
          <w:p w:rsidR="00C55233" w:rsidRPr="00CB2FCF" w:rsidRDefault="00C55233" w:rsidP="00C5523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CB2FCF">
              <w:rPr>
                <w:rFonts w:ascii="Times New Roman" w:hAnsi="Times New Roman"/>
                <w:sz w:val="18"/>
                <w:szCs w:val="18"/>
              </w:rPr>
              <w:t>35</w:t>
            </w:r>
          </w:p>
        </w:tc>
        <w:tc>
          <w:tcPr>
            <w:tcW w:w="678" w:type="pct"/>
            <w:noWrap/>
            <w:hideMark/>
          </w:tcPr>
          <w:p w:rsidR="00C55233" w:rsidRPr="00CB2FCF" w:rsidRDefault="00C55233" w:rsidP="00C5523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CB2FCF">
              <w:rPr>
                <w:rFonts w:ascii="Times New Roman" w:hAnsi="Times New Roman"/>
                <w:sz w:val="18"/>
                <w:szCs w:val="18"/>
              </w:rPr>
              <w:t>22</w:t>
            </w:r>
          </w:p>
        </w:tc>
        <w:tc>
          <w:tcPr>
            <w:tcW w:w="677" w:type="pct"/>
            <w:noWrap/>
            <w:hideMark/>
          </w:tcPr>
          <w:p w:rsidR="00C55233" w:rsidRPr="00CB2FCF" w:rsidRDefault="00C55233" w:rsidP="00C5523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CB2FCF">
              <w:rPr>
                <w:rFonts w:ascii="Times New Roman" w:hAnsi="Times New Roman"/>
                <w:sz w:val="18"/>
                <w:szCs w:val="18"/>
              </w:rPr>
              <w:t>7</w:t>
            </w:r>
          </w:p>
        </w:tc>
        <w:tc>
          <w:tcPr>
            <w:tcW w:w="738" w:type="pct"/>
            <w:noWrap/>
            <w:hideMark/>
          </w:tcPr>
          <w:p w:rsidR="00C55233" w:rsidRPr="00CB2FCF" w:rsidRDefault="00C55233" w:rsidP="00C5523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CB2FCF">
              <w:rPr>
                <w:rFonts w:ascii="Times New Roman" w:hAnsi="Times New Roman"/>
                <w:sz w:val="18"/>
                <w:szCs w:val="18"/>
              </w:rPr>
              <w:t>6</w:t>
            </w:r>
          </w:p>
        </w:tc>
      </w:tr>
      <w:tr w:rsidR="00C55233" w:rsidRPr="00CB2FCF" w:rsidTr="00E841D1">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279" w:type="pct"/>
            <w:noWrap/>
            <w:hideMark/>
          </w:tcPr>
          <w:p w:rsidR="00C55233" w:rsidRPr="00CB2FCF" w:rsidRDefault="00C55233" w:rsidP="00C55233">
            <w:pPr>
              <w:spacing w:before="0" w:line="240" w:lineRule="auto"/>
              <w:jc w:val="center"/>
              <w:rPr>
                <w:rFonts w:cs="Calibri"/>
                <w:sz w:val="18"/>
                <w:lang w:val="sq-AL"/>
              </w:rPr>
            </w:pPr>
            <w:r w:rsidRPr="00CB2FCF">
              <w:rPr>
                <w:rFonts w:cs="Calibri"/>
                <w:sz w:val="18"/>
                <w:lang w:val="sq-AL"/>
              </w:rPr>
              <w:t>9</w:t>
            </w:r>
          </w:p>
        </w:tc>
        <w:tc>
          <w:tcPr>
            <w:tcW w:w="1950" w:type="pct"/>
            <w:hideMark/>
          </w:tcPr>
          <w:p w:rsidR="00C55233" w:rsidRPr="00CB2FCF" w:rsidRDefault="00C55233" w:rsidP="00C55233">
            <w:pPr>
              <w:spacing w:before="0" w:line="240" w:lineRule="auto"/>
              <w:cnfStyle w:val="000000100000" w:firstRow="0" w:lastRow="0" w:firstColumn="0" w:lastColumn="0" w:oddVBand="0" w:evenVBand="0" w:oddHBand="1" w:evenHBand="0" w:firstRowFirstColumn="0" w:firstRowLastColumn="0" w:lastRowFirstColumn="0" w:lastRowLastColumn="0"/>
              <w:rPr>
                <w:rFonts w:cs="Calibri"/>
                <w:b/>
                <w:bCs/>
                <w:sz w:val="18"/>
                <w:szCs w:val="18"/>
                <w:lang w:val="sq-AL"/>
              </w:rPr>
            </w:pPr>
            <w:r w:rsidRPr="00CB2FCF">
              <w:rPr>
                <w:rFonts w:cs="Calibri"/>
                <w:b/>
                <w:bCs/>
                <w:sz w:val="18"/>
                <w:szCs w:val="18"/>
                <w:lang w:val="sq-AL"/>
              </w:rPr>
              <w:t>Ministria e Brendshme</w:t>
            </w:r>
          </w:p>
        </w:tc>
        <w:tc>
          <w:tcPr>
            <w:tcW w:w="678" w:type="pct"/>
            <w:shd w:val="clear" w:color="auto" w:fill="FFFFFF" w:themeFill="background1"/>
            <w:noWrap/>
            <w:hideMark/>
          </w:tcPr>
          <w:p w:rsidR="00C55233" w:rsidRPr="00CB2FCF" w:rsidRDefault="00C55233" w:rsidP="00C55233">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18"/>
                <w:lang w:val="sq-AL"/>
              </w:rPr>
            </w:pPr>
            <w:r w:rsidRPr="00CB2FCF">
              <w:rPr>
                <w:rFonts w:cs="Calibri"/>
                <w:sz w:val="18"/>
                <w:szCs w:val="18"/>
                <w:lang w:val="sq-AL"/>
              </w:rPr>
              <w:t>93</w:t>
            </w:r>
          </w:p>
        </w:tc>
        <w:tc>
          <w:tcPr>
            <w:tcW w:w="678" w:type="pct"/>
            <w:shd w:val="clear" w:color="auto" w:fill="FFFFFF" w:themeFill="background1"/>
            <w:noWrap/>
            <w:hideMark/>
          </w:tcPr>
          <w:p w:rsidR="00C55233" w:rsidRPr="00CB2FCF" w:rsidRDefault="00C55233" w:rsidP="00C55233">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18"/>
                <w:lang w:val="sq-AL"/>
              </w:rPr>
            </w:pPr>
            <w:r w:rsidRPr="00CB2FCF">
              <w:rPr>
                <w:rFonts w:cs="Calibri"/>
                <w:sz w:val="18"/>
                <w:szCs w:val="18"/>
                <w:lang w:val="sq-AL"/>
              </w:rPr>
              <w:t>88</w:t>
            </w:r>
          </w:p>
        </w:tc>
        <w:tc>
          <w:tcPr>
            <w:tcW w:w="677" w:type="pct"/>
            <w:shd w:val="clear" w:color="auto" w:fill="FFFFFF" w:themeFill="background1"/>
            <w:noWrap/>
            <w:hideMark/>
          </w:tcPr>
          <w:p w:rsidR="00C55233" w:rsidRPr="00CB2FCF" w:rsidRDefault="00C55233" w:rsidP="00C55233">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18"/>
                <w:lang w:val="sq-AL"/>
              </w:rPr>
            </w:pPr>
            <w:r w:rsidRPr="00CB2FCF">
              <w:rPr>
                <w:rFonts w:cs="Calibri"/>
                <w:sz w:val="18"/>
                <w:szCs w:val="18"/>
                <w:lang w:val="sq-AL"/>
              </w:rPr>
              <w:t>5</w:t>
            </w:r>
          </w:p>
        </w:tc>
        <w:tc>
          <w:tcPr>
            <w:tcW w:w="738" w:type="pct"/>
            <w:shd w:val="clear" w:color="auto" w:fill="FFFFFF" w:themeFill="background1"/>
            <w:noWrap/>
            <w:hideMark/>
          </w:tcPr>
          <w:p w:rsidR="00C55233" w:rsidRPr="00CB2FCF" w:rsidRDefault="00C55233" w:rsidP="00C55233">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18"/>
                <w:lang w:val="sq-AL"/>
              </w:rPr>
            </w:pPr>
            <w:r w:rsidRPr="00CB2FCF">
              <w:rPr>
                <w:rFonts w:cs="Calibri"/>
                <w:sz w:val="18"/>
                <w:szCs w:val="18"/>
                <w:lang w:val="sq-AL"/>
              </w:rPr>
              <w:t>0</w:t>
            </w:r>
          </w:p>
        </w:tc>
      </w:tr>
      <w:tr w:rsidR="00C55233" w:rsidRPr="00CB2FCF" w:rsidTr="00E841D1">
        <w:trPr>
          <w:trHeight w:val="213"/>
          <w:jc w:val="center"/>
        </w:trPr>
        <w:tc>
          <w:tcPr>
            <w:cnfStyle w:val="001000000000" w:firstRow="0" w:lastRow="0" w:firstColumn="1" w:lastColumn="0" w:oddVBand="0" w:evenVBand="0" w:oddHBand="0" w:evenHBand="0" w:firstRowFirstColumn="0" w:firstRowLastColumn="0" w:lastRowFirstColumn="0" w:lastRowLastColumn="0"/>
            <w:tcW w:w="279" w:type="pct"/>
            <w:noWrap/>
            <w:hideMark/>
          </w:tcPr>
          <w:p w:rsidR="00C55233" w:rsidRPr="00CB2FCF" w:rsidRDefault="00C55233" w:rsidP="00C55233">
            <w:pPr>
              <w:spacing w:before="0" w:line="240" w:lineRule="auto"/>
              <w:jc w:val="center"/>
              <w:rPr>
                <w:rFonts w:cs="Calibri"/>
                <w:sz w:val="18"/>
                <w:lang w:val="sq-AL"/>
              </w:rPr>
            </w:pPr>
            <w:r w:rsidRPr="00CB2FCF">
              <w:rPr>
                <w:rFonts w:cs="Calibri"/>
                <w:sz w:val="18"/>
                <w:lang w:val="sq-AL"/>
              </w:rPr>
              <w:t>10</w:t>
            </w:r>
          </w:p>
        </w:tc>
        <w:tc>
          <w:tcPr>
            <w:tcW w:w="1950" w:type="pct"/>
            <w:hideMark/>
          </w:tcPr>
          <w:p w:rsidR="00C55233" w:rsidRPr="00CB2FCF" w:rsidRDefault="00C55233" w:rsidP="00C55233">
            <w:pPr>
              <w:spacing w:before="0" w:line="240" w:lineRule="auto"/>
              <w:cnfStyle w:val="000000000000" w:firstRow="0" w:lastRow="0" w:firstColumn="0" w:lastColumn="0" w:oddVBand="0" w:evenVBand="0" w:oddHBand="0" w:evenHBand="0" w:firstRowFirstColumn="0" w:firstRowLastColumn="0" w:lastRowFirstColumn="0" w:lastRowLastColumn="0"/>
              <w:rPr>
                <w:rFonts w:cs="Calibri"/>
                <w:b/>
                <w:bCs/>
                <w:sz w:val="18"/>
                <w:szCs w:val="18"/>
                <w:lang w:val="sq-AL"/>
              </w:rPr>
            </w:pPr>
            <w:r w:rsidRPr="00CB2FCF">
              <w:rPr>
                <w:rFonts w:cs="Calibri"/>
                <w:b/>
                <w:bCs/>
                <w:sz w:val="18"/>
                <w:szCs w:val="18"/>
                <w:lang w:val="sq-AL"/>
              </w:rPr>
              <w:t>Ministria e Mbrojtjes</w:t>
            </w:r>
          </w:p>
        </w:tc>
        <w:tc>
          <w:tcPr>
            <w:tcW w:w="678" w:type="pct"/>
            <w:shd w:val="clear" w:color="auto" w:fill="FFFFFF" w:themeFill="background1"/>
            <w:noWrap/>
          </w:tcPr>
          <w:p w:rsidR="00C55233" w:rsidRPr="00CB2FCF" w:rsidRDefault="00C55233" w:rsidP="00C55233">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lang w:val="sq-AL"/>
              </w:rPr>
            </w:pPr>
            <w:r w:rsidRPr="00CB2FCF">
              <w:rPr>
                <w:rFonts w:cs="Calibri"/>
                <w:sz w:val="18"/>
                <w:lang w:val="sq-AL"/>
              </w:rPr>
              <w:t>102</w:t>
            </w:r>
          </w:p>
        </w:tc>
        <w:tc>
          <w:tcPr>
            <w:tcW w:w="678" w:type="pct"/>
            <w:shd w:val="clear" w:color="auto" w:fill="FFFFFF" w:themeFill="background1"/>
            <w:noWrap/>
          </w:tcPr>
          <w:p w:rsidR="00C55233" w:rsidRPr="00CB2FCF" w:rsidRDefault="00C55233" w:rsidP="00C55233">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lang w:val="sq-AL"/>
              </w:rPr>
            </w:pPr>
            <w:r w:rsidRPr="00CB2FCF">
              <w:rPr>
                <w:rFonts w:cs="Calibri"/>
                <w:sz w:val="18"/>
                <w:lang w:val="sq-AL"/>
              </w:rPr>
              <w:t>82</w:t>
            </w:r>
          </w:p>
        </w:tc>
        <w:tc>
          <w:tcPr>
            <w:tcW w:w="677" w:type="pct"/>
            <w:shd w:val="clear" w:color="auto" w:fill="FFFFFF" w:themeFill="background1"/>
            <w:noWrap/>
          </w:tcPr>
          <w:p w:rsidR="00C55233" w:rsidRPr="00CB2FCF" w:rsidRDefault="00C55233" w:rsidP="00C55233">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lang w:val="sq-AL"/>
              </w:rPr>
            </w:pPr>
            <w:r w:rsidRPr="00CB2FCF">
              <w:rPr>
                <w:rFonts w:cs="Calibri"/>
                <w:sz w:val="18"/>
                <w:lang w:val="sq-AL"/>
              </w:rPr>
              <w:t>13</w:t>
            </w:r>
          </w:p>
        </w:tc>
        <w:tc>
          <w:tcPr>
            <w:tcW w:w="738" w:type="pct"/>
            <w:shd w:val="clear" w:color="auto" w:fill="FFFFFF" w:themeFill="background1"/>
            <w:noWrap/>
          </w:tcPr>
          <w:p w:rsidR="00C55233" w:rsidRPr="00CB2FCF" w:rsidRDefault="00C55233" w:rsidP="00C55233">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lang w:val="sq-AL"/>
              </w:rPr>
            </w:pPr>
            <w:r w:rsidRPr="00CB2FCF">
              <w:rPr>
                <w:rFonts w:cs="Calibri"/>
                <w:sz w:val="18"/>
                <w:lang w:val="sq-AL"/>
              </w:rPr>
              <w:t>7</w:t>
            </w:r>
          </w:p>
        </w:tc>
      </w:tr>
      <w:tr w:rsidR="00C55233" w:rsidRPr="00CB2FCF" w:rsidTr="00E841D1">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279" w:type="pct"/>
            <w:noWrap/>
            <w:hideMark/>
          </w:tcPr>
          <w:p w:rsidR="00C55233" w:rsidRPr="00CB2FCF" w:rsidRDefault="00C55233" w:rsidP="00C55233">
            <w:pPr>
              <w:spacing w:before="0" w:line="240" w:lineRule="auto"/>
              <w:jc w:val="center"/>
              <w:rPr>
                <w:rFonts w:cs="Calibri"/>
                <w:sz w:val="18"/>
                <w:lang w:val="sq-AL"/>
              </w:rPr>
            </w:pPr>
            <w:r w:rsidRPr="00CB2FCF">
              <w:rPr>
                <w:rFonts w:cs="Calibri"/>
                <w:sz w:val="18"/>
                <w:lang w:val="sq-AL"/>
              </w:rPr>
              <w:t>11</w:t>
            </w:r>
          </w:p>
        </w:tc>
        <w:tc>
          <w:tcPr>
            <w:tcW w:w="1950" w:type="pct"/>
            <w:noWrap/>
            <w:hideMark/>
          </w:tcPr>
          <w:p w:rsidR="00C55233" w:rsidRPr="00CB2FCF" w:rsidRDefault="00C55233" w:rsidP="00C55233">
            <w:pPr>
              <w:spacing w:before="0" w:line="240" w:lineRule="auto"/>
              <w:cnfStyle w:val="000000100000" w:firstRow="0" w:lastRow="0" w:firstColumn="0" w:lastColumn="0" w:oddVBand="0" w:evenVBand="0" w:oddHBand="1" w:evenHBand="0" w:firstRowFirstColumn="0" w:firstRowLastColumn="0" w:lastRowFirstColumn="0" w:lastRowLastColumn="0"/>
              <w:rPr>
                <w:rFonts w:cs="Calibri"/>
                <w:b/>
                <w:bCs/>
                <w:sz w:val="18"/>
                <w:szCs w:val="18"/>
                <w:lang w:val="sq-AL"/>
              </w:rPr>
            </w:pPr>
            <w:r w:rsidRPr="00CB2FCF">
              <w:rPr>
                <w:rFonts w:cs="Calibri"/>
                <w:b/>
                <w:bCs/>
                <w:sz w:val="18"/>
                <w:szCs w:val="18"/>
                <w:lang w:val="sq-AL"/>
              </w:rPr>
              <w:t>Ministria e Turizmit dhe Mjedisit</w:t>
            </w:r>
          </w:p>
        </w:tc>
        <w:tc>
          <w:tcPr>
            <w:tcW w:w="678" w:type="pct"/>
            <w:shd w:val="clear" w:color="auto" w:fill="FFFFFF" w:themeFill="background1"/>
            <w:noWrap/>
            <w:hideMark/>
          </w:tcPr>
          <w:p w:rsidR="00C55233" w:rsidRPr="00CB2FCF" w:rsidRDefault="00C55233" w:rsidP="00C55233">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18"/>
                <w:lang w:val="sq-AL"/>
              </w:rPr>
            </w:pPr>
            <w:r w:rsidRPr="00CB2FCF">
              <w:rPr>
                <w:rFonts w:cs="Calibri"/>
                <w:sz w:val="18"/>
                <w:szCs w:val="18"/>
                <w:lang w:val="sq-AL"/>
              </w:rPr>
              <w:t>47</w:t>
            </w:r>
          </w:p>
        </w:tc>
        <w:tc>
          <w:tcPr>
            <w:tcW w:w="678" w:type="pct"/>
            <w:shd w:val="clear" w:color="auto" w:fill="FFFFFF" w:themeFill="background1"/>
            <w:noWrap/>
            <w:hideMark/>
          </w:tcPr>
          <w:p w:rsidR="00C55233" w:rsidRPr="00CB2FCF" w:rsidRDefault="00C55233" w:rsidP="00C55233">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18"/>
                <w:lang w:val="sq-AL"/>
              </w:rPr>
            </w:pPr>
            <w:r w:rsidRPr="00CB2FCF">
              <w:rPr>
                <w:rFonts w:cs="Calibri"/>
                <w:sz w:val="18"/>
                <w:szCs w:val="18"/>
                <w:lang w:val="sq-AL"/>
              </w:rPr>
              <w:t>44</w:t>
            </w:r>
          </w:p>
        </w:tc>
        <w:tc>
          <w:tcPr>
            <w:tcW w:w="677" w:type="pct"/>
            <w:shd w:val="clear" w:color="auto" w:fill="FFFFFF" w:themeFill="background1"/>
            <w:noWrap/>
            <w:hideMark/>
          </w:tcPr>
          <w:p w:rsidR="00C55233" w:rsidRPr="00CB2FCF" w:rsidRDefault="00C55233" w:rsidP="00C55233">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18"/>
                <w:lang w:val="sq-AL"/>
              </w:rPr>
            </w:pPr>
            <w:r w:rsidRPr="00CB2FCF">
              <w:rPr>
                <w:rFonts w:cs="Calibri"/>
                <w:sz w:val="18"/>
                <w:szCs w:val="18"/>
                <w:lang w:val="sq-AL"/>
              </w:rPr>
              <w:t>3</w:t>
            </w:r>
          </w:p>
        </w:tc>
        <w:tc>
          <w:tcPr>
            <w:tcW w:w="738" w:type="pct"/>
            <w:shd w:val="clear" w:color="auto" w:fill="FFFFFF" w:themeFill="background1"/>
            <w:noWrap/>
            <w:hideMark/>
          </w:tcPr>
          <w:p w:rsidR="00C55233" w:rsidRPr="00CB2FCF" w:rsidRDefault="00C55233" w:rsidP="00C55233">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18"/>
                <w:lang w:val="sq-AL"/>
              </w:rPr>
            </w:pPr>
            <w:r w:rsidRPr="00CB2FCF">
              <w:rPr>
                <w:rFonts w:cs="Calibri"/>
                <w:sz w:val="18"/>
                <w:szCs w:val="18"/>
                <w:lang w:val="sq-AL"/>
              </w:rPr>
              <w:t>0</w:t>
            </w:r>
          </w:p>
        </w:tc>
      </w:tr>
      <w:tr w:rsidR="00C55233" w:rsidRPr="00476D2E" w:rsidTr="00E841D1">
        <w:trPr>
          <w:trHeight w:val="224"/>
          <w:jc w:val="center"/>
        </w:trPr>
        <w:tc>
          <w:tcPr>
            <w:cnfStyle w:val="001000000000" w:firstRow="0" w:lastRow="0" w:firstColumn="1" w:lastColumn="0" w:oddVBand="0" w:evenVBand="0" w:oddHBand="0" w:evenHBand="0" w:firstRowFirstColumn="0" w:firstRowLastColumn="0" w:lastRowFirstColumn="0" w:lastRowLastColumn="0"/>
            <w:tcW w:w="279" w:type="pct"/>
            <w:noWrap/>
            <w:hideMark/>
          </w:tcPr>
          <w:p w:rsidR="00C55233" w:rsidRPr="00CB2FCF" w:rsidRDefault="00C55233" w:rsidP="00C55233">
            <w:pPr>
              <w:spacing w:before="0" w:line="240" w:lineRule="auto"/>
              <w:jc w:val="center"/>
              <w:rPr>
                <w:rFonts w:cs="Calibri"/>
                <w:sz w:val="18"/>
                <w:lang w:val="sq-AL"/>
              </w:rPr>
            </w:pPr>
            <w:r w:rsidRPr="00CB2FCF">
              <w:rPr>
                <w:rFonts w:cs="Calibri"/>
                <w:sz w:val="18"/>
                <w:lang w:val="sq-AL"/>
              </w:rPr>
              <w:t> </w:t>
            </w:r>
          </w:p>
        </w:tc>
        <w:tc>
          <w:tcPr>
            <w:tcW w:w="1950" w:type="pct"/>
            <w:noWrap/>
            <w:hideMark/>
          </w:tcPr>
          <w:p w:rsidR="00C55233" w:rsidRPr="00CB2FCF" w:rsidRDefault="00C55233" w:rsidP="00C5523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sz w:val="18"/>
                <w:lang w:val="sq-AL"/>
              </w:rPr>
            </w:pPr>
            <w:r w:rsidRPr="00CB2FCF">
              <w:rPr>
                <w:rFonts w:cs="Calibri"/>
                <w:b/>
                <w:bCs/>
                <w:sz w:val="18"/>
                <w:lang w:val="sq-AL"/>
              </w:rPr>
              <w:t>TOTALI</w:t>
            </w:r>
          </w:p>
        </w:tc>
        <w:tc>
          <w:tcPr>
            <w:tcW w:w="678" w:type="pct"/>
            <w:noWrap/>
          </w:tcPr>
          <w:p w:rsidR="00C55233" w:rsidRPr="00CB2FCF" w:rsidRDefault="00C55233" w:rsidP="00C55233">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sz w:val="18"/>
                <w:lang w:val="sq-AL"/>
              </w:rPr>
            </w:pPr>
            <w:r w:rsidRPr="00CB2FCF">
              <w:rPr>
                <w:rFonts w:cs="Calibri"/>
                <w:b/>
                <w:bCs/>
                <w:sz w:val="18"/>
                <w:lang w:val="sq-AL"/>
              </w:rPr>
              <w:t>867</w:t>
            </w:r>
          </w:p>
        </w:tc>
        <w:tc>
          <w:tcPr>
            <w:tcW w:w="678" w:type="pct"/>
            <w:noWrap/>
          </w:tcPr>
          <w:p w:rsidR="00C55233" w:rsidRPr="00CB2FCF" w:rsidRDefault="00C55233" w:rsidP="00C55233">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sz w:val="18"/>
                <w:lang w:val="sq-AL"/>
              </w:rPr>
            </w:pPr>
            <w:r w:rsidRPr="00CB2FCF">
              <w:rPr>
                <w:rFonts w:cs="Calibri"/>
                <w:b/>
                <w:bCs/>
                <w:sz w:val="18"/>
                <w:lang w:val="sq-AL"/>
              </w:rPr>
              <w:t>618</w:t>
            </w:r>
          </w:p>
        </w:tc>
        <w:tc>
          <w:tcPr>
            <w:tcW w:w="677" w:type="pct"/>
            <w:noWrap/>
          </w:tcPr>
          <w:p w:rsidR="00C55233" w:rsidRPr="00CB2FCF" w:rsidRDefault="00C55233" w:rsidP="00C55233">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sz w:val="18"/>
                <w:lang w:val="sq-AL"/>
              </w:rPr>
            </w:pPr>
            <w:r w:rsidRPr="00CB2FCF">
              <w:rPr>
                <w:rFonts w:cs="Calibri"/>
                <w:b/>
                <w:bCs/>
                <w:sz w:val="18"/>
                <w:lang w:val="sq-AL"/>
              </w:rPr>
              <w:t>162</w:t>
            </w:r>
          </w:p>
        </w:tc>
        <w:tc>
          <w:tcPr>
            <w:tcW w:w="738" w:type="pct"/>
            <w:noWrap/>
          </w:tcPr>
          <w:p w:rsidR="00C55233" w:rsidRPr="00476D2E" w:rsidRDefault="00C55233" w:rsidP="00C55233">
            <w:pPr>
              <w:keepNext/>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sz w:val="18"/>
                <w:lang w:val="sq-AL"/>
              </w:rPr>
            </w:pPr>
            <w:r w:rsidRPr="00CB2FCF">
              <w:rPr>
                <w:rFonts w:cs="Calibri"/>
                <w:b/>
                <w:bCs/>
                <w:sz w:val="18"/>
                <w:lang w:val="sq-AL"/>
              </w:rPr>
              <w:t>87</w:t>
            </w:r>
          </w:p>
        </w:tc>
      </w:tr>
    </w:tbl>
    <w:p w:rsidR="007B7B50" w:rsidRDefault="007B7B50" w:rsidP="007B7B50">
      <w:pPr>
        <w:pStyle w:val="Caption"/>
        <w:spacing w:after="0"/>
        <w:rPr>
          <w:rFonts w:cs="Calibri"/>
          <w:lang w:val="sq-AL"/>
        </w:rPr>
      </w:pPr>
      <w:bookmarkStart w:id="233" w:name="_Toc104984092"/>
      <w:r w:rsidRPr="00476D2E">
        <w:rPr>
          <w:rFonts w:cs="Calibri"/>
          <w:lang w:val="sq-AL"/>
        </w:rPr>
        <w:t xml:space="preserve">Tabela </w:t>
      </w:r>
      <w:r w:rsidRPr="00476D2E">
        <w:rPr>
          <w:rFonts w:cs="Calibri"/>
          <w:lang w:val="sq-AL"/>
        </w:rPr>
        <w:fldChar w:fldCharType="begin"/>
      </w:r>
      <w:r w:rsidRPr="00476D2E">
        <w:rPr>
          <w:rFonts w:cs="Calibri"/>
          <w:lang w:val="sq-AL"/>
        </w:rPr>
        <w:instrText xml:space="preserve"> SEQ Tabela \* ARABIC </w:instrText>
      </w:r>
      <w:r w:rsidRPr="00476D2E">
        <w:rPr>
          <w:rFonts w:cs="Calibri"/>
          <w:lang w:val="sq-AL"/>
        </w:rPr>
        <w:fldChar w:fldCharType="separate"/>
      </w:r>
      <w:r w:rsidR="00276062">
        <w:rPr>
          <w:rFonts w:cs="Calibri"/>
          <w:noProof/>
          <w:lang w:val="sq-AL"/>
        </w:rPr>
        <w:t>20</w:t>
      </w:r>
      <w:r w:rsidRPr="00476D2E">
        <w:rPr>
          <w:rFonts w:cs="Calibri"/>
          <w:noProof/>
          <w:lang w:val="sq-AL"/>
        </w:rPr>
        <w:fldChar w:fldCharType="end"/>
      </w:r>
      <w:r w:rsidRPr="00476D2E">
        <w:rPr>
          <w:rFonts w:cs="Calibri"/>
          <w:lang w:val="sq-AL"/>
        </w:rPr>
        <w:t xml:space="preserve"> Realizimi i buxhetit 202</w:t>
      </w:r>
      <w:r w:rsidR="009B6FF6">
        <w:rPr>
          <w:rFonts w:cs="Calibri"/>
          <w:lang w:val="sq-AL"/>
        </w:rPr>
        <w:t>1</w:t>
      </w:r>
      <w:r w:rsidRPr="00476D2E">
        <w:rPr>
          <w:rFonts w:cs="Calibri"/>
          <w:lang w:val="sq-AL"/>
        </w:rPr>
        <w:t xml:space="preserve"> në disa institucione kryesore qendrore</w:t>
      </w:r>
      <w:bookmarkEnd w:id="233"/>
    </w:p>
    <w:tbl>
      <w:tblPr>
        <w:tblW w:w="5193" w:type="pct"/>
        <w:jc w:val="center"/>
        <w:tblLook w:val="04A0" w:firstRow="1" w:lastRow="0" w:firstColumn="1" w:lastColumn="0" w:noHBand="0" w:noVBand="1"/>
      </w:tblPr>
      <w:tblGrid>
        <w:gridCol w:w="2455"/>
        <w:gridCol w:w="1015"/>
        <w:gridCol w:w="1015"/>
        <w:gridCol w:w="1015"/>
        <w:gridCol w:w="1015"/>
        <w:gridCol w:w="1015"/>
        <w:gridCol w:w="1015"/>
        <w:gridCol w:w="952"/>
        <w:gridCol w:w="1009"/>
      </w:tblGrid>
      <w:tr w:rsidR="00C55233" w:rsidRPr="00476D2E" w:rsidTr="00E841D1">
        <w:trPr>
          <w:trHeight w:val="173"/>
          <w:jc w:val="center"/>
        </w:trPr>
        <w:tc>
          <w:tcPr>
            <w:tcW w:w="1169" w:type="pct"/>
            <w:tcBorders>
              <w:top w:val="single" w:sz="8" w:space="0" w:color="4472C4"/>
              <w:left w:val="single" w:sz="8" w:space="0" w:color="4472C4"/>
              <w:right w:val="nil"/>
            </w:tcBorders>
            <w:shd w:val="clear" w:color="000000" w:fill="0B5294" w:themeFill="accent1" w:themeFillShade="BF"/>
            <w:vAlign w:val="center"/>
            <w:hideMark/>
          </w:tcPr>
          <w:p w:rsidR="00C55233" w:rsidRPr="00476D2E" w:rsidRDefault="00C55233" w:rsidP="00C55233">
            <w:pPr>
              <w:spacing w:before="0" w:line="240" w:lineRule="auto"/>
              <w:jc w:val="center"/>
              <w:rPr>
                <w:rFonts w:cs="Calibri"/>
                <w:b/>
                <w:bCs/>
                <w:color w:val="FFFFFF"/>
                <w:sz w:val="16"/>
                <w:szCs w:val="16"/>
              </w:rPr>
            </w:pPr>
            <w:r w:rsidRPr="00476D2E">
              <w:rPr>
                <w:rFonts w:cs="Calibri"/>
                <w:b/>
                <w:bCs/>
                <w:color w:val="FFFFFF"/>
                <w:sz w:val="16"/>
                <w:szCs w:val="16"/>
                <w:lang w:val="sq-AL"/>
              </w:rPr>
              <w:t> </w:t>
            </w:r>
          </w:p>
        </w:tc>
        <w:tc>
          <w:tcPr>
            <w:tcW w:w="483" w:type="pct"/>
            <w:tcBorders>
              <w:top w:val="single" w:sz="8" w:space="0" w:color="4472C4"/>
              <w:left w:val="nil"/>
              <w:right w:val="nil"/>
            </w:tcBorders>
            <w:shd w:val="clear" w:color="000000" w:fill="0B5294" w:themeFill="accent1" w:themeFillShade="BF"/>
            <w:vAlign w:val="center"/>
            <w:hideMark/>
          </w:tcPr>
          <w:p w:rsidR="00C55233" w:rsidRPr="00476D2E" w:rsidRDefault="00C55233" w:rsidP="00C55233">
            <w:pPr>
              <w:spacing w:before="0" w:line="240" w:lineRule="auto"/>
              <w:jc w:val="center"/>
              <w:rPr>
                <w:rFonts w:cs="Calibri"/>
                <w:b/>
                <w:bCs/>
                <w:color w:val="FFFFFF" w:themeColor="background1"/>
                <w:sz w:val="16"/>
                <w:szCs w:val="16"/>
              </w:rPr>
            </w:pPr>
            <w:r w:rsidRPr="00476D2E">
              <w:rPr>
                <w:rFonts w:cs="Calibri"/>
                <w:b/>
                <w:bCs/>
                <w:color w:val="FFFFFF" w:themeColor="background1"/>
                <w:sz w:val="16"/>
                <w:szCs w:val="16"/>
                <w:lang w:val="sq-AL"/>
              </w:rPr>
              <w:t> </w:t>
            </w:r>
          </w:p>
        </w:tc>
        <w:tc>
          <w:tcPr>
            <w:tcW w:w="483" w:type="pct"/>
            <w:tcBorders>
              <w:top w:val="single" w:sz="8" w:space="0" w:color="4472C4"/>
              <w:left w:val="nil"/>
              <w:right w:val="nil"/>
            </w:tcBorders>
            <w:shd w:val="clear" w:color="000000" w:fill="0B5294" w:themeFill="accent1" w:themeFillShade="BF"/>
            <w:vAlign w:val="center"/>
            <w:hideMark/>
          </w:tcPr>
          <w:p w:rsidR="00C55233" w:rsidRPr="00476D2E" w:rsidRDefault="00C55233" w:rsidP="00C55233">
            <w:pPr>
              <w:spacing w:before="0" w:line="240" w:lineRule="auto"/>
              <w:jc w:val="center"/>
              <w:rPr>
                <w:rFonts w:cs="Calibri"/>
                <w:b/>
                <w:bCs/>
                <w:color w:val="FFFFFF" w:themeColor="background1"/>
                <w:sz w:val="16"/>
                <w:szCs w:val="16"/>
              </w:rPr>
            </w:pPr>
            <w:r w:rsidRPr="00476D2E">
              <w:rPr>
                <w:rFonts w:cs="Calibri"/>
                <w:b/>
                <w:bCs/>
                <w:color w:val="FFFFFF" w:themeColor="background1"/>
                <w:sz w:val="16"/>
                <w:szCs w:val="16"/>
                <w:lang w:val="sq-AL"/>
              </w:rPr>
              <w:t> </w:t>
            </w:r>
          </w:p>
        </w:tc>
        <w:tc>
          <w:tcPr>
            <w:tcW w:w="483" w:type="pct"/>
            <w:tcBorders>
              <w:top w:val="single" w:sz="8" w:space="0" w:color="4472C4"/>
              <w:left w:val="nil"/>
              <w:right w:val="nil"/>
            </w:tcBorders>
            <w:shd w:val="clear" w:color="000000" w:fill="0B5294" w:themeFill="accent1" w:themeFillShade="BF"/>
            <w:vAlign w:val="center"/>
            <w:hideMark/>
          </w:tcPr>
          <w:p w:rsidR="00C55233" w:rsidRPr="00476D2E" w:rsidRDefault="00C55233" w:rsidP="00C55233">
            <w:pPr>
              <w:spacing w:before="0" w:line="240" w:lineRule="auto"/>
              <w:jc w:val="center"/>
              <w:rPr>
                <w:rFonts w:cs="Calibri"/>
                <w:b/>
                <w:bCs/>
                <w:color w:val="FFFFFF" w:themeColor="background1"/>
                <w:sz w:val="16"/>
                <w:szCs w:val="16"/>
              </w:rPr>
            </w:pPr>
            <w:r w:rsidRPr="00476D2E">
              <w:rPr>
                <w:rFonts w:cs="Calibri"/>
                <w:b/>
                <w:bCs/>
                <w:color w:val="FFFFFF" w:themeColor="background1"/>
                <w:sz w:val="16"/>
                <w:szCs w:val="16"/>
                <w:lang w:val="sq-AL"/>
              </w:rPr>
              <w:t> </w:t>
            </w:r>
          </w:p>
        </w:tc>
        <w:tc>
          <w:tcPr>
            <w:tcW w:w="483" w:type="pct"/>
            <w:tcBorders>
              <w:top w:val="single" w:sz="8" w:space="0" w:color="4472C4"/>
              <w:left w:val="nil"/>
              <w:right w:val="nil"/>
            </w:tcBorders>
            <w:shd w:val="clear" w:color="000000" w:fill="0B5294" w:themeFill="accent1" w:themeFillShade="BF"/>
            <w:vAlign w:val="center"/>
            <w:hideMark/>
          </w:tcPr>
          <w:p w:rsidR="00C55233" w:rsidRPr="00476D2E" w:rsidRDefault="00C55233" w:rsidP="00C55233">
            <w:pPr>
              <w:spacing w:before="0" w:line="240" w:lineRule="auto"/>
              <w:jc w:val="center"/>
              <w:rPr>
                <w:rFonts w:cs="Calibri"/>
                <w:b/>
                <w:bCs/>
                <w:color w:val="FFFFFF" w:themeColor="background1"/>
                <w:sz w:val="16"/>
                <w:szCs w:val="16"/>
              </w:rPr>
            </w:pPr>
            <w:r w:rsidRPr="00476D2E">
              <w:rPr>
                <w:rFonts w:cs="Calibri"/>
                <w:b/>
                <w:bCs/>
                <w:color w:val="FFFFFF" w:themeColor="background1"/>
                <w:sz w:val="16"/>
                <w:szCs w:val="16"/>
                <w:lang w:val="sq-AL"/>
              </w:rPr>
              <w:t> </w:t>
            </w:r>
          </w:p>
        </w:tc>
        <w:tc>
          <w:tcPr>
            <w:tcW w:w="483" w:type="pct"/>
            <w:tcBorders>
              <w:top w:val="single" w:sz="8" w:space="0" w:color="4472C4"/>
              <w:left w:val="nil"/>
              <w:right w:val="nil"/>
            </w:tcBorders>
            <w:shd w:val="clear" w:color="000000" w:fill="0B5294" w:themeFill="accent1" w:themeFillShade="BF"/>
            <w:vAlign w:val="center"/>
            <w:hideMark/>
          </w:tcPr>
          <w:p w:rsidR="00C55233" w:rsidRPr="00476D2E" w:rsidRDefault="00C55233" w:rsidP="00C55233">
            <w:pPr>
              <w:spacing w:before="0" w:line="240" w:lineRule="auto"/>
              <w:jc w:val="center"/>
              <w:rPr>
                <w:rFonts w:cs="Calibri"/>
                <w:b/>
                <w:bCs/>
                <w:color w:val="FFFFFF" w:themeColor="background1"/>
                <w:sz w:val="16"/>
                <w:szCs w:val="16"/>
              </w:rPr>
            </w:pPr>
            <w:r w:rsidRPr="00476D2E">
              <w:rPr>
                <w:rFonts w:cs="Calibri"/>
                <w:b/>
                <w:bCs/>
                <w:color w:val="FFFFFF" w:themeColor="background1"/>
                <w:sz w:val="16"/>
                <w:szCs w:val="16"/>
                <w:lang w:val="sq-AL"/>
              </w:rPr>
              <w:t> </w:t>
            </w:r>
          </w:p>
        </w:tc>
        <w:tc>
          <w:tcPr>
            <w:tcW w:w="483" w:type="pct"/>
            <w:tcBorders>
              <w:top w:val="single" w:sz="8" w:space="0" w:color="4472C4"/>
              <w:left w:val="nil"/>
              <w:right w:val="nil"/>
            </w:tcBorders>
            <w:shd w:val="clear" w:color="000000" w:fill="0B5294" w:themeFill="accent1" w:themeFillShade="BF"/>
            <w:vAlign w:val="center"/>
            <w:hideMark/>
          </w:tcPr>
          <w:p w:rsidR="00C55233" w:rsidRPr="00476D2E" w:rsidRDefault="00C55233" w:rsidP="00C55233">
            <w:pPr>
              <w:spacing w:before="0" w:line="240" w:lineRule="auto"/>
              <w:jc w:val="center"/>
              <w:rPr>
                <w:rFonts w:cs="Calibri"/>
                <w:b/>
                <w:bCs/>
                <w:color w:val="FFFFFF" w:themeColor="background1"/>
                <w:sz w:val="16"/>
                <w:szCs w:val="16"/>
              </w:rPr>
            </w:pPr>
            <w:r w:rsidRPr="00476D2E">
              <w:rPr>
                <w:rFonts w:cs="Calibri"/>
                <w:b/>
                <w:bCs/>
                <w:color w:val="FFFFFF" w:themeColor="background1"/>
                <w:sz w:val="16"/>
                <w:szCs w:val="16"/>
                <w:lang w:val="sq-AL"/>
              </w:rPr>
              <w:t> </w:t>
            </w:r>
          </w:p>
        </w:tc>
        <w:tc>
          <w:tcPr>
            <w:tcW w:w="453" w:type="pct"/>
            <w:tcBorders>
              <w:top w:val="single" w:sz="8" w:space="0" w:color="4472C4"/>
              <w:left w:val="nil"/>
              <w:right w:val="nil"/>
            </w:tcBorders>
            <w:shd w:val="clear" w:color="000000" w:fill="0B5294" w:themeFill="accent1" w:themeFillShade="BF"/>
            <w:vAlign w:val="center"/>
            <w:hideMark/>
          </w:tcPr>
          <w:p w:rsidR="00C55233" w:rsidRPr="00476D2E" w:rsidRDefault="00C55233" w:rsidP="00C55233">
            <w:pPr>
              <w:spacing w:before="0" w:line="240" w:lineRule="auto"/>
              <w:jc w:val="center"/>
              <w:rPr>
                <w:rFonts w:cs="Calibri"/>
                <w:b/>
                <w:bCs/>
                <w:color w:val="FFFFFF" w:themeColor="background1"/>
                <w:sz w:val="16"/>
                <w:szCs w:val="16"/>
              </w:rPr>
            </w:pPr>
            <w:r w:rsidRPr="00476D2E">
              <w:rPr>
                <w:rFonts w:cs="Calibri"/>
                <w:b/>
                <w:bCs/>
                <w:color w:val="FFFFFF" w:themeColor="background1"/>
                <w:sz w:val="16"/>
                <w:szCs w:val="16"/>
                <w:lang w:val="sq-AL"/>
              </w:rPr>
              <w:t>Total</w:t>
            </w:r>
          </w:p>
        </w:tc>
        <w:tc>
          <w:tcPr>
            <w:tcW w:w="480" w:type="pct"/>
            <w:vMerge w:val="restart"/>
            <w:tcBorders>
              <w:top w:val="single" w:sz="8" w:space="0" w:color="4472C4"/>
              <w:left w:val="nil"/>
              <w:bottom w:val="single" w:sz="8" w:space="0" w:color="4472C4"/>
              <w:right w:val="single" w:sz="8" w:space="0" w:color="4472C4"/>
            </w:tcBorders>
            <w:shd w:val="clear" w:color="000000" w:fill="0B5294" w:themeFill="accent1" w:themeFillShade="BF"/>
            <w:vAlign w:val="center"/>
            <w:hideMark/>
          </w:tcPr>
          <w:p w:rsidR="00C55233" w:rsidRPr="00476D2E" w:rsidRDefault="00C55233" w:rsidP="00C55233">
            <w:pPr>
              <w:spacing w:before="0" w:line="240" w:lineRule="auto"/>
              <w:jc w:val="center"/>
              <w:rPr>
                <w:rFonts w:cs="Calibri"/>
                <w:b/>
                <w:bCs/>
                <w:color w:val="FFFFFF" w:themeColor="background1"/>
                <w:sz w:val="16"/>
                <w:szCs w:val="16"/>
              </w:rPr>
            </w:pPr>
            <w:r w:rsidRPr="00476D2E">
              <w:rPr>
                <w:rFonts w:cs="Calibri"/>
                <w:b/>
                <w:bCs/>
                <w:color w:val="FFFFFF" w:themeColor="background1"/>
                <w:sz w:val="16"/>
                <w:szCs w:val="16"/>
                <w:lang w:val="sq-AL"/>
              </w:rPr>
              <w:t>Fakti 202</w:t>
            </w:r>
            <w:r>
              <w:rPr>
                <w:rFonts w:cs="Calibri"/>
                <w:b/>
                <w:bCs/>
                <w:color w:val="FFFFFF" w:themeColor="background1"/>
                <w:sz w:val="16"/>
                <w:szCs w:val="16"/>
                <w:lang w:val="sq-AL"/>
              </w:rPr>
              <w:t>1</w:t>
            </w:r>
            <w:r w:rsidR="00CF1C75">
              <w:rPr>
                <w:rFonts w:cs="Calibri"/>
                <w:b/>
                <w:bCs/>
                <w:color w:val="FFFFFF" w:themeColor="background1"/>
                <w:sz w:val="16"/>
                <w:szCs w:val="16"/>
                <w:lang w:val="sq-AL"/>
              </w:rPr>
              <w:t xml:space="preserve"> </w:t>
            </w:r>
            <w:r w:rsidRPr="00476D2E">
              <w:rPr>
                <w:rFonts w:cs="Calibri"/>
                <w:b/>
                <w:bCs/>
                <w:color w:val="FFFFFF" w:themeColor="background1"/>
                <w:sz w:val="16"/>
                <w:szCs w:val="16"/>
                <w:lang w:val="sq-AL"/>
              </w:rPr>
              <w:t>/Fakti 20</w:t>
            </w:r>
            <w:r>
              <w:rPr>
                <w:rFonts w:cs="Calibri"/>
                <w:b/>
                <w:bCs/>
                <w:color w:val="FFFFFF" w:themeColor="background1"/>
                <w:sz w:val="16"/>
                <w:szCs w:val="16"/>
                <w:lang w:val="sq-AL"/>
              </w:rPr>
              <w:t>20</w:t>
            </w:r>
          </w:p>
        </w:tc>
      </w:tr>
      <w:tr w:rsidR="00C55233" w:rsidRPr="00476D2E" w:rsidTr="00E841D1">
        <w:trPr>
          <w:trHeight w:val="391"/>
          <w:jc w:val="center"/>
        </w:trPr>
        <w:tc>
          <w:tcPr>
            <w:tcW w:w="1169" w:type="pct"/>
            <w:tcBorders>
              <w:top w:val="nil"/>
              <w:left w:val="single" w:sz="8" w:space="0" w:color="4472C4"/>
              <w:bottom w:val="nil"/>
              <w:right w:val="nil"/>
            </w:tcBorders>
            <w:shd w:val="clear" w:color="000000" w:fill="0B5294" w:themeFill="accent1" w:themeFillShade="BF"/>
            <w:vAlign w:val="center"/>
            <w:hideMark/>
          </w:tcPr>
          <w:p w:rsidR="00C55233" w:rsidRPr="00476D2E" w:rsidRDefault="00C55233" w:rsidP="00C55233">
            <w:pPr>
              <w:spacing w:before="0" w:line="240" w:lineRule="auto"/>
              <w:jc w:val="center"/>
              <w:rPr>
                <w:rFonts w:cs="Calibri"/>
                <w:b/>
                <w:bCs/>
                <w:color w:val="FFFFFF"/>
                <w:sz w:val="8"/>
                <w:szCs w:val="8"/>
              </w:rPr>
            </w:pPr>
            <w:r w:rsidRPr="00476D2E">
              <w:rPr>
                <w:rFonts w:cs="Calibri"/>
                <w:b/>
                <w:bCs/>
                <w:color w:val="FFFFFF"/>
                <w:sz w:val="18"/>
                <w:szCs w:val="8"/>
                <w:lang w:val="sq-AL"/>
              </w:rPr>
              <w:t> Institucioni</w:t>
            </w:r>
          </w:p>
        </w:tc>
        <w:tc>
          <w:tcPr>
            <w:tcW w:w="483" w:type="pct"/>
            <w:tcBorders>
              <w:top w:val="nil"/>
              <w:left w:val="nil"/>
              <w:bottom w:val="nil"/>
              <w:right w:val="nil"/>
            </w:tcBorders>
            <w:shd w:val="clear" w:color="000000" w:fill="0B5294" w:themeFill="accent1" w:themeFillShade="BF"/>
            <w:vAlign w:val="center"/>
            <w:hideMark/>
          </w:tcPr>
          <w:p w:rsidR="00C55233" w:rsidRPr="00476D2E" w:rsidRDefault="00C55233" w:rsidP="00C55233">
            <w:pPr>
              <w:spacing w:before="0" w:line="240" w:lineRule="auto"/>
              <w:jc w:val="center"/>
              <w:rPr>
                <w:rFonts w:cs="Calibri"/>
                <w:b/>
                <w:bCs/>
                <w:color w:val="FFFFFF" w:themeColor="background1"/>
                <w:sz w:val="16"/>
                <w:szCs w:val="16"/>
                <w:lang w:val="sq-AL"/>
              </w:rPr>
            </w:pPr>
            <w:r w:rsidRPr="00476D2E">
              <w:rPr>
                <w:rFonts w:cs="Calibri"/>
                <w:b/>
                <w:bCs/>
                <w:color w:val="FFFFFF" w:themeColor="background1"/>
                <w:sz w:val="16"/>
                <w:szCs w:val="16"/>
                <w:lang w:val="sq-AL"/>
              </w:rPr>
              <w:t>202</w:t>
            </w:r>
            <w:r>
              <w:rPr>
                <w:rFonts w:cs="Calibri"/>
                <w:b/>
                <w:bCs/>
                <w:color w:val="FFFFFF" w:themeColor="background1"/>
                <w:sz w:val="16"/>
                <w:szCs w:val="16"/>
                <w:lang w:val="sq-AL"/>
              </w:rPr>
              <w:t>1</w:t>
            </w:r>
          </w:p>
          <w:p w:rsidR="00C55233" w:rsidRPr="00476D2E" w:rsidRDefault="00C55233" w:rsidP="00C55233">
            <w:pPr>
              <w:spacing w:before="0" w:line="240" w:lineRule="auto"/>
              <w:jc w:val="center"/>
              <w:rPr>
                <w:rFonts w:cs="Calibri"/>
                <w:b/>
                <w:bCs/>
                <w:color w:val="FFFFFF" w:themeColor="background1"/>
                <w:sz w:val="16"/>
                <w:szCs w:val="16"/>
              </w:rPr>
            </w:pPr>
            <w:r w:rsidRPr="00476D2E">
              <w:rPr>
                <w:rFonts w:cs="Calibri"/>
                <w:b/>
                <w:bCs/>
                <w:color w:val="FFFFFF" w:themeColor="background1"/>
                <w:sz w:val="16"/>
                <w:szCs w:val="16"/>
                <w:lang w:val="sq-AL"/>
              </w:rPr>
              <w:t>Plan fillestar</w:t>
            </w:r>
          </w:p>
        </w:tc>
        <w:tc>
          <w:tcPr>
            <w:tcW w:w="483" w:type="pct"/>
            <w:tcBorders>
              <w:top w:val="nil"/>
              <w:left w:val="nil"/>
              <w:bottom w:val="nil"/>
              <w:right w:val="nil"/>
            </w:tcBorders>
            <w:shd w:val="clear" w:color="000000" w:fill="0B5294" w:themeFill="accent1" w:themeFillShade="BF"/>
            <w:vAlign w:val="center"/>
            <w:hideMark/>
          </w:tcPr>
          <w:p w:rsidR="00C55233" w:rsidRPr="00476D2E" w:rsidRDefault="00C55233" w:rsidP="00C55233">
            <w:pPr>
              <w:spacing w:before="0" w:line="240" w:lineRule="auto"/>
              <w:jc w:val="center"/>
              <w:rPr>
                <w:rFonts w:cs="Calibri"/>
                <w:b/>
                <w:bCs/>
                <w:color w:val="FFFFFF" w:themeColor="background1"/>
                <w:sz w:val="16"/>
                <w:szCs w:val="16"/>
                <w:lang w:val="sq-AL"/>
              </w:rPr>
            </w:pPr>
            <w:r w:rsidRPr="00476D2E">
              <w:rPr>
                <w:rFonts w:cs="Calibri"/>
                <w:b/>
                <w:bCs/>
                <w:color w:val="FFFFFF" w:themeColor="background1"/>
                <w:sz w:val="16"/>
                <w:szCs w:val="16"/>
                <w:lang w:val="sq-AL"/>
              </w:rPr>
              <w:t>202</w:t>
            </w:r>
            <w:r>
              <w:rPr>
                <w:rFonts w:cs="Calibri"/>
                <w:b/>
                <w:bCs/>
                <w:color w:val="FFFFFF" w:themeColor="background1"/>
                <w:sz w:val="16"/>
                <w:szCs w:val="16"/>
                <w:lang w:val="sq-AL"/>
              </w:rPr>
              <w:t>1</w:t>
            </w:r>
          </w:p>
          <w:p w:rsidR="00C55233" w:rsidRPr="00476D2E" w:rsidRDefault="00C55233" w:rsidP="00C55233">
            <w:pPr>
              <w:spacing w:before="0" w:line="240" w:lineRule="auto"/>
              <w:jc w:val="center"/>
              <w:rPr>
                <w:rFonts w:cs="Calibri"/>
                <w:b/>
                <w:bCs/>
                <w:color w:val="FFFFFF" w:themeColor="background1"/>
                <w:sz w:val="16"/>
                <w:szCs w:val="16"/>
              </w:rPr>
            </w:pPr>
            <w:r w:rsidRPr="00476D2E">
              <w:rPr>
                <w:rFonts w:cs="Calibri"/>
                <w:b/>
                <w:bCs/>
                <w:color w:val="FFFFFF" w:themeColor="background1"/>
                <w:sz w:val="16"/>
                <w:szCs w:val="16"/>
                <w:lang w:val="sq-AL"/>
              </w:rPr>
              <w:t>Plan i rishikuar</w:t>
            </w:r>
          </w:p>
        </w:tc>
        <w:tc>
          <w:tcPr>
            <w:tcW w:w="483" w:type="pct"/>
            <w:tcBorders>
              <w:top w:val="nil"/>
              <w:left w:val="nil"/>
              <w:bottom w:val="nil"/>
              <w:right w:val="nil"/>
            </w:tcBorders>
            <w:shd w:val="clear" w:color="000000" w:fill="0B5294" w:themeFill="accent1" w:themeFillShade="BF"/>
            <w:vAlign w:val="center"/>
            <w:hideMark/>
          </w:tcPr>
          <w:p w:rsidR="00C55233" w:rsidRPr="00476D2E" w:rsidRDefault="00C55233" w:rsidP="00C55233">
            <w:pPr>
              <w:spacing w:before="0" w:line="240" w:lineRule="auto"/>
              <w:jc w:val="center"/>
              <w:rPr>
                <w:rFonts w:cs="Calibri"/>
                <w:b/>
                <w:bCs/>
                <w:color w:val="FFFFFF" w:themeColor="background1"/>
                <w:sz w:val="16"/>
                <w:szCs w:val="16"/>
                <w:lang w:val="sq-AL"/>
              </w:rPr>
            </w:pPr>
            <w:r w:rsidRPr="00476D2E">
              <w:rPr>
                <w:rFonts w:cs="Calibri"/>
                <w:b/>
                <w:bCs/>
                <w:color w:val="FFFFFF" w:themeColor="background1"/>
                <w:sz w:val="16"/>
                <w:szCs w:val="16"/>
                <w:lang w:val="sq-AL"/>
              </w:rPr>
              <w:t>202</w:t>
            </w:r>
            <w:r>
              <w:rPr>
                <w:rFonts w:cs="Calibri"/>
                <w:b/>
                <w:bCs/>
                <w:color w:val="FFFFFF" w:themeColor="background1"/>
                <w:sz w:val="16"/>
                <w:szCs w:val="16"/>
                <w:lang w:val="sq-AL"/>
              </w:rPr>
              <w:t>1</w:t>
            </w:r>
          </w:p>
          <w:p w:rsidR="00C55233" w:rsidRPr="00476D2E" w:rsidRDefault="00C55233" w:rsidP="00C55233">
            <w:pPr>
              <w:spacing w:before="0" w:line="240" w:lineRule="auto"/>
              <w:jc w:val="center"/>
              <w:rPr>
                <w:rFonts w:cs="Calibri"/>
                <w:b/>
                <w:bCs/>
                <w:color w:val="FFFFFF" w:themeColor="background1"/>
                <w:sz w:val="16"/>
                <w:szCs w:val="16"/>
              </w:rPr>
            </w:pPr>
            <w:r w:rsidRPr="00476D2E">
              <w:rPr>
                <w:rFonts w:cs="Calibri"/>
                <w:b/>
                <w:bCs/>
                <w:color w:val="FFFFFF" w:themeColor="background1"/>
                <w:sz w:val="16"/>
                <w:szCs w:val="16"/>
                <w:lang w:val="sq-AL"/>
              </w:rPr>
              <w:t>(fakt)</w:t>
            </w:r>
          </w:p>
        </w:tc>
        <w:tc>
          <w:tcPr>
            <w:tcW w:w="483" w:type="pct"/>
            <w:tcBorders>
              <w:top w:val="nil"/>
              <w:left w:val="nil"/>
              <w:bottom w:val="nil"/>
              <w:right w:val="nil"/>
            </w:tcBorders>
            <w:shd w:val="clear" w:color="000000" w:fill="0B5294" w:themeFill="accent1" w:themeFillShade="BF"/>
            <w:vAlign w:val="center"/>
            <w:hideMark/>
          </w:tcPr>
          <w:p w:rsidR="00C55233" w:rsidRPr="00476D2E" w:rsidRDefault="00C55233" w:rsidP="00C55233">
            <w:pPr>
              <w:spacing w:before="0" w:line="240" w:lineRule="auto"/>
              <w:jc w:val="center"/>
              <w:rPr>
                <w:rFonts w:cs="Calibri"/>
                <w:b/>
                <w:bCs/>
                <w:color w:val="FFFFFF" w:themeColor="background1"/>
                <w:sz w:val="16"/>
                <w:szCs w:val="16"/>
                <w:lang w:val="sq-AL"/>
              </w:rPr>
            </w:pPr>
            <w:r w:rsidRPr="00476D2E">
              <w:rPr>
                <w:rFonts w:cs="Calibri"/>
                <w:b/>
                <w:bCs/>
                <w:color w:val="FFFFFF" w:themeColor="background1"/>
                <w:sz w:val="16"/>
                <w:szCs w:val="16"/>
                <w:lang w:val="sq-AL"/>
              </w:rPr>
              <w:t>20</w:t>
            </w:r>
            <w:r>
              <w:rPr>
                <w:rFonts w:cs="Calibri"/>
                <w:b/>
                <w:bCs/>
                <w:color w:val="FFFFFF" w:themeColor="background1"/>
                <w:sz w:val="16"/>
                <w:szCs w:val="16"/>
                <w:lang w:val="sq-AL"/>
              </w:rPr>
              <w:t>20</w:t>
            </w:r>
            <w:r w:rsidRPr="00476D2E">
              <w:rPr>
                <w:rFonts w:cs="Calibri"/>
                <w:b/>
                <w:bCs/>
                <w:color w:val="FFFFFF" w:themeColor="background1"/>
                <w:sz w:val="16"/>
                <w:szCs w:val="16"/>
                <w:lang w:val="sq-AL"/>
              </w:rPr>
              <w:t xml:space="preserve"> </w:t>
            </w:r>
          </w:p>
          <w:p w:rsidR="00C55233" w:rsidRPr="00476D2E" w:rsidRDefault="00C55233" w:rsidP="00C55233">
            <w:pPr>
              <w:spacing w:before="0" w:line="240" w:lineRule="auto"/>
              <w:jc w:val="center"/>
              <w:rPr>
                <w:rFonts w:cs="Calibri"/>
                <w:b/>
                <w:bCs/>
                <w:color w:val="FFFFFF" w:themeColor="background1"/>
                <w:sz w:val="16"/>
                <w:szCs w:val="16"/>
              </w:rPr>
            </w:pPr>
            <w:r w:rsidRPr="00476D2E">
              <w:rPr>
                <w:rFonts w:cs="Calibri"/>
                <w:b/>
                <w:bCs/>
                <w:color w:val="FFFFFF" w:themeColor="background1"/>
                <w:sz w:val="16"/>
                <w:szCs w:val="16"/>
                <w:lang w:val="sq-AL"/>
              </w:rPr>
              <w:t>(fakt)</w:t>
            </w:r>
          </w:p>
        </w:tc>
        <w:tc>
          <w:tcPr>
            <w:tcW w:w="483" w:type="pct"/>
            <w:tcBorders>
              <w:top w:val="nil"/>
              <w:left w:val="nil"/>
              <w:bottom w:val="nil"/>
              <w:right w:val="nil"/>
            </w:tcBorders>
            <w:shd w:val="clear" w:color="000000" w:fill="0B5294" w:themeFill="accent1" w:themeFillShade="BF"/>
            <w:vAlign w:val="center"/>
            <w:hideMark/>
          </w:tcPr>
          <w:p w:rsidR="00C55233" w:rsidRPr="00476D2E" w:rsidRDefault="00C55233" w:rsidP="00C55233">
            <w:pPr>
              <w:spacing w:before="0" w:line="240" w:lineRule="auto"/>
              <w:jc w:val="center"/>
              <w:rPr>
                <w:rFonts w:cs="Calibri"/>
                <w:b/>
                <w:bCs/>
                <w:color w:val="FFFFFF" w:themeColor="background1"/>
                <w:sz w:val="16"/>
                <w:szCs w:val="16"/>
              </w:rPr>
            </w:pPr>
            <w:r w:rsidRPr="00476D2E">
              <w:rPr>
                <w:rFonts w:cs="Calibri"/>
                <w:b/>
                <w:bCs/>
                <w:color w:val="FFFFFF" w:themeColor="background1"/>
                <w:sz w:val="16"/>
                <w:szCs w:val="16"/>
                <w:lang w:val="sq-AL"/>
              </w:rPr>
              <w:t>Shpenzime korrente (fakt/plan)</w:t>
            </w:r>
          </w:p>
        </w:tc>
        <w:tc>
          <w:tcPr>
            <w:tcW w:w="483" w:type="pct"/>
            <w:tcBorders>
              <w:top w:val="nil"/>
              <w:left w:val="nil"/>
              <w:bottom w:val="nil"/>
              <w:right w:val="nil"/>
            </w:tcBorders>
            <w:shd w:val="clear" w:color="000000" w:fill="0B5294" w:themeFill="accent1" w:themeFillShade="BF"/>
            <w:vAlign w:val="center"/>
            <w:hideMark/>
          </w:tcPr>
          <w:p w:rsidR="00C55233" w:rsidRPr="00476D2E" w:rsidRDefault="00C55233" w:rsidP="00C55233">
            <w:pPr>
              <w:spacing w:before="0" w:line="240" w:lineRule="auto"/>
              <w:jc w:val="center"/>
              <w:rPr>
                <w:rFonts w:cs="Calibri"/>
                <w:b/>
                <w:bCs/>
                <w:color w:val="FFFFFF" w:themeColor="background1"/>
                <w:sz w:val="16"/>
                <w:szCs w:val="16"/>
              </w:rPr>
            </w:pPr>
            <w:r w:rsidRPr="00476D2E">
              <w:rPr>
                <w:rFonts w:cs="Calibri"/>
                <w:b/>
                <w:bCs/>
                <w:color w:val="FFFFFF" w:themeColor="background1"/>
                <w:sz w:val="16"/>
                <w:szCs w:val="16"/>
                <w:lang w:val="sq-AL"/>
              </w:rPr>
              <w:t>Shpenzime kapitale (fakt/plan)</w:t>
            </w:r>
          </w:p>
        </w:tc>
        <w:tc>
          <w:tcPr>
            <w:tcW w:w="453" w:type="pct"/>
            <w:tcBorders>
              <w:top w:val="nil"/>
              <w:left w:val="nil"/>
              <w:bottom w:val="nil"/>
              <w:right w:val="nil"/>
            </w:tcBorders>
            <w:shd w:val="clear" w:color="000000" w:fill="0B5294" w:themeFill="accent1" w:themeFillShade="BF"/>
            <w:vAlign w:val="center"/>
            <w:hideMark/>
          </w:tcPr>
          <w:p w:rsidR="00C55233" w:rsidRPr="00476D2E" w:rsidRDefault="00C55233" w:rsidP="00C55233">
            <w:pPr>
              <w:spacing w:before="0" w:line="240" w:lineRule="auto"/>
              <w:jc w:val="center"/>
              <w:rPr>
                <w:rFonts w:cs="Calibri"/>
                <w:b/>
                <w:bCs/>
                <w:color w:val="FFFFFF" w:themeColor="background1"/>
                <w:sz w:val="16"/>
                <w:szCs w:val="16"/>
                <w:lang w:val="sq-AL"/>
              </w:rPr>
            </w:pPr>
            <w:r w:rsidRPr="00476D2E">
              <w:rPr>
                <w:rFonts w:cs="Calibri"/>
                <w:b/>
                <w:bCs/>
                <w:color w:val="FFFFFF" w:themeColor="background1"/>
                <w:sz w:val="16"/>
                <w:szCs w:val="16"/>
                <w:lang w:val="sq-AL"/>
              </w:rPr>
              <w:t>Gjithsej</w:t>
            </w:r>
          </w:p>
          <w:p w:rsidR="00C55233" w:rsidRPr="00476D2E" w:rsidRDefault="00C55233" w:rsidP="00C55233">
            <w:pPr>
              <w:spacing w:before="0" w:line="240" w:lineRule="auto"/>
              <w:jc w:val="center"/>
              <w:rPr>
                <w:rFonts w:cs="Calibri"/>
                <w:b/>
                <w:bCs/>
                <w:color w:val="FFFFFF" w:themeColor="background1"/>
                <w:sz w:val="16"/>
                <w:szCs w:val="16"/>
              </w:rPr>
            </w:pPr>
            <w:r w:rsidRPr="00476D2E">
              <w:rPr>
                <w:rFonts w:cs="Calibri"/>
                <w:b/>
                <w:bCs/>
                <w:color w:val="FFFFFF" w:themeColor="background1"/>
                <w:sz w:val="16"/>
                <w:szCs w:val="16"/>
                <w:lang w:val="sq-AL"/>
              </w:rPr>
              <w:t>(fakt/plan 202</w:t>
            </w:r>
            <w:r>
              <w:rPr>
                <w:rFonts w:cs="Calibri"/>
                <w:b/>
                <w:bCs/>
                <w:color w:val="FFFFFF" w:themeColor="background1"/>
                <w:sz w:val="16"/>
                <w:szCs w:val="16"/>
                <w:lang w:val="sq-AL"/>
              </w:rPr>
              <w:t>1</w:t>
            </w:r>
            <w:r w:rsidRPr="00476D2E">
              <w:rPr>
                <w:rFonts w:cs="Calibri"/>
                <w:b/>
                <w:bCs/>
                <w:color w:val="FFFFFF" w:themeColor="background1"/>
                <w:sz w:val="16"/>
                <w:szCs w:val="16"/>
                <w:lang w:val="sq-AL"/>
              </w:rPr>
              <w:t>)</w:t>
            </w:r>
          </w:p>
        </w:tc>
        <w:tc>
          <w:tcPr>
            <w:tcW w:w="480" w:type="pct"/>
            <w:vMerge/>
            <w:tcBorders>
              <w:top w:val="single" w:sz="8" w:space="0" w:color="4472C4"/>
              <w:left w:val="nil"/>
              <w:bottom w:val="single" w:sz="8" w:space="0" w:color="4472C4"/>
              <w:right w:val="single" w:sz="8" w:space="0" w:color="4472C4"/>
            </w:tcBorders>
            <w:vAlign w:val="center"/>
            <w:hideMark/>
          </w:tcPr>
          <w:p w:rsidR="00C55233" w:rsidRPr="00476D2E" w:rsidRDefault="00C55233" w:rsidP="00C55233">
            <w:pPr>
              <w:spacing w:before="0" w:line="240" w:lineRule="auto"/>
              <w:rPr>
                <w:rFonts w:cs="Calibri"/>
                <w:b/>
                <w:bCs/>
                <w:color w:val="FFFFFF" w:themeColor="background1"/>
                <w:sz w:val="16"/>
                <w:szCs w:val="16"/>
              </w:rPr>
            </w:pPr>
          </w:p>
        </w:tc>
      </w:tr>
      <w:tr w:rsidR="00C55233" w:rsidRPr="00476D2E" w:rsidTr="00E841D1">
        <w:trPr>
          <w:trHeight w:val="181"/>
          <w:jc w:val="center"/>
        </w:trPr>
        <w:tc>
          <w:tcPr>
            <w:tcW w:w="1169" w:type="pct"/>
            <w:tcBorders>
              <w:top w:val="nil"/>
              <w:left w:val="single" w:sz="8" w:space="0" w:color="8EAADB"/>
              <w:bottom w:val="single" w:sz="8" w:space="0" w:color="8EAADB"/>
              <w:right w:val="single" w:sz="8" w:space="0" w:color="8EAADB"/>
            </w:tcBorders>
            <w:shd w:val="clear" w:color="000000" w:fill="D9E2F3"/>
            <w:vAlign w:val="center"/>
            <w:hideMark/>
          </w:tcPr>
          <w:p w:rsidR="00C55233" w:rsidRPr="00476D2E" w:rsidRDefault="00C55233" w:rsidP="00C55233">
            <w:pPr>
              <w:spacing w:before="0" w:line="240" w:lineRule="auto"/>
              <w:jc w:val="center"/>
              <w:rPr>
                <w:rFonts w:cs="Calibri"/>
                <w:b/>
                <w:bCs/>
                <w:sz w:val="16"/>
                <w:szCs w:val="16"/>
              </w:rPr>
            </w:pPr>
            <w:r w:rsidRPr="00476D2E">
              <w:rPr>
                <w:rFonts w:cs="Calibri"/>
                <w:b/>
                <w:bCs/>
                <w:sz w:val="16"/>
                <w:szCs w:val="16"/>
                <w:lang w:val="sq-AL"/>
              </w:rPr>
              <w:t>Presidenca</w:t>
            </w:r>
          </w:p>
        </w:tc>
        <w:tc>
          <w:tcPr>
            <w:tcW w:w="483" w:type="pct"/>
            <w:tcBorders>
              <w:top w:val="nil"/>
              <w:left w:val="nil"/>
              <w:bottom w:val="single" w:sz="8" w:space="0" w:color="92CDDC"/>
              <w:right w:val="single" w:sz="8" w:space="0" w:color="92CDDC"/>
            </w:tcBorders>
            <w:shd w:val="clear" w:color="000000" w:fill="DAEEF3"/>
            <w:noWrap/>
            <w:vAlign w:val="center"/>
            <w:hideMark/>
          </w:tcPr>
          <w:p w:rsidR="00C55233" w:rsidRPr="000C7CC4" w:rsidRDefault="00C55233" w:rsidP="00C55233">
            <w:pPr>
              <w:spacing w:before="0" w:line="240" w:lineRule="auto"/>
              <w:jc w:val="right"/>
              <w:rPr>
                <w:color w:val="002060"/>
                <w:sz w:val="16"/>
                <w:szCs w:val="16"/>
              </w:rPr>
            </w:pPr>
            <w:r w:rsidRPr="000C7CC4">
              <w:rPr>
                <w:color w:val="002060"/>
                <w:sz w:val="16"/>
                <w:szCs w:val="16"/>
              </w:rPr>
              <w:t>248,500</w:t>
            </w:r>
          </w:p>
        </w:tc>
        <w:tc>
          <w:tcPr>
            <w:tcW w:w="483" w:type="pct"/>
            <w:tcBorders>
              <w:top w:val="nil"/>
              <w:left w:val="nil"/>
              <w:bottom w:val="single" w:sz="8" w:space="0" w:color="92CDDC"/>
              <w:right w:val="single" w:sz="8" w:space="0" w:color="92CDDC"/>
            </w:tcBorders>
            <w:shd w:val="clear" w:color="000000" w:fill="DAEEF3"/>
            <w:noWrap/>
            <w:vAlign w:val="center"/>
            <w:hideMark/>
          </w:tcPr>
          <w:p w:rsidR="00C55233" w:rsidRPr="000C7CC4" w:rsidRDefault="00C55233" w:rsidP="00C55233">
            <w:pPr>
              <w:spacing w:before="0" w:line="240" w:lineRule="auto"/>
              <w:jc w:val="right"/>
              <w:rPr>
                <w:color w:val="002060"/>
                <w:sz w:val="16"/>
                <w:szCs w:val="16"/>
              </w:rPr>
            </w:pPr>
            <w:r w:rsidRPr="000C7CC4">
              <w:rPr>
                <w:color w:val="002060"/>
                <w:sz w:val="16"/>
                <w:szCs w:val="16"/>
              </w:rPr>
              <w:t>249,413</w:t>
            </w:r>
          </w:p>
        </w:tc>
        <w:tc>
          <w:tcPr>
            <w:tcW w:w="483" w:type="pct"/>
            <w:tcBorders>
              <w:top w:val="nil"/>
              <w:left w:val="nil"/>
              <w:bottom w:val="single" w:sz="8" w:space="0" w:color="92CDDC"/>
              <w:right w:val="single" w:sz="8" w:space="0" w:color="92CDDC"/>
            </w:tcBorders>
            <w:shd w:val="clear" w:color="000000" w:fill="DAEEF3"/>
            <w:noWrap/>
            <w:vAlign w:val="center"/>
            <w:hideMark/>
          </w:tcPr>
          <w:p w:rsidR="00C55233" w:rsidRPr="000C7CC4" w:rsidRDefault="00C55233" w:rsidP="00C55233">
            <w:pPr>
              <w:spacing w:before="0" w:line="240" w:lineRule="auto"/>
              <w:jc w:val="right"/>
              <w:rPr>
                <w:color w:val="002060"/>
                <w:sz w:val="16"/>
                <w:szCs w:val="16"/>
              </w:rPr>
            </w:pPr>
            <w:r w:rsidRPr="000C7CC4">
              <w:rPr>
                <w:color w:val="002060"/>
                <w:sz w:val="16"/>
                <w:szCs w:val="16"/>
              </w:rPr>
              <w:t>187,437</w:t>
            </w:r>
          </w:p>
        </w:tc>
        <w:tc>
          <w:tcPr>
            <w:tcW w:w="483" w:type="pct"/>
            <w:tcBorders>
              <w:top w:val="nil"/>
              <w:left w:val="nil"/>
              <w:bottom w:val="single" w:sz="8" w:space="0" w:color="92CDDC"/>
              <w:right w:val="single" w:sz="8" w:space="0" w:color="92CDDC"/>
            </w:tcBorders>
            <w:shd w:val="clear" w:color="000000" w:fill="DAEEF3"/>
            <w:noWrap/>
            <w:vAlign w:val="center"/>
            <w:hideMark/>
          </w:tcPr>
          <w:p w:rsidR="00C55233" w:rsidRPr="000C7CC4" w:rsidRDefault="00C55233" w:rsidP="00C55233">
            <w:pPr>
              <w:spacing w:before="0" w:line="240" w:lineRule="auto"/>
              <w:jc w:val="right"/>
              <w:rPr>
                <w:color w:val="002060"/>
                <w:sz w:val="16"/>
                <w:szCs w:val="16"/>
              </w:rPr>
            </w:pPr>
            <w:r w:rsidRPr="000C7CC4">
              <w:rPr>
                <w:color w:val="002060"/>
                <w:sz w:val="16"/>
                <w:szCs w:val="16"/>
              </w:rPr>
              <w:t>195,471</w:t>
            </w:r>
          </w:p>
        </w:tc>
        <w:tc>
          <w:tcPr>
            <w:tcW w:w="483" w:type="pct"/>
            <w:tcBorders>
              <w:top w:val="nil"/>
              <w:left w:val="nil"/>
              <w:bottom w:val="single" w:sz="8" w:space="0" w:color="92CDDC"/>
              <w:right w:val="single" w:sz="8" w:space="0" w:color="92CDDC"/>
            </w:tcBorders>
            <w:shd w:val="clear" w:color="000000" w:fill="DAEEF3"/>
            <w:noWrap/>
            <w:vAlign w:val="center"/>
            <w:hideMark/>
          </w:tcPr>
          <w:p w:rsidR="00C55233" w:rsidRPr="00C54473" w:rsidRDefault="00C55233" w:rsidP="00C55233">
            <w:pPr>
              <w:spacing w:before="0" w:line="240" w:lineRule="auto"/>
              <w:jc w:val="right"/>
              <w:rPr>
                <w:color w:val="002060"/>
                <w:sz w:val="16"/>
                <w:szCs w:val="16"/>
              </w:rPr>
            </w:pPr>
            <w:r w:rsidRPr="00C54473">
              <w:rPr>
                <w:color w:val="002060"/>
                <w:sz w:val="16"/>
                <w:szCs w:val="16"/>
              </w:rPr>
              <w:t>76%</w:t>
            </w:r>
          </w:p>
        </w:tc>
        <w:tc>
          <w:tcPr>
            <w:tcW w:w="483" w:type="pct"/>
            <w:tcBorders>
              <w:top w:val="nil"/>
              <w:left w:val="nil"/>
              <w:bottom w:val="single" w:sz="8" w:space="0" w:color="92CDDC"/>
              <w:right w:val="single" w:sz="8" w:space="0" w:color="92CDDC"/>
            </w:tcBorders>
            <w:shd w:val="clear" w:color="000000" w:fill="DAEEF3"/>
            <w:noWrap/>
            <w:vAlign w:val="center"/>
            <w:hideMark/>
          </w:tcPr>
          <w:p w:rsidR="00C55233" w:rsidRPr="00C54473" w:rsidRDefault="00C55233" w:rsidP="00C55233">
            <w:pPr>
              <w:spacing w:before="0" w:line="240" w:lineRule="auto"/>
              <w:jc w:val="right"/>
              <w:rPr>
                <w:color w:val="002060"/>
                <w:sz w:val="16"/>
                <w:szCs w:val="16"/>
              </w:rPr>
            </w:pPr>
            <w:r w:rsidRPr="00C54473">
              <w:rPr>
                <w:color w:val="002060"/>
                <w:sz w:val="16"/>
                <w:szCs w:val="16"/>
              </w:rPr>
              <w:t>51%</w:t>
            </w:r>
          </w:p>
        </w:tc>
        <w:tc>
          <w:tcPr>
            <w:tcW w:w="453" w:type="pct"/>
            <w:tcBorders>
              <w:top w:val="nil"/>
              <w:left w:val="nil"/>
              <w:bottom w:val="single" w:sz="8" w:space="0" w:color="92CDDC"/>
              <w:right w:val="single" w:sz="8" w:space="0" w:color="92CDDC"/>
            </w:tcBorders>
            <w:shd w:val="clear" w:color="000000" w:fill="DAEEF3"/>
            <w:noWrap/>
            <w:vAlign w:val="center"/>
            <w:hideMark/>
          </w:tcPr>
          <w:p w:rsidR="00C55233" w:rsidRPr="00C54473" w:rsidRDefault="00C55233" w:rsidP="00C55233">
            <w:pPr>
              <w:spacing w:before="0" w:line="240" w:lineRule="auto"/>
              <w:jc w:val="right"/>
              <w:rPr>
                <w:color w:val="002060"/>
                <w:sz w:val="16"/>
                <w:szCs w:val="16"/>
              </w:rPr>
            </w:pPr>
            <w:r w:rsidRPr="00C54473">
              <w:rPr>
                <w:color w:val="002060"/>
                <w:sz w:val="16"/>
                <w:szCs w:val="16"/>
              </w:rPr>
              <w:t>75%</w:t>
            </w:r>
          </w:p>
        </w:tc>
        <w:tc>
          <w:tcPr>
            <w:tcW w:w="480" w:type="pct"/>
            <w:tcBorders>
              <w:top w:val="nil"/>
              <w:left w:val="nil"/>
              <w:bottom w:val="single" w:sz="8" w:space="0" w:color="92CDDC"/>
              <w:right w:val="single" w:sz="8" w:space="0" w:color="92CDDC"/>
            </w:tcBorders>
            <w:shd w:val="clear" w:color="000000" w:fill="DAEEF3"/>
            <w:noWrap/>
            <w:vAlign w:val="center"/>
            <w:hideMark/>
          </w:tcPr>
          <w:p w:rsidR="00C55233" w:rsidRPr="00C54473" w:rsidRDefault="00C55233" w:rsidP="00C55233">
            <w:pPr>
              <w:spacing w:before="0" w:line="240" w:lineRule="auto"/>
              <w:jc w:val="right"/>
              <w:rPr>
                <w:color w:val="002060"/>
                <w:sz w:val="16"/>
                <w:szCs w:val="16"/>
              </w:rPr>
            </w:pPr>
            <w:r w:rsidRPr="00C54473">
              <w:rPr>
                <w:color w:val="002060"/>
                <w:sz w:val="16"/>
                <w:szCs w:val="16"/>
              </w:rPr>
              <w:t>96%</w:t>
            </w:r>
          </w:p>
        </w:tc>
      </w:tr>
      <w:tr w:rsidR="00C55233" w:rsidRPr="00476D2E" w:rsidTr="00E841D1">
        <w:trPr>
          <w:trHeight w:val="181"/>
          <w:jc w:val="center"/>
        </w:trPr>
        <w:tc>
          <w:tcPr>
            <w:tcW w:w="1169" w:type="pct"/>
            <w:tcBorders>
              <w:top w:val="nil"/>
              <w:left w:val="single" w:sz="8" w:space="0" w:color="8EAADB"/>
              <w:bottom w:val="single" w:sz="8" w:space="0" w:color="8EAADB"/>
              <w:right w:val="single" w:sz="8" w:space="0" w:color="8EAADB"/>
            </w:tcBorders>
            <w:shd w:val="clear" w:color="auto" w:fill="auto"/>
            <w:vAlign w:val="center"/>
            <w:hideMark/>
          </w:tcPr>
          <w:p w:rsidR="00C55233" w:rsidRPr="00476D2E" w:rsidRDefault="00C55233" w:rsidP="00C55233">
            <w:pPr>
              <w:spacing w:before="0" w:line="240" w:lineRule="auto"/>
              <w:jc w:val="center"/>
              <w:rPr>
                <w:rFonts w:cs="Calibri"/>
                <w:b/>
                <w:bCs/>
                <w:sz w:val="16"/>
                <w:szCs w:val="16"/>
              </w:rPr>
            </w:pPr>
            <w:r w:rsidRPr="00476D2E">
              <w:rPr>
                <w:rFonts w:cs="Calibri"/>
                <w:b/>
                <w:bCs/>
                <w:sz w:val="16"/>
                <w:szCs w:val="16"/>
                <w:lang w:val="sq-AL"/>
              </w:rPr>
              <w:t>Kuvendi</w:t>
            </w:r>
          </w:p>
        </w:tc>
        <w:tc>
          <w:tcPr>
            <w:tcW w:w="483" w:type="pct"/>
            <w:tcBorders>
              <w:top w:val="nil"/>
              <w:left w:val="nil"/>
              <w:bottom w:val="single" w:sz="8" w:space="0" w:color="92CDDC"/>
              <w:right w:val="single" w:sz="8" w:space="0" w:color="92CDDC"/>
            </w:tcBorders>
            <w:shd w:val="clear" w:color="auto" w:fill="auto"/>
            <w:noWrap/>
            <w:vAlign w:val="center"/>
            <w:hideMark/>
          </w:tcPr>
          <w:p w:rsidR="00C55233" w:rsidRPr="000C7CC4" w:rsidRDefault="00C55233" w:rsidP="00C55233">
            <w:pPr>
              <w:spacing w:before="0" w:line="240" w:lineRule="auto"/>
              <w:jc w:val="right"/>
              <w:rPr>
                <w:color w:val="002060"/>
                <w:sz w:val="16"/>
                <w:szCs w:val="16"/>
              </w:rPr>
            </w:pPr>
            <w:r w:rsidRPr="000C7CC4">
              <w:rPr>
                <w:color w:val="002060"/>
                <w:sz w:val="16"/>
                <w:szCs w:val="16"/>
              </w:rPr>
              <w:t>1,153,160</w:t>
            </w:r>
          </w:p>
        </w:tc>
        <w:tc>
          <w:tcPr>
            <w:tcW w:w="483" w:type="pct"/>
            <w:tcBorders>
              <w:top w:val="nil"/>
              <w:left w:val="nil"/>
              <w:bottom w:val="single" w:sz="8" w:space="0" w:color="92CDDC"/>
              <w:right w:val="single" w:sz="8" w:space="0" w:color="92CDDC"/>
            </w:tcBorders>
            <w:shd w:val="clear" w:color="auto" w:fill="auto"/>
            <w:noWrap/>
            <w:vAlign w:val="center"/>
            <w:hideMark/>
          </w:tcPr>
          <w:p w:rsidR="00C55233" w:rsidRPr="000C7CC4" w:rsidRDefault="00C55233" w:rsidP="00C55233">
            <w:pPr>
              <w:spacing w:before="0" w:line="240" w:lineRule="auto"/>
              <w:jc w:val="right"/>
              <w:rPr>
                <w:color w:val="002060"/>
                <w:sz w:val="16"/>
                <w:szCs w:val="16"/>
              </w:rPr>
            </w:pPr>
            <w:r w:rsidRPr="000C7CC4">
              <w:rPr>
                <w:color w:val="002060"/>
                <w:sz w:val="16"/>
                <w:szCs w:val="16"/>
              </w:rPr>
              <w:t>1,050,293</w:t>
            </w:r>
          </w:p>
        </w:tc>
        <w:tc>
          <w:tcPr>
            <w:tcW w:w="483" w:type="pct"/>
            <w:tcBorders>
              <w:top w:val="nil"/>
              <w:left w:val="nil"/>
              <w:bottom w:val="single" w:sz="8" w:space="0" w:color="92CDDC"/>
              <w:right w:val="single" w:sz="8" w:space="0" w:color="92CDDC"/>
            </w:tcBorders>
            <w:shd w:val="clear" w:color="auto" w:fill="auto"/>
            <w:noWrap/>
            <w:vAlign w:val="center"/>
            <w:hideMark/>
          </w:tcPr>
          <w:p w:rsidR="00C55233" w:rsidRPr="000C7CC4" w:rsidRDefault="00C55233" w:rsidP="00C55233">
            <w:pPr>
              <w:spacing w:before="0" w:line="240" w:lineRule="auto"/>
              <w:jc w:val="right"/>
              <w:rPr>
                <w:color w:val="002060"/>
                <w:sz w:val="16"/>
                <w:szCs w:val="16"/>
              </w:rPr>
            </w:pPr>
            <w:r w:rsidRPr="000C7CC4">
              <w:rPr>
                <w:color w:val="002060"/>
                <w:sz w:val="16"/>
                <w:szCs w:val="16"/>
              </w:rPr>
              <w:t>941,791</w:t>
            </w:r>
          </w:p>
        </w:tc>
        <w:tc>
          <w:tcPr>
            <w:tcW w:w="483" w:type="pct"/>
            <w:tcBorders>
              <w:top w:val="nil"/>
              <w:left w:val="nil"/>
              <w:bottom w:val="single" w:sz="8" w:space="0" w:color="92CDDC"/>
              <w:right w:val="single" w:sz="8" w:space="0" w:color="92CDDC"/>
            </w:tcBorders>
            <w:shd w:val="clear" w:color="auto" w:fill="auto"/>
            <w:noWrap/>
            <w:vAlign w:val="center"/>
            <w:hideMark/>
          </w:tcPr>
          <w:p w:rsidR="00C55233" w:rsidRPr="000C7CC4" w:rsidRDefault="00C55233" w:rsidP="00C55233">
            <w:pPr>
              <w:spacing w:before="0" w:line="240" w:lineRule="auto"/>
              <w:jc w:val="right"/>
              <w:rPr>
                <w:color w:val="002060"/>
                <w:sz w:val="16"/>
                <w:szCs w:val="16"/>
              </w:rPr>
            </w:pPr>
            <w:r w:rsidRPr="000C7CC4">
              <w:rPr>
                <w:color w:val="002060"/>
                <w:sz w:val="16"/>
                <w:szCs w:val="16"/>
              </w:rPr>
              <w:t>931,187</w:t>
            </w:r>
          </w:p>
        </w:tc>
        <w:tc>
          <w:tcPr>
            <w:tcW w:w="483" w:type="pct"/>
            <w:tcBorders>
              <w:top w:val="nil"/>
              <w:left w:val="nil"/>
              <w:bottom w:val="single" w:sz="8" w:space="0" w:color="92CDDC"/>
              <w:right w:val="single" w:sz="8" w:space="0" w:color="92CDDC"/>
            </w:tcBorders>
            <w:shd w:val="clear" w:color="auto" w:fill="auto"/>
            <w:noWrap/>
            <w:vAlign w:val="center"/>
            <w:hideMark/>
          </w:tcPr>
          <w:p w:rsidR="00C55233" w:rsidRPr="000C7CC4" w:rsidRDefault="00C55233" w:rsidP="00C55233">
            <w:pPr>
              <w:spacing w:before="0" w:line="240" w:lineRule="auto"/>
              <w:jc w:val="right"/>
              <w:rPr>
                <w:color w:val="000000"/>
                <w:sz w:val="16"/>
                <w:szCs w:val="16"/>
              </w:rPr>
            </w:pPr>
            <w:r w:rsidRPr="000C7CC4">
              <w:rPr>
                <w:color w:val="000000"/>
                <w:sz w:val="16"/>
                <w:szCs w:val="16"/>
              </w:rPr>
              <w:t>82%</w:t>
            </w:r>
          </w:p>
        </w:tc>
        <w:tc>
          <w:tcPr>
            <w:tcW w:w="483" w:type="pct"/>
            <w:tcBorders>
              <w:top w:val="nil"/>
              <w:left w:val="nil"/>
              <w:bottom w:val="single" w:sz="8" w:space="0" w:color="92CDDC"/>
              <w:right w:val="single" w:sz="8" w:space="0" w:color="92CDDC"/>
            </w:tcBorders>
            <w:shd w:val="clear" w:color="auto" w:fill="auto"/>
            <w:noWrap/>
            <w:vAlign w:val="center"/>
            <w:hideMark/>
          </w:tcPr>
          <w:p w:rsidR="00C55233" w:rsidRPr="000C7CC4" w:rsidRDefault="00C55233" w:rsidP="00C55233">
            <w:pPr>
              <w:spacing w:before="0" w:line="240" w:lineRule="auto"/>
              <w:jc w:val="right"/>
              <w:rPr>
                <w:color w:val="000000"/>
                <w:sz w:val="16"/>
                <w:szCs w:val="16"/>
              </w:rPr>
            </w:pPr>
            <w:r w:rsidRPr="000C7CC4">
              <w:rPr>
                <w:color w:val="000000"/>
                <w:sz w:val="16"/>
                <w:szCs w:val="16"/>
              </w:rPr>
              <w:t>75%</w:t>
            </w:r>
          </w:p>
        </w:tc>
        <w:tc>
          <w:tcPr>
            <w:tcW w:w="453" w:type="pct"/>
            <w:tcBorders>
              <w:top w:val="nil"/>
              <w:left w:val="nil"/>
              <w:bottom w:val="single" w:sz="8" w:space="0" w:color="92CDDC"/>
              <w:right w:val="single" w:sz="8" w:space="0" w:color="92CDDC"/>
            </w:tcBorders>
            <w:shd w:val="clear" w:color="auto" w:fill="auto"/>
            <w:noWrap/>
            <w:vAlign w:val="center"/>
            <w:hideMark/>
          </w:tcPr>
          <w:p w:rsidR="00C55233" w:rsidRPr="000C7CC4" w:rsidRDefault="00C55233" w:rsidP="00C55233">
            <w:pPr>
              <w:spacing w:before="0" w:line="240" w:lineRule="auto"/>
              <w:jc w:val="right"/>
              <w:rPr>
                <w:color w:val="000000"/>
                <w:sz w:val="16"/>
                <w:szCs w:val="16"/>
              </w:rPr>
            </w:pPr>
            <w:r w:rsidRPr="000C7CC4">
              <w:rPr>
                <w:color w:val="000000"/>
                <w:sz w:val="16"/>
                <w:szCs w:val="16"/>
              </w:rPr>
              <w:t>82%</w:t>
            </w:r>
          </w:p>
        </w:tc>
        <w:tc>
          <w:tcPr>
            <w:tcW w:w="480" w:type="pct"/>
            <w:tcBorders>
              <w:top w:val="nil"/>
              <w:left w:val="nil"/>
              <w:bottom w:val="single" w:sz="8" w:space="0" w:color="92CDDC"/>
              <w:right w:val="single" w:sz="8" w:space="0" w:color="92CDDC"/>
            </w:tcBorders>
            <w:shd w:val="clear" w:color="auto" w:fill="auto"/>
            <w:noWrap/>
            <w:vAlign w:val="center"/>
            <w:hideMark/>
          </w:tcPr>
          <w:p w:rsidR="00C55233" w:rsidRPr="000C7CC4" w:rsidRDefault="00C55233" w:rsidP="00C55233">
            <w:pPr>
              <w:spacing w:before="0" w:line="240" w:lineRule="auto"/>
              <w:jc w:val="right"/>
              <w:rPr>
                <w:color w:val="000000"/>
                <w:sz w:val="16"/>
                <w:szCs w:val="16"/>
              </w:rPr>
            </w:pPr>
            <w:r w:rsidRPr="000C7CC4">
              <w:rPr>
                <w:color w:val="000000"/>
                <w:sz w:val="16"/>
                <w:szCs w:val="16"/>
              </w:rPr>
              <w:t>101%</w:t>
            </w:r>
          </w:p>
        </w:tc>
      </w:tr>
      <w:tr w:rsidR="00C55233" w:rsidRPr="00CB2FCF" w:rsidTr="00E841D1">
        <w:trPr>
          <w:trHeight w:val="184"/>
          <w:jc w:val="center"/>
        </w:trPr>
        <w:tc>
          <w:tcPr>
            <w:tcW w:w="1169" w:type="pct"/>
            <w:tcBorders>
              <w:top w:val="nil"/>
              <w:left w:val="single" w:sz="8" w:space="0" w:color="8EAADB"/>
              <w:bottom w:val="single" w:sz="8" w:space="0" w:color="8EAADB"/>
              <w:right w:val="single" w:sz="8" w:space="0" w:color="8EAADB"/>
            </w:tcBorders>
            <w:shd w:val="clear" w:color="000000" w:fill="D9E2F3"/>
            <w:vAlign w:val="center"/>
            <w:hideMark/>
          </w:tcPr>
          <w:p w:rsidR="00C55233" w:rsidRPr="00476D2E" w:rsidRDefault="00C55233" w:rsidP="00C55233">
            <w:pPr>
              <w:spacing w:before="0" w:line="240" w:lineRule="auto"/>
              <w:jc w:val="center"/>
              <w:rPr>
                <w:rFonts w:cs="Calibri"/>
                <w:b/>
                <w:bCs/>
                <w:sz w:val="16"/>
                <w:szCs w:val="16"/>
              </w:rPr>
            </w:pPr>
            <w:r w:rsidRPr="00476D2E">
              <w:rPr>
                <w:rFonts w:cs="Calibri"/>
                <w:b/>
                <w:bCs/>
                <w:sz w:val="16"/>
                <w:szCs w:val="16"/>
                <w:lang w:val="sq-AL"/>
              </w:rPr>
              <w:t>Kryeministria</w:t>
            </w:r>
          </w:p>
        </w:tc>
        <w:tc>
          <w:tcPr>
            <w:tcW w:w="483" w:type="pct"/>
            <w:tcBorders>
              <w:top w:val="nil"/>
              <w:left w:val="nil"/>
              <w:bottom w:val="single" w:sz="8" w:space="0" w:color="8EAADB"/>
              <w:right w:val="single" w:sz="8" w:space="0" w:color="8EAADB"/>
            </w:tcBorders>
            <w:shd w:val="clear" w:color="000000" w:fill="D9E2F3"/>
            <w:noWrap/>
            <w:vAlign w:val="center"/>
            <w:hideMark/>
          </w:tcPr>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728,000</w:t>
            </w:r>
          </w:p>
        </w:tc>
        <w:tc>
          <w:tcPr>
            <w:tcW w:w="483"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1,164,912</w:t>
            </w:r>
          </w:p>
        </w:tc>
        <w:tc>
          <w:tcPr>
            <w:tcW w:w="483"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1,143,323</w:t>
            </w:r>
          </w:p>
        </w:tc>
        <w:tc>
          <w:tcPr>
            <w:tcW w:w="483" w:type="pct"/>
            <w:tcBorders>
              <w:top w:val="nil"/>
              <w:left w:val="nil"/>
              <w:bottom w:val="single" w:sz="8" w:space="0" w:color="8EAADB"/>
              <w:right w:val="single" w:sz="8" w:space="0" w:color="8EAADB"/>
            </w:tcBorders>
            <w:shd w:val="clear" w:color="000000" w:fill="D9E2F3"/>
            <w:noWrap/>
            <w:vAlign w:val="center"/>
            <w:hideMark/>
          </w:tcPr>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467,583</w:t>
            </w:r>
          </w:p>
        </w:tc>
        <w:tc>
          <w:tcPr>
            <w:tcW w:w="483" w:type="pct"/>
            <w:tcBorders>
              <w:top w:val="nil"/>
              <w:left w:val="nil"/>
              <w:bottom w:val="single" w:sz="8" w:space="0" w:color="8EAADB"/>
              <w:right w:val="single" w:sz="8" w:space="0" w:color="8EAADB"/>
            </w:tcBorders>
            <w:shd w:val="clear" w:color="000000" w:fill="D9E2F3"/>
            <w:noWrap/>
            <w:vAlign w:val="center"/>
            <w:hideMark/>
          </w:tcPr>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99.2</w:t>
            </w:r>
          </w:p>
        </w:tc>
        <w:tc>
          <w:tcPr>
            <w:tcW w:w="483" w:type="pct"/>
            <w:tcBorders>
              <w:top w:val="nil"/>
              <w:left w:val="nil"/>
              <w:bottom w:val="single" w:sz="8" w:space="0" w:color="8EAADB"/>
              <w:right w:val="single" w:sz="8" w:space="0" w:color="8EAADB"/>
            </w:tcBorders>
            <w:shd w:val="clear" w:color="000000" w:fill="D9E2F3"/>
            <w:noWrap/>
            <w:vAlign w:val="center"/>
            <w:hideMark/>
          </w:tcPr>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88.9</w:t>
            </w:r>
          </w:p>
        </w:tc>
        <w:tc>
          <w:tcPr>
            <w:tcW w:w="453" w:type="pct"/>
            <w:tcBorders>
              <w:top w:val="nil"/>
              <w:left w:val="nil"/>
              <w:bottom w:val="single" w:sz="8" w:space="0" w:color="8EAADB"/>
              <w:right w:val="single" w:sz="8" w:space="0" w:color="8EAADB"/>
            </w:tcBorders>
            <w:shd w:val="clear" w:color="000000" w:fill="D9E2F3"/>
            <w:noWrap/>
            <w:vAlign w:val="center"/>
            <w:hideMark/>
          </w:tcPr>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98.1</w:t>
            </w:r>
          </w:p>
        </w:tc>
        <w:tc>
          <w:tcPr>
            <w:tcW w:w="480"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244.52</w:t>
            </w:r>
          </w:p>
        </w:tc>
      </w:tr>
      <w:tr w:rsidR="00C55233" w:rsidRPr="00CB2FCF" w:rsidTr="00E841D1">
        <w:trPr>
          <w:trHeight w:val="181"/>
          <w:jc w:val="center"/>
        </w:trPr>
        <w:tc>
          <w:tcPr>
            <w:tcW w:w="1169" w:type="pct"/>
            <w:tcBorders>
              <w:top w:val="nil"/>
              <w:left w:val="single" w:sz="8" w:space="0" w:color="8EAADB"/>
              <w:bottom w:val="single" w:sz="8" w:space="0" w:color="8EAADB"/>
              <w:right w:val="single" w:sz="8" w:space="0" w:color="8EAADB"/>
            </w:tcBorders>
            <w:shd w:val="clear" w:color="auto" w:fill="auto"/>
            <w:vAlign w:val="center"/>
            <w:hideMark/>
          </w:tcPr>
          <w:p w:rsidR="00C55233" w:rsidRPr="00476D2E" w:rsidRDefault="00C55233" w:rsidP="00C55233">
            <w:pPr>
              <w:spacing w:before="0" w:line="240" w:lineRule="auto"/>
              <w:jc w:val="center"/>
              <w:rPr>
                <w:rFonts w:cs="Calibri"/>
                <w:b/>
                <w:bCs/>
                <w:sz w:val="16"/>
                <w:szCs w:val="16"/>
              </w:rPr>
            </w:pPr>
            <w:r w:rsidRPr="00476D2E">
              <w:rPr>
                <w:rFonts w:cs="Calibri"/>
                <w:b/>
                <w:bCs/>
                <w:sz w:val="16"/>
                <w:szCs w:val="16"/>
                <w:lang w:val="sq-AL"/>
              </w:rPr>
              <w:t>Ministria e Bujqesise dhe Zhvillimit Rural</w:t>
            </w:r>
          </w:p>
        </w:tc>
        <w:tc>
          <w:tcPr>
            <w:tcW w:w="483" w:type="pct"/>
            <w:tcBorders>
              <w:top w:val="nil"/>
              <w:left w:val="nil"/>
              <w:bottom w:val="single" w:sz="8" w:space="0" w:color="8EAADB"/>
              <w:right w:val="single" w:sz="8" w:space="0" w:color="8EAADB"/>
            </w:tcBorders>
            <w:shd w:val="clear" w:color="auto" w:fill="auto"/>
            <w:noWrap/>
            <w:hideMark/>
          </w:tcPr>
          <w:p w:rsidR="00C55233" w:rsidRPr="00CB2FCF" w:rsidRDefault="00C55233" w:rsidP="00C55233">
            <w:pPr>
              <w:spacing w:before="0" w:line="240" w:lineRule="auto"/>
              <w:jc w:val="right"/>
              <w:rPr>
                <w:rFonts w:asciiTheme="majorHAnsi" w:hAnsiTheme="majorHAnsi"/>
                <w:color w:val="000000"/>
                <w:sz w:val="16"/>
                <w:szCs w:val="16"/>
              </w:rPr>
            </w:pPr>
          </w:p>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12,980,332</w:t>
            </w:r>
          </w:p>
        </w:tc>
        <w:tc>
          <w:tcPr>
            <w:tcW w:w="483" w:type="pct"/>
            <w:tcBorders>
              <w:top w:val="nil"/>
              <w:left w:val="nil"/>
              <w:bottom w:val="single" w:sz="8" w:space="0" w:color="8EAADB"/>
              <w:right w:val="single" w:sz="8" w:space="0" w:color="8EAADB"/>
            </w:tcBorders>
            <w:shd w:val="clear" w:color="auto" w:fill="auto"/>
            <w:noWrap/>
            <w:hideMark/>
          </w:tcPr>
          <w:p w:rsidR="00C55233" w:rsidRPr="00CB2FCF" w:rsidRDefault="00C55233" w:rsidP="00C55233">
            <w:pPr>
              <w:spacing w:before="0" w:line="240" w:lineRule="auto"/>
              <w:jc w:val="right"/>
              <w:rPr>
                <w:rFonts w:asciiTheme="majorHAnsi" w:hAnsiTheme="majorHAnsi"/>
                <w:color w:val="000000"/>
                <w:sz w:val="16"/>
                <w:szCs w:val="16"/>
              </w:rPr>
            </w:pPr>
          </w:p>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13,372,191</w:t>
            </w:r>
          </w:p>
        </w:tc>
        <w:tc>
          <w:tcPr>
            <w:tcW w:w="483" w:type="pct"/>
            <w:tcBorders>
              <w:top w:val="nil"/>
              <w:left w:val="nil"/>
              <w:bottom w:val="single" w:sz="8" w:space="0" w:color="8EAADB"/>
              <w:right w:val="single" w:sz="8" w:space="0" w:color="8EAADB"/>
            </w:tcBorders>
            <w:shd w:val="clear" w:color="auto" w:fill="auto"/>
            <w:noWrap/>
            <w:hideMark/>
          </w:tcPr>
          <w:p w:rsidR="00C55233" w:rsidRPr="00CB2FCF" w:rsidRDefault="00C55233" w:rsidP="00C55233">
            <w:pPr>
              <w:spacing w:before="0" w:line="240" w:lineRule="auto"/>
              <w:jc w:val="right"/>
              <w:rPr>
                <w:rFonts w:asciiTheme="majorHAnsi" w:hAnsiTheme="majorHAnsi"/>
                <w:color w:val="000000"/>
                <w:sz w:val="16"/>
                <w:szCs w:val="16"/>
              </w:rPr>
            </w:pPr>
          </w:p>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12,849,593</w:t>
            </w:r>
          </w:p>
        </w:tc>
        <w:tc>
          <w:tcPr>
            <w:tcW w:w="483" w:type="pct"/>
            <w:tcBorders>
              <w:top w:val="nil"/>
              <w:left w:val="nil"/>
              <w:bottom w:val="single" w:sz="8" w:space="0" w:color="8EAADB"/>
              <w:right w:val="single" w:sz="8" w:space="0" w:color="8EAADB"/>
            </w:tcBorders>
            <w:shd w:val="clear" w:color="auto" w:fill="auto"/>
            <w:noWrap/>
            <w:vAlign w:val="center"/>
            <w:hideMark/>
          </w:tcPr>
          <w:p w:rsidR="00C55233" w:rsidRPr="00CB2FCF" w:rsidRDefault="00C55233" w:rsidP="00C55233">
            <w:pPr>
              <w:spacing w:before="0" w:line="240" w:lineRule="auto"/>
              <w:jc w:val="right"/>
              <w:rPr>
                <w:rFonts w:asciiTheme="majorHAnsi" w:hAnsiTheme="majorHAnsi"/>
                <w:color w:val="000000"/>
                <w:sz w:val="16"/>
                <w:szCs w:val="16"/>
              </w:rPr>
            </w:pPr>
          </w:p>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9,918,702</w:t>
            </w:r>
          </w:p>
        </w:tc>
        <w:tc>
          <w:tcPr>
            <w:tcW w:w="483" w:type="pct"/>
            <w:tcBorders>
              <w:top w:val="nil"/>
              <w:left w:val="nil"/>
              <w:bottom w:val="single" w:sz="8" w:space="0" w:color="8EAADB"/>
              <w:right w:val="single" w:sz="8" w:space="0" w:color="8EAADB"/>
            </w:tcBorders>
            <w:shd w:val="clear" w:color="auto" w:fill="auto"/>
            <w:noWrap/>
            <w:vAlign w:val="center"/>
            <w:hideMark/>
          </w:tcPr>
          <w:p w:rsidR="00C55233" w:rsidRPr="00CB2FCF" w:rsidRDefault="00C55233" w:rsidP="00C55233">
            <w:pPr>
              <w:spacing w:before="0" w:line="240" w:lineRule="auto"/>
              <w:jc w:val="right"/>
              <w:rPr>
                <w:rFonts w:asciiTheme="majorHAnsi" w:hAnsiTheme="majorHAnsi"/>
                <w:color w:val="000000"/>
                <w:sz w:val="16"/>
                <w:szCs w:val="16"/>
              </w:rPr>
            </w:pPr>
          </w:p>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97.9</w:t>
            </w:r>
          </w:p>
        </w:tc>
        <w:tc>
          <w:tcPr>
            <w:tcW w:w="483" w:type="pct"/>
            <w:tcBorders>
              <w:top w:val="nil"/>
              <w:left w:val="nil"/>
              <w:bottom w:val="single" w:sz="8" w:space="0" w:color="8EAADB"/>
              <w:right w:val="single" w:sz="8" w:space="0" w:color="8EAADB"/>
            </w:tcBorders>
            <w:shd w:val="clear" w:color="auto" w:fill="auto"/>
            <w:noWrap/>
            <w:vAlign w:val="center"/>
            <w:hideMark/>
          </w:tcPr>
          <w:p w:rsidR="00C55233" w:rsidRPr="00CB2FCF" w:rsidRDefault="00C55233" w:rsidP="00C55233">
            <w:pPr>
              <w:spacing w:before="0" w:line="240" w:lineRule="auto"/>
              <w:jc w:val="right"/>
              <w:rPr>
                <w:rFonts w:asciiTheme="majorHAnsi" w:hAnsiTheme="majorHAnsi"/>
                <w:color w:val="000000"/>
                <w:sz w:val="16"/>
                <w:szCs w:val="16"/>
              </w:rPr>
            </w:pPr>
          </w:p>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94.8</w:t>
            </w:r>
          </w:p>
        </w:tc>
        <w:tc>
          <w:tcPr>
            <w:tcW w:w="453" w:type="pct"/>
            <w:tcBorders>
              <w:top w:val="nil"/>
              <w:left w:val="nil"/>
              <w:bottom w:val="single" w:sz="8" w:space="0" w:color="8EAADB"/>
              <w:right w:val="single" w:sz="8" w:space="0" w:color="8EAADB"/>
            </w:tcBorders>
            <w:shd w:val="clear" w:color="auto" w:fill="auto"/>
            <w:noWrap/>
            <w:vAlign w:val="center"/>
            <w:hideMark/>
          </w:tcPr>
          <w:p w:rsidR="00C55233" w:rsidRPr="00CB2FCF" w:rsidRDefault="00C55233" w:rsidP="00C55233">
            <w:pPr>
              <w:spacing w:before="0" w:line="240" w:lineRule="auto"/>
              <w:jc w:val="right"/>
              <w:rPr>
                <w:rFonts w:asciiTheme="majorHAnsi" w:hAnsiTheme="majorHAnsi"/>
                <w:color w:val="000000"/>
                <w:sz w:val="16"/>
                <w:szCs w:val="16"/>
              </w:rPr>
            </w:pPr>
          </w:p>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96.1</w:t>
            </w:r>
          </w:p>
        </w:tc>
        <w:tc>
          <w:tcPr>
            <w:tcW w:w="480" w:type="pct"/>
            <w:tcBorders>
              <w:top w:val="nil"/>
              <w:left w:val="nil"/>
              <w:bottom w:val="single" w:sz="8" w:space="0" w:color="8EAADB"/>
              <w:right w:val="single" w:sz="8" w:space="0" w:color="8EAADB"/>
            </w:tcBorders>
            <w:shd w:val="clear" w:color="auto" w:fill="auto"/>
            <w:noWrap/>
            <w:hideMark/>
          </w:tcPr>
          <w:p w:rsidR="00C55233" w:rsidRPr="00CB2FCF" w:rsidRDefault="00C55233" w:rsidP="00C55233">
            <w:pPr>
              <w:spacing w:before="0" w:line="240" w:lineRule="auto"/>
              <w:jc w:val="right"/>
              <w:rPr>
                <w:rFonts w:asciiTheme="majorHAnsi" w:hAnsiTheme="majorHAnsi"/>
                <w:color w:val="000000"/>
                <w:sz w:val="16"/>
                <w:szCs w:val="16"/>
              </w:rPr>
            </w:pPr>
          </w:p>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129.55</w:t>
            </w:r>
          </w:p>
        </w:tc>
      </w:tr>
      <w:tr w:rsidR="00C55233" w:rsidRPr="00CB2FCF" w:rsidTr="00E841D1">
        <w:trPr>
          <w:trHeight w:val="181"/>
          <w:jc w:val="center"/>
        </w:trPr>
        <w:tc>
          <w:tcPr>
            <w:tcW w:w="1169" w:type="pct"/>
            <w:tcBorders>
              <w:top w:val="nil"/>
              <w:left w:val="single" w:sz="8" w:space="0" w:color="8EAADB"/>
              <w:bottom w:val="single" w:sz="8" w:space="0" w:color="8EAADB"/>
              <w:right w:val="single" w:sz="8" w:space="0" w:color="8EAADB"/>
            </w:tcBorders>
            <w:shd w:val="clear" w:color="000000" w:fill="D9E2F3"/>
            <w:vAlign w:val="center"/>
            <w:hideMark/>
          </w:tcPr>
          <w:p w:rsidR="00C55233" w:rsidRPr="00476D2E" w:rsidRDefault="00C55233" w:rsidP="00C55233">
            <w:pPr>
              <w:spacing w:before="0" w:line="240" w:lineRule="auto"/>
              <w:jc w:val="center"/>
              <w:rPr>
                <w:rFonts w:cs="Calibri"/>
                <w:b/>
                <w:bCs/>
                <w:sz w:val="16"/>
                <w:szCs w:val="16"/>
              </w:rPr>
            </w:pPr>
            <w:r w:rsidRPr="00476D2E">
              <w:rPr>
                <w:rFonts w:cs="Calibri"/>
                <w:b/>
                <w:bCs/>
                <w:sz w:val="16"/>
                <w:szCs w:val="16"/>
                <w:lang w:val="sq-AL"/>
              </w:rPr>
              <w:t>Ministria e Infrastruktures dhe Energjise</w:t>
            </w:r>
          </w:p>
        </w:tc>
        <w:tc>
          <w:tcPr>
            <w:tcW w:w="483"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before="0" w:line="240" w:lineRule="auto"/>
              <w:jc w:val="right"/>
              <w:rPr>
                <w:rFonts w:cs="Calibri"/>
                <w:color w:val="002060"/>
                <w:sz w:val="16"/>
                <w:szCs w:val="16"/>
                <w:lang w:val="sq-AL"/>
              </w:rPr>
            </w:pPr>
          </w:p>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49,875,338</w:t>
            </w:r>
          </w:p>
        </w:tc>
        <w:tc>
          <w:tcPr>
            <w:tcW w:w="483"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before="0" w:line="240" w:lineRule="auto"/>
              <w:jc w:val="right"/>
              <w:rPr>
                <w:rFonts w:cs="Calibri"/>
                <w:color w:val="002060"/>
                <w:sz w:val="16"/>
                <w:szCs w:val="16"/>
                <w:lang w:val="sq-AL"/>
              </w:rPr>
            </w:pPr>
          </w:p>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62,761,337</w:t>
            </w:r>
          </w:p>
        </w:tc>
        <w:tc>
          <w:tcPr>
            <w:tcW w:w="483"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before="0" w:line="240" w:lineRule="auto"/>
              <w:jc w:val="right"/>
              <w:rPr>
                <w:rFonts w:cs="Calibri"/>
                <w:color w:val="002060"/>
                <w:sz w:val="16"/>
                <w:szCs w:val="16"/>
                <w:lang w:val="sq-AL"/>
              </w:rPr>
            </w:pPr>
          </w:p>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58,756,578</w:t>
            </w:r>
          </w:p>
        </w:tc>
        <w:tc>
          <w:tcPr>
            <w:tcW w:w="483"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before="0" w:line="240" w:lineRule="auto"/>
              <w:jc w:val="right"/>
              <w:rPr>
                <w:rFonts w:cs="Calibri"/>
                <w:color w:val="002060"/>
                <w:sz w:val="16"/>
                <w:szCs w:val="16"/>
                <w:lang w:val="sq-AL"/>
              </w:rPr>
            </w:pPr>
          </w:p>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47,302,926</w:t>
            </w:r>
          </w:p>
        </w:tc>
        <w:tc>
          <w:tcPr>
            <w:tcW w:w="483"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before="0" w:line="240" w:lineRule="auto"/>
              <w:jc w:val="right"/>
              <w:rPr>
                <w:rFonts w:cs="Calibri"/>
                <w:color w:val="002060"/>
                <w:sz w:val="16"/>
                <w:szCs w:val="16"/>
                <w:lang w:val="sq-AL"/>
              </w:rPr>
            </w:pPr>
          </w:p>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127%</w:t>
            </w:r>
          </w:p>
        </w:tc>
        <w:tc>
          <w:tcPr>
            <w:tcW w:w="483"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before="0" w:line="240" w:lineRule="auto"/>
              <w:jc w:val="right"/>
              <w:rPr>
                <w:rFonts w:cs="Calibri"/>
                <w:color w:val="002060"/>
                <w:sz w:val="16"/>
                <w:szCs w:val="16"/>
                <w:lang w:val="sq-AL"/>
              </w:rPr>
            </w:pPr>
          </w:p>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117%</w:t>
            </w:r>
          </w:p>
        </w:tc>
        <w:tc>
          <w:tcPr>
            <w:tcW w:w="453"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before="0" w:line="240" w:lineRule="auto"/>
              <w:jc w:val="right"/>
              <w:rPr>
                <w:rFonts w:cs="Calibri"/>
                <w:color w:val="002060"/>
                <w:sz w:val="16"/>
                <w:szCs w:val="16"/>
                <w:lang w:val="sq-AL"/>
              </w:rPr>
            </w:pPr>
          </w:p>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118%</w:t>
            </w:r>
          </w:p>
        </w:tc>
        <w:tc>
          <w:tcPr>
            <w:tcW w:w="480"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before="0" w:line="240" w:lineRule="auto"/>
              <w:jc w:val="right"/>
              <w:rPr>
                <w:rFonts w:cs="Calibri"/>
                <w:color w:val="002060"/>
                <w:sz w:val="16"/>
                <w:szCs w:val="16"/>
                <w:lang w:val="sq-AL"/>
              </w:rPr>
            </w:pPr>
          </w:p>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124%</w:t>
            </w:r>
          </w:p>
        </w:tc>
      </w:tr>
      <w:tr w:rsidR="00C55233" w:rsidRPr="00CB2FCF" w:rsidTr="00E841D1">
        <w:trPr>
          <w:trHeight w:val="181"/>
          <w:jc w:val="center"/>
        </w:trPr>
        <w:tc>
          <w:tcPr>
            <w:tcW w:w="1169" w:type="pct"/>
            <w:tcBorders>
              <w:top w:val="single" w:sz="8" w:space="0" w:color="8EAADB"/>
              <w:left w:val="single" w:sz="8" w:space="0" w:color="8EAADB"/>
              <w:bottom w:val="single" w:sz="8" w:space="0" w:color="8EAADB"/>
              <w:right w:val="single" w:sz="8" w:space="0" w:color="8EAADB"/>
            </w:tcBorders>
            <w:shd w:val="clear" w:color="000000" w:fill="auto"/>
            <w:vAlign w:val="center"/>
          </w:tcPr>
          <w:p w:rsidR="00C55233" w:rsidRPr="00476D2E" w:rsidRDefault="00C55233" w:rsidP="00C55233">
            <w:pPr>
              <w:spacing w:before="0" w:line="240" w:lineRule="auto"/>
              <w:jc w:val="center"/>
              <w:rPr>
                <w:rFonts w:cs="Calibri"/>
                <w:b/>
                <w:bCs/>
                <w:sz w:val="16"/>
                <w:szCs w:val="16"/>
                <w:lang w:val="sq-AL"/>
              </w:rPr>
            </w:pPr>
            <w:r w:rsidRPr="00476D2E">
              <w:rPr>
                <w:rFonts w:cs="Calibri"/>
                <w:b/>
                <w:bCs/>
                <w:sz w:val="16"/>
                <w:szCs w:val="16"/>
                <w:lang w:val="sq-AL"/>
              </w:rPr>
              <w:t>Ministria e Financave dhe Ekonomise</w:t>
            </w:r>
          </w:p>
        </w:tc>
        <w:tc>
          <w:tcPr>
            <w:tcW w:w="483" w:type="pct"/>
            <w:tcBorders>
              <w:top w:val="single" w:sz="8" w:space="0" w:color="8EAADB"/>
              <w:left w:val="nil"/>
              <w:bottom w:val="single" w:sz="8" w:space="0" w:color="8EAADB"/>
              <w:right w:val="single" w:sz="8" w:space="0" w:color="8EAADB"/>
            </w:tcBorders>
            <w:shd w:val="clear" w:color="000000" w:fill="auto"/>
            <w:noWrap/>
            <w:vAlign w:val="center"/>
          </w:tcPr>
          <w:p w:rsidR="00C55233" w:rsidRPr="00CB2FCF" w:rsidRDefault="00C55233" w:rsidP="00C55233">
            <w:pPr>
              <w:spacing w:before="0" w:line="240" w:lineRule="auto"/>
              <w:jc w:val="right"/>
              <w:rPr>
                <w:rFonts w:asciiTheme="majorHAnsi" w:hAnsiTheme="majorHAnsi"/>
                <w:color w:val="000000"/>
                <w:sz w:val="16"/>
                <w:szCs w:val="16"/>
              </w:rPr>
            </w:pPr>
          </w:p>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68,476,838</w:t>
            </w:r>
          </w:p>
        </w:tc>
        <w:tc>
          <w:tcPr>
            <w:tcW w:w="483" w:type="pct"/>
            <w:tcBorders>
              <w:top w:val="single" w:sz="8" w:space="0" w:color="8EAADB"/>
              <w:left w:val="nil"/>
              <w:bottom w:val="single" w:sz="8" w:space="0" w:color="8EAADB"/>
              <w:right w:val="single" w:sz="8" w:space="0" w:color="8EAADB"/>
            </w:tcBorders>
            <w:shd w:val="clear" w:color="000000" w:fill="auto"/>
            <w:noWrap/>
          </w:tcPr>
          <w:p w:rsidR="00C55233" w:rsidRPr="00CB2FCF" w:rsidRDefault="00C55233" w:rsidP="00C55233">
            <w:pPr>
              <w:spacing w:before="0" w:line="240" w:lineRule="auto"/>
              <w:jc w:val="right"/>
              <w:rPr>
                <w:rFonts w:asciiTheme="majorHAnsi" w:hAnsiTheme="majorHAnsi"/>
                <w:color w:val="000000"/>
                <w:sz w:val="16"/>
                <w:szCs w:val="16"/>
              </w:rPr>
            </w:pPr>
          </w:p>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71,454,403</w:t>
            </w:r>
          </w:p>
        </w:tc>
        <w:tc>
          <w:tcPr>
            <w:tcW w:w="483" w:type="pct"/>
            <w:tcBorders>
              <w:top w:val="single" w:sz="8" w:space="0" w:color="8EAADB"/>
              <w:left w:val="nil"/>
              <w:bottom w:val="single" w:sz="8" w:space="0" w:color="8EAADB"/>
              <w:right w:val="single" w:sz="8" w:space="0" w:color="8EAADB"/>
            </w:tcBorders>
            <w:shd w:val="clear" w:color="000000" w:fill="auto"/>
            <w:noWrap/>
          </w:tcPr>
          <w:p w:rsidR="00C55233" w:rsidRPr="00CB2FCF" w:rsidRDefault="00C55233" w:rsidP="00C55233">
            <w:pPr>
              <w:spacing w:before="0" w:line="240" w:lineRule="auto"/>
              <w:jc w:val="right"/>
              <w:rPr>
                <w:rFonts w:asciiTheme="majorHAnsi" w:hAnsiTheme="majorHAnsi"/>
                <w:color w:val="000000"/>
                <w:sz w:val="16"/>
                <w:szCs w:val="16"/>
              </w:rPr>
            </w:pPr>
          </w:p>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69,715,039</w:t>
            </w:r>
          </w:p>
        </w:tc>
        <w:tc>
          <w:tcPr>
            <w:tcW w:w="483" w:type="pct"/>
            <w:tcBorders>
              <w:top w:val="single" w:sz="8" w:space="0" w:color="8EAADB"/>
              <w:left w:val="nil"/>
              <w:bottom w:val="single" w:sz="8" w:space="0" w:color="8EAADB"/>
              <w:right w:val="single" w:sz="8" w:space="0" w:color="8EAADB"/>
            </w:tcBorders>
            <w:shd w:val="clear" w:color="000000" w:fill="auto"/>
            <w:noWrap/>
            <w:vAlign w:val="center"/>
          </w:tcPr>
          <w:p w:rsidR="00C55233" w:rsidRPr="00CB2FCF" w:rsidRDefault="00C55233" w:rsidP="00C55233">
            <w:pPr>
              <w:spacing w:before="0" w:line="240" w:lineRule="auto"/>
              <w:jc w:val="right"/>
              <w:rPr>
                <w:rFonts w:asciiTheme="majorHAnsi" w:hAnsiTheme="majorHAnsi"/>
                <w:color w:val="000000"/>
                <w:sz w:val="16"/>
                <w:szCs w:val="16"/>
              </w:rPr>
            </w:pPr>
          </w:p>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81,606,685</w:t>
            </w:r>
          </w:p>
        </w:tc>
        <w:tc>
          <w:tcPr>
            <w:tcW w:w="483" w:type="pct"/>
            <w:tcBorders>
              <w:top w:val="single" w:sz="8" w:space="0" w:color="8EAADB"/>
              <w:left w:val="nil"/>
              <w:bottom w:val="single" w:sz="8" w:space="0" w:color="8EAADB"/>
              <w:right w:val="single" w:sz="8" w:space="0" w:color="8EAADB"/>
            </w:tcBorders>
            <w:shd w:val="clear" w:color="000000" w:fill="auto"/>
            <w:noWrap/>
            <w:vAlign w:val="center"/>
          </w:tcPr>
          <w:p w:rsidR="00C55233" w:rsidRPr="00CB2FCF" w:rsidRDefault="00C55233" w:rsidP="00C55233">
            <w:pPr>
              <w:spacing w:before="0" w:line="240" w:lineRule="auto"/>
              <w:jc w:val="right"/>
              <w:rPr>
                <w:rFonts w:asciiTheme="majorHAnsi" w:hAnsiTheme="majorHAnsi"/>
                <w:color w:val="000000"/>
                <w:sz w:val="16"/>
                <w:szCs w:val="16"/>
              </w:rPr>
            </w:pPr>
          </w:p>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98.3</w:t>
            </w:r>
          </w:p>
        </w:tc>
        <w:tc>
          <w:tcPr>
            <w:tcW w:w="483" w:type="pct"/>
            <w:tcBorders>
              <w:top w:val="single" w:sz="8" w:space="0" w:color="8EAADB"/>
              <w:left w:val="nil"/>
              <w:bottom w:val="single" w:sz="8" w:space="0" w:color="8EAADB"/>
              <w:right w:val="single" w:sz="8" w:space="0" w:color="8EAADB"/>
            </w:tcBorders>
            <w:shd w:val="clear" w:color="000000" w:fill="auto"/>
            <w:noWrap/>
            <w:vAlign w:val="center"/>
          </w:tcPr>
          <w:p w:rsidR="00C55233" w:rsidRPr="00CB2FCF" w:rsidRDefault="00C55233" w:rsidP="00C55233">
            <w:pPr>
              <w:spacing w:before="0" w:line="240" w:lineRule="auto"/>
              <w:jc w:val="right"/>
              <w:rPr>
                <w:rFonts w:asciiTheme="majorHAnsi" w:hAnsiTheme="majorHAnsi"/>
                <w:color w:val="000000"/>
                <w:sz w:val="16"/>
                <w:szCs w:val="16"/>
              </w:rPr>
            </w:pPr>
          </w:p>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76.7</w:t>
            </w:r>
          </w:p>
        </w:tc>
        <w:tc>
          <w:tcPr>
            <w:tcW w:w="453" w:type="pct"/>
            <w:tcBorders>
              <w:top w:val="single" w:sz="8" w:space="0" w:color="8EAADB"/>
              <w:left w:val="nil"/>
              <w:bottom w:val="single" w:sz="8" w:space="0" w:color="8EAADB"/>
              <w:right w:val="single" w:sz="8" w:space="0" w:color="8EAADB"/>
            </w:tcBorders>
            <w:shd w:val="clear" w:color="000000" w:fill="auto"/>
            <w:noWrap/>
            <w:vAlign w:val="center"/>
          </w:tcPr>
          <w:p w:rsidR="00C55233" w:rsidRPr="00CB2FCF" w:rsidRDefault="00C55233" w:rsidP="00C55233">
            <w:pPr>
              <w:spacing w:before="0" w:line="240" w:lineRule="auto"/>
              <w:jc w:val="right"/>
              <w:rPr>
                <w:rFonts w:asciiTheme="majorHAnsi" w:hAnsiTheme="majorHAnsi"/>
                <w:color w:val="000000"/>
                <w:sz w:val="16"/>
                <w:szCs w:val="16"/>
              </w:rPr>
            </w:pPr>
          </w:p>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97.6</w:t>
            </w:r>
          </w:p>
        </w:tc>
        <w:tc>
          <w:tcPr>
            <w:tcW w:w="480" w:type="pct"/>
            <w:tcBorders>
              <w:top w:val="single" w:sz="8" w:space="0" w:color="8EAADB"/>
              <w:left w:val="nil"/>
              <w:bottom w:val="single" w:sz="8" w:space="0" w:color="8EAADB"/>
              <w:right w:val="single" w:sz="8" w:space="0" w:color="8EAADB"/>
            </w:tcBorders>
            <w:shd w:val="clear" w:color="000000" w:fill="auto"/>
            <w:noWrap/>
          </w:tcPr>
          <w:p w:rsidR="00C55233" w:rsidRPr="00CB2FCF" w:rsidRDefault="00C55233" w:rsidP="00C55233">
            <w:pPr>
              <w:spacing w:before="0" w:line="240" w:lineRule="auto"/>
              <w:jc w:val="right"/>
              <w:rPr>
                <w:rFonts w:asciiTheme="majorHAnsi" w:hAnsiTheme="majorHAnsi"/>
                <w:sz w:val="16"/>
                <w:szCs w:val="16"/>
              </w:rPr>
            </w:pPr>
          </w:p>
          <w:p w:rsidR="00C55233" w:rsidRPr="00CB2FCF" w:rsidRDefault="00C55233" w:rsidP="00C55233">
            <w:pPr>
              <w:spacing w:before="0" w:line="240" w:lineRule="auto"/>
              <w:jc w:val="right"/>
              <w:rPr>
                <w:rFonts w:asciiTheme="majorHAnsi" w:hAnsiTheme="majorHAnsi"/>
                <w:sz w:val="16"/>
                <w:szCs w:val="16"/>
              </w:rPr>
            </w:pPr>
            <w:r w:rsidRPr="00CB2FCF">
              <w:rPr>
                <w:rFonts w:asciiTheme="majorHAnsi" w:hAnsiTheme="majorHAnsi"/>
                <w:color w:val="000000"/>
                <w:sz w:val="16"/>
                <w:szCs w:val="16"/>
              </w:rPr>
              <w:t>85.43</w:t>
            </w:r>
          </w:p>
        </w:tc>
      </w:tr>
      <w:tr w:rsidR="00C55233" w:rsidRPr="00CB2FCF" w:rsidTr="00E841D1">
        <w:trPr>
          <w:trHeight w:val="181"/>
          <w:jc w:val="center"/>
        </w:trPr>
        <w:tc>
          <w:tcPr>
            <w:tcW w:w="1169" w:type="pct"/>
            <w:tcBorders>
              <w:top w:val="nil"/>
              <w:left w:val="single" w:sz="8" w:space="0" w:color="8EAADB"/>
              <w:bottom w:val="single" w:sz="8" w:space="0" w:color="8EAADB"/>
              <w:right w:val="single" w:sz="8" w:space="0" w:color="8EAADB"/>
            </w:tcBorders>
            <w:shd w:val="clear" w:color="000000" w:fill="D9E2F3"/>
            <w:vAlign w:val="center"/>
          </w:tcPr>
          <w:p w:rsidR="00C55233" w:rsidRPr="00476D2E" w:rsidRDefault="00C55233" w:rsidP="00C55233">
            <w:pPr>
              <w:spacing w:before="0" w:line="240" w:lineRule="auto"/>
              <w:jc w:val="center"/>
              <w:rPr>
                <w:rFonts w:cs="Calibri"/>
                <w:b/>
                <w:bCs/>
                <w:sz w:val="16"/>
                <w:szCs w:val="16"/>
                <w:lang w:val="sq-AL"/>
              </w:rPr>
            </w:pPr>
            <w:r w:rsidRPr="00476D2E">
              <w:rPr>
                <w:rFonts w:cs="Calibri"/>
                <w:b/>
                <w:bCs/>
                <w:sz w:val="16"/>
                <w:szCs w:val="16"/>
                <w:lang w:val="sq-AL"/>
              </w:rPr>
              <w:t>Ministria e Arsimit Sportit dhe Rinise</w:t>
            </w:r>
          </w:p>
        </w:tc>
        <w:tc>
          <w:tcPr>
            <w:tcW w:w="483" w:type="pct"/>
            <w:tcBorders>
              <w:top w:val="nil"/>
              <w:left w:val="nil"/>
              <w:bottom w:val="single" w:sz="8" w:space="0" w:color="8EAADB"/>
              <w:right w:val="single" w:sz="8" w:space="0" w:color="8EAADB"/>
            </w:tcBorders>
            <w:shd w:val="clear" w:color="000000" w:fill="D9E2F3"/>
            <w:noWrap/>
          </w:tcPr>
          <w:p w:rsidR="00C55233" w:rsidRPr="00CB2FCF" w:rsidRDefault="00C55233" w:rsidP="00C55233">
            <w:pPr>
              <w:spacing w:before="0" w:line="240" w:lineRule="auto"/>
              <w:jc w:val="right"/>
              <w:rPr>
                <w:rFonts w:cs="Calibri"/>
                <w:color w:val="002060"/>
                <w:sz w:val="16"/>
                <w:szCs w:val="16"/>
                <w:lang w:val="sq-AL"/>
              </w:rPr>
            </w:pPr>
          </w:p>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42,214,076</w:t>
            </w:r>
          </w:p>
        </w:tc>
        <w:tc>
          <w:tcPr>
            <w:tcW w:w="483" w:type="pct"/>
            <w:tcBorders>
              <w:top w:val="nil"/>
              <w:left w:val="nil"/>
              <w:bottom w:val="single" w:sz="8" w:space="0" w:color="8EAADB"/>
              <w:right w:val="single" w:sz="8" w:space="0" w:color="8EAADB"/>
            </w:tcBorders>
            <w:shd w:val="clear" w:color="000000" w:fill="D9E2F3"/>
            <w:noWrap/>
          </w:tcPr>
          <w:p w:rsidR="00C55233" w:rsidRPr="00CB2FCF" w:rsidRDefault="00C55233" w:rsidP="00C55233">
            <w:pPr>
              <w:spacing w:before="0" w:line="240" w:lineRule="auto"/>
              <w:jc w:val="right"/>
              <w:rPr>
                <w:rFonts w:cs="Calibri"/>
                <w:color w:val="002060"/>
                <w:sz w:val="16"/>
                <w:szCs w:val="16"/>
                <w:lang w:val="sq-AL"/>
              </w:rPr>
            </w:pPr>
          </w:p>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44,371,789</w:t>
            </w:r>
          </w:p>
        </w:tc>
        <w:tc>
          <w:tcPr>
            <w:tcW w:w="483" w:type="pct"/>
            <w:tcBorders>
              <w:top w:val="nil"/>
              <w:left w:val="nil"/>
              <w:bottom w:val="single" w:sz="8" w:space="0" w:color="8EAADB"/>
              <w:right w:val="single" w:sz="8" w:space="0" w:color="8EAADB"/>
            </w:tcBorders>
            <w:shd w:val="clear" w:color="000000" w:fill="D9E2F3"/>
            <w:noWrap/>
          </w:tcPr>
          <w:p w:rsidR="00C55233" w:rsidRPr="00CB2FCF" w:rsidRDefault="00C55233" w:rsidP="00C55233">
            <w:pPr>
              <w:spacing w:before="0" w:line="240" w:lineRule="auto"/>
              <w:jc w:val="right"/>
              <w:rPr>
                <w:rFonts w:cs="Calibri"/>
                <w:color w:val="002060"/>
                <w:sz w:val="16"/>
                <w:szCs w:val="16"/>
                <w:lang w:val="sq-AL"/>
              </w:rPr>
            </w:pPr>
          </w:p>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41,914,527</w:t>
            </w:r>
          </w:p>
        </w:tc>
        <w:tc>
          <w:tcPr>
            <w:tcW w:w="483" w:type="pct"/>
            <w:tcBorders>
              <w:top w:val="nil"/>
              <w:left w:val="nil"/>
              <w:bottom w:val="single" w:sz="8" w:space="0" w:color="8EAADB"/>
              <w:right w:val="single" w:sz="8" w:space="0" w:color="8EAADB"/>
            </w:tcBorders>
            <w:shd w:val="clear" w:color="000000" w:fill="D9E2F3"/>
            <w:noWrap/>
          </w:tcPr>
          <w:p w:rsidR="00C55233" w:rsidRPr="00CB2FCF" w:rsidRDefault="00C55233" w:rsidP="00C55233">
            <w:pPr>
              <w:spacing w:before="0" w:line="240" w:lineRule="auto"/>
              <w:jc w:val="right"/>
              <w:rPr>
                <w:rFonts w:cs="Calibri"/>
                <w:color w:val="002060"/>
                <w:sz w:val="16"/>
                <w:szCs w:val="16"/>
                <w:lang w:val="sq-AL"/>
              </w:rPr>
            </w:pPr>
          </w:p>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39,049,394</w:t>
            </w:r>
          </w:p>
        </w:tc>
        <w:tc>
          <w:tcPr>
            <w:tcW w:w="483" w:type="pct"/>
            <w:tcBorders>
              <w:top w:val="nil"/>
              <w:left w:val="nil"/>
              <w:bottom w:val="single" w:sz="8" w:space="0" w:color="8EAADB"/>
              <w:right w:val="single" w:sz="8" w:space="0" w:color="8EAADB"/>
            </w:tcBorders>
            <w:shd w:val="clear" w:color="000000" w:fill="D9E2F3"/>
            <w:noWrap/>
          </w:tcPr>
          <w:p w:rsidR="00C55233" w:rsidRPr="00CB2FCF" w:rsidRDefault="00C55233" w:rsidP="00C55233">
            <w:pPr>
              <w:spacing w:before="0" w:line="240" w:lineRule="auto"/>
              <w:jc w:val="right"/>
              <w:rPr>
                <w:rFonts w:cs="Calibri"/>
                <w:color w:val="002060"/>
                <w:sz w:val="16"/>
                <w:szCs w:val="16"/>
                <w:lang w:val="sq-AL"/>
              </w:rPr>
            </w:pPr>
          </w:p>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108%</w:t>
            </w:r>
          </w:p>
        </w:tc>
        <w:tc>
          <w:tcPr>
            <w:tcW w:w="483" w:type="pct"/>
            <w:tcBorders>
              <w:top w:val="nil"/>
              <w:left w:val="nil"/>
              <w:bottom w:val="single" w:sz="8" w:space="0" w:color="8EAADB"/>
              <w:right w:val="single" w:sz="8" w:space="0" w:color="8EAADB"/>
            </w:tcBorders>
            <w:shd w:val="clear" w:color="000000" w:fill="D9E2F3"/>
            <w:noWrap/>
          </w:tcPr>
          <w:p w:rsidR="00C55233" w:rsidRPr="00CB2FCF" w:rsidRDefault="00C55233" w:rsidP="00C55233">
            <w:pPr>
              <w:spacing w:before="0" w:line="240" w:lineRule="auto"/>
              <w:jc w:val="right"/>
              <w:rPr>
                <w:rFonts w:cs="Calibri"/>
                <w:color w:val="002060"/>
                <w:sz w:val="16"/>
                <w:szCs w:val="16"/>
                <w:lang w:val="sq-AL"/>
              </w:rPr>
            </w:pPr>
          </w:p>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25%</w:t>
            </w:r>
          </w:p>
        </w:tc>
        <w:tc>
          <w:tcPr>
            <w:tcW w:w="453" w:type="pct"/>
            <w:tcBorders>
              <w:top w:val="nil"/>
              <w:left w:val="nil"/>
              <w:bottom w:val="single" w:sz="8" w:space="0" w:color="8EAADB"/>
              <w:right w:val="single" w:sz="8" w:space="0" w:color="8EAADB"/>
            </w:tcBorders>
            <w:shd w:val="clear" w:color="000000" w:fill="D9E2F3"/>
            <w:noWrap/>
          </w:tcPr>
          <w:p w:rsidR="00C55233" w:rsidRPr="00CB2FCF" w:rsidRDefault="00C55233" w:rsidP="00C55233">
            <w:pPr>
              <w:spacing w:before="0" w:line="240" w:lineRule="auto"/>
              <w:jc w:val="right"/>
              <w:rPr>
                <w:rFonts w:cs="Calibri"/>
                <w:color w:val="002060"/>
                <w:sz w:val="16"/>
                <w:szCs w:val="16"/>
                <w:lang w:val="sq-AL"/>
              </w:rPr>
            </w:pPr>
          </w:p>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99%</w:t>
            </w:r>
          </w:p>
        </w:tc>
        <w:tc>
          <w:tcPr>
            <w:tcW w:w="480" w:type="pct"/>
            <w:tcBorders>
              <w:top w:val="nil"/>
              <w:left w:val="nil"/>
              <w:bottom w:val="single" w:sz="8" w:space="0" w:color="8EAADB"/>
              <w:right w:val="single" w:sz="8" w:space="0" w:color="8EAADB"/>
            </w:tcBorders>
            <w:shd w:val="clear" w:color="000000" w:fill="D9E2F3"/>
            <w:noWrap/>
          </w:tcPr>
          <w:p w:rsidR="00C55233" w:rsidRPr="00CB2FCF" w:rsidRDefault="00C55233" w:rsidP="00C55233">
            <w:pPr>
              <w:spacing w:before="0" w:line="240" w:lineRule="auto"/>
              <w:jc w:val="right"/>
              <w:rPr>
                <w:rFonts w:cs="Calibri"/>
                <w:color w:val="002060"/>
                <w:sz w:val="16"/>
                <w:szCs w:val="16"/>
                <w:lang w:val="sq-AL"/>
              </w:rPr>
            </w:pPr>
          </w:p>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107%</w:t>
            </w:r>
          </w:p>
        </w:tc>
      </w:tr>
      <w:tr w:rsidR="00C55233" w:rsidRPr="00CB2FCF" w:rsidTr="00E841D1">
        <w:trPr>
          <w:trHeight w:val="181"/>
          <w:jc w:val="center"/>
        </w:trPr>
        <w:tc>
          <w:tcPr>
            <w:tcW w:w="1169" w:type="pct"/>
            <w:tcBorders>
              <w:top w:val="nil"/>
              <w:left w:val="single" w:sz="8" w:space="0" w:color="8EAADB"/>
              <w:bottom w:val="single" w:sz="8" w:space="0" w:color="8EAADB"/>
              <w:right w:val="single" w:sz="8" w:space="0" w:color="8EAADB"/>
            </w:tcBorders>
            <w:shd w:val="clear" w:color="auto" w:fill="auto"/>
            <w:vAlign w:val="center"/>
            <w:hideMark/>
          </w:tcPr>
          <w:p w:rsidR="00C55233" w:rsidRPr="00476D2E" w:rsidRDefault="00C55233" w:rsidP="00C55233">
            <w:pPr>
              <w:spacing w:before="0" w:line="240" w:lineRule="auto"/>
              <w:jc w:val="center"/>
              <w:rPr>
                <w:rFonts w:cs="Calibri"/>
                <w:b/>
                <w:bCs/>
                <w:sz w:val="16"/>
                <w:szCs w:val="16"/>
              </w:rPr>
            </w:pPr>
            <w:r w:rsidRPr="00476D2E">
              <w:rPr>
                <w:rFonts w:cs="Calibri"/>
                <w:b/>
                <w:bCs/>
                <w:sz w:val="16"/>
                <w:szCs w:val="16"/>
                <w:lang w:val="sq-AL"/>
              </w:rPr>
              <w:t>Ministria e Kultures</w:t>
            </w:r>
          </w:p>
        </w:tc>
        <w:tc>
          <w:tcPr>
            <w:tcW w:w="483" w:type="pct"/>
            <w:tcBorders>
              <w:top w:val="nil"/>
              <w:left w:val="nil"/>
              <w:bottom w:val="single" w:sz="8" w:space="0" w:color="8EAADB"/>
              <w:right w:val="single" w:sz="8" w:space="0" w:color="8EAADB"/>
            </w:tcBorders>
            <w:shd w:val="clear" w:color="auto" w:fill="auto"/>
            <w:noWrap/>
            <w:vAlign w:val="center"/>
            <w:hideMark/>
          </w:tcPr>
          <w:p w:rsidR="00C55233" w:rsidRPr="00CB2FCF" w:rsidRDefault="00C55233" w:rsidP="00C55233">
            <w:pPr>
              <w:spacing w:before="0" w:line="240" w:lineRule="auto"/>
              <w:jc w:val="right"/>
              <w:rPr>
                <w:rFonts w:cs="Calibri"/>
                <w:color w:val="002060"/>
                <w:sz w:val="16"/>
                <w:szCs w:val="16"/>
              </w:rPr>
            </w:pPr>
            <w:r w:rsidRPr="00CB2FCF">
              <w:rPr>
                <w:rFonts w:cs="Calibri"/>
                <w:color w:val="002060"/>
                <w:sz w:val="16"/>
                <w:szCs w:val="16"/>
              </w:rPr>
              <w:t>2,806,001</w:t>
            </w:r>
          </w:p>
        </w:tc>
        <w:tc>
          <w:tcPr>
            <w:tcW w:w="483" w:type="pct"/>
            <w:tcBorders>
              <w:top w:val="nil"/>
              <w:left w:val="nil"/>
              <w:bottom w:val="single" w:sz="8" w:space="0" w:color="8EAADB"/>
              <w:right w:val="single" w:sz="8" w:space="0" w:color="8EAADB"/>
            </w:tcBorders>
            <w:shd w:val="clear" w:color="auto" w:fill="auto"/>
            <w:noWrap/>
            <w:vAlign w:val="center"/>
            <w:hideMark/>
          </w:tcPr>
          <w:p w:rsidR="00C55233" w:rsidRPr="00CB2FCF" w:rsidRDefault="00C55233" w:rsidP="00C55233">
            <w:pPr>
              <w:spacing w:before="0" w:line="240" w:lineRule="auto"/>
              <w:jc w:val="right"/>
              <w:rPr>
                <w:rFonts w:cs="Calibri"/>
                <w:color w:val="002060"/>
                <w:sz w:val="16"/>
                <w:szCs w:val="16"/>
              </w:rPr>
            </w:pPr>
            <w:r w:rsidRPr="00CB2FCF">
              <w:rPr>
                <w:rFonts w:cs="Calibri"/>
                <w:color w:val="002060"/>
                <w:sz w:val="16"/>
                <w:szCs w:val="16"/>
              </w:rPr>
              <w:t>2,950,350</w:t>
            </w:r>
          </w:p>
        </w:tc>
        <w:tc>
          <w:tcPr>
            <w:tcW w:w="483" w:type="pct"/>
            <w:tcBorders>
              <w:top w:val="nil"/>
              <w:left w:val="nil"/>
              <w:bottom w:val="single" w:sz="8" w:space="0" w:color="8EAADB"/>
              <w:right w:val="single" w:sz="8" w:space="0" w:color="8EAADB"/>
            </w:tcBorders>
            <w:shd w:val="clear" w:color="auto" w:fill="auto"/>
            <w:noWrap/>
            <w:vAlign w:val="center"/>
            <w:hideMark/>
          </w:tcPr>
          <w:p w:rsidR="00C55233" w:rsidRPr="00CB2FCF" w:rsidRDefault="00C55233" w:rsidP="00C55233">
            <w:pPr>
              <w:spacing w:before="0" w:line="240" w:lineRule="auto"/>
              <w:jc w:val="right"/>
              <w:rPr>
                <w:rFonts w:cs="Calibri"/>
                <w:color w:val="002060"/>
                <w:sz w:val="16"/>
                <w:szCs w:val="16"/>
              </w:rPr>
            </w:pPr>
            <w:r w:rsidRPr="00CB2FCF">
              <w:rPr>
                <w:rFonts w:cs="Calibri"/>
                <w:color w:val="002060"/>
                <w:sz w:val="16"/>
                <w:szCs w:val="16"/>
              </w:rPr>
              <w:t>1,831,243</w:t>
            </w:r>
          </w:p>
        </w:tc>
        <w:tc>
          <w:tcPr>
            <w:tcW w:w="483" w:type="pct"/>
            <w:tcBorders>
              <w:top w:val="nil"/>
              <w:left w:val="nil"/>
              <w:bottom w:val="single" w:sz="8" w:space="0" w:color="8EAADB"/>
              <w:right w:val="single" w:sz="8" w:space="0" w:color="8EAADB"/>
            </w:tcBorders>
            <w:shd w:val="clear" w:color="auto" w:fill="auto"/>
            <w:noWrap/>
            <w:vAlign w:val="center"/>
            <w:hideMark/>
          </w:tcPr>
          <w:p w:rsidR="00C55233" w:rsidRPr="00CB2FCF" w:rsidRDefault="00C55233" w:rsidP="00C55233">
            <w:pPr>
              <w:spacing w:before="0" w:line="240" w:lineRule="auto"/>
              <w:jc w:val="right"/>
              <w:rPr>
                <w:rFonts w:cs="Calibri"/>
                <w:color w:val="002060"/>
                <w:sz w:val="16"/>
                <w:szCs w:val="16"/>
              </w:rPr>
            </w:pPr>
            <w:r w:rsidRPr="00CB2FCF">
              <w:rPr>
                <w:rFonts w:cs="Calibri"/>
                <w:color w:val="002060"/>
                <w:sz w:val="16"/>
                <w:szCs w:val="16"/>
              </w:rPr>
              <w:t>2,171,464</w:t>
            </w:r>
          </w:p>
        </w:tc>
        <w:tc>
          <w:tcPr>
            <w:tcW w:w="483" w:type="pct"/>
            <w:tcBorders>
              <w:top w:val="nil"/>
              <w:left w:val="nil"/>
              <w:bottom w:val="single" w:sz="8" w:space="0" w:color="8EAADB"/>
              <w:right w:val="single" w:sz="8" w:space="0" w:color="8EAADB"/>
            </w:tcBorders>
            <w:shd w:val="clear" w:color="auto" w:fill="auto"/>
            <w:noWrap/>
            <w:vAlign w:val="center"/>
            <w:hideMark/>
          </w:tcPr>
          <w:p w:rsidR="00C55233" w:rsidRPr="00CB2FCF" w:rsidRDefault="00C55233" w:rsidP="00C55233">
            <w:pPr>
              <w:spacing w:before="0" w:line="240" w:lineRule="auto"/>
              <w:jc w:val="right"/>
              <w:rPr>
                <w:rFonts w:cs="Calibri"/>
                <w:color w:val="002060"/>
                <w:sz w:val="16"/>
                <w:szCs w:val="16"/>
              </w:rPr>
            </w:pPr>
            <w:r w:rsidRPr="00CB2FCF">
              <w:rPr>
                <w:rFonts w:cs="Calibri"/>
                <w:color w:val="002060"/>
                <w:sz w:val="16"/>
                <w:szCs w:val="16"/>
              </w:rPr>
              <w:t>95%</w:t>
            </w:r>
          </w:p>
        </w:tc>
        <w:tc>
          <w:tcPr>
            <w:tcW w:w="483" w:type="pct"/>
            <w:tcBorders>
              <w:top w:val="nil"/>
              <w:left w:val="nil"/>
              <w:bottom w:val="single" w:sz="8" w:space="0" w:color="8EAADB"/>
              <w:right w:val="single" w:sz="8" w:space="0" w:color="8EAADB"/>
            </w:tcBorders>
            <w:shd w:val="clear" w:color="auto" w:fill="auto"/>
            <w:noWrap/>
            <w:vAlign w:val="center"/>
            <w:hideMark/>
          </w:tcPr>
          <w:p w:rsidR="00C55233" w:rsidRPr="00CB2FCF" w:rsidRDefault="00C55233" w:rsidP="00C55233">
            <w:pPr>
              <w:spacing w:before="0" w:line="240" w:lineRule="auto"/>
              <w:jc w:val="right"/>
              <w:rPr>
                <w:rFonts w:cs="Calibri"/>
                <w:color w:val="002060"/>
                <w:sz w:val="16"/>
                <w:szCs w:val="16"/>
              </w:rPr>
            </w:pPr>
            <w:r w:rsidRPr="00CB2FCF">
              <w:rPr>
                <w:rFonts w:cs="Calibri"/>
                <w:color w:val="002060"/>
                <w:sz w:val="16"/>
                <w:szCs w:val="16"/>
              </w:rPr>
              <w:t>35%</w:t>
            </w:r>
          </w:p>
        </w:tc>
        <w:tc>
          <w:tcPr>
            <w:tcW w:w="453" w:type="pct"/>
            <w:tcBorders>
              <w:top w:val="nil"/>
              <w:left w:val="nil"/>
              <w:bottom w:val="single" w:sz="8" w:space="0" w:color="8EAADB"/>
              <w:right w:val="single" w:sz="8" w:space="0" w:color="8EAADB"/>
            </w:tcBorders>
            <w:shd w:val="clear" w:color="auto" w:fill="auto"/>
            <w:noWrap/>
            <w:vAlign w:val="center"/>
            <w:hideMark/>
          </w:tcPr>
          <w:p w:rsidR="00C55233" w:rsidRPr="00CB2FCF" w:rsidRDefault="00C55233" w:rsidP="00C55233">
            <w:pPr>
              <w:spacing w:before="0" w:line="240" w:lineRule="auto"/>
              <w:jc w:val="right"/>
              <w:rPr>
                <w:rFonts w:cs="Calibri"/>
                <w:color w:val="002060"/>
                <w:sz w:val="16"/>
                <w:szCs w:val="16"/>
              </w:rPr>
            </w:pPr>
            <w:r w:rsidRPr="00CB2FCF">
              <w:rPr>
                <w:rFonts w:cs="Calibri"/>
                <w:color w:val="002060"/>
                <w:sz w:val="16"/>
                <w:szCs w:val="16"/>
              </w:rPr>
              <w:t>65%</w:t>
            </w:r>
          </w:p>
        </w:tc>
        <w:tc>
          <w:tcPr>
            <w:tcW w:w="480" w:type="pct"/>
            <w:tcBorders>
              <w:top w:val="nil"/>
              <w:left w:val="nil"/>
              <w:bottom w:val="single" w:sz="8" w:space="0" w:color="8EAADB"/>
              <w:right w:val="single" w:sz="8" w:space="0" w:color="8EAADB"/>
            </w:tcBorders>
            <w:shd w:val="clear" w:color="auto" w:fill="auto"/>
            <w:noWrap/>
            <w:vAlign w:val="center"/>
            <w:hideMark/>
          </w:tcPr>
          <w:p w:rsidR="00C55233" w:rsidRPr="00CB2FCF" w:rsidRDefault="00C55233" w:rsidP="00C55233">
            <w:pPr>
              <w:spacing w:before="0" w:line="240" w:lineRule="auto"/>
              <w:jc w:val="right"/>
              <w:rPr>
                <w:rFonts w:cs="Calibri"/>
                <w:color w:val="002060"/>
                <w:sz w:val="16"/>
                <w:szCs w:val="16"/>
              </w:rPr>
            </w:pPr>
            <w:r w:rsidRPr="00CB2FCF">
              <w:rPr>
                <w:rFonts w:cs="Calibri"/>
                <w:color w:val="002060"/>
                <w:sz w:val="16"/>
                <w:szCs w:val="16"/>
              </w:rPr>
              <w:t>84%</w:t>
            </w:r>
          </w:p>
        </w:tc>
      </w:tr>
      <w:tr w:rsidR="00C55233" w:rsidRPr="00CB2FCF" w:rsidTr="00E841D1">
        <w:trPr>
          <w:trHeight w:val="181"/>
          <w:jc w:val="center"/>
        </w:trPr>
        <w:tc>
          <w:tcPr>
            <w:tcW w:w="1169" w:type="pct"/>
            <w:tcBorders>
              <w:top w:val="nil"/>
              <w:left w:val="single" w:sz="8" w:space="0" w:color="8EAADB"/>
              <w:bottom w:val="single" w:sz="8" w:space="0" w:color="8EAADB"/>
              <w:right w:val="single" w:sz="8" w:space="0" w:color="8EAADB"/>
            </w:tcBorders>
            <w:shd w:val="clear" w:color="000000" w:fill="D9E2F3"/>
            <w:vAlign w:val="center"/>
            <w:hideMark/>
          </w:tcPr>
          <w:p w:rsidR="00C55233" w:rsidRPr="00476D2E" w:rsidRDefault="00C55233" w:rsidP="00C55233">
            <w:pPr>
              <w:spacing w:before="0" w:line="240" w:lineRule="auto"/>
              <w:jc w:val="center"/>
              <w:rPr>
                <w:rFonts w:cs="Calibri"/>
                <w:b/>
                <w:bCs/>
                <w:sz w:val="16"/>
                <w:szCs w:val="16"/>
              </w:rPr>
            </w:pPr>
            <w:r w:rsidRPr="00476D2E">
              <w:rPr>
                <w:rFonts w:cs="Calibri"/>
                <w:b/>
                <w:bCs/>
                <w:sz w:val="16"/>
                <w:szCs w:val="16"/>
                <w:lang w:val="sq-AL"/>
              </w:rPr>
              <w:t>Ministria e Shendetesise</w:t>
            </w:r>
          </w:p>
        </w:tc>
        <w:tc>
          <w:tcPr>
            <w:tcW w:w="483"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71,452,605</w:t>
            </w:r>
          </w:p>
        </w:tc>
        <w:tc>
          <w:tcPr>
            <w:tcW w:w="483"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79,683,382</w:t>
            </w:r>
          </w:p>
        </w:tc>
        <w:tc>
          <w:tcPr>
            <w:tcW w:w="483"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78,361,204</w:t>
            </w:r>
          </w:p>
        </w:tc>
        <w:tc>
          <w:tcPr>
            <w:tcW w:w="483"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67,811,411</w:t>
            </w:r>
          </w:p>
        </w:tc>
        <w:tc>
          <w:tcPr>
            <w:tcW w:w="483"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110%</w:t>
            </w:r>
          </w:p>
        </w:tc>
        <w:tc>
          <w:tcPr>
            <w:tcW w:w="483"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113%</w:t>
            </w:r>
          </w:p>
        </w:tc>
        <w:tc>
          <w:tcPr>
            <w:tcW w:w="453"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110%</w:t>
            </w:r>
          </w:p>
        </w:tc>
        <w:tc>
          <w:tcPr>
            <w:tcW w:w="480"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116%</w:t>
            </w:r>
          </w:p>
        </w:tc>
      </w:tr>
      <w:tr w:rsidR="00C55233" w:rsidRPr="00CB2FCF" w:rsidTr="00E841D1">
        <w:trPr>
          <w:trHeight w:val="181"/>
          <w:jc w:val="center"/>
        </w:trPr>
        <w:tc>
          <w:tcPr>
            <w:tcW w:w="1169" w:type="pct"/>
            <w:tcBorders>
              <w:top w:val="nil"/>
              <w:left w:val="single" w:sz="8" w:space="0" w:color="8EAADB"/>
              <w:bottom w:val="single" w:sz="8" w:space="0" w:color="8EAADB"/>
              <w:right w:val="single" w:sz="8" w:space="0" w:color="8EAADB"/>
            </w:tcBorders>
            <w:shd w:val="clear" w:color="auto" w:fill="auto"/>
            <w:vAlign w:val="center"/>
            <w:hideMark/>
          </w:tcPr>
          <w:p w:rsidR="00C55233" w:rsidRPr="00476D2E" w:rsidRDefault="00C55233" w:rsidP="00C55233">
            <w:pPr>
              <w:spacing w:before="0" w:line="240" w:lineRule="auto"/>
              <w:jc w:val="center"/>
              <w:rPr>
                <w:rFonts w:cs="Calibri"/>
                <w:b/>
                <w:bCs/>
                <w:sz w:val="16"/>
                <w:szCs w:val="16"/>
              </w:rPr>
            </w:pPr>
            <w:r w:rsidRPr="00476D2E">
              <w:rPr>
                <w:rFonts w:cs="Calibri"/>
                <w:b/>
                <w:bCs/>
                <w:sz w:val="16"/>
                <w:szCs w:val="16"/>
                <w:lang w:val="sq-AL"/>
              </w:rPr>
              <w:t>Ministria e Drejtesise</w:t>
            </w:r>
          </w:p>
        </w:tc>
        <w:tc>
          <w:tcPr>
            <w:tcW w:w="483" w:type="pct"/>
            <w:tcBorders>
              <w:top w:val="nil"/>
              <w:left w:val="nil"/>
              <w:bottom w:val="single" w:sz="8" w:space="0" w:color="8EAADB"/>
              <w:right w:val="single" w:sz="8" w:space="0" w:color="8EAADB"/>
            </w:tcBorders>
            <w:shd w:val="clear" w:color="auto" w:fill="auto"/>
            <w:noWrap/>
            <w:hideMark/>
          </w:tcPr>
          <w:p w:rsidR="00C55233" w:rsidRPr="00CB2FCF" w:rsidRDefault="00C55233" w:rsidP="00C55233">
            <w:pPr>
              <w:spacing w:before="0" w:line="240" w:lineRule="auto"/>
              <w:jc w:val="right"/>
              <w:rPr>
                <w:rFonts w:asciiTheme="majorHAnsi" w:hAnsiTheme="majorHAnsi"/>
                <w:color w:val="000000"/>
                <w:sz w:val="16"/>
                <w:szCs w:val="16"/>
              </w:rPr>
            </w:pPr>
          </w:p>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9,208,700</w:t>
            </w:r>
          </w:p>
        </w:tc>
        <w:tc>
          <w:tcPr>
            <w:tcW w:w="483" w:type="pct"/>
            <w:tcBorders>
              <w:top w:val="nil"/>
              <w:left w:val="nil"/>
              <w:bottom w:val="single" w:sz="8" w:space="0" w:color="8EAADB"/>
              <w:right w:val="single" w:sz="8" w:space="0" w:color="8EAADB"/>
            </w:tcBorders>
            <w:shd w:val="clear" w:color="auto" w:fill="auto"/>
            <w:noWrap/>
            <w:hideMark/>
          </w:tcPr>
          <w:p w:rsidR="00C55233" w:rsidRPr="00CB2FCF" w:rsidRDefault="00C55233" w:rsidP="00C55233">
            <w:pPr>
              <w:spacing w:before="0" w:line="240" w:lineRule="auto"/>
              <w:jc w:val="right"/>
              <w:rPr>
                <w:rFonts w:asciiTheme="majorHAnsi" w:hAnsiTheme="majorHAnsi"/>
                <w:color w:val="000000"/>
                <w:sz w:val="16"/>
                <w:szCs w:val="16"/>
              </w:rPr>
            </w:pPr>
          </w:p>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8,404,723</w:t>
            </w:r>
          </w:p>
        </w:tc>
        <w:tc>
          <w:tcPr>
            <w:tcW w:w="483" w:type="pct"/>
            <w:tcBorders>
              <w:top w:val="nil"/>
              <w:left w:val="nil"/>
              <w:bottom w:val="single" w:sz="8" w:space="0" w:color="8EAADB"/>
              <w:right w:val="single" w:sz="8" w:space="0" w:color="8EAADB"/>
            </w:tcBorders>
            <w:shd w:val="clear" w:color="auto" w:fill="auto"/>
            <w:noWrap/>
            <w:hideMark/>
          </w:tcPr>
          <w:p w:rsidR="00C55233" w:rsidRPr="00CB2FCF" w:rsidRDefault="00C55233" w:rsidP="00C55233">
            <w:pPr>
              <w:spacing w:before="0" w:line="240" w:lineRule="auto"/>
              <w:jc w:val="right"/>
              <w:rPr>
                <w:rFonts w:asciiTheme="majorHAnsi" w:hAnsiTheme="majorHAnsi"/>
                <w:color w:val="000000"/>
                <w:sz w:val="16"/>
                <w:szCs w:val="16"/>
              </w:rPr>
            </w:pPr>
          </w:p>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7,951,887</w:t>
            </w:r>
          </w:p>
        </w:tc>
        <w:tc>
          <w:tcPr>
            <w:tcW w:w="483" w:type="pct"/>
            <w:tcBorders>
              <w:top w:val="nil"/>
              <w:left w:val="nil"/>
              <w:bottom w:val="single" w:sz="8" w:space="0" w:color="8EAADB"/>
              <w:right w:val="single" w:sz="8" w:space="0" w:color="8EAADB"/>
            </w:tcBorders>
            <w:shd w:val="clear" w:color="auto" w:fill="auto"/>
            <w:noWrap/>
            <w:vAlign w:val="center"/>
            <w:hideMark/>
          </w:tcPr>
          <w:p w:rsidR="00C55233" w:rsidRPr="00CB2FCF" w:rsidRDefault="00C55233" w:rsidP="00C55233">
            <w:pPr>
              <w:spacing w:before="0" w:line="240" w:lineRule="auto"/>
              <w:jc w:val="right"/>
              <w:rPr>
                <w:rFonts w:asciiTheme="majorHAnsi" w:hAnsiTheme="majorHAnsi"/>
                <w:color w:val="000000"/>
                <w:sz w:val="16"/>
                <w:szCs w:val="16"/>
              </w:rPr>
            </w:pPr>
          </w:p>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8,550,497</w:t>
            </w:r>
          </w:p>
        </w:tc>
        <w:tc>
          <w:tcPr>
            <w:tcW w:w="483" w:type="pct"/>
            <w:tcBorders>
              <w:top w:val="nil"/>
              <w:left w:val="nil"/>
              <w:bottom w:val="single" w:sz="8" w:space="0" w:color="8EAADB"/>
              <w:right w:val="single" w:sz="8" w:space="0" w:color="8EAADB"/>
            </w:tcBorders>
            <w:shd w:val="clear" w:color="auto" w:fill="auto"/>
            <w:noWrap/>
            <w:vAlign w:val="center"/>
            <w:hideMark/>
          </w:tcPr>
          <w:p w:rsidR="00C55233" w:rsidRPr="00CB2FCF" w:rsidRDefault="00C55233" w:rsidP="00C55233">
            <w:pPr>
              <w:spacing w:before="0" w:line="240" w:lineRule="auto"/>
              <w:jc w:val="right"/>
              <w:rPr>
                <w:rFonts w:asciiTheme="majorHAnsi" w:hAnsiTheme="majorHAnsi"/>
                <w:color w:val="000000"/>
                <w:sz w:val="16"/>
                <w:szCs w:val="16"/>
              </w:rPr>
            </w:pPr>
          </w:p>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95.7</w:t>
            </w:r>
          </w:p>
        </w:tc>
        <w:tc>
          <w:tcPr>
            <w:tcW w:w="483" w:type="pct"/>
            <w:tcBorders>
              <w:top w:val="nil"/>
              <w:left w:val="nil"/>
              <w:bottom w:val="single" w:sz="8" w:space="0" w:color="8EAADB"/>
              <w:right w:val="single" w:sz="8" w:space="0" w:color="8EAADB"/>
            </w:tcBorders>
            <w:shd w:val="clear" w:color="auto" w:fill="auto"/>
            <w:noWrap/>
            <w:vAlign w:val="center"/>
            <w:hideMark/>
          </w:tcPr>
          <w:p w:rsidR="00C55233" w:rsidRPr="00CB2FCF" w:rsidRDefault="00C55233" w:rsidP="00C55233">
            <w:pPr>
              <w:spacing w:before="0" w:line="240" w:lineRule="auto"/>
              <w:jc w:val="right"/>
              <w:rPr>
                <w:rFonts w:asciiTheme="majorHAnsi" w:hAnsiTheme="majorHAnsi"/>
                <w:color w:val="000000"/>
                <w:sz w:val="16"/>
                <w:szCs w:val="16"/>
              </w:rPr>
            </w:pPr>
          </w:p>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80.9</w:t>
            </w:r>
          </w:p>
        </w:tc>
        <w:tc>
          <w:tcPr>
            <w:tcW w:w="453" w:type="pct"/>
            <w:tcBorders>
              <w:top w:val="nil"/>
              <w:left w:val="nil"/>
              <w:bottom w:val="single" w:sz="8" w:space="0" w:color="8EAADB"/>
              <w:right w:val="single" w:sz="8" w:space="0" w:color="8EAADB"/>
            </w:tcBorders>
            <w:shd w:val="clear" w:color="auto" w:fill="auto"/>
            <w:noWrap/>
            <w:vAlign w:val="center"/>
            <w:hideMark/>
          </w:tcPr>
          <w:p w:rsidR="00C55233" w:rsidRPr="00CB2FCF" w:rsidRDefault="00C55233" w:rsidP="00C55233">
            <w:pPr>
              <w:spacing w:before="0" w:line="240" w:lineRule="auto"/>
              <w:jc w:val="right"/>
              <w:rPr>
                <w:rFonts w:asciiTheme="majorHAnsi" w:hAnsiTheme="majorHAnsi"/>
                <w:color w:val="000000"/>
                <w:sz w:val="16"/>
                <w:szCs w:val="16"/>
              </w:rPr>
            </w:pPr>
          </w:p>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94.6</w:t>
            </w:r>
          </w:p>
        </w:tc>
        <w:tc>
          <w:tcPr>
            <w:tcW w:w="480" w:type="pct"/>
            <w:tcBorders>
              <w:top w:val="nil"/>
              <w:left w:val="nil"/>
              <w:bottom w:val="single" w:sz="8" w:space="0" w:color="8EAADB"/>
              <w:right w:val="single" w:sz="8" w:space="0" w:color="8EAADB"/>
            </w:tcBorders>
            <w:shd w:val="clear" w:color="auto" w:fill="auto"/>
            <w:noWrap/>
            <w:hideMark/>
          </w:tcPr>
          <w:p w:rsidR="00C55233" w:rsidRPr="00CB2FCF" w:rsidRDefault="00C55233" w:rsidP="00C55233">
            <w:pPr>
              <w:spacing w:line="240" w:lineRule="auto"/>
              <w:jc w:val="right"/>
              <w:rPr>
                <w:rFonts w:asciiTheme="majorHAnsi" w:hAnsiTheme="majorHAnsi"/>
                <w:sz w:val="16"/>
                <w:szCs w:val="16"/>
              </w:rPr>
            </w:pPr>
            <w:r w:rsidRPr="00CB2FCF">
              <w:rPr>
                <w:rFonts w:asciiTheme="majorHAnsi" w:hAnsiTheme="majorHAnsi"/>
                <w:sz w:val="16"/>
                <w:szCs w:val="16"/>
              </w:rPr>
              <w:t>93.00</w:t>
            </w:r>
          </w:p>
        </w:tc>
      </w:tr>
      <w:tr w:rsidR="00C55233" w:rsidRPr="00CB2FCF" w:rsidTr="00E841D1">
        <w:trPr>
          <w:trHeight w:val="181"/>
          <w:jc w:val="center"/>
        </w:trPr>
        <w:tc>
          <w:tcPr>
            <w:tcW w:w="1169" w:type="pct"/>
            <w:tcBorders>
              <w:top w:val="nil"/>
              <w:left w:val="single" w:sz="8" w:space="0" w:color="8EAADB"/>
              <w:bottom w:val="single" w:sz="8" w:space="0" w:color="8EAADB"/>
              <w:right w:val="single" w:sz="8" w:space="0" w:color="8EAADB"/>
            </w:tcBorders>
            <w:shd w:val="clear" w:color="000000" w:fill="D9E2F3"/>
            <w:vAlign w:val="center"/>
            <w:hideMark/>
          </w:tcPr>
          <w:p w:rsidR="00C55233" w:rsidRPr="00476D2E" w:rsidRDefault="00C55233" w:rsidP="00C55233">
            <w:pPr>
              <w:spacing w:before="0" w:line="240" w:lineRule="auto"/>
              <w:jc w:val="center"/>
              <w:rPr>
                <w:rFonts w:cs="Calibri"/>
                <w:b/>
                <w:bCs/>
                <w:sz w:val="16"/>
                <w:szCs w:val="16"/>
              </w:rPr>
            </w:pPr>
            <w:r w:rsidRPr="00476D2E">
              <w:rPr>
                <w:rFonts w:cs="Calibri"/>
                <w:b/>
                <w:bCs/>
                <w:sz w:val="16"/>
                <w:szCs w:val="16"/>
                <w:lang w:val="sq-AL"/>
              </w:rPr>
              <w:t>Ministria per Evropen dhe Punet e Jashtme</w:t>
            </w:r>
          </w:p>
        </w:tc>
        <w:tc>
          <w:tcPr>
            <w:tcW w:w="483"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before="0" w:line="240" w:lineRule="auto"/>
              <w:jc w:val="right"/>
              <w:rPr>
                <w:rFonts w:asciiTheme="majorHAnsi" w:hAnsiTheme="majorHAnsi"/>
                <w:color w:val="000000"/>
                <w:sz w:val="16"/>
                <w:szCs w:val="16"/>
              </w:rPr>
            </w:pPr>
          </w:p>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2,675,656</w:t>
            </w:r>
          </w:p>
        </w:tc>
        <w:tc>
          <w:tcPr>
            <w:tcW w:w="483"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before="0" w:line="240" w:lineRule="auto"/>
              <w:jc w:val="right"/>
              <w:rPr>
                <w:rFonts w:asciiTheme="majorHAnsi" w:hAnsiTheme="majorHAnsi"/>
                <w:color w:val="000000"/>
                <w:sz w:val="16"/>
                <w:szCs w:val="16"/>
              </w:rPr>
            </w:pPr>
          </w:p>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3,083,156</w:t>
            </w:r>
          </w:p>
        </w:tc>
        <w:tc>
          <w:tcPr>
            <w:tcW w:w="483"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before="0" w:line="240" w:lineRule="auto"/>
              <w:jc w:val="right"/>
              <w:rPr>
                <w:rFonts w:asciiTheme="majorHAnsi" w:hAnsiTheme="majorHAnsi"/>
                <w:color w:val="000000"/>
                <w:sz w:val="16"/>
                <w:szCs w:val="16"/>
              </w:rPr>
            </w:pPr>
          </w:p>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2,933,703</w:t>
            </w:r>
          </w:p>
        </w:tc>
        <w:tc>
          <w:tcPr>
            <w:tcW w:w="483" w:type="pct"/>
            <w:tcBorders>
              <w:top w:val="nil"/>
              <w:left w:val="nil"/>
              <w:bottom w:val="single" w:sz="8" w:space="0" w:color="8EAADB"/>
              <w:right w:val="single" w:sz="8" w:space="0" w:color="8EAADB"/>
            </w:tcBorders>
            <w:shd w:val="clear" w:color="000000" w:fill="D9E2F3"/>
            <w:noWrap/>
            <w:vAlign w:val="center"/>
            <w:hideMark/>
          </w:tcPr>
          <w:p w:rsidR="00C55233" w:rsidRPr="00CB2FCF" w:rsidRDefault="00C55233" w:rsidP="00C55233">
            <w:pPr>
              <w:spacing w:before="0" w:line="240" w:lineRule="auto"/>
              <w:jc w:val="right"/>
              <w:rPr>
                <w:rFonts w:asciiTheme="majorHAnsi" w:hAnsiTheme="majorHAnsi"/>
                <w:color w:val="000000"/>
                <w:sz w:val="16"/>
                <w:szCs w:val="16"/>
              </w:rPr>
            </w:pPr>
          </w:p>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3,051,200</w:t>
            </w:r>
          </w:p>
        </w:tc>
        <w:tc>
          <w:tcPr>
            <w:tcW w:w="483" w:type="pct"/>
            <w:tcBorders>
              <w:top w:val="nil"/>
              <w:left w:val="nil"/>
              <w:bottom w:val="single" w:sz="8" w:space="0" w:color="8EAADB"/>
              <w:right w:val="single" w:sz="8" w:space="0" w:color="8EAADB"/>
            </w:tcBorders>
            <w:shd w:val="clear" w:color="000000" w:fill="D9E2F3"/>
            <w:noWrap/>
            <w:vAlign w:val="center"/>
            <w:hideMark/>
          </w:tcPr>
          <w:p w:rsidR="00C55233" w:rsidRPr="00CB2FCF" w:rsidRDefault="00C55233" w:rsidP="00C55233">
            <w:pPr>
              <w:spacing w:before="0" w:line="240" w:lineRule="auto"/>
              <w:jc w:val="right"/>
              <w:rPr>
                <w:rFonts w:asciiTheme="majorHAnsi" w:hAnsiTheme="majorHAnsi"/>
                <w:color w:val="000000"/>
                <w:sz w:val="16"/>
                <w:szCs w:val="16"/>
              </w:rPr>
            </w:pPr>
          </w:p>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95.7</w:t>
            </w:r>
          </w:p>
        </w:tc>
        <w:tc>
          <w:tcPr>
            <w:tcW w:w="483" w:type="pct"/>
            <w:tcBorders>
              <w:top w:val="nil"/>
              <w:left w:val="nil"/>
              <w:bottom w:val="single" w:sz="8" w:space="0" w:color="8EAADB"/>
              <w:right w:val="single" w:sz="8" w:space="0" w:color="8EAADB"/>
            </w:tcBorders>
            <w:shd w:val="clear" w:color="000000" w:fill="D9E2F3"/>
            <w:noWrap/>
            <w:vAlign w:val="center"/>
            <w:hideMark/>
          </w:tcPr>
          <w:p w:rsidR="00C55233" w:rsidRPr="00CB2FCF" w:rsidRDefault="00C55233" w:rsidP="00C55233">
            <w:pPr>
              <w:spacing w:before="0" w:line="240" w:lineRule="auto"/>
              <w:jc w:val="right"/>
              <w:rPr>
                <w:rFonts w:asciiTheme="majorHAnsi" w:hAnsiTheme="majorHAnsi"/>
                <w:color w:val="000000"/>
                <w:sz w:val="16"/>
                <w:szCs w:val="16"/>
              </w:rPr>
            </w:pPr>
          </w:p>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87.0</w:t>
            </w:r>
          </w:p>
        </w:tc>
        <w:tc>
          <w:tcPr>
            <w:tcW w:w="453" w:type="pct"/>
            <w:tcBorders>
              <w:top w:val="nil"/>
              <w:left w:val="nil"/>
              <w:bottom w:val="single" w:sz="8" w:space="0" w:color="8EAADB"/>
              <w:right w:val="single" w:sz="8" w:space="0" w:color="8EAADB"/>
            </w:tcBorders>
            <w:shd w:val="clear" w:color="000000" w:fill="D9E2F3"/>
            <w:noWrap/>
            <w:vAlign w:val="center"/>
            <w:hideMark/>
          </w:tcPr>
          <w:p w:rsidR="00C55233" w:rsidRPr="00CB2FCF" w:rsidRDefault="00C55233" w:rsidP="00C55233">
            <w:pPr>
              <w:spacing w:before="0" w:line="240" w:lineRule="auto"/>
              <w:jc w:val="right"/>
              <w:rPr>
                <w:rFonts w:asciiTheme="majorHAnsi" w:hAnsiTheme="majorHAnsi"/>
                <w:color w:val="000000"/>
                <w:sz w:val="16"/>
                <w:szCs w:val="16"/>
              </w:rPr>
            </w:pPr>
          </w:p>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95.2</w:t>
            </w:r>
          </w:p>
        </w:tc>
        <w:tc>
          <w:tcPr>
            <w:tcW w:w="480"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before="0" w:line="240" w:lineRule="auto"/>
              <w:jc w:val="right"/>
              <w:rPr>
                <w:rFonts w:asciiTheme="majorHAnsi" w:hAnsiTheme="majorHAnsi"/>
                <w:color w:val="000000"/>
                <w:sz w:val="16"/>
                <w:szCs w:val="16"/>
              </w:rPr>
            </w:pPr>
          </w:p>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96.15</w:t>
            </w:r>
          </w:p>
        </w:tc>
      </w:tr>
      <w:tr w:rsidR="00C55233" w:rsidRPr="00CB2FCF" w:rsidTr="00E841D1">
        <w:trPr>
          <w:trHeight w:val="181"/>
          <w:jc w:val="center"/>
        </w:trPr>
        <w:tc>
          <w:tcPr>
            <w:tcW w:w="1169" w:type="pct"/>
            <w:tcBorders>
              <w:top w:val="nil"/>
              <w:left w:val="single" w:sz="8" w:space="0" w:color="8EAADB"/>
              <w:bottom w:val="single" w:sz="8" w:space="0" w:color="8EAADB"/>
              <w:right w:val="single" w:sz="8" w:space="0" w:color="8EAADB"/>
            </w:tcBorders>
            <w:shd w:val="clear" w:color="auto" w:fill="auto"/>
            <w:vAlign w:val="center"/>
            <w:hideMark/>
          </w:tcPr>
          <w:p w:rsidR="00C55233" w:rsidRPr="00476D2E" w:rsidRDefault="00C55233" w:rsidP="00C55233">
            <w:pPr>
              <w:spacing w:before="0" w:line="240" w:lineRule="auto"/>
              <w:jc w:val="center"/>
              <w:rPr>
                <w:rFonts w:cs="Calibri"/>
                <w:b/>
                <w:bCs/>
                <w:sz w:val="16"/>
                <w:szCs w:val="16"/>
              </w:rPr>
            </w:pPr>
            <w:r w:rsidRPr="00476D2E">
              <w:rPr>
                <w:rFonts w:cs="Calibri"/>
                <w:b/>
                <w:bCs/>
                <w:sz w:val="16"/>
                <w:szCs w:val="16"/>
                <w:lang w:val="sq-AL"/>
              </w:rPr>
              <w:t>Ministria e Brendshme</w:t>
            </w:r>
          </w:p>
        </w:tc>
        <w:tc>
          <w:tcPr>
            <w:tcW w:w="483" w:type="pct"/>
            <w:tcBorders>
              <w:top w:val="nil"/>
              <w:left w:val="nil"/>
              <w:bottom w:val="single" w:sz="8" w:space="0" w:color="92CDDC"/>
              <w:right w:val="single" w:sz="8" w:space="0" w:color="92CDDC"/>
            </w:tcBorders>
            <w:shd w:val="clear" w:color="auto" w:fill="auto"/>
            <w:noWrap/>
            <w:vAlign w:val="center"/>
            <w:hideMark/>
          </w:tcPr>
          <w:p w:rsidR="00C55233" w:rsidRPr="00CB2FCF" w:rsidRDefault="00C55233" w:rsidP="00C55233">
            <w:pPr>
              <w:spacing w:before="0" w:line="240" w:lineRule="auto"/>
              <w:jc w:val="right"/>
              <w:rPr>
                <w:color w:val="002060"/>
                <w:sz w:val="16"/>
                <w:szCs w:val="16"/>
              </w:rPr>
            </w:pPr>
            <w:r w:rsidRPr="00CB2FCF">
              <w:rPr>
                <w:color w:val="002060"/>
                <w:sz w:val="16"/>
                <w:szCs w:val="16"/>
              </w:rPr>
              <w:t>20,860,868</w:t>
            </w:r>
          </w:p>
        </w:tc>
        <w:tc>
          <w:tcPr>
            <w:tcW w:w="483" w:type="pct"/>
            <w:tcBorders>
              <w:top w:val="nil"/>
              <w:left w:val="nil"/>
              <w:bottom w:val="single" w:sz="8" w:space="0" w:color="92CDDC"/>
              <w:right w:val="single" w:sz="8" w:space="0" w:color="92CDDC"/>
            </w:tcBorders>
            <w:shd w:val="clear" w:color="auto" w:fill="auto"/>
            <w:noWrap/>
            <w:vAlign w:val="center"/>
            <w:hideMark/>
          </w:tcPr>
          <w:p w:rsidR="00C55233" w:rsidRPr="00CB2FCF" w:rsidRDefault="00C55233" w:rsidP="00C55233">
            <w:pPr>
              <w:spacing w:before="0" w:line="240" w:lineRule="auto"/>
              <w:jc w:val="right"/>
              <w:rPr>
                <w:color w:val="002060"/>
                <w:sz w:val="16"/>
                <w:szCs w:val="16"/>
              </w:rPr>
            </w:pPr>
            <w:r w:rsidRPr="00CB2FCF">
              <w:rPr>
                <w:color w:val="002060"/>
                <w:sz w:val="16"/>
                <w:szCs w:val="16"/>
              </w:rPr>
              <w:t>21,011,770</w:t>
            </w:r>
          </w:p>
        </w:tc>
        <w:tc>
          <w:tcPr>
            <w:tcW w:w="483" w:type="pct"/>
            <w:tcBorders>
              <w:top w:val="nil"/>
              <w:left w:val="nil"/>
              <w:bottom w:val="single" w:sz="8" w:space="0" w:color="92CDDC"/>
              <w:right w:val="single" w:sz="8" w:space="0" w:color="92CDDC"/>
            </w:tcBorders>
            <w:shd w:val="clear" w:color="auto" w:fill="auto"/>
            <w:noWrap/>
            <w:vAlign w:val="center"/>
            <w:hideMark/>
          </w:tcPr>
          <w:p w:rsidR="00C55233" w:rsidRPr="00CB2FCF" w:rsidRDefault="00C55233" w:rsidP="00C55233">
            <w:pPr>
              <w:spacing w:before="0" w:line="240" w:lineRule="auto"/>
              <w:jc w:val="right"/>
              <w:rPr>
                <w:color w:val="002060"/>
                <w:sz w:val="16"/>
                <w:szCs w:val="16"/>
              </w:rPr>
            </w:pPr>
            <w:r w:rsidRPr="00CB2FCF">
              <w:rPr>
                <w:color w:val="002060"/>
                <w:sz w:val="16"/>
                <w:szCs w:val="16"/>
              </w:rPr>
              <w:t>20,644,860</w:t>
            </w:r>
          </w:p>
        </w:tc>
        <w:tc>
          <w:tcPr>
            <w:tcW w:w="483" w:type="pct"/>
            <w:tcBorders>
              <w:top w:val="nil"/>
              <w:left w:val="nil"/>
              <w:bottom w:val="single" w:sz="8" w:space="0" w:color="92CDDC"/>
              <w:right w:val="single" w:sz="8" w:space="0" w:color="92CDDC"/>
            </w:tcBorders>
            <w:shd w:val="clear" w:color="auto" w:fill="auto"/>
            <w:noWrap/>
            <w:vAlign w:val="center"/>
            <w:hideMark/>
          </w:tcPr>
          <w:p w:rsidR="00C55233" w:rsidRPr="00CB2FCF" w:rsidRDefault="00C55233" w:rsidP="00C55233">
            <w:pPr>
              <w:spacing w:before="0" w:line="240" w:lineRule="auto"/>
              <w:jc w:val="right"/>
              <w:rPr>
                <w:color w:val="002060"/>
                <w:sz w:val="16"/>
                <w:szCs w:val="16"/>
              </w:rPr>
            </w:pPr>
            <w:r w:rsidRPr="00CB2FCF">
              <w:rPr>
                <w:color w:val="002060"/>
                <w:sz w:val="16"/>
                <w:szCs w:val="16"/>
              </w:rPr>
              <w:t>20,698,375</w:t>
            </w:r>
          </w:p>
        </w:tc>
        <w:tc>
          <w:tcPr>
            <w:tcW w:w="483" w:type="pct"/>
            <w:tcBorders>
              <w:top w:val="nil"/>
              <w:left w:val="nil"/>
              <w:bottom w:val="single" w:sz="8" w:space="0" w:color="92CDDC"/>
              <w:right w:val="single" w:sz="8" w:space="0" w:color="92CDDC"/>
            </w:tcBorders>
            <w:shd w:val="clear" w:color="auto" w:fill="auto"/>
            <w:noWrap/>
            <w:vAlign w:val="center"/>
            <w:hideMark/>
          </w:tcPr>
          <w:p w:rsidR="00C55233" w:rsidRPr="00CB2FCF" w:rsidRDefault="00C55233" w:rsidP="00C55233">
            <w:pPr>
              <w:spacing w:before="0" w:line="240" w:lineRule="auto"/>
              <w:jc w:val="right"/>
              <w:rPr>
                <w:color w:val="000000"/>
                <w:sz w:val="16"/>
                <w:szCs w:val="16"/>
              </w:rPr>
            </w:pPr>
            <w:r w:rsidRPr="00CB2FCF">
              <w:rPr>
                <w:color w:val="000000"/>
                <w:sz w:val="16"/>
                <w:szCs w:val="16"/>
              </w:rPr>
              <w:t>101%</w:t>
            </w:r>
          </w:p>
        </w:tc>
        <w:tc>
          <w:tcPr>
            <w:tcW w:w="483" w:type="pct"/>
            <w:tcBorders>
              <w:top w:val="nil"/>
              <w:left w:val="nil"/>
              <w:bottom w:val="single" w:sz="8" w:space="0" w:color="92CDDC"/>
              <w:right w:val="single" w:sz="8" w:space="0" w:color="92CDDC"/>
            </w:tcBorders>
            <w:shd w:val="clear" w:color="auto" w:fill="auto"/>
            <w:noWrap/>
            <w:vAlign w:val="center"/>
            <w:hideMark/>
          </w:tcPr>
          <w:p w:rsidR="00C55233" w:rsidRPr="00CB2FCF" w:rsidRDefault="00C55233" w:rsidP="00C55233">
            <w:pPr>
              <w:spacing w:before="0" w:line="240" w:lineRule="auto"/>
              <w:jc w:val="right"/>
              <w:rPr>
                <w:color w:val="000000"/>
                <w:sz w:val="16"/>
                <w:szCs w:val="16"/>
              </w:rPr>
            </w:pPr>
            <w:r w:rsidRPr="00CB2FCF">
              <w:rPr>
                <w:color w:val="000000"/>
                <w:sz w:val="16"/>
                <w:szCs w:val="16"/>
              </w:rPr>
              <w:t>67%</w:t>
            </w:r>
          </w:p>
        </w:tc>
        <w:tc>
          <w:tcPr>
            <w:tcW w:w="453" w:type="pct"/>
            <w:tcBorders>
              <w:top w:val="nil"/>
              <w:left w:val="nil"/>
              <w:bottom w:val="single" w:sz="8" w:space="0" w:color="92CDDC"/>
              <w:right w:val="single" w:sz="8" w:space="0" w:color="92CDDC"/>
            </w:tcBorders>
            <w:shd w:val="clear" w:color="auto" w:fill="auto"/>
            <w:noWrap/>
            <w:vAlign w:val="center"/>
            <w:hideMark/>
          </w:tcPr>
          <w:p w:rsidR="00C55233" w:rsidRPr="00CB2FCF" w:rsidRDefault="00C55233" w:rsidP="00C55233">
            <w:pPr>
              <w:spacing w:before="0" w:line="240" w:lineRule="auto"/>
              <w:jc w:val="right"/>
              <w:rPr>
                <w:color w:val="000000"/>
                <w:sz w:val="16"/>
                <w:szCs w:val="16"/>
              </w:rPr>
            </w:pPr>
            <w:r w:rsidRPr="00CB2FCF">
              <w:rPr>
                <w:color w:val="000000"/>
                <w:sz w:val="16"/>
                <w:szCs w:val="16"/>
              </w:rPr>
              <w:t>99%</w:t>
            </w:r>
          </w:p>
        </w:tc>
        <w:tc>
          <w:tcPr>
            <w:tcW w:w="480" w:type="pct"/>
            <w:tcBorders>
              <w:top w:val="nil"/>
              <w:left w:val="nil"/>
              <w:bottom w:val="single" w:sz="8" w:space="0" w:color="92CDDC"/>
              <w:right w:val="single" w:sz="8" w:space="0" w:color="92CDDC"/>
            </w:tcBorders>
            <w:shd w:val="clear" w:color="auto" w:fill="auto"/>
            <w:noWrap/>
            <w:vAlign w:val="center"/>
            <w:hideMark/>
          </w:tcPr>
          <w:p w:rsidR="00C55233" w:rsidRPr="00CB2FCF" w:rsidRDefault="00C55233" w:rsidP="00C55233">
            <w:pPr>
              <w:spacing w:before="0" w:line="240" w:lineRule="auto"/>
              <w:jc w:val="right"/>
              <w:rPr>
                <w:color w:val="000000"/>
                <w:sz w:val="16"/>
                <w:szCs w:val="16"/>
              </w:rPr>
            </w:pPr>
            <w:r w:rsidRPr="00CB2FCF">
              <w:rPr>
                <w:color w:val="000000"/>
                <w:sz w:val="16"/>
                <w:szCs w:val="16"/>
              </w:rPr>
              <w:t>100%</w:t>
            </w:r>
          </w:p>
        </w:tc>
      </w:tr>
      <w:tr w:rsidR="00C55233" w:rsidRPr="00CB2FCF" w:rsidTr="00E841D1">
        <w:trPr>
          <w:trHeight w:val="181"/>
          <w:jc w:val="center"/>
        </w:trPr>
        <w:tc>
          <w:tcPr>
            <w:tcW w:w="1169" w:type="pct"/>
            <w:tcBorders>
              <w:top w:val="nil"/>
              <w:left w:val="single" w:sz="8" w:space="0" w:color="8EAADB"/>
              <w:bottom w:val="single" w:sz="8" w:space="0" w:color="8EAADB"/>
              <w:right w:val="single" w:sz="8" w:space="0" w:color="8EAADB"/>
            </w:tcBorders>
            <w:shd w:val="clear" w:color="000000" w:fill="D9E2F3"/>
            <w:vAlign w:val="center"/>
            <w:hideMark/>
          </w:tcPr>
          <w:p w:rsidR="00C55233" w:rsidRPr="00476D2E" w:rsidRDefault="00C55233" w:rsidP="00C55233">
            <w:pPr>
              <w:spacing w:before="0" w:line="240" w:lineRule="auto"/>
              <w:jc w:val="center"/>
              <w:rPr>
                <w:rFonts w:cs="Calibri"/>
                <w:b/>
                <w:bCs/>
                <w:sz w:val="16"/>
                <w:szCs w:val="16"/>
              </w:rPr>
            </w:pPr>
            <w:r w:rsidRPr="00476D2E">
              <w:rPr>
                <w:rFonts w:cs="Calibri"/>
                <w:b/>
                <w:bCs/>
                <w:sz w:val="16"/>
                <w:szCs w:val="16"/>
                <w:lang w:val="sq-AL"/>
              </w:rPr>
              <w:t>Ministria e Mbrojtjes</w:t>
            </w:r>
          </w:p>
        </w:tc>
        <w:tc>
          <w:tcPr>
            <w:tcW w:w="483" w:type="pct"/>
            <w:tcBorders>
              <w:top w:val="nil"/>
              <w:left w:val="nil"/>
              <w:bottom w:val="single" w:sz="8" w:space="0" w:color="92CDDC"/>
              <w:right w:val="single" w:sz="8" w:space="0" w:color="92CDDC"/>
            </w:tcBorders>
            <w:shd w:val="clear" w:color="000000" w:fill="DAEEF3"/>
            <w:noWrap/>
            <w:vAlign w:val="center"/>
            <w:hideMark/>
          </w:tcPr>
          <w:p w:rsidR="00C55233" w:rsidRPr="00CB2FCF" w:rsidRDefault="00C55233" w:rsidP="00C55233">
            <w:pPr>
              <w:spacing w:before="0" w:line="240" w:lineRule="auto"/>
              <w:jc w:val="right"/>
              <w:rPr>
                <w:color w:val="002060"/>
                <w:sz w:val="16"/>
                <w:szCs w:val="16"/>
              </w:rPr>
            </w:pPr>
            <w:r w:rsidRPr="00CB2FCF">
              <w:rPr>
                <w:color w:val="002060"/>
                <w:sz w:val="16"/>
                <w:szCs w:val="16"/>
              </w:rPr>
              <w:t>24,938,800</w:t>
            </w:r>
          </w:p>
        </w:tc>
        <w:tc>
          <w:tcPr>
            <w:tcW w:w="483" w:type="pct"/>
            <w:tcBorders>
              <w:top w:val="nil"/>
              <w:left w:val="nil"/>
              <w:bottom w:val="single" w:sz="8" w:space="0" w:color="92CDDC"/>
              <w:right w:val="single" w:sz="8" w:space="0" w:color="92CDDC"/>
            </w:tcBorders>
            <w:shd w:val="clear" w:color="000000" w:fill="DAEEF3"/>
            <w:noWrap/>
            <w:vAlign w:val="center"/>
            <w:hideMark/>
          </w:tcPr>
          <w:p w:rsidR="00C55233" w:rsidRPr="00CB2FCF" w:rsidRDefault="00C55233" w:rsidP="00C55233">
            <w:pPr>
              <w:spacing w:before="0" w:line="240" w:lineRule="auto"/>
              <w:jc w:val="right"/>
              <w:rPr>
                <w:color w:val="002060"/>
                <w:sz w:val="16"/>
                <w:szCs w:val="16"/>
              </w:rPr>
            </w:pPr>
            <w:r w:rsidRPr="00CB2FCF">
              <w:rPr>
                <w:color w:val="002060"/>
                <w:sz w:val="16"/>
                <w:szCs w:val="16"/>
              </w:rPr>
              <w:t>24,867,796</w:t>
            </w:r>
          </w:p>
        </w:tc>
        <w:tc>
          <w:tcPr>
            <w:tcW w:w="483" w:type="pct"/>
            <w:tcBorders>
              <w:top w:val="nil"/>
              <w:left w:val="nil"/>
              <w:bottom w:val="single" w:sz="8" w:space="0" w:color="92CDDC"/>
              <w:right w:val="single" w:sz="8" w:space="0" w:color="92CDDC"/>
            </w:tcBorders>
            <w:shd w:val="clear" w:color="000000" w:fill="DAEEF3"/>
            <w:noWrap/>
            <w:vAlign w:val="center"/>
            <w:hideMark/>
          </w:tcPr>
          <w:p w:rsidR="00C55233" w:rsidRPr="00CB2FCF" w:rsidRDefault="00C55233" w:rsidP="00C55233">
            <w:pPr>
              <w:spacing w:before="0" w:line="240" w:lineRule="auto"/>
              <w:jc w:val="right"/>
              <w:rPr>
                <w:color w:val="002060"/>
                <w:sz w:val="16"/>
                <w:szCs w:val="16"/>
              </w:rPr>
            </w:pPr>
            <w:r w:rsidRPr="00CB2FCF">
              <w:rPr>
                <w:color w:val="002060"/>
                <w:sz w:val="16"/>
                <w:szCs w:val="16"/>
              </w:rPr>
              <w:t>23,071,600</w:t>
            </w:r>
          </w:p>
        </w:tc>
        <w:tc>
          <w:tcPr>
            <w:tcW w:w="483" w:type="pct"/>
            <w:tcBorders>
              <w:top w:val="nil"/>
              <w:left w:val="nil"/>
              <w:bottom w:val="single" w:sz="8" w:space="0" w:color="92CDDC"/>
              <w:right w:val="single" w:sz="8" w:space="0" w:color="92CDDC"/>
            </w:tcBorders>
            <w:shd w:val="clear" w:color="000000" w:fill="DAEEF3"/>
            <w:noWrap/>
            <w:vAlign w:val="center"/>
            <w:hideMark/>
          </w:tcPr>
          <w:p w:rsidR="00C55233" w:rsidRPr="00CB2FCF" w:rsidRDefault="00C55233" w:rsidP="00C55233">
            <w:pPr>
              <w:spacing w:before="0" w:line="240" w:lineRule="auto"/>
              <w:jc w:val="right"/>
              <w:rPr>
                <w:color w:val="002060"/>
                <w:sz w:val="16"/>
                <w:szCs w:val="16"/>
              </w:rPr>
            </w:pPr>
            <w:r w:rsidRPr="00CB2FCF">
              <w:rPr>
                <w:color w:val="002060"/>
                <w:sz w:val="16"/>
                <w:szCs w:val="16"/>
              </w:rPr>
              <w:t>21,353,335</w:t>
            </w:r>
          </w:p>
        </w:tc>
        <w:tc>
          <w:tcPr>
            <w:tcW w:w="483" w:type="pct"/>
            <w:tcBorders>
              <w:top w:val="nil"/>
              <w:left w:val="nil"/>
              <w:bottom w:val="single" w:sz="8" w:space="0" w:color="92CDDC"/>
              <w:right w:val="single" w:sz="8" w:space="0" w:color="92CDDC"/>
            </w:tcBorders>
            <w:shd w:val="clear" w:color="000000" w:fill="DAEEF3"/>
            <w:noWrap/>
            <w:vAlign w:val="center"/>
            <w:hideMark/>
          </w:tcPr>
          <w:p w:rsidR="00C55233" w:rsidRPr="00CB2FCF" w:rsidRDefault="00C55233" w:rsidP="00C55233">
            <w:pPr>
              <w:spacing w:before="0" w:line="240" w:lineRule="auto"/>
              <w:jc w:val="right"/>
              <w:rPr>
                <w:color w:val="000000"/>
                <w:sz w:val="16"/>
                <w:szCs w:val="16"/>
              </w:rPr>
            </w:pPr>
            <w:r w:rsidRPr="00CB2FCF">
              <w:rPr>
                <w:color w:val="000000"/>
                <w:sz w:val="16"/>
                <w:szCs w:val="16"/>
              </w:rPr>
              <w:t>96%</w:t>
            </w:r>
          </w:p>
        </w:tc>
        <w:tc>
          <w:tcPr>
            <w:tcW w:w="483" w:type="pct"/>
            <w:tcBorders>
              <w:top w:val="nil"/>
              <w:left w:val="nil"/>
              <w:bottom w:val="single" w:sz="8" w:space="0" w:color="92CDDC"/>
              <w:right w:val="single" w:sz="8" w:space="0" w:color="92CDDC"/>
            </w:tcBorders>
            <w:shd w:val="clear" w:color="000000" w:fill="DAEEF3"/>
            <w:noWrap/>
            <w:vAlign w:val="center"/>
            <w:hideMark/>
          </w:tcPr>
          <w:p w:rsidR="00C55233" w:rsidRPr="00CB2FCF" w:rsidRDefault="00C55233" w:rsidP="00C55233">
            <w:pPr>
              <w:spacing w:before="0" w:line="240" w:lineRule="auto"/>
              <w:jc w:val="right"/>
              <w:rPr>
                <w:color w:val="000000"/>
                <w:sz w:val="16"/>
                <w:szCs w:val="16"/>
              </w:rPr>
            </w:pPr>
            <w:r w:rsidRPr="00CB2FCF">
              <w:rPr>
                <w:color w:val="000000"/>
                <w:sz w:val="16"/>
                <w:szCs w:val="16"/>
              </w:rPr>
              <w:t>81%</w:t>
            </w:r>
          </w:p>
        </w:tc>
        <w:tc>
          <w:tcPr>
            <w:tcW w:w="453" w:type="pct"/>
            <w:tcBorders>
              <w:top w:val="nil"/>
              <w:left w:val="nil"/>
              <w:bottom w:val="single" w:sz="8" w:space="0" w:color="92CDDC"/>
              <w:right w:val="single" w:sz="8" w:space="0" w:color="92CDDC"/>
            </w:tcBorders>
            <w:shd w:val="clear" w:color="000000" w:fill="DAEEF3"/>
            <w:noWrap/>
            <w:vAlign w:val="center"/>
            <w:hideMark/>
          </w:tcPr>
          <w:p w:rsidR="00C55233" w:rsidRPr="00CB2FCF" w:rsidRDefault="00C55233" w:rsidP="00C55233">
            <w:pPr>
              <w:spacing w:before="0" w:line="240" w:lineRule="auto"/>
              <w:jc w:val="right"/>
              <w:rPr>
                <w:color w:val="000000"/>
                <w:sz w:val="16"/>
                <w:szCs w:val="16"/>
              </w:rPr>
            </w:pPr>
            <w:r w:rsidRPr="00CB2FCF">
              <w:rPr>
                <w:color w:val="000000"/>
                <w:sz w:val="16"/>
                <w:szCs w:val="16"/>
              </w:rPr>
              <w:t>93%</w:t>
            </w:r>
          </w:p>
        </w:tc>
        <w:tc>
          <w:tcPr>
            <w:tcW w:w="480" w:type="pct"/>
            <w:tcBorders>
              <w:top w:val="nil"/>
              <w:left w:val="nil"/>
              <w:bottom w:val="single" w:sz="8" w:space="0" w:color="92CDDC"/>
              <w:right w:val="single" w:sz="8" w:space="0" w:color="92CDDC"/>
            </w:tcBorders>
            <w:shd w:val="clear" w:color="000000" w:fill="DAEEF3"/>
            <w:noWrap/>
            <w:vAlign w:val="center"/>
            <w:hideMark/>
          </w:tcPr>
          <w:p w:rsidR="00C55233" w:rsidRPr="00CB2FCF" w:rsidRDefault="00C55233" w:rsidP="00C55233">
            <w:pPr>
              <w:spacing w:before="0" w:line="240" w:lineRule="auto"/>
              <w:jc w:val="right"/>
              <w:rPr>
                <w:color w:val="000000"/>
                <w:sz w:val="16"/>
                <w:szCs w:val="16"/>
              </w:rPr>
            </w:pPr>
            <w:r w:rsidRPr="00CB2FCF">
              <w:rPr>
                <w:color w:val="000000"/>
                <w:sz w:val="16"/>
                <w:szCs w:val="16"/>
              </w:rPr>
              <w:t>108%</w:t>
            </w:r>
          </w:p>
        </w:tc>
      </w:tr>
      <w:tr w:rsidR="00C55233" w:rsidRPr="00CB2FCF" w:rsidTr="00E841D1">
        <w:trPr>
          <w:trHeight w:val="181"/>
          <w:jc w:val="center"/>
        </w:trPr>
        <w:tc>
          <w:tcPr>
            <w:tcW w:w="1169" w:type="pct"/>
            <w:tcBorders>
              <w:top w:val="nil"/>
              <w:left w:val="single" w:sz="8" w:space="0" w:color="8EAADB"/>
              <w:bottom w:val="single" w:sz="8" w:space="0" w:color="8EAADB"/>
              <w:right w:val="single" w:sz="8" w:space="0" w:color="8EAADB"/>
            </w:tcBorders>
            <w:shd w:val="clear" w:color="auto" w:fill="auto"/>
            <w:vAlign w:val="center"/>
            <w:hideMark/>
          </w:tcPr>
          <w:p w:rsidR="00C55233" w:rsidRPr="00476D2E" w:rsidRDefault="00C55233" w:rsidP="00C55233">
            <w:pPr>
              <w:spacing w:before="0" w:line="240" w:lineRule="auto"/>
              <w:jc w:val="center"/>
              <w:rPr>
                <w:rFonts w:cs="Calibri"/>
                <w:b/>
                <w:bCs/>
                <w:sz w:val="16"/>
                <w:szCs w:val="16"/>
              </w:rPr>
            </w:pPr>
            <w:r w:rsidRPr="00476D2E">
              <w:rPr>
                <w:rFonts w:cs="Calibri"/>
                <w:b/>
                <w:bCs/>
                <w:sz w:val="16"/>
                <w:szCs w:val="16"/>
                <w:lang w:val="sq-AL"/>
              </w:rPr>
              <w:t>Sherbimi Informativ Kombetar</w:t>
            </w:r>
          </w:p>
        </w:tc>
        <w:tc>
          <w:tcPr>
            <w:tcW w:w="483" w:type="pct"/>
            <w:tcBorders>
              <w:top w:val="nil"/>
              <w:left w:val="nil"/>
              <w:bottom w:val="single" w:sz="8" w:space="0" w:color="92CDDC"/>
              <w:right w:val="single" w:sz="8" w:space="0" w:color="92CDDC"/>
            </w:tcBorders>
            <w:shd w:val="clear" w:color="auto" w:fill="auto"/>
            <w:noWrap/>
            <w:vAlign w:val="center"/>
            <w:hideMark/>
          </w:tcPr>
          <w:p w:rsidR="00C55233" w:rsidRPr="00CB2FCF" w:rsidRDefault="00C55233" w:rsidP="00C55233">
            <w:pPr>
              <w:spacing w:before="0" w:line="240" w:lineRule="auto"/>
              <w:jc w:val="right"/>
              <w:rPr>
                <w:color w:val="002060"/>
                <w:sz w:val="16"/>
                <w:szCs w:val="16"/>
              </w:rPr>
            </w:pPr>
            <w:r w:rsidRPr="00CB2FCF">
              <w:rPr>
                <w:color w:val="002060"/>
                <w:sz w:val="16"/>
                <w:szCs w:val="16"/>
              </w:rPr>
              <w:t>1,860,000</w:t>
            </w:r>
          </w:p>
        </w:tc>
        <w:tc>
          <w:tcPr>
            <w:tcW w:w="483" w:type="pct"/>
            <w:tcBorders>
              <w:top w:val="nil"/>
              <w:left w:val="nil"/>
              <w:bottom w:val="single" w:sz="8" w:space="0" w:color="92CDDC"/>
              <w:right w:val="single" w:sz="8" w:space="0" w:color="92CDDC"/>
            </w:tcBorders>
            <w:shd w:val="clear" w:color="auto" w:fill="auto"/>
            <w:noWrap/>
            <w:vAlign w:val="center"/>
            <w:hideMark/>
          </w:tcPr>
          <w:p w:rsidR="00C55233" w:rsidRPr="00CB2FCF" w:rsidRDefault="00C55233" w:rsidP="00C55233">
            <w:pPr>
              <w:spacing w:before="0" w:line="240" w:lineRule="auto"/>
              <w:jc w:val="right"/>
              <w:rPr>
                <w:color w:val="002060"/>
                <w:sz w:val="16"/>
                <w:szCs w:val="16"/>
              </w:rPr>
            </w:pPr>
            <w:r w:rsidRPr="00CB2FCF">
              <w:rPr>
                <w:color w:val="002060"/>
                <w:sz w:val="16"/>
                <w:szCs w:val="16"/>
              </w:rPr>
              <w:t>1,753,721</w:t>
            </w:r>
          </w:p>
        </w:tc>
        <w:tc>
          <w:tcPr>
            <w:tcW w:w="483" w:type="pct"/>
            <w:tcBorders>
              <w:top w:val="nil"/>
              <w:left w:val="nil"/>
              <w:bottom w:val="single" w:sz="8" w:space="0" w:color="92CDDC"/>
              <w:right w:val="single" w:sz="8" w:space="0" w:color="92CDDC"/>
            </w:tcBorders>
            <w:shd w:val="clear" w:color="auto" w:fill="auto"/>
            <w:noWrap/>
            <w:vAlign w:val="center"/>
            <w:hideMark/>
          </w:tcPr>
          <w:p w:rsidR="00C55233" w:rsidRPr="00CB2FCF" w:rsidRDefault="00C55233" w:rsidP="00C55233">
            <w:pPr>
              <w:spacing w:before="0" w:line="240" w:lineRule="auto"/>
              <w:jc w:val="right"/>
              <w:rPr>
                <w:color w:val="002060"/>
                <w:sz w:val="16"/>
                <w:szCs w:val="16"/>
              </w:rPr>
            </w:pPr>
            <w:r w:rsidRPr="00CB2FCF">
              <w:rPr>
                <w:color w:val="002060"/>
                <w:sz w:val="16"/>
                <w:szCs w:val="16"/>
              </w:rPr>
              <w:t>1,719,412</w:t>
            </w:r>
          </w:p>
        </w:tc>
        <w:tc>
          <w:tcPr>
            <w:tcW w:w="483" w:type="pct"/>
            <w:tcBorders>
              <w:top w:val="nil"/>
              <w:left w:val="nil"/>
              <w:bottom w:val="single" w:sz="8" w:space="0" w:color="92CDDC"/>
              <w:right w:val="single" w:sz="8" w:space="0" w:color="92CDDC"/>
            </w:tcBorders>
            <w:shd w:val="clear" w:color="auto" w:fill="auto"/>
            <w:noWrap/>
            <w:vAlign w:val="center"/>
            <w:hideMark/>
          </w:tcPr>
          <w:p w:rsidR="00C55233" w:rsidRPr="00CB2FCF" w:rsidRDefault="00C55233" w:rsidP="00C55233">
            <w:pPr>
              <w:spacing w:before="0" w:line="240" w:lineRule="auto"/>
              <w:jc w:val="right"/>
              <w:rPr>
                <w:color w:val="002060"/>
                <w:sz w:val="16"/>
                <w:szCs w:val="16"/>
              </w:rPr>
            </w:pPr>
            <w:r w:rsidRPr="00CB2FCF">
              <w:rPr>
                <w:color w:val="002060"/>
                <w:sz w:val="16"/>
                <w:szCs w:val="16"/>
              </w:rPr>
              <w:t>1,685,926</w:t>
            </w:r>
          </w:p>
        </w:tc>
        <w:tc>
          <w:tcPr>
            <w:tcW w:w="483" w:type="pct"/>
            <w:tcBorders>
              <w:top w:val="nil"/>
              <w:left w:val="nil"/>
              <w:bottom w:val="single" w:sz="8" w:space="0" w:color="92CDDC"/>
              <w:right w:val="single" w:sz="8" w:space="0" w:color="92CDDC"/>
            </w:tcBorders>
            <w:shd w:val="clear" w:color="auto" w:fill="auto"/>
            <w:noWrap/>
            <w:vAlign w:val="center"/>
            <w:hideMark/>
          </w:tcPr>
          <w:p w:rsidR="00C55233" w:rsidRPr="00CB2FCF" w:rsidRDefault="00C55233" w:rsidP="00C55233">
            <w:pPr>
              <w:spacing w:before="0" w:line="240" w:lineRule="auto"/>
              <w:jc w:val="right"/>
              <w:rPr>
                <w:color w:val="000000"/>
                <w:sz w:val="16"/>
                <w:szCs w:val="16"/>
              </w:rPr>
            </w:pPr>
            <w:r w:rsidRPr="00CB2FCF">
              <w:rPr>
                <w:color w:val="000000"/>
                <w:sz w:val="16"/>
                <w:szCs w:val="16"/>
              </w:rPr>
              <w:t>92%</w:t>
            </w:r>
          </w:p>
        </w:tc>
        <w:tc>
          <w:tcPr>
            <w:tcW w:w="483" w:type="pct"/>
            <w:tcBorders>
              <w:top w:val="nil"/>
              <w:left w:val="nil"/>
              <w:bottom w:val="single" w:sz="8" w:space="0" w:color="92CDDC"/>
              <w:right w:val="single" w:sz="8" w:space="0" w:color="92CDDC"/>
            </w:tcBorders>
            <w:shd w:val="clear" w:color="auto" w:fill="auto"/>
            <w:noWrap/>
            <w:vAlign w:val="center"/>
            <w:hideMark/>
          </w:tcPr>
          <w:p w:rsidR="00C55233" w:rsidRPr="00CB2FCF" w:rsidRDefault="00C55233" w:rsidP="00C55233">
            <w:pPr>
              <w:spacing w:before="0" w:line="240" w:lineRule="auto"/>
              <w:jc w:val="right"/>
              <w:rPr>
                <w:color w:val="000000"/>
                <w:sz w:val="16"/>
                <w:szCs w:val="16"/>
              </w:rPr>
            </w:pPr>
            <w:r w:rsidRPr="00CB2FCF">
              <w:rPr>
                <w:color w:val="000000"/>
                <w:sz w:val="16"/>
                <w:szCs w:val="16"/>
              </w:rPr>
              <w:t>107%</w:t>
            </w:r>
          </w:p>
        </w:tc>
        <w:tc>
          <w:tcPr>
            <w:tcW w:w="453" w:type="pct"/>
            <w:tcBorders>
              <w:top w:val="nil"/>
              <w:left w:val="nil"/>
              <w:bottom w:val="single" w:sz="8" w:space="0" w:color="92CDDC"/>
              <w:right w:val="single" w:sz="8" w:space="0" w:color="92CDDC"/>
            </w:tcBorders>
            <w:shd w:val="clear" w:color="auto" w:fill="auto"/>
            <w:noWrap/>
            <w:vAlign w:val="center"/>
            <w:hideMark/>
          </w:tcPr>
          <w:p w:rsidR="00C55233" w:rsidRPr="00CB2FCF" w:rsidRDefault="00C55233" w:rsidP="00C55233">
            <w:pPr>
              <w:spacing w:before="0" w:line="240" w:lineRule="auto"/>
              <w:jc w:val="right"/>
              <w:rPr>
                <w:color w:val="000000"/>
                <w:sz w:val="16"/>
                <w:szCs w:val="16"/>
              </w:rPr>
            </w:pPr>
            <w:r w:rsidRPr="00CB2FCF">
              <w:rPr>
                <w:color w:val="000000"/>
                <w:sz w:val="16"/>
                <w:szCs w:val="16"/>
              </w:rPr>
              <w:t>92%</w:t>
            </w:r>
          </w:p>
        </w:tc>
        <w:tc>
          <w:tcPr>
            <w:tcW w:w="480" w:type="pct"/>
            <w:tcBorders>
              <w:top w:val="nil"/>
              <w:left w:val="nil"/>
              <w:bottom w:val="single" w:sz="8" w:space="0" w:color="92CDDC"/>
              <w:right w:val="single" w:sz="8" w:space="0" w:color="92CDDC"/>
            </w:tcBorders>
            <w:shd w:val="clear" w:color="auto" w:fill="auto"/>
            <w:noWrap/>
            <w:vAlign w:val="center"/>
            <w:hideMark/>
          </w:tcPr>
          <w:p w:rsidR="00C55233" w:rsidRPr="00CB2FCF" w:rsidRDefault="00C55233" w:rsidP="00C55233">
            <w:pPr>
              <w:spacing w:before="0" w:line="240" w:lineRule="auto"/>
              <w:jc w:val="right"/>
              <w:rPr>
                <w:color w:val="000000"/>
                <w:sz w:val="16"/>
                <w:szCs w:val="16"/>
              </w:rPr>
            </w:pPr>
            <w:r w:rsidRPr="00CB2FCF">
              <w:rPr>
                <w:color w:val="000000"/>
                <w:sz w:val="16"/>
                <w:szCs w:val="16"/>
              </w:rPr>
              <w:t>102%</w:t>
            </w:r>
          </w:p>
        </w:tc>
      </w:tr>
      <w:tr w:rsidR="00C55233" w:rsidRPr="00CB2FCF" w:rsidTr="00E841D1">
        <w:trPr>
          <w:trHeight w:val="202"/>
          <w:jc w:val="center"/>
        </w:trPr>
        <w:tc>
          <w:tcPr>
            <w:tcW w:w="1169" w:type="pct"/>
            <w:tcBorders>
              <w:top w:val="nil"/>
              <w:left w:val="single" w:sz="8" w:space="0" w:color="8EAADB"/>
              <w:bottom w:val="single" w:sz="8" w:space="0" w:color="8EAADB"/>
              <w:right w:val="single" w:sz="8" w:space="0" w:color="8EAADB"/>
            </w:tcBorders>
            <w:shd w:val="clear" w:color="000000" w:fill="D9E2F3"/>
            <w:vAlign w:val="center"/>
            <w:hideMark/>
          </w:tcPr>
          <w:p w:rsidR="00C55233" w:rsidRPr="00476D2E" w:rsidRDefault="00C55233" w:rsidP="00C55233">
            <w:pPr>
              <w:spacing w:before="0" w:line="240" w:lineRule="auto"/>
              <w:jc w:val="center"/>
              <w:rPr>
                <w:rFonts w:cs="Calibri"/>
                <w:b/>
                <w:bCs/>
                <w:sz w:val="16"/>
                <w:szCs w:val="16"/>
              </w:rPr>
            </w:pPr>
            <w:r w:rsidRPr="00476D2E">
              <w:rPr>
                <w:rFonts w:cs="Calibri"/>
                <w:b/>
                <w:bCs/>
                <w:sz w:val="16"/>
                <w:szCs w:val="16"/>
                <w:lang w:val="sq-AL"/>
              </w:rPr>
              <w:t>Akademia e Shkencave</w:t>
            </w:r>
          </w:p>
        </w:tc>
        <w:tc>
          <w:tcPr>
            <w:tcW w:w="483"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before="0" w:line="240" w:lineRule="auto"/>
              <w:jc w:val="right"/>
              <w:rPr>
                <w:rFonts w:asciiTheme="majorHAnsi" w:hAnsiTheme="majorHAnsi"/>
                <w:color w:val="000000"/>
                <w:sz w:val="16"/>
                <w:szCs w:val="16"/>
              </w:rPr>
            </w:pPr>
          </w:p>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116,950</w:t>
            </w:r>
          </w:p>
        </w:tc>
        <w:tc>
          <w:tcPr>
            <w:tcW w:w="483"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before="0" w:line="240" w:lineRule="auto"/>
              <w:jc w:val="right"/>
              <w:rPr>
                <w:rFonts w:asciiTheme="majorHAnsi" w:hAnsiTheme="majorHAnsi"/>
                <w:color w:val="000000"/>
                <w:sz w:val="16"/>
                <w:szCs w:val="16"/>
              </w:rPr>
            </w:pPr>
          </w:p>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217,084</w:t>
            </w:r>
          </w:p>
        </w:tc>
        <w:tc>
          <w:tcPr>
            <w:tcW w:w="483"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before="0" w:line="240" w:lineRule="auto"/>
              <w:jc w:val="right"/>
              <w:rPr>
                <w:rFonts w:asciiTheme="majorHAnsi" w:hAnsiTheme="majorHAnsi"/>
                <w:color w:val="000000"/>
                <w:sz w:val="16"/>
                <w:szCs w:val="16"/>
              </w:rPr>
            </w:pPr>
          </w:p>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123,988</w:t>
            </w:r>
          </w:p>
        </w:tc>
        <w:tc>
          <w:tcPr>
            <w:tcW w:w="483" w:type="pct"/>
            <w:tcBorders>
              <w:top w:val="nil"/>
              <w:left w:val="nil"/>
              <w:bottom w:val="single" w:sz="8" w:space="0" w:color="8EAADB"/>
              <w:right w:val="single" w:sz="8" w:space="0" w:color="8EAADB"/>
            </w:tcBorders>
            <w:shd w:val="clear" w:color="000000" w:fill="D9E2F3"/>
            <w:noWrap/>
            <w:vAlign w:val="center"/>
            <w:hideMark/>
          </w:tcPr>
          <w:p w:rsidR="00C55233" w:rsidRPr="00CB2FCF" w:rsidRDefault="00C55233" w:rsidP="00C55233">
            <w:pPr>
              <w:spacing w:before="0" w:line="240" w:lineRule="auto"/>
              <w:jc w:val="right"/>
              <w:rPr>
                <w:rFonts w:asciiTheme="majorHAnsi" w:hAnsiTheme="majorHAnsi"/>
                <w:color w:val="000000"/>
                <w:sz w:val="16"/>
                <w:szCs w:val="16"/>
              </w:rPr>
            </w:pPr>
          </w:p>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282,741</w:t>
            </w:r>
          </w:p>
        </w:tc>
        <w:tc>
          <w:tcPr>
            <w:tcW w:w="483" w:type="pct"/>
            <w:tcBorders>
              <w:top w:val="nil"/>
              <w:left w:val="nil"/>
              <w:bottom w:val="single" w:sz="8" w:space="0" w:color="8EAADB"/>
              <w:right w:val="single" w:sz="8" w:space="0" w:color="8EAADB"/>
            </w:tcBorders>
            <w:shd w:val="clear" w:color="000000" w:fill="D9E2F3"/>
            <w:noWrap/>
            <w:vAlign w:val="center"/>
            <w:hideMark/>
          </w:tcPr>
          <w:p w:rsidR="00C55233" w:rsidRPr="00CB2FCF" w:rsidRDefault="00C55233" w:rsidP="00C55233">
            <w:pPr>
              <w:spacing w:before="0" w:line="240" w:lineRule="auto"/>
              <w:jc w:val="right"/>
              <w:rPr>
                <w:rFonts w:asciiTheme="majorHAnsi" w:hAnsiTheme="majorHAnsi"/>
                <w:color w:val="000000"/>
                <w:sz w:val="16"/>
                <w:szCs w:val="16"/>
              </w:rPr>
            </w:pPr>
          </w:p>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56.2</w:t>
            </w:r>
          </w:p>
        </w:tc>
        <w:tc>
          <w:tcPr>
            <w:tcW w:w="483" w:type="pct"/>
            <w:tcBorders>
              <w:top w:val="nil"/>
              <w:left w:val="nil"/>
              <w:bottom w:val="single" w:sz="8" w:space="0" w:color="8EAADB"/>
              <w:right w:val="single" w:sz="8" w:space="0" w:color="8EAADB"/>
            </w:tcBorders>
            <w:shd w:val="clear" w:color="000000" w:fill="D9E2F3"/>
            <w:noWrap/>
            <w:vAlign w:val="center"/>
            <w:hideMark/>
          </w:tcPr>
          <w:p w:rsidR="00C55233" w:rsidRPr="00CB2FCF" w:rsidRDefault="00C55233" w:rsidP="00C55233">
            <w:pPr>
              <w:spacing w:before="0" w:line="240" w:lineRule="auto"/>
              <w:jc w:val="right"/>
              <w:rPr>
                <w:rFonts w:asciiTheme="majorHAnsi" w:hAnsiTheme="majorHAnsi"/>
                <w:color w:val="000000"/>
                <w:sz w:val="16"/>
                <w:szCs w:val="16"/>
              </w:rPr>
            </w:pPr>
          </w:p>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94.9</w:t>
            </w:r>
          </w:p>
        </w:tc>
        <w:tc>
          <w:tcPr>
            <w:tcW w:w="453" w:type="pct"/>
            <w:tcBorders>
              <w:top w:val="nil"/>
              <w:left w:val="nil"/>
              <w:bottom w:val="single" w:sz="8" w:space="0" w:color="8EAADB"/>
              <w:right w:val="single" w:sz="8" w:space="0" w:color="8EAADB"/>
            </w:tcBorders>
            <w:shd w:val="clear" w:color="000000" w:fill="D9E2F3"/>
            <w:noWrap/>
            <w:vAlign w:val="center"/>
            <w:hideMark/>
          </w:tcPr>
          <w:p w:rsidR="00C55233" w:rsidRPr="00CB2FCF" w:rsidRDefault="00C55233" w:rsidP="00C55233">
            <w:pPr>
              <w:spacing w:before="0" w:line="240" w:lineRule="auto"/>
              <w:jc w:val="right"/>
              <w:rPr>
                <w:rFonts w:asciiTheme="majorHAnsi" w:hAnsiTheme="majorHAnsi"/>
                <w:color w:val="000000"/>
                <w:sz w:val="16"/>
                <w:szCs w:val="16"/>
              </w:rPr>
            </w:pPr>
          </w:p>
          <w:p w:rsidR="00C55233" w:rsidRPr="00CB2FCF" w:rsidRDefault="00C55233" w:rsidP="00C55233">
            <w:pPr>
              <w:spacing w:before="0" w:line="240" w:lineRule="auto"/>
              <w:jc w:val="right"/>
              <w:rPr>
                <w:rFonts w:asciiTheme="majorHAnsi" w:hAnsiTheme="majorHAnsi"/>
                <w:color w:val="000000"/>
                <w:sz w:val="16"/>
                <w:szCs w:val="16"/>
              </w:rPr>
            </w:pPr>
            <w:r w:rsidRPr="00CB2FCF">
              <w:rPr>
                <w:rFonts w:asciiTheme="majorHAnsi" w:hAnsiTheme="majorHAnsi"/>
                <w:color w:val="000000"/>
                <w:sz w:val="16"/>
                <w:szCs w:val="16"/>
              </w:rPr>
              <w:t>57.1</w:t>
            </w:r>
          </w:p>
        </w:tc>
        <w:tc>
          <w:tcPr>
            <w:tcW w:w="480"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line="240" w:lineRule="auto"/>
              <w:jc w:val="right"/>
              <w:rPr>
                <w:rFonts w:asciiTheme="majorHAnsi" w:hAnsiTheme="majorHAnsi"/>
                <w:sz w:val="16"/>
                <w:szCs w:val="16"/>
              </w:rPr>
            </w:pPr>
            <w:r w:rsidRPr="00CB2FCF">
              <w:rPr>
                <w:rFonts w:asciiTheme="majorHAnsi" w:hAnsiTheme="majorHAnsi"/>
                <w:sz w:val="16"/>
                <w:szCs w:val="16"/>
              </w:rPr>
              <w:t>43.85</w:t>
            </w:r>
          </w:p>
        </w:tc>
      </w:tr>
      <w:tr w:rsidR="00C55233" w:rsidRPr="00CB2FCF" w:rsidTr="00E841D1">
        <w:trPr>
          <w:trHeight w:val="148"/>
          <w:jc w:val="center"/>
        </w:trPr>
        <w:tc>
          <w:tcPr>
            <w:tcW w:w="1169" w:type="pct"/>
            <w:tcBorders>
              <w:top w:val="nil"/>
              <w:left w:val="single" w:sz="8" w:space="0" w:color="8EAADB"/>
              <w:bottom w:val="single" w:sz="8" w:space="0" w:color="8EAADB"/>
              <w:right w:val="single" w:sz="8" w:space="0" w:color="8EAADB"/>
            </w:tcBorders>
            <w:shd w:val="clear" w:color="auto" w:fill="auto"/>
            <w:vAlign w:val="center"/>
            <w:hideMark/>
          </w:tcPr>
          <w:p w:rsidR="00C55233" w:rsidRPr="00476D2E" w:rsidRDefault="00C55233" w:rsidP="00C55233">
            <w:pPr>
              <w:spacing w:before="0" w:line="240" w:lineRule="auto"/>
              <w:jc w:val="center"/>
              <w:rPr>
                <w:rFonts w:cs="Calibri"/>
                <w:b/>
                <w:bCs/>
                <w:sz w:val="16"/>
                <w:szCs w:val="16"/>
              </w:rPr>
            </w:pPr>
            <w:r w:rsidRPr="00476D2E">
              <w:rPr>
                <w:rFonts w:cs="Calibri"/>
                <w:b/>
                <w:bCs/>
                <w:sz w:val="16"/>
                <w:szCs w:val="16"/>
                <w:lang w:val="sq-AL"/>
              </w:rPr>
              <w:t>Kontrolli Larte i Shtetit</w:t>
            </w:r>
          </w:p>
        </w:tc>
        <w:tc>
          <w:tcPr>
            <w:tcW w:w="483" w:type="pct"/>
            <w:tcBorders>
              <w:top w:val="nil"/>
              <w:left w:val="nil"/>
              <w:bottom w:val="single" w:sz="8" w:space="0" w:color="8EAADB"/>
              <w:right w:val="single" w:sz="8" w:space="0" w:color="8EAADB"/>
            </w:tcBorders>
            <w:shd w:val="clear" w:color="auto" w:fill="auto"/>
            <w:noWrap/>
            <w:vAlign w:val="center"/>
            <w:hideMark/>
          </w:tcPr>
          <w:p w:rsidR="00C55233" w:rsidRPr="00CB2FCF" w:rsidRDefault="00C55233" w:rsidP="00C55233">
            <w:pPr>
              <w:spacing w:before="0" w:line="240" w:lineRule="auto"/>
              <w:jc w:val="right"/>
              <w:rPr>
                <w:rFonts w:cs="Calibri"/>
                <w:color w:val="002060"/>
                <w:sz w:val="16"/>
                <w:szCs w:val="16"/>
              </w:rPr>
            </w:pPr>
            <w:r w:rsidRPr="00CB2FCF">
              <w:rPr>
                <w:rFonts w:cs="Calibri"/>
                <w:color w:val="002060"/>
                <w:sz w:val="16"/>
                <w:szCs w:val="16"/>
              </w:rPr>
              <w:t>431 853</w:t>
            </w:r>
          </w:p>
        </w:tc>
        <w:tc>
          <w:tcPr>
            <w:tcW w:w="483" w:type="pct"/>
            <w:tcBorders>
              <w:top w:val="nil"/>
              <w:left w:val="nil"/>
              <w:bottom w:val="single" w:sz="8" w:space="0" w:color="8EAADB"/>
              <w:right w:val="single" w:sz="8" w:space="0" w:color="8EAADB"/>
            </w:tcBorders>
            <w:shd w:val="clear" w:color="auto" w:fill="auto"/>
            <w:noWrap/>
            <w:vAlign w:val="center"/>
            <w:hideMark/>
          </w:tcPr>
          <w:p w:rsidR="00C55233" w:rsidRPr="00CB2FCF" w:rsidRDefault="00C55233" w:rsidP="00C55233">
            <w:pPr>
              <w:spacing w:before="0" w:line="240" w:lineRule="auto"/>
              <w:jc w:val="right"/>
              <w:rPr>
                <w:rFonts w:cs="Calibri"/>
                <w:color w:val="002060"/>
                <w:sz w:val="16"/>
                <w:szCs w:val="16"/>
              </w:rPr>
            </w:pPr>
            <w:r w:rsidRPr="00CB2FCF">
              <w:rPr>
                <w:rFonts w:cs="Calibri"/>
                <w:color w:val="002060"/>
                <w:sz w:val="16"/>
                <w:szCs w:val="16"/>
              </w:rPr>
              <w:t>389 700</w:t>
            </w:r>
          </w:p>
        </w:tc>
        <w:tc>
          <w:tcPr>
            <w:tcW w:w="483" w:type="pct"/>
            <w:tcBorders>
              <w:top w:val="nil"/>
              <w:left w:val="nil"/>
              <w:bottom w:val="single" w:sz="8" w:space="0" w:color="8EAADB"/>
              <w:right w:val="single" w:sz="8" w:space="0" w:color="8EAADB"/>
            </w:tcBorders>
            <w:shd w:val="clear" w:color="auto" w:fill="auto"/>
            <w:noWrap/>
            <w:vAlign w:val="center"/>
            <w:hideMark/>
          </w:tcPr>
          <w:p w:rsidR="00C55233" w:rsidRPr="00CB2FCF" w:rsidRDefault="00C55233" w:rsidP="00C55233">
            <w:pPr>
              <w:spacing w:before="0" w:line="240" w:lineRule="auto"/>
              <w:jc w:val="right"/>
              <w:rPr>
                <w:rFonts w:cs="Calibri"/>
                <w:color w:val="002060"/>
                <w:sz w:val="16"/>
                <w:szCs w:val="16"/>
              </w:rPr>
            </w:pPr>
            <w:r w:rsidRPr="00CB2FCF">
              <w:rPr>
                <w:rFonts w:cs="Calibri"/>
                <w:color w:val="002060"/>
                <w:sz w:val="16"/>
                <w:szCs w:val="16"/>
              </w:rPr>
              <w:t>347 867</w:t>
            </w:r>
          </w:p>
        </w:tc>
        <w:tc>
          <w:tcPr>
            <w:tcW w:w="483" w:type="pct"/>
            <w:tcBorders>
              <w:top w:val="nil"/>
              <w:left w:val="nil"/>
              <w:bottom w:val="single" w:sz="8" w:space="0" w:color="8EAADB"/>
              <w:right w:val="single" w:sz="8" w:space="0" w:color="8EAADB"/>
            </w:tcBorders>
            <w:shd w:val="clear" w:color="auto" w:fill="auto"/>
            <w:noWrap/>
            <w:vAlign w:val="center"/>
            <w:hideMark/>
          </w:tcPr>
          <w:p w:rsidR="00C55233" w:rsidRPr="00CB2FCF" w:rsidRDefault="00C55233" w:rsidP="00C55233">
            <w:pPr>
              <w:spacing w:before="0" w:line="240" w:lineRule="auto"/>
              <w:jc w:val="right"/>
              <w:rPr>
                <w:rFonts w:cs="Calibri"/>
                <w:color w:val="002060"/>
                <w:sz w:val="16"/>
                <w:szCs w:val="16"/>
              </w:rPr>
            </w:pPr>
            <w:r w:rsidRPr="00CB2FCF">
              <w:rPr>
                <w:rFonts w:cs="Calibri"/>
                <w:color w:val="002060"/>
                <w:sz w:val="16"/>
                <w:szCs w:val="16"/>
              </w:rPr>
              <w:t>364,908</w:t>
            </w:r>
          </w:p>
        </w:tc>
        <w:tc>
          <w:tcPr>
            <w:tcW w:w="483" w:type="pct"/>
            <w:tcBorders>
              <w:top w:val="nil"/>
              <w:left w:val="nil"/>
              <w:bottom w:val="single" w:sz="8" w:space="0" w:color="8EAADB"/>
              <w:right w:val="single" w:sz="8" w:space="0" w:color="8EAADB"/>
            </w:tcBorders>
            <w:shd w:val="clear" w:color="auto" w:fill="auto"/>
            <w:noWrap/>
            <w:vAlign w:val="center"/>
            <w:hideMark/>
          </w:tcPr>
          <w:p w:rsidR="00C55233" w:rsidRPr="00CB2FCF" w:rsidRDefault="00C55233" w:rsidP="00C55233">
            <w:pPr>
              <w:spacing w:before="0" w:line="240" w:lineRule="auto"/>
              <w:jc w:val="right"/>
              <w:rPr>
                <w:rFonts w:cs="Calibri"/>
                <w:color w:val="000000"/>
                <w:sz w:val="16"/>
                <w:szCs w:val="16"/>
              </w:rPr>
            </w:pPr>
            <w:r w:rsidRPr="00CB2FCF">
              <w:rPr>
                <w:rFonts w:cs="Calibri"/>
                <w:color w:val="000000"/>
                <w:sz w:val="16"/>
                <w:szCs w:val="16"/>
              </w:rPr>
              <w:t>86%</w:t>
            </w:r>
          </w:p>
        </w:tc>
        <w:tc>
          <w:tcPr>
            <w:tcW w:w="483" w:type="pct"/>
            <w:tcBorders>
              <w:top w:val="nil"/>
              <w:left w:val="nil"/>
              <w:bottom w:val="single" w:sz="8" w:space="0" w:color="8EAADB"/>
              <w:right w:val="single" w:sz="8" w:space="0" w:color="8EAADB"/>
            </w:tcBorders>
            <w:shd w:val="clear" w:color="auto" w:fill="auto"/>
            <w:noWrap/>
            <w:vAlign w:val="center"/>
            <w:hideMark/>
          </w:tcPr>
          <w:p w:rsidR="00C55233" w:rsidRPr="00CB2FCF" w:rsidRDefault="00C55233" w:rsidP="00C55233">
            <w:pPr>
              <w:spacing w:before="0" w:line="240" w:lineRule="auto"/>
              <w:jc w:val="right"/>
              <w:rPr>
                <w:rFonts w:cs="Calibri"/>
                <w:color w:val="000000"/>
                <w:sz w:val="16"/>
                <w:szCs w:val="16"/>
              </w:rPr>
            </w:pPr>
            <w:r w:rsidRPr="00CB2FCF">
              <w:rPr>
                <w:rFonts w:cs="Calibri"/>
                <w:color w:val="000000"/>
                <w:sz w:val="16"/>
                <w:szCs w:val="16"/>
              </w:rPr>
              <w:t>19%</w:t>
            </w:r>
          </w:p>
        </w:tc>
        <w:tc>
          <w:tcPr>
            <w:tcW w:w="453" w:type="pct"/>
            <w:tcBorders>
              <w:top w:val="nil"/>
              <w:left w:val="nil"/>
              <w:bottom w:val="single" w:sz="8" w:space="0" w:color="8EAADB"/>
              <w:right w:val="single" w:sz="8" w:space="0" w:color="8EAADB"/>
            </w:tcBorders>
            <w:shd w:val="clear" w:color="auto" w:fill="auto"/>
            <w:noWrap/>
            <w:vAlign w:val="center"/>
            <w:hideMark/>
          </w:tcPr>
          <w:p w:rsidR="00C55233" w:rsidRPr="00CB2FCF" w:rsidRDefault="00C55233" w:rsidP="00C55233">
            <w:pPr>
              <w:spacing w:before="0" w:line="240" w:lineRule="auto"/>
              <w:jc w:val="right"/>
              <w:rPr>
                <w:rFonts w:cs="Calibri"/>
                <w:color w:val="000000"/>
                <w:sz w:val="16"/>
                <w:szCs w:val="16"/>
              </w:rPr>
            </w:pPr>
            <w:r w:rsidRPr="00CB2FCF">
              <w:rPr>
                <w:rFonts w:cs="Calibri"/>
                <w:color w:val="000000"/>
                <w:sz w:val="16"/>
                <w:szCs w:val="16"/>
              </w:rPr>
              <w:t>81%</w:t>
            </w:r>
          </w:p>
        </w:tc>
        <w:tc>
          <w:tcPr>
            <w:tcW w:w="480" w:type="pct"/>
            <w:tcBorders>
              <w:top w:val="nil"/>
              <w:left w:val="nil"/>
              <w:bottom w:val="single" w:sz="8" w:space="0" w:color="8EAADB"/>
              <w:right w:val="single" w:sz="8" w:space="0" w:color="8EAADB"/>
            </w:tcBorders>
            <w:shd w:val="clear" w:color="auto" w:fill="auto"/>
            <w:noWrap/>
            <w:vAlign w:val="center"/>
            <w:hideMark/>
          </w:tcPr>
          <w:p w:rsidR="00C55233" w:rsidRPr="00CB2FCF" w:rsidRDefault="00C55233" w:rsidP="00C55233">
            <w:pPr>
              <w:spacing w:before="0" w:line="240" w:lineRule="auto"/>
              <w:jc w:val="right"/>
              <w:rPr>
                <w:rFonts w:cs="Calibri"/>
                <w:color w:val="000000"/>
                <w:sz w:val="16"/>
                <w:szCs w:val="16"/>
              </w:rPr>
            </w:pPr>
            <w:r w:rsidRPr="00CB2FCF">
              <w:rPr>
                <w:rFonts w:cs="Calibri"/>
                <w:color w:val="000000"/>
                <w:sz w:val="16"/>
                <w:szCs w:val="16"/>
              </w:rPr>
              <w:t>95%</w:t>
            </w:r>
          </w:p>
        </w:tc>
      </w:tr>
      <w:tr w:rsidR="00C55233" w:rsidRPr="00CB2FCF" w:rsidTr="00E841D1">
        <w:trPr>
          <w:trHeight w:val="181"/>
          <w:jc w:val="center"/>
        </w:trPr>
        <w:tc>
          <w:tcPr>
            <w:tcW w:w="1169" w:type="pct"/>
            <w:tcBorders>
              <w:top w:val="nil"/>
              <w:left w:val="single" w:sz="8" w:space="0" w:color="8EAADB"/>
              <w:bottom w:val="single" w:sz="8" w:space="0" w:color="8EAADB"/>
              <w:right w:val="single" w:sz="8" w:space="0" w:color="8EAADB"/>
            </w:tcBorders>
            <w:shd w:val="clear" w:color="000000" w:fill="D9E2F3"/>
            <w:vAlign w:val="center"/>
            <w:hideMark/>
          </w:tcPr>
          <w:p w:rsidR="00C55233" w:rsidRPr="00476D2E" w:rsidRDefault="00C55233" w:rsidP="00C55233">
            <w:pPr>
              <w:spacing w:before="0" w:line="240" w:lineRule="auto"/>
              <w:jc w:val="center"/>
              <w:rPr>
                <w:rFonts w:cs="Calibri"/>
                <w:b/>
                <w:bCs/>
                <w:sz w:val="16"/>
                <w:szCs w:val="16"/>
              </w:rPr>
            </w:pPr>
            <w:r w:rsidRPr="00476D2E">
              <w:rPr>
                <w:rFonts w:cs="Calibri"/>
                <w:b/>
                <w:bCs/>
                <w:sz w:val="16"/>
                <w:szCs w:val="16"/>
                <w:lang w:val="sq-AL"/>
              </w:rPr>
              <w:t>Ministria e Turizmit dhe Mjedisit</w:t>
            </w:r>
          </w:p>
        </w:tc>
        <w:tc>
          <w:tcPr>
            <w:tcW w:w="483" w:type="pct"/>
            <w:tcBorders>
              <w:top w:val="nil"/>
              <w:left w:val="nil"/>
              <w:bottom w:val="single" w:sz="8" w:space="0" w:color="92CDDC"/>
              <w:right w:val="single" w:sz="8" w:space="0" w:color="92CDDC"/>
            </w:tcBorders>
            <w:shd w:val="clear" w:color="000000" w:fill="DAEEF3"/>
            <w:noWrap/>
            <w:vAlign w:val="center"/>
            <w:hideMark/>
          </w:tcPr>
          <w:p w:rsidR="00C55233" w:rsidRPr="00CB2FCF" w:rsidRDefault="00C55233" w:rsidP="00C55233">
            <w:pPr>
              <w:spacing w:before="0" w:line="240" w:lineRule="auto"/>
              <w:jc w:val="right"/>
              <w:rPr>
                <w:color w:val="002060"/>
                <w:sz w:val="16"/>
                <w:szCs w:val="16"/>
              </w:rPr>
            </w:pPr>
            <w:r w:rsidRPr="00CB2FCF">
              <w:rPr>
                <w:color w:val="002060"/>
                <w:sz w:val="16"/>
                <w:szCs w:val="16"/>
              </w:rPr>
              <w:t>2,268,030</w:t>
            </w:r>
          </w:p>
        </w:tc>
        <w:tc>
          <w:tcPr>
            <w:tcW w:w="483" w:type="pct"/>
            <w:tcBorders>
              <w:top w:val="nil"/>
              <w:left w:val="nil"/>
              <w:bottom w:val="single" w:sz="8" w:space="0" w:color="92CDDC"/>
              <w:right w:val="single" w:sz="8" w:space="0" w:color="92CDDC"/>
            </w:tcBorders>
            <w:shd w:val="clear" w:color="000000" w:fill="DAEEF3"/>
            <w:noWrap/>
            <w:vAlign w:val="center"/>
            <w:hideMark/>
          </w:tcPr>
          <w:p w:rsidR="00C55233" w:rsidRPr="00CB2FCF" w:rsidRDefault="00C55233" w:rsidP="00C55233">
            <w:pPr>
              <w:spacing w:before="0" w:line="240" w:lineRule="auto"/>
              <w:jc w:val="right"/>
              <w:rPr>
                <w:color w:val="002060"/>
                <w:sz w:val="16"/>
                <w:szCs w:val="16"/>
              </w:rPr>
            </w:pPr>
            <w:r w:rsidRPr="00CB2FCF">
              <w:rPr>
                <w:color w:val="002060"/>
                <w:sz w:val="16"/>
                <w:szCs w:val="16"/>
              </w:rPr>
              <w:t>2,552,130</w:t>
            </w:r>
          </w:p>
        </w:tc>
        <w:tc>
          <w:tcPr>
            <w:tcW w:w="483" w:type="pct"/>
            <w:tcBorders>
              <w:top w:val="nil"/>
              <w:left w:val="nil"/>
              <w:bottom w:val="single" w:sz="8" w:space="0" w:color="92CDDC"/>
              <w:right w:val="single" w:sz="8" w:space="0" w:color="92CDDC"/>
            </w:tcBorders>
            <w:shd w:val="clear" w:color="000000" w:fill="DAEEF3"/>
            <w:noWrap/>
            <w:vAlign w:val="center"/>
            <w:hideMark/>
          </w:tcPr>
          <w:p w:rsidR="00C55233" w:rsidRPr="00CB2FCF" w:rsidRDefault="00C55233" w:rsidP="00C55233">
            <w:pPr>
              <w:spacing w:before="0" w:line="240" w:lineRule="auto"/>
              <w:jc w:val="right"/>
              <w:rPr>
                <w:color w:val="002060"/>
                <w:sz w:val="16"/>
                <w:szCs w:val="16"/>
              </w:rPr>
            </w:pPr>
            <w:r w:rsidRPr="00CB2FCF">
              <w:rPr>
                <w:color w:val="002060"/>
                <w:sz w:val="16"/>
                <w:szCs w:val="16"/>
              </w:rPr>
              <w:t>2,516,342</w:t>
            </w:r>
          </w:p>
        </w:tc>
        <w:tc>
          <w:tcPr>
            <w:tcW w:w="483" w:type="pct"/>
            <w:tcBorders>
              <w:top w:val="nil"/>
              <w:left w:val="nil"/>
              <w:bottom w:val="single" w:sz="8" w:space="0" w:color="92CDDC"/>
              <w:right w:val="single" w:sz="8" w:space="0" w:color="92CDDC"/>
            </w:tcBorders>
            <w:shd w:val="clear" w:color="000000" w:fill="DAEEF3"/>
            <w:noWrap/>
            <w:vAlign w:val="center"/>
            <w:hideMark/>
          </w:tcPr>
          <w:p w:rsidR="00C55233" w:rsidRPr="00CB2FCF" w:rsidRDefault="00C55233" w:rsidP="00C55233">
            <w:pPr>
              <w:spacing w:before="0" w:line="240" w:lineRule="auto"/>
              <w:jc w:val="right"/>
              <w:rPr>
                <w:color w:val="002060"/>
                <w:sz w:val="16"/>
                <w:szCs w:val="16"/>
              </w:rPr>
            </w:pPr>
            <w:r w:rsidRPr="00CB2FCF">
              <w:rPr>
                <w:color w:val="002060"/>
                <w:sz w:val="16"/>
                <w:szCs w:val="16"/>
              </w:rPr>
              <w:t>2,747,867</w:t>
            </w:r>
          </w:p>
        </w:tc>
        <w:tc>
          <w:tcPr>
            <w:tcW w:w="483" w:type="pct"/>
            <w:tcBorders>
              <w:top w:val="nil"/>
              <w:left w:val="nil"/>
              <w:bottom w:val="single" w:sz="8" w:space="0" w:color="92CDDC"/>
              <w:right w:val="single" w:sz="8" w:space="0" w:color="92CDDC"/>
            </w:tcBorders>
            <w:shd w:val="clear" w:color="000000" w:fill="DAEEF3"/>
            <w:noWrap/>
            <w:vAlign w:val="center"/>
            <w:hideMark/>
          </w:tcPr>
          <w:p w:rsidR="00C55233" w:rsidRPr="00CB2FCF" w:rsidRDefault="00C55233" w:rsidP="00C55233">
            <w:pPr>
              <w:spacing w:before="0" w:line="240" w:lineRule="auto"/>
              <w:jc w:val="right"/>
              <w:rPr>
                <w:color w:val="000000"/>
                <w:sz w:val="16"/>
                <w:szCs w:val="16"/>
              </w:rPr>
            </w:pPr>
            <w:r w:rsidRPr="00CB2FCF">
              <w:rPr>
                <w:color w:val="000000"/>
                <w:sz w:val="16"/>
                <w:szCs w:val="16"/>
              </w:rPr>
              <w:t>100%</w:t>
            </w:r>
          </w:p>
        </w:tc>
        <w:tc>
          <w:tcPr>
            <w:tcW w:w="483" w:type="pct"/>
            <w:tcBorders>
              <w:top w:val="nil"/>
              <w:left w:val="nil"/>
              <w:bottom w:val="single" w:sz="8" w:space="0" w:color="92CDDC"/>
              <w:right w:val="single" w:sz="8" w:space="0" w:color="92CDDC"/>
            </w:tcBorders>
            <w:shd w:val="clear" w:color="000000" w:fill="DAEEF3"/>
            <w:noWrap/>
            <w:vAlign w:val="center"/>
            <w:hideMark/>
          </w:tcPr>
          <w:p w:rsidR="00C55233" w:rsidRPr="00CB2FCF" w:rsidRDefault="00C55233" w:rsidP="00C55233">
            <w:pPr>
              <w:spacing w:before="0" w:line="240" w:lineRule="auto"/>
              <w:jc w:val="right"/>
              <w:rPr>
                <w:color w:val="000000"/>
                <w:sz w:val="16"/>
                <w:szCs w:val="16"/>
              </w:rPr>
            </w:pPr>
            <w:r w:rsidRPr="00CB2FCF">
              <w:rPr>
                <w:color w:val="000000"/>
                <w:sz w:val="16"/>
                <w:szCs w:val="16"/>
              </w:rPr>
              <w:t>122%</w:t>
            </w:r>
          </w:p>
        </w:tc>
        <w:tc>
          <w:tcPr>
            <w:tcW w:w="453" w:type="pct"/>
            <w:tcBorders>
              <w:top w:val="nil"/>
              <w:left w:val="nil"/>
              <w:bottom w:val="single" w:sz="8" w:space="0" w:color="92CDDC"/>
              <w:right w:val="single" w:sz="8" w:space="0" w:color="92CDDC"/>
            </w:tcBorders>
            <w:shd w:val="clear" w:color="000000" w:fill="DAEEF3"/>
            <w:noWrap/>
            <w:vAlign w:val="center"/>
            <w:hideMark/>
          </w:tcPr>
          <w:p w:rsidR="00C55233" w:rsidRPr="00CB2FCF" w:rsidRDefault="00C55233" w:rsidP="00C55233">
            <w:pPr>
              <w:spacing w:before="0" w:line="240" w:lineRule="auto"/>
              <w:jc w:val="right"/>
              <w:rPr>
                <w:color w:val="000000"/>
                <w:sz w:val="16"/>
                <w:szCs w:val="16"/>
              </w:rPr>
            </w:pPr>
            <w:r w:rsidRPr="00CB2FCF">
              <w:rPr>
                <w:color w:val="000000"/>
                <w:sz w:val="16"/>
                <w:szCs w:val="16"/>
              </w:rPr>
              <w:t>111%</w:t>
            </w:r>
          </w:p>
        </w:tc>
        <w:tc>
          <w:tcPr>
            <w:tcW w:w="480" w:type="pct"/>
            <w:tcBorders>
              <w:top w:val="nil"/>
              <w:left w:val="nil"/>
              <w:bottom w:val="single" w:sz="8" w:space="0" w:color="92CDDC"/>
              <w:right w:val="single" w:sz="8" w:space="0" w:color="92CDDC"/>
            </w:tcBorders>
            <w:shd w:val="clear" w:color="000000" w:fill="DAEEF3"/>
            <w:noWrap/>
            <w:vAlign w:val="center"/>
            <w:hideMark/>
          </w:tcPr>
          <w:p w:rsidR="00C55233" w:rsidRPr="00CB2FCF" w:rsidRDefault="00C55233" w:rsidP="00C55233">
            <w:pPr>
              <w:spacing w:before="0" w:line="240" w:lineRule="auto"/>
              <w:jc w:val="right"/>
              <w:rPr>
                <w:color w:val="000000"/>
                <w:sz w:val="16"/>
                <w:szCs w:val="16"/>
              </w:rPr>
            </w:pPr>
            <w:r w:rsidRPr="00CB2FCF">
              <w:rPr>
                <w:color w:val="000000"/>
                <w:sz w:val="16"/>
                <w:szCs w:val="16"/>
              </w:rPr>
              <w:t>92%</w:t>
            </w:r>
          </w:p>
        </w:tc>
      </w:tr>
      <w:tr w:rsidR="00C55233" w:rsidRPr="00CB2FCF" w:rsidTr="00E841D1">
        <w:trPr>
          <w:trHeight w:val="181"/>
          <w:jc w:val="center"/>
        </w:trPr>
        <w:tc>
          <w:tcPr>
            <w:tcW w:w="1169" w:type="pct"/>
            <w:tcBorders>
              <w:top w:val="nil"/>
              <w:left w:val="single" w:sz="8" w:space="0" w:color="8EAADB"/>
              <w:bottom w:val="single" w:sz="8" w:space="0" w:color="8EAADB"/>
              <w:right w:val="single" w:sz="8" w:space="0" w:color="8EAADB"/>
            </w:tcBorders>
            <w:shd w:val="clear" w:color="auto" w:fill="auto"/>
            <w:vAlign w:val="center"/>
            <w:hideMark/>
          </w:tcPr>
          <w:p w:rsidR="00C55233" w:rsidRPr="00476D2E" w:rsidRDefault="00C55233" w:rsidP="00C55233">
            <w:pPr>
              <w:spacing w:before="0" w:line="240" w:lineRule="auto"/>
              <w:jc w:val="center"/>
              <w:rPr>
                <w:rFonts w:cs="Calibri"/>
                <w:b/>
                <w:bCs/>
                <w:sz w:val="16"/>
                <w:szCs w:val="16"/>
              </w:rPr>
            </w:pPr>
            <w:r w:rsidRPr="00476D2E">
              <w:rPr>
                <w:rFonts w:cs="Calibri"/>
                <w:b/>
                <w:bCs/>
                <w:sz w:val="16"/>
                <w:szCs w:val="16"/>
                <w:lang w:val="sq-AL"/>
              </w:rPr>
              <w:t>Prokuroria e Pergjithshme</w:t>
            </w:r>
          </w:p>
        </w:tc>
        <w:tc>
          <w:tcPr>
            <w:tcW w:w="483" w:type="pct"/>
            <w:tcBorders>
              <w:top w:val="nil"/>
              <w:left w:val="nil"/>
              <w:bottom w:val="single" w:sz="8" w:space="0" w:color="8EAADB"/>
              <w:right w:val="single" w:sz="8" w:space="0" w:color="8EAADB"/>
            </w:tcBorders>
            <w:shd w:val="clear" w:color="auto" w:fill="auto"/>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2,420,000</w:t>
            </w:r>
          </w:p>
        </w:tc>
        <w:tc>
          <w:tcPr>
            <w:tcW w:w="483" w:type="pct"/>
            <w:tcBorders>
              <w:top w:val="nil"/>
              <w:left w:val="nil"/>
              <w:bottom w:val="single" w:sz="8" w:space="0" w:color="8EAADB"/>
              <w:right w:val="single" w:sz="8" w:space="0" w:color="8EAADB"/>
            </w:tcBorders>
            <w:shd w:val="clear" w:color="auto" w:fill="auto"/>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2,298,032</w:t>
            </w:r>
          </w:p>
        </w:tc>
        <w:tc>
          <w:tcPr>
            <w:tcW w:w="483" w:type="pct"/>
            <w:tcBorders>
              <w:top w:val="nil"/>
              <w:left w:val="nil"/>
              <w:bottom w:val="single" w:sz="8" w:space="0" w:color="8EAADB"/>
              <w:right w:val="single" w:sz="8" w:space="0" w:color="8EAADB"/>
            </w:tcBorders>
            <w:shd w:val="clear" w:color="auto" w:fill="auto"/>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2,246,617</w:t>
            </w:r>
          </w:p>
        </w:tc>
        <w:tc>
          <w:tcPr>
            <w:tcW w:w="483" w:type="pct"/>
            <w:tcBorders>
              <w:top w:val="nil"/>
              <w:left w:val="nil"/>
              <w:bottom w:val="single" w:sz="8" w:space="0" w:color="8EAADB"/>
              <w:right w:val="single" w:sz="8" w:space="0" w:color="8EAADB"/>
            </w:tcBorders>
            <w:shd w:val="clear" w:color="auto" w:fill="auto"/>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2,180,371</w:t>
            </w:r>
          </w:p>
        </w:tc>
        <w:tc>
          <w:tcPr>
            <w:tcW w:w="483" w:type="pct"/>
            <w:tcBorders>
              <w:top w:val="nil"/>
              <w:left w:val="nil"/>
              <w:bottom w:val="single" w:sz="8" w:space="0" w:color="8EAADB"/>
              <w:right w:val="single" w:sz="8" w:space="0" w:color="8EAADB"/>
            </w:tcBorders>
            <w:shd w:val="clear" w:color="auto" w:fill="auto"/>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93%</w:t>
            </w:r>
          </w:p>
        </w:tc>
        <w:tc>
          <w:tcPr>
            <w:tcW w:w="483" w:type="pct"/>
            <w:tcBorders>
              <w:top w:val="nil"/>
              <w:left w:val="nil"/>
              <w:bottom w:val="single" w:sz="8" w:space="0" w:color="8EAADB"/>
              <w:right w:val="single" w:sz="8" w:space="0" w:color="8EAADB"/>
            </w:tcBorders>
            <w:shd w:val="clear" w:color="auto" w:fill="auto"/>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89%</w:t>
            </w:r>
          </w:p>
        </w:tc>
        <w:tc>
          <w:tcPr>
            <w:tcW w:w="453" w:type="pct"/>
            <w:tcBorders>
              <w:top w:val="nil"/>
              <w:left w:val="nil"/>
              <w:bottom w:val="single" w:sz="8" w:space="0" w:color="8EAADB"/>
              <w:right w:val="single" w:sz="8" w:space="0" w:color="8EAADB"/>
            </w:tcBorders>
            <w:shd w:val="clear" w:color="auto" w:fill="auto"/>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93%</w:t>
            </w:r>
          </w:p>
        </w:tc>
        <w:tc>
          <w:tcPr>
            <w:tcW w:w="480" w:type="pct"/>
            <w:tcBorders>
              <w:top w:val="nil"/>
              <w:left w:val="nil"/>
              <w:bottom w:val="single" w:sz="8" w:space="0" w:color="8EAADB"/>
              <w:right w:val="single" w:sz="8" w:space="0" w:color="8EAADB"/>
            </w:tcBorders>
            <w:shd w:val="clear" w:color="auto" w:fill="auto"/>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103%</w:t>
            </w:r>
          </w:p>
        </w:tc>
      </w:tr>
      <w:tr w:rsidR="00C55233" w:rsidRPr="00CB2FCF" w:rsidTr="00E841D1">
        <w:trPr>
          <w:trHeight w:val="181"/>
          <w:jc w:val="center"/>
        </w:trPr>
        <w:tc>
          <w:tcPr>
            <w:tcW w:w="1169" w:type="pct"/>
            <w:tcBorders>
              <w:top w:val="nil"/>
              <w:left w:val="single" w:sz="8" w:space="0" w:color="8EAADB"/>
              <w:bottom w:val="single" w:sz="8" w:space="0" w:color="8EAADB"/>
              <w:right w:val="single" w:sz="8" w:space="0" w:color="8EAADB"/>
            </w:tcBorders>
            <w:shd w:val="clear" w:color="000000" w:fill="D9E2F3"/>
            <w:vAlign w:val="center"/>
            <w:hideMark/>
          </w:tcPr>
          <w:p w:rsidR="00C55233" w:rsidRPr="00476D2E" w:rsidRDefault="00C55233" w:rsidP="00C55233">
            <w:pPr>
              <w:spacing w:before="0" w:line="240" w:lineRule="auto"/>
              <w:jc w:val="center"/>
              <w:rPr>
                <w:rFonts w:cs="Calibri"/>
                <w:b/>
                <w:bCs/>
                <w:sz w:val="16"/>
                <w:szCs w:val="16"/>
              </w:rPr>
            </w:pPr>
            <w:r w:rsidRPr="00476D2E">
              <w:rPr>
                <w:rFonts w:cs="Calibri"/>
                <w:b/>
                <w:bCs/>
                <w:sz w:val="16"/>
                <w:szCs w:val="16"/>
                <w:lang w:val="sq-AL"/>
              </w:rPr>
              <w:t>Keshilli I Larte Gjyqesor</w:t>
            </w:r>
          </w:p>
        </w:tc>
        <w:tc>
          <w:tcPr>
            <w:tcW w:w="483"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3,444,200</w:t>
            </w:r>
          </w:p>
        </w:tc>
        <w:tc>
          <w:tcPr>
            <w:tcW w:w="483"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3,153,242</w:t>
            </w:r>
          </w:p>
        </w:tc>
        <w:tc>
          <w:tcPr>
            <w:tcW w:w="483"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2,883,926</w:t>
            </w:r>
          </w:p>
        </w:tc>
        <w:tc>
          <w:tcPr>
            <w:tcW w:w="483"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2,758,839</w:t>
            </w:r>
          </w:p>
        </w:tc>
        <w:tc>
          <w:tcPr>
            <w:tcW w:w="483"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84%</w:t>
            </w:r>
          </w:p>
        </w:tc>
        <w:tc>
          <w:tcPr>
            <w:tcW w:w="483"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87%</w:t>
            </w:r>
          </w:p>
        </w:tc>
        <w:tc>
          <w:tcPr>
            <w:tcW w:w="453"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84%</w:t>
            </w:r>
          </w:p>
        </w:tc>
        <w:tc>
          <w:tcPr>
            <w:tcW w:w="480"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105%</w:t>
            </w:r>
          </w:p>
        </w:tc>
      </w:tr>
      <w:tr w:rsidR="00C55233" w:rsidRPr="00CB2FCF" w:rsidTr="00E841D1">
        <w:trPr>
          <w:trHeight w:val="181"/>
          <w:jc w:val="center"/>
        </w:trPr>
        <w:tc>
          <w:tcPr>
            <w:tcW w:w="1169" w:type="pct"/>
            <w:tcBorders>
              <w:top w:val="nil"/>
              <w:left w:val="single" w:sz="8" w:space="0" w:color="8EAADB"/>
              <w:bottom w:val="single" w:sz="8" w:space="0" w:color="8EAADB"/>
              <w:right w:val="single" w:sz="8" w:space="0" w:color="8EAADB"/>
            </w:tcBorders>
            <w:shd w:val="clear" w:color="auto" w:fill="auto"/>
            <w:vAlign w:val="center"/>
            <w:hideMark/>
          </w:tcPr>
          <w:p w:rsidR="00C55233" w:rsidRPr="00476D2E" w:rsidRDefault="00C55233" w:rsidP="00C55233">
            <w:pPr>
              <w:spacing w:before="0" w:line="240" w:lineRule="auto"/>
              <w:jc w:val="center"/>
              <w:rPr>
                <w:rFonts w:cs="Calibri"/>
                <w:b/>
                <w:bCs/>
                <w:sz w:val="16"/>
                <w:szCs w:val="16"/>
              </w:rPr>
            </w:pPr>
            <w:r w:rsidRPr="00476D2E">
              <w:rPr>
                <w:rFonts w:cs="Calibri"/>
                <w:b/>
                <w:bCs/>
                <w:sz w:val="16"/>
                <w:szCs w:val="16"/>
                <w:lang w:val="sq-AL"/>
              </w:rPr>
              <w:t>Gjykata Kushtetuese</w:t>
            </w:r>
          </w:p>
        </w:tc>
        <w:tc>
          <w:tcPr>
            <w:tcW w:w="483" w:type="pct"/>
            <w:tcBorders>
              <w:top w:val="nil"/>
              <w:left w:val="nil"/>
              <w:bottom w:val="single" w:sz="8" w:space="0" w:color="8EAADB"/>
              <w:right w:val="single" w:sz="8" w:space="0" w:color="8EAADB"/>
            </w:tcBorders>
            <w:shd w:val="clear" w:color="auto" w:fill="auto"/>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155,000</w:t>
            </w:r>
          </w:p>
        </w:tc>
        <w:tc>
          <w:tcPr>
            <w:tcW w:w="483" w:type="pct"/>
            <w:tcBorders>
              <w:top w:val="nil"/>
              <w:left w:val="nil"/>
              <w:bottom w:val="single" w:sz="8" w:space="0" w:color="8EAADB"/>
              <w:right w:val="single" w:sz="8" w:space="0" w:color="8EAADB"/>
            </w:tcBorders>
            <w:shd w:val="clear" w:color="auto" w:fill="auto"/>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150,200</w:t>
            </w:r>
          </w:p>
        </w:tc>
        <w:tc>
          <w:tcPr>
            <w:tcW w:w="483" w:type="pct"/>
            <w:tcBorders>
              <w:top w:val="nil"/>
              <w:left w:val="nil"/>
              <w:bottom w:val="single" w:sz="8" w:space="0" w:color="8EAADB"/>
              <w:right w:val="single" w:sz="8" w:space="0" w:color="8EAADB"/>
            </w:tcBorders>
            <w:shd w:val="clear" w:color="auto" w:fill="auto"/>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131,502</w:t>
            </w:r>
          </w:p>
        </w:tc>
        <w:tc>
          <w:tcPr>
            <w:tcW w:w="483" w:type="pct"/>
            <w:tcBorders>
              <w:top w:val="nil"/>
              <w:left w:val="nil"/>
              <w:bottom w:val="single" w:sz="8" w:space="0" w:color="8EAADB"/>
              <w:right w:val="single" w:sz="8" w:space="0" w:color="8EAADB"/>
            </w:tcBorders>
            <w:shd w:val="clear" w:color="auto" w:fill="auto"/>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98,463</w:t>
            </w:r>
          </w:p>
        </w:tc>
        <w:tc>
          <w:tcPr>
            <w:tcW w:w="483" w:type="pct"/>
            <w:tcBorders>
              <w:top w:val="nil"/>
              <w:left w:val="nil"/>
              <w:bottom w:val="single" w:sz="8" w:space="0" w:color="8EAADB"/>
              <w:right w:val="single" w:sz="8" w:space="0" w:color="8EAADB"/>
            </w:tcBorders>
            <w:shd w:val="clear" w:color="auto" w:fill="auto"/>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85%</w:t>
            </w:r>
          </w:p>
        </w:tc>
        <w:tc>
          <w:tcPr>
            <w:tcW w:w="483" w:type="pct"/>
            <w:tcBorders>
              <w:top w:val="nil"/>
              <w:left w:val="nil"/>
              <w:bottom w:val="single" w:sz="8" w:space="0" w:color="8EAADB"/>
              <w:right w:val="single" w:sz="8" w:space="0" w:color="8EAADB"/>
            </w:tcBorders>
            <w:shd w:val="clear" w:color="auto" w:fill="auto"/>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96%</w:t>
            </w:r>
          </w:p>
        </w:tc>
        <w:tc>
          <w:tcPr>
            <w:tcW w:w="453" w:type="pct"/>
            <w:tcBorders>
              <w:top w:val="nil"/>
              <w:left w:val="nil"/>
              <w:bottom w:val="single" w:sz="8" w:space="0" w:color="8EAADB"/>
              <w:right w:val="single" w:sz="8" w:space="0" w:color="8EAADB"/>
            </w:tcBorders>
            <w:shd w:val="clear" w:color="auto" w:fill="auto"/>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85%</w:t>
            </w:r>
          </w:p>
        </w:tc>
        <w:tc>
          <w:tcPr>
            <w:tcW w:w="480" w:type="pct"/>
            <w:tcBorders>
              <w:top w:val="nil"/>
              <w:left w:val="nil"/>
              <w:bottom w:val="single" w:sz="8" w:space="0" w:color="8EAADB"/>
              <w:right w:val="single" w:sz="8" w:space="0" w:color="8EAADB"/>
            </w:tcBorders>
            <w:shd w:val="clear" w:color="auto" w:fill="auto"/>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134%</w:t>
            </w:r>
          </w:p>
        </w:tc>
      </w:tr>
      <w:tr w:rsidR="00C55233" w:rsidRPr="00CB2FCF" w:rsidTr="00E841D1">
        <w:trPr>
          <w:trHeight w:val="181"/>
          <w:jc w:val="center"/>
        </w:trPr>
        <w:tc>
          <w:tcPr>
            <w:tcW w:w="1169" w:type="pct"/>
            <w:tcBorders>
              <w:top w:val="nil"/>
              <w:left w:val="single" w:sz="8" w:space="0" w:color="8EAADB"/>
              <w:bottom w:val="single" w:sz="8" w:space="0" w:color="8EAADB"/>
              <w:right w:val="single" w:sz="8" w:space="0" w:color="8EAADB"/>
            </w:tcBorders>
            <w:shd w:val="clear" w:color="000000" w:fill="D9E2F3"/>
            <w:vAlign w:val="center"/>
            <w:hideMark/>
          </w:tcPr>
          <w:p w:rsidR="00C55233" w:rsidRPr="00476D2E" w:rsidRDefault="00C55233" w:rsidP="00C55233">
            <w:pPr>
              <w:spacing w:before="0" w:line="240" w:lineRule="auto"/>
              <w:jc w:val="center"/>
              <w:rPr>
                <w:rFonts w:cs="Calibri"/>
                <w:b/>
                <w:bCs/>
                <w:sz w:val="16"/>
                <w:szCs w:val="16"/>
              </w:rPr>
            </w:pPr>
            <w:r w:rsidRPr="00476D2E">
              <w:rPr>
                <w:rFonts w:cs="Calibri"/>
                <w:b/>
                <w:bCs/>
                <w:sz w:val="16"/>
                <w:szCs w:val="16"/>
                <w:lang w:val="sq-AL"/>
              </w:rPr>
              <w:t>Fondi i Zhvillimit Shqipetar</w:t>
            </w:r>
          </w:p>
        </w:tc>
        <w:tc>
          <w:tcPr>
            <w:tcW w:w="483" w:type="pct"/>
            <w:tcBorders>
              <w:top w:val="nil"/>
              <w:left w:val="nil"/>
              <w:bottom w:val="single" w:sz="8" w:space="0" w:color="8EAADB"/>
              <w:right w:val="single" w:sz="8" w:space="0" w:color="8EAADB"/>
            </w:tcBorders>
            <w:shd w:val="clear" w:color="000000" w:fill="D9E2F3"/>
            <w:noWrap/>
            <w:vAlign w:val="center"/>
            <w:hideMark/>
          </w:tcPr>
          <w:p w:rsidR="00C55233" w:rsidRPr="00CB2FCF" w:rsidRDefault="00C55233" w:rsidP="00C55233">
            <w:pPr>
              <w:spacing w:before="0" w:line="240" w:lineRule="auto"/>
              <w:jc w:val="right"/>
              <w:rPr>
                <w:rFonts w:cs="Calibri"/>
                <w:color w:val="002060"/>
                <w:sz w:val="16"/>
                <w:szCs w:val="16"/>
              </w:rPr>
            </w:pPr>
            <w:r w:rsidRPr="00CB2FCF">
              <w:rPr>
                <w:rFonts w:cs="Calibri"/>
                <w:color w:val="002060"/>
                <w:sz w:val="16"/>
                <w:szCs w:val="16"/>
              </w:rPr>
              <w:t>14,529,000</w:t>
            </w:r>
          </w:p>
        </w:tc>
        <w:tc>
          <w:tcPr>
            <w:tcW w:w="483" w:type="pct"/>
            <w:tcBorders>
              <w:top w:val="nil"/>
              <w:left w:val="nil"/>
              <w:bottom w:val="single" w:sz="8" w:space="0" w:color="8EAADB"/>
              <w:right w:val="single" w:sz="8" w:space="0" w:color="8EAADB"/>
            </w:tcBorders>
            <w:shd w:val="clear" w:color="000000" w:fill="D9E2F3"/>
            <w:noWrap/>
            <w:vAlign w:val="center"/>
            <w:hideMark/>
          </w:tcPr>
          <w:p w:rsidR="00C55233" w:rsidRPr="00CB2FCF" w:rsidRDefault="00C55233" w:rsidP="00C55233">
            <w:pPr>
              <w:spacing w:before="0" w:line="240" w:lineRule="auto"/>
              <w:jc w:val="right"/>
              <w:rPr>
                <w:rFonts w:cs="Calibri"/>
                <w:color w:val="002060"/>
                <w:sz w:val="16"/>
                <w:szCs w:val="16"/>
              </w:rPr>
            </w:pPr>
            <w:r w:rsidRPr="00CB2FCF">
              <w:rPr>
                <w:rFonts w:cs="Calibri"/>
                <w:color w:val="002060"/>
                <w:sz w:val="16"/>
                <w:szCs w:val="16"/>
              </w:rPr>
              <w:t>29 017 128</w:t>
            </w:r>
          </w:p>
        </w:tc>
        <w:tc>
          <w:tcPr>
            <w:tcW w:w="483" w:type="pct"/>
            <w:tcBorders>
              <w:top w:val="nil"/>
              <w:left w:val="nil"/>
              <w:bottom w:val="single" w:sz="8" w:space="0" w:color="8EAADB"/>
              <w:right w:val="single" w:sz="8" w:space="0" w:color="8EAADB"/>
            </w:tcBorders>
            <w:shd w:val="clear" w:color="000000" w:fill="D9E2F3"/>
            <w:noWrap/>
            <w:vAlign w:val="center"/>
            <w:hideMark/>
          </w:tcPr>
          <w:p w:rsidR="00C55233" w:rsidRPr="00CB2FCF" w:rsidRDefault="00C55233" w:rsidP="00C55233">
            <w:pPr>
              <w:spacing w:before="0" w:line="240" w:lineRule="auto"/>
              <w:jc w:val="right"/>
              <w:rPr>
                <w:rFonts w:cs="Calibri"/>
                <w:color w:val="002060"/>
                <w:sz w:val="16"/>
                <w:szCs w:val="16"/>
              </w:rPr>
            </w:pPr>
            <w:r w:rsidRPr="00CB2FCF">
              <w:rPr>
                <w:rFonts w:cs="Calibri"/>
                <w:color w:val="002060"/>
                <w:sz w:val="16"/>
                <w:szCs w:val="16"/>
              </w:rPr>
              <w:t>26 652 659</w:t>
            </w:r>
          </w:p>
        </w:tc>
        <w:tc>
          <w:tcPr>
            <w:tcW w:w="483" w:type="pct"/>
            <w:tcBorders>
              <w:top w:val="nil"/>
              <w:left w:val="nil"/>
              <w:bottom w:val="single" w:sz="8" w:space="0" w:color="8EAADB"/>
              <w:right w:val="single" w:sz="8" w:space="0" w:color="8EAADB"/>
            </w:tcBorders>
            <w:shd w:val="clear" w:color="000000" w:fill="D9E2F3"/>
            <w:noWrap/>
            <w:vAlign w:val="center"/>
            <w:hideMark/>
          </w:tcPr>
          <w:p w:rsidR="00C55233" w:rsidRPr="00CB2FCF" w:rsidRDefault="00C55233" w:rsidP="00C55233">
            <w:pPr>
              <w:spacing w:before="0" w:line="240" w:lineRule="auto"/>
              <w:jc w:val="right"/>
              <w:rPr>
                <w:rFonts w:cs="Calibri"/>
                <w:color w:val="002060"/>
                <w:sz w:val="16"/>
                <w:szCs w:val="16"/>
              </w:rPr>
            </w:pPr>
            <w:r w:rsidRPr="00CB2FCF">
              <w:rPr>
                <w:rFonts w:cs="Calibri"/>
                <w:color w:val="002060"/>
                <w:sz w:val="16"/>
                <w:szCs w:val="16"/>
              </w:rPr>
              <w:t>21,427,415</w:t>
            </w:r>
          </w:p>
        </w:tc>
        <w:tc>
          <w:tcPr>
            <w:tcW w:w="483" w:type="pct"/>
            <w:tcBorders>
              <w:top w:val="nil"/>
              <w:left w:val="nil"/>
              <w:bottom w:val="single" w:sz="8" w:space="0" w:color="8EAADB"/>
              <w:right w:val="single" w:sz="8" w:space="0" w:color="8EAADB"/>
            </w:tcBorders>
            <w:shd w:val="clear" w:color="000000" w:fill="D9E2F3"/>
            <w:noWrap/>
            <w:vAlign w:val="center"/>
            <w:hideMark/>
          </w:tcPr>
          <w:p w:rsidR="00C55233" w:rsidRPr="00CB2FCF" w:rsidRDefault="00C55233" w:rsidP="00C55233">
            <w:pPr>
              <w:spacing w:before="0" w:line="240" w:lineRule="auto"/>
              <w:jc w:val="right"/>
              <w:rPr>
                <w:rFonts w:cs="Calibri"/>
                <w:color w:val="002060"/>
                <w:sz w:val="16"/>
                <w:szCs w:val="16"/>
              </w:rPr>
            </w:pPr>
          </w:p>
        </w:tc>
        <w:tc>
          <w:tcPr>
            <w:tcW w:w="483" w:type="pct"/>
            <w:tcBorders>
              <w:top w:val="nil"/>
              <w:left w:val="nil"/>
              <w:bottom w:val="single" w:sz="8" w:space="0" w:color="8EAADB"/>
              <w:right w:val="single" w:sz="8" w:space="0" w:color="8EAADB"/>
            </w:tcBorders>
            <w:shd w:val="clear" w:color="000000" w:fill="D9E2F3"/>
            <w:noWrap/>
            <w:vAlign w:val="center"/>
            <w:hideMark/>
          </w:tcPr>
          <w:p w:rsidR="00C55233" w:rsidRPr="00CB2FCF" w:rsidRDefault="00C55233" w:rsidP="00C55233">
            <w:pPr>
              <w:spacing w:before="0" w:line="240" w:lineRule="auto"/>
              <w:jc w:val="right"/>
              <w:rPr>
                <w:rFonts w:cs="Calibri"/>
                <w:color w:val="002060"/>
                <w:sz w:val="16"/>
                <w:szCs w:val="16"/>
              </w:rPr>
            </w:pPr>
            <w:r w:rsidRPr="00CB2FCF">
              <w:rPr>
                <w:rFonts w:cs="Calibri"/>
                <w:color w:val="002060"/>
                <w:sz w:val="16"/>
                <w:szCs w:val="16"/>
              </w:rPr>
              <w:t>91.8%</w:t>
            </w:r>
          </w:p>
        </w:tc>
        <w:tc>
          <w:tcPr>
            <w:tcW w:w="453" w:type="pct"/>
            <w:tcBorders>
              <w:top w:val="nil"/>
              <w:left w:val="nil"/>
              <w:bottom w:val="single" w:sz="8" w:space="0" w:color="8EAADB"/>
              <w:right w:val="single" w:sz="8" w:space="0" w:color="8EAADB"/>
            </w:tcBorders>
            <w:shd w:val="clear" w:color="000000" w:fill="D9E2F3"/>
            <w:noWrap/>
            <w:vAlign w:val="center"/>
            <w:hideMark/>
          </w:tcPr>
          <w:p w:rsidR="00C55233" w:rsidRPr="00CB2FCF" w:rsidRDefault="00C55233" w:rsidP="00C55233">
            <w:pPr>
              <w:spacing w:before="0" w:line="240" w:lineRule="auto"/>
              <w:jc w:val="right"/>
              <w:rPr>
                <w:rFonts w:cs="Calibri"/>
                <w:color w:val="002060"/>
                <w:sz w:val="16"/>
                <w:szCs w:val="16"/>
              </w:rPr>
            </w:pPr>
            <w:r w:rsidRPr="00CB2FCF">
              <w:rPr>
                <w:rFonts w:cs="Calibri"/>
                <w:color w:val="002060"/>
                <w:sz w:val="16"/>
                <w:szCs w:val="16"/>
              </w:rPr>
              <w:t>91.8%</w:t>
            </w:r>
          </w:p>
        </w:tc>
        <w:tc>
          <w:tcPr>
            <w:tcW w:w="480" w:type="pct"/>
            <w:tcBorders>
              <w:top w:val="nil"/>
              <w:left w:val="nil"/>
              <w:bottom w:val="single" w:sz="8" w:space="0" w:color="8EAADB"/>
              <w:right w:val="single" w:sz="8" w:space="0" w:color="8EAADB"/>
            </w:tcBorders>
            <w:shd w:val="clear" w:color="000000" w:fill="D9E2F3"/>
            <w:noWrap/>
            <w:vAlign w:val="center"/>
            <w:hideMark/>
          </w:tcPr>
          <w:p w:rsidR="00C55233" w:rsidRPr="00CB2FCF" w:rsidRDefault="00C55233" w:rsidP="00C55233">
            <w:pPr>
              <w:spacing w:before="0" w:line="240" w:lineRule="auto"/>
              <w:jc w:val="right"/>
              <w:rPr>
                <w:rFonts w:cs="Calibri"/>
                <w:color w:val="002060"/>
                <w:sz w:val="16"/>
                <w:szCs w:val="16"/>
              </w:rPr>
            </w:pPr>
            <w:r w:rsidRPr="00CB2FCF">
              <w:rPr>
                <w:rFonts w:cs="Calibri"/>
                <w:color w:val="002060"/>
                <w:sz w:val="16"/>
                <w:szCs w:val="16"/>
              </w:rPr>
              <w:t>109%</w:t>
            </w:r>
          </w:p>
        </w:tc>
      </w:tr>
      <w:tr w:rsidR="00C55233" w:rsidRPr="00CB2FCF" w:rsidTr="00E841D1">
        <w:trPr>
          <w:trHeight w:val="269"/>
          <w:jc w:val="center"/>
        </w:trPr>
        <w:tc>
          <w:tcPr>
            <w:tcW w:w="1169" w:type="pct"/>
            <w:tcBorders>
              <w:top w:val="nil"/>
              <w:left w:val="single" w:sz="8" w:space="0" w:color="8EAADB"/>
              <w:bottom w:val="single" w:sz="8" w:space="0" w:color="8EAADB"/>
              <w:right w:val="single" w:sz="8" w:space="0" w:color="8EAADB"/>
            </w:tcBorders>
            <w:shd w:val="clear" w:color="auto" w:fill="auto"/>
            <w:vAlign w:val="center"/>
            <w:hideMark/>
          </w:tcPr>
          <w:p w:rsidR="00C55233" w:rsidRPr="00476D2E" w:rsidRDefault="00C55233" w:rsidP="00C55233">
            <w:pPr>
              <w:spacing w:before="0" w:line="240" w:lineRule="auto"/>
              <w:jc w:val="center"/>
              <w:rPr>
                <w:rFonts w:cs="Calibri"/>
                <w:b/>
                <w:bCs/>
                <w:sz w:val="16"/>
                <w:szCs w:val="16"/>
              </w:rPr>
            </w:pPr>
            <w:r w:rsidRPr="00476D2E">
              <w:rPr>
                <w:rFonts w:cs="Calibri"/>
                <w:b/>
                <w:bCs/>
                <w:sz w:val="16"/>
                <w:szCs w:val="16"/>
                <w:lang w:val="sq-AL"/>
              </w:rPr>
              <w:t>Veprimtaria e Mbikëqyrjes dhe Rivleresimit ne sistemin e Drejtesise</w:t>
            </w:r>
          </w:p>
        </w:tc>
        <w:tc>
          <w:tcPr>
            <w:tcW w:w="483" w:type="pct"/>
            <w:tcBorders>
              <w:top w:val="nil"/>
              <w:left w:val="nil"/>
              <w:bottom w:val="single" w:sz="8" w:space="0" w:color="8EAADB"/>
              <w:right w:val="single" w:sz="8" w:space="0" w:color="8EAADB"/>
            </w:tcBorders>
            <w:shd w:val="clear" w:color="auto" w:fill="auto"/>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726,900</w:t>
            </w:r>
          </w:p>
        </w:tc>
        <w:tc>
          <w:tcPr>
            <w:tcW w:w="483" w:type="pct"/>
            <w:tcBorders>
              <w:top w:val="nil"/>
              <w:left w:val="nil"/>
              <w:bottom w:val="single" w:sz="8" w:space="0" w:color="8EAADB"/>
              <w:right w:val="single" w:sz="8" w:space="0" w:color="8EAADB"/>
            </w:tcBorders>
            <w:shd w:val="clear" w:color="auto" w:fill="auto"/>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619,414</w:t>
            </w:r>
          </w:p>
        </w:tc>
        <w:tc>
          <w:tcPr>
            <w:tcW w:w="483" w:type="pct"/>
            <w:tcBorders>
              <w:top w:val="nil"/>
              <w:left w:val="nil"/>
              <w:bottom w:val="single" w:sz="8" w:space="0" w:color="8EAADB"/>
              <w:right w:val="single" w:sz="8" w:space="0" w:color="8EAADB"/>
            </w:tcBorders>
            <w:shd w:val="clear" w:color="auto" w:fill="auto"/>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578,608</w:t>
            </w:r>
          </w:p>
        </w:tc>
        <w:tc>
          <w:tcPr>
            <w:tcW w:w="483" w:type="pct"/>
            <w:tcBorders>
              <w:top w:val="nil"/>
              <w:left w:val="nil"/>
              <w:bottom w:val="single" w:sz="8" w:space="0" w:color="8EAADB"/>
              <w:right w:val="single" w:sz="8" w:space="0" w:color="8EAADB"/>
            </w:tcBorders>
            <w:shd w:val="clear" w:color="auto" w:fill="auto"/>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416,401</w:t>
            </w:r>
          </w:p>
        </w:tc>
        <w:tc>
          <w:tcPr>
            <w:tcW w:w="483" w:type="pct"/>
            <w:tcBorders>
              <w:top w:val="nil"/>
              <w:left w:val="nil"/>
              <w:bottom w:val="single" w:sz="8" w:space="0" w:color="8EAADB"/>
              <w:right w:val="single" w:sz="8" w:space="0" w:color="8EAADB"/>
            </w:tcBorders>
            <w:shd w:val="clear" w:color="auto" w:fill="auto"/>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85%</w:t>
            </w:r>
          </w:p>
        </w:tc>
        <w:tc>
          <w:tcPr>
            <w:tcW w:w="483" w:type="pct"/>
            <w:tcBorders>
              <w:top w:val="nil"/>
              <w:left w:val="nil"/>
              <w:bottom w:val="single" w:sz="8" w:space="0" w:color="8EAADB"/>
              <w:right w:val="single" w:sz="8" w:space="0" w:color="8EAADB"/>
            </w:tcBorders>
            <w:shd w:val="clear" w:color="auto" w:fill="auto"/>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30%</w:t>
            </w:r>
          </w:p>
        </w:tc>
        <w:tc>
          <w:tcPr>
            <w:tcW w:w="453" w:type="pct"/>
            <w:tcBorders>
              <w:top w:val="nil"/>
              <w:left w:val="nil"/>
              <w:bottom w:val="single" w:sz="8" w:space="0" w:color="8EAADB"/>
              <w:right w:val="single" w:sz="8" w:space="0" w:color="8EAADB"/>
            </w:tcBorders>
            <w:shd w:val="clear" w:color="auto" w:fill="auto"/>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80%</w:t>
            </w:r>
          </w:p>
        </w:tc>
        <w:tc>
          <w:tcPr>
            <w:tcW w:w="480" w:type="pct"/>
            <w:tcBorders>
              <w:top w:val="nil"/>
              <w:left w:val="nil"/>
              <w:bottom w:val="single" w:sz="8" w:space="0" w:color="8EAADB"/>
              <w:right w:val="single" w:sz="8" w:space="0" w:color="8EAADB"/>
            </w:tcBorders>
            <w:shd w:val="clear" w:color="auto" w:fill="auto"/>
            <w:noWrap/>
            <w:hideMark/>
          </w:tcPr>
          <w:p w:rsidR="00C55233" w:rsidRPr="00CB2FCF" w:rsidRDefault="00C55233" w:rsidP="00C55233">
            <w:pPr>
              <w:spacing w:before="0" w:line="240" w:lineRule="auto"/>
              <w:jc w:val="right"/>
              <w:rPr>
                <w:rFonts w:cs="Calibri"/>
                <w:color w:val="002060"/>
                <w:sz w:val="16"/>
                <w:szCs w:val="16"/>
                <w:lang w:val="sq-AL"/>
              </w:rPr>
            </w:pPr>
            <w:r w:rsidRPr="00CB2FCF">
              <w:rPr>
                <w:rFonts w:cs="Calibri"/>
                <w:color w:val="002060"/>
                <w:sz w:val="16"/>
                <w:szCs w:val="16"/>
                <w:lang w:val="sq-AL"/>
              </w:rPr>
              <w:t>139%</w:t>
            </w:r>
          </w:p>
        </w:tc>
      </w:tr>
      <w:tr w:rsidR="00C55233" w:rsidRPr="00CB2FCF" w:rsidTr="00E841D1">
        <w:trPr>
          <w:trHeight w:val="95"/>
          <w:jc w:val="center"/>
        </w:trPr>
        <w:tc>
          <w:tcPr>
            <w:tcW w:w="1169" w:type="pct"/>
            <w:tcBorders>
              <w:top w:val="nil"/>
              <w:left w:val="single" w:sz="8" w:space="0" w:color="8EAADB"/>
              <w:bottom w:val="single" w:sz="8" w:space="0" w:color="8EAADB"/>
              <w:right w:val="single" w:sz="8" w:space="0" w:color="8EAADB"/>
            </w:tcBorders>
            <w:shd w:val="clear" w:color="000000" w:fill="D9E2F3"/>
            <w:vAlign w:val="center"/>
            <w:hideMark/>
          </w:tcPr>
          <w:p w:rsidR="00C55233" w:rsidRPr="00476D2E" w:rsidRDefault="00C55233" w:rsidP="00C55233">
            <w:pPr>
              <w:spacing w:before="0" w:line="240" w:lineRule="auto"/>
              <w:jc w:val="center"/>
              <w:rPr>
                <w:rFonts w:cs="Calibri"/>
                <w:b/>
                <w:bCs/>
                <w:sz w:val="16"/>
                <w:szCs w:val="16"/>
              </w:rPr>
            </w:pPr>
            <w:r w:rsidRPr="00476D2E">
              <w:rPr>
                <w:rFonts w:cs="Calibri"/>
                <w:b/>
                <w:bCs/>
                <w:sz w:val="16"/>
                <w:szCs w:val="16"/>
                <w:lang w:val="sq-AL"/>
              </w:rPr>
              <w:t>Institucione te tjera Qeveritare</w:t>
            </w:r>
          </w:p>
        </w:tc>
        <w:tc>
          <w:tcPr>
            <w:tcW w:w="483"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line="240" w:lineRule="auto"/>
              <w:jc w:val="right"/>
              <w:rPr>
                <w:sz w:val="16"/>
                <w:szCs w:val="16"/>
              </w:rPr>
            </w:pPr>
            <w:r w:rsidRPr="00CB2FCF">
              <w:rPr>
                <w:sz w:val="16"/>
                <w:szCs w:val="16"/>
              </w:rPr>
              <w:t>5,954,099</w:t>
            </w:r>
          </w:p>
        </w:tc>
        <w:tc>
          <w:tcPr>
            <w:tcW w:w="483"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line="240" w:lineRule="auto"/>
              <w:jc w:val="right"/>
              <w:rPr>
                <w:sz w:val="16"/>
                <w:szCs w:val="16"/>
              </w:rPr>
            </w:pPr>
            <w:r w:rsidRPr="00CB2FCF">
              <w:rPr>
                <w:sz w:val="16"/>
                <w:szCs w:val="16"/>
              </w:rPr>
              <w:t>7,755,067</w:t>
            </w:r>
          </w:p>
        </w:tc>
        <w:tc>
          <w:tcPr>
            <w:tcW w:w="483"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line="240" w:lineRule="auto"/>
              <w:jc w:val="right"/>
              <w:rPr>
                <w:sz w:val="16"/>
                <w:szCs w:val="16"/>
              </w:rPr>
            </w:pPr>
            <w:r w:rsidRPr="00CB2FCF">
              <w:rPr>
                <w:sz w:val="16"/>
                <w:szCs w:val="16"/>
              </w:rPr>
              <w:t>7,212,561</w:t>
            </w:r>
          </w:p>
        </w:tc>
        <w:tc>
          <w:tcPr>
            <w:tcW w:w="483"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line="240" w:lineRule="auto"/>
              <w:jc w:val="right"/>
              <w:rPr>
                <w:sz w:val="16"/>
                <w:szCs w:val="16"/>
              </w:rPr>
            </w:pPr>
            <w:r w:rsidRPr="00CB2FCF">
              <w:rPr>
                <w:sz w:val="16"/>
                <w:szCs w:val="16"/>
              </w:rPr>
              <w:t>7,790,553</w:t>
            </w:r>
          </w:p>
        </w:tc>
        <w:tc>
          <w:tcPr>
            <w:tcW w:w="483"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line="240" w:lineRule="auto"/>
              <w:jc w:val="right"/>
              <w:rPr>
                <w:sz w:val="16"/>
                <w:szCs w:val="16"/>
              </w:rPr>
            </w:pPr>
            <w:r w:rsidRPr="00CB2FCF">
              <w:rPr>
                <w:sz w:val="16"/>
                <w:szCs w:val="16"/>
              </w:rPr>
              <w:t>93.99</w:t>
            </w:r>
          </w:p>
        </w:tc>
        <w:tc>
          <w:tcPr>
            <w:tcW w:w="483"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line="240" w:lineRule="auto"/>
              <w:jc w:val="right"/>
              <w:rPr>
                <w:sz w:val="16"/>
                <w:szCs w:val="16"/>
              </w:rPr>
            </w:pPr>
            <w:r w:rsidRPr="00CB2FCF">
              <w:rPr>
                <w:sz w:val="16"/>
                <w:szCs w:val="16"/>
              </w:rPr>
              <w:t>90.86</w:t>
            </w:r>
          </w:p>
        </w:tc>
        <w:tc>
          <w:tcPr>
            <w:tcW w:w="453"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line="240" w:lineRule="auto"/>
              <w:jc w:val="right"/>
              <w:rPr>
                <w:sz w:val="16"/>
                <w:szCs w:val="16"/>
              </w:rPr>
            </w:pPr>
            <w:r w:rsidRPr="00CB2FCF">
              <w:rPr>
                <w:sz w:val="16"/>
                <w:szCs w:val="16"/>
              </w:rPr>
              <w:t>93.00</w:t>
            </w:r>
          </w:p>
        </w:tc>
        <w:tc>
          <w:tcPr>
            <w:tcW w:w="480" w:type="pct"/>
            <w:tcBorders>
              <w:top w:val="nil"/>
              <w:left w:val="nil"/>
              <w:bottom w:val="single" w:sz="8" w:space="0" w:color="8EAADB"/>
              <w:right w:val="single" w:sz="8" w:space="0" w:color="8EAADB"/>
            </w:tcBorders>
            <w:shd w:val="clear" w:color="000000" w:fill="D9E2F3"/>
            <w:noWrap/>
            <w:hideMark/>
          </w:tcPr>
          <w:p w:rsidR="00C55233" w:rsidRPr="00CB2FCF" w:rsidRDefault="00C55233" w:rsidP="00C55233">
            <w:pPr>
              <w:spacing w:line="240" w:lineRule="auto"/>
              <w:jc w:val="right"/>
              <w:rPr>
                <w:sz w:val="16"/>
                <w:szCs w:val="16"/>
              </w:rPr>
            </w:pPr>
            <w:r w:rsidRPr="00CB2FCF">
              <w:rPr>
                <w:sz w:val="16"/>
                <w:szCs w:val="16"/>
              </w:rPr>
              <w:t>92.58</w:t>
            </w:r>
          </w:p>
        </w:tc>
      </w:tr>
    </w:tbl>
    <w:p w:rsidR="007B7B50" w:rsidRPr="00476D2E" w:rsidRDefault="007B7B50" w:rsidP="007B7B50">
      <w:pPr>
        <w:pStyle w:val="fiskale3"/>
        <w:rPr>
          <w:rFonts w:ascii="Calibri" w:hAnsi="Calibri" w:cs="Calibri"/>
          <w:b/>
        </w:rPr>
      </w:pPr>
      <w:bookmarkStart w:id="234" w:name="_Toc10033295"/>
      <w:bookmarkStart w:id="235" w:name="_Toc10721431"/>
      <w:bookmarkStart w:id="236" w:name="_Toc104980360"/>
      <w:r w:rsidRPr="00476D2E">
        <w:rPr>
          <w:rFonts w:ascii="Calibri" w:hAnsi="Calibri" w:cs="Calibri"/>
          <w:b/>
        </w:rPr>
        <w:lastRenderedPageBreak/>
        <w:t>Shëndetësia dhe Mbrojtja Sociale</w:t>
      </w:r>
      <w:bookmarkEnd w:id="234"/>
      <w:bookmarkEnd w:id="235"/>
      <w:bookmarkEnd w:id="236"/>
    </w:p>
    <w:p w:rsidR="007B7B50" w:rsidRPr="00476D2E" w:rsidRDefault="007B7B50" w:rsidP="007B7B50">
      <w:pPr>
        <w:rPr>
          <w:rFonts w:cs="Calibri"/>
          <w:i/>
          <w:iCs/>
          <w:color w:val="000000"/>
          <w:lang w:val="sq-AL"/>
        </w:rPr>
      </w:pPr>
      <w:r w:rsidRPr="00476D2E">
        <w:rPr>
          <w:rFonts w:cs="Calibri"/>
          <w:color w:val="000000"/>
          <w:lang w:val="sq-AL"/>
        </w:rPr>
        <w:t>Në përputhje me drejtimet kryesore të politikës së përgjithshme shtetërore, me fondet buxhetore të miratuara për vitin 202</w:t>
      </w:r>
      <w:r w:rsidR="00D0519A">
        <w:rPr>
          <w:rFonts w:cs="Calibri"/>
          <w:color w:val="000000"/>
          <w:lang w:val="sq-AL"/>
        </w:rPr>
        <w:t>1</w:t>
      </w:r>
      <w:r w:rsidRPr="00476D2E">
        <w:rPr>
          <w:rFonts w:cs="Calibri"/>
          <w:color w:val="000000"/>
          <w:lang w:val="sq-AL"/>
        </w:rPr>
        <w:t>, performanca e treguesve buxhetorë për programet kryesore në Ministrinë e Shëndetësisë dhe Mbrojtjes Sociale, paraqitet si më poshtë:</w:t>
      </w:r>
    </w:p>
    <w:p w:rsidR="007B7B50" w:rsidRPr="00476D2E" w:rsidRDefault="007B7B50" w:rsidP="007B7B50">
      <w:pPr>
        <w:rPr>
          <w:rFonts w:cs="Calibri"/>
          <w:iCs/>
          <w:color w:val="17406D" w:themeColor="text2"/>
          <w:sz w:val="18"/>
          <w:szCs w:val="18"/>
          <w:u w:val="single"/>
          <w:lang w:val="sq-AL"/>
        </w:rPr>
      </w:pPr>
      <w:bookmarkStart w:id="237" w:name="_Toc104984093"/>
      <w:r w:rsidRPr="00476D2E">
        <w:rPr>
          <w:rFonts w:cs="Calibri"/>
          <w:i/>
          <w:iCs/>
          <w:color w:val="17406D" w:themeColor="text2"/>
          <w:sz w:val="18"/>
          <w:szCs w:val="18"/>
          <w:lang w:val="sq-AL"/>
        </w:rPr>
        <w:t xml:space="preserve">Tabela </w:t>
      </w:r>
      <w:r w:rsidRPr="00476D2E">
        <w:rPr>
          <w:rFonts w:cs="Calibri"/>
          <w:i/>
          <w:iCs/>
          <w:color w:val="17406D" w:themeColor="text2"/>
          <w:sz w:val="18"/>
          <w:szCs w:val="18"/>
          <w:lang w:val="sq-AL"/>
        </w:rPr>
        <w:fldChar w:fldCharType="begin"/>
      </w:r>
      <w:r w:rsidRPr="00476D2E">
        <w:rPr>
          <w:rFonts w:cs="Calibri"/>
          <w:i/>
          <w:iCs/>
          <w:color w:val="17406D" w:themeColor="text2"/>
          <w:sz w:val="18"/>
          <w:szCs w:val="18"/>
          <w:lang w:val="sq-AL"/>
        </w:rPr>
        <w:instrText xml:space="preserve"> SEQ Tabela \* ARABIC </w:instrText>
      </w:r>
      <w:r w:rsidRPr="00476D2E">
        <w:rPr>
          <w:rFonts w:cs="Calibri"/>
          <w:i/>
          <w:iCs/>
          <w:color w:val="17406D" w:themeColor="text2"/>
          <w:sz w:val="18"/>
          <w:szCs w:val="18"/>
          <w:lang w:val="sq-AL"/>
        </w:rPr>
        <w:fldChar w:fldCharType="separate"/>
      </w:r>
      <w:r w:rsidR="00276062">
        <w:rPr>
          <w:rFonts w:cs="Calibri"/>
          <w:i/>
          <w:iCs/>
          <w:noProof/>
          <w:color w:val="17406D" w:themeColor="text2"/>
          <w:sz w:val="18"/>
          <w:szCs w:val="18"/>
          <w:lang w:val="sq-AL"/>
        </w:rPr>
        <w:t>21</w:t>
      </w:r>
      <w:r w:rsidRPr="00476D2E">
        <w:rPr>
          <w:rFonts w:cs="Calibri"/>
          <w:color w:val="17406D" w:themeColor="text2"/>
          <w:sz w:val="18"/>
          <w:szCs w:val="18"/>
          <w:lang w:val="sq-AL"/>
        </w:rPr>
        <w:fldChar w:fldCharType="end"/>
      </w:r>
      <w:r w:rsidRPr="00476D2E">
        <w:rPr>
          <w:rFonts w:cs="Calibri"/>
          <w:i/>
          <w:iCs/>
          <w:color w:val="17406D" w:themeColor="text2"/>
          <w:sz w:val="18"/>
          <w:szCs w:val="18"/>
          <w:lang w:val="sq-AL"/>
        </w:rPr>
        <w:t xml:space="preserve"> Realizimi i buxhetit 202</w:t>
      </w:r>
      <w:r w:rsidR="0034438D">
        <w:rPr>
          <w:rFonts w:cs="Calibri"/>
          <w:i/>
          <w:iCs/>
          <w:color w:val="17406D" w:themeColor="text2"/>
          <w:sz w:val="18"/>
          <w:szCs w:val="18"/>
          <w:lang w:val="sq-AL"/>
        </w:rPr>
        <w:t>1</w:t>
      </w:r>
      <w:r w:rsidRPr="00476D2E">
        <w:rPr>
          <w:rFonts w:cs="Calibri"/>
          <w:i/>
          <w:iCs/>
          <w:color w:val="17406D" w:themeColor="text2"/>
          <w:sz w:val="18"/>
          <w:szCs w:val="18"/>
          <w:lang w:val="sq-AL"/>
        </w:rPr>
        <w:t xml:space="preserve"> për Ministrinë e Shëndetësisë dhe Mbrojtjes Sociale (në mijë lekë)</w:t>
      </w:r>
      <w:bookmarkEnd w:id="237"/>
      <w:r w:rsidRPr="00476D2E">
        <w:rPr>
          <w:rFonts w:cs="Calibri"/>
          <w:i/>
          <w:iCs/>
          <w:color w:val="17406D" w:themeColor="text2"/>
          <w:sz w:val="18"/>
          <w:szCs w:val="18"/>
          <w:lang w:val="sq-AL"/>
        </w:rPr>
        <w:t xml:space="preserve"> </w:t>
      </w:r>
    </w:p>
    <w:tbl>
      <w:tblPr>
        <w:tblStyle w:val="TableGridLight16"/>
        <w:tblW w:w="5600" w:type="pct"/>
        <w:jc w:val="center"/>
        <w:tblLayout w:type="fixed"/>
        <w:tblLook w:val="04A0" w:firstRow="1" w:lastRow="0" w:firstColumn="1" w:lastColumn="0" w:noHBand="0" w:noVBand="1"/>
      </w:tblPr>
      <w:tblGrid>
        <w:gridCol w:w="2850"/>
        <w:gridCol w:w="1384"/>
        <w:gridCol w:w="1421"/>
        <w:gridCol w:w="1421"/>
        <w:gridCol w:w="1419"/>
        <w:gridCol w:w="1421"/>
        <w:gridCol w:w="1414"/>
      </w:tblGrid>
      <w:tr w:rsidR="0034438D" w:rsidRPr="00E402D7" w:rsidTr="0034438D">
        <w:trPr>
          <w:trHeight w:val="184"/>
          <w:jc w:val="center"/>
        </w:trPr>
        <w:tc>
          <w:tcPr>
            <w:tcW w:w="1258" w:type="pct"/>
            <w:shd w:val="clear" w:color="auto" w:fill="0B5294" w:themeFill="accent1" w:themeFillShade="BF"/>
            <w:noWrap/>
            <w:vAlign w:val="center"/>
          </w:tcPr>
          <w:p w:rsidR="0034438D" w:rsidRPr="00E402D7" w:rsidRDefault="0034438D" w:rsidP="0034438D">
            <w:pPr>
              <w:spacing w:before="0" w:line="240" w:lineRule="auto"/>
              <w:jc w:val="center"/>
              <w:rPr>
                <w:rFonts w:cs="Calibri"/>
                <w:color w:val="FFFFFF" w:themeColor="background1"/>
                <w:sz w:val="18"/>
                <w:szCs w:val="18"/>
              </w:rPr>
            </w:pPr>
            <w:r w:rsidRPr="00E402D7">
              <w:rPr>
                <w:rFonts w:cs="Calibri"/>
                <w:color w:val="FFFFFF" w:themeColor="background1"/>
                <w:sz w:val="18"/>
                <w:szCs w:val="18"/>
              </w:rPr>
              <w:t>Programi buxhetor</w:t>
            </w:r>
          </w:p>
        </w:tc>
        <w:tc>
          <w:tcPr>
            <w:tcW w:w="611" w:type="pct"/>
            <w:shd w:val="clear" w:color="auto" w:fill="0B5294" w:themeFill="accent1" w:themeFillShade="BF"/>
            <w:noWrap/>
            <w:vAlign w:val="center"/>
          </w:tcPr>
          <w:p w:rsidR="0034438D" w:rsidRPr="00E402D7" w:rsidRDefault="0034438D" w:rsidP="0034438D">
            <w:pPr>
              <w:spacing w:before="0" w:line="240" w:lineRule="auto"/>
              <w:jc w:val="center"/>
              <w:rPr>
                <w:rFonts w:cs="Calibri"/>
                <w:color w:val="FFFFFF" w:themeColor="background1"/>
                <w:sz w:val="18"/>
                <w:szCs w:val="18"/>
              </w:rPr>
            </w:pPr>
            <w:r w:rsidRPr="00E402D7">
              <w:rPr>
                <w:rFonts w:cs="Calibri"/>
                <w:b/>
                <w:bCs/>
                <w:color w:val="FFFFFF" w:themeColor="background1"/>
                <w:sz w:val="18"/>
                <w:szCs w:val="18"/>
              </w:rPr>
              <w:t>Fakti viti 2020</w:t>
            </w:r>
          </w:p>
        </w:tc>
        <w:tc>
          <w:tcPr>
            <w:tcW w:w="627" w:type="pct"/>
            <w:shd w:val="clear" w:color="auto" w:fill="0B5294" w:themeFill="accent1" w:themeFillShade="BF"/>
            <w:noWrap/>
            <w:vAlign w:val="center"/>
          </w:tcPr>
          <w:p w:rsidR="0034438D" w:rsidRPr="00E402D7" w:rsidRDefault="0034438D" w:rsidP="0034438D">
            <w:pPr>
              <w:spacing w:before="0" w:line="240" w:lineRule="auto"/>
              <w:jc w:val="center"/>
              <w:rPr>
                <w:rFonts w:cs="Calibri"/>
                <w:b/>
                <w:bCs/>
                <w:color w:val="FFFFFF" w:themeColor="background1"/>
                <w:sz w:val="18"/>
                <w:szCs w:val="18"/>
              </w:rPr>
            </w:pPr>
            <w:r w:rsidRPr="00E402D7">
              <w:rPr>
                <w:rFonts w:cs="Calibri"/>
                <w:b/>
                <w:bCs/>
                <w:color w:val="FFFFFF" w:themeColor="background1"/>
                <w:sz w:val="18"/>
                <w:szCs w:val="18"/>
              </w:rPr>
              <w:t>Buxheti vjetor</w:t>
            </w:r>
          </w:p>
          <w:p w:rsidR="0034438D" w:rsidRPr="00E402D7" w:rsidRDefault="0034438D" w:rsidP="0034438D">
            <w:pPr>
              <w:spacing w:before="0" w:line="240" w:lineRule="auto"/>
              <w:jc w:val="center"/>
              <w:rPr>
                <w:rFonts w:cs="Calibri"/>
                <w:color w:val="FFFFFF" w:themeColor="background1"/>
                <w:sz w:val="18"/>
                <w:szCs w:val="18"/>
              </w:rPr>
            </w:pPr>
            <w:r w:rsidRPr="00E402D7">
              <w:rPr>
                <w:rFonts w:cs="Calibri"/>
                <w:b/>
                <w:bCs/>
                <w:color w:val="FFFFFF" w:themeColor="background1"/>
                <w:sz w:val="18"/>
                <w:szCs w:val="18"/>
              </w:rPr>
              <w:t>Plan fillestar 2021</w:t>
            </w:r>
          </w:p>
        </w:tc>
        <w:tc>
          <w:tcPr>
            <w:tcW w:w="627" w:type="pct"/>
            <w:shd w:val="clear" w:color="auto" w:fill="0B5294" w:themeFill="accent1" w:themeFillShade="BF"/>
            <w:noWrap/>
            <w:vAlign w:val="center"/>
          </w:tcPr>
          <w:p w:rsidR="0034438D" w:rsidRPr="00E402D7" w:rsidRDefault="0034438D" w:rsidP="0034438D">
            <w:pPr>
              <w:spacing w:before="0" w:line="240" w:lineRule="auto"/>
              <w:jc w:val="center"/>
              <w:rPr>
                <w:rFonts w:cs="Calibri"/>
                <w:b/>
                <w:bCs/>
                <w:color w:val="FFFFFF" w:themeColor="background1"/>
                <w:sz w:val="18"/>
                <w:szCs w:val="18"/>
              </w:rPr>
            </w:pPr>
            <w:r w:rsidRPr="00E402D7">
              <w:rPr>
                <w:rFonts w:cs="Calibri"/>
                <w:b/>
                <w:bCs/>
                <w:color w:val="FFFFFF" w:themeColor="background1"/>
                <w:sz w:val="18"/>
                <w:szCs w:val="18"/>
              </w:rPr>
              <w:t>Buxheti vjetor</w:t>
            </w:r>
          </w:p>
          <w:p w:rsidR="0034438D" w:rsidRPr="00E402D7" w:rsidRDefault="0034438D" w:rsidP="0034438D">
            <w:pPr>
              <w:spacing w:before="0" w:line="240" w:lineRule="auto"/>
              <w:jc w:val="center"/>
              <w:rPr>
                <w:rFonts w:cs="Calibri"/>
                <w:color w:val="FFFFFF" w:themeColor="background1"/>
                <w:sz w:val="18"/>
                <w:szCs w:val="18"/>
              </w:rPr>
            </w:pPr>
            <w:r w:rsidRPr="00E402D7">
              <w:rPr>
                <w:rFonts w:cs="Calibri"/>
                <w:b/>
                <w:bCs/>
                <w:color w:val="FFFFFF" w:themeColor="background1"/>
                <w:sz w:val="18"/>
                <w:szCs w:val="18"/>
              </w:rPr>
              <w:t>Plan i rishikuar 2021</w:t>
            </w:r>
          </w:p>
        </w:tc>
        <w:tc>
          <w:tcPr>
            <w:tcW w:w="626" w:type="pct"/>
            <w:shd w:val="clear" w:color="auto" w:fill="0B5294" w:themeFill="accent1" w:themeFillShade="BF"/>
            <w:noWrap/>
            <w:vAlign w:val="center"/>
          </w:tcPr>
          <w:p w:rsidR="0034438D" w:rsidRPr="00E402D7" w:rsidRDefault="0034438D" w:rsidP="0034438D">
            <w:pPr>
              <w:spacing w:before="0" w:line="240" w:lineRule="auto"/>
              <w:jc w:val="center"/>
              <w:rPr>
                <w:rFonts w:cs="Calibri"/>
                <w:color w:val="FFFFFF" w:themeColor="background1"/>
                <w:sz w:val="18"/>
                <w:szCs w:val="18"/>
              </w:rPr>
            </w:pPr>
            <w:r w:rsidRPr="00E402D7">
              <w:rPr>
                <w:rFonts w:cs="Calibri"/>
                <w:b/>
                <w:bCs/>
                <w:color w:val="FFFFFF" w:themeColor="background1"/>
                <w:sz w:val="18"/>
                <w:szCs w:val="18"/>
              </w:rPr>
              <w:t>Realizimi faktik 2021</w:t>
            </w:r>
          </w:p>
        </w:tc>
        <w:tc>
          <w:tcPr>
            <w:tcW w:w="627" w:type="pct"/>
            <w:shd w:val="clear" w:color="auto" w:fill="0B5294" w:themeFill="accent1" w:themeFillShade="BF"/>
            <w:noWrap/>
            <w:vAlign w:val="center"/>
          </w:tcPr>
          <w:p w:rsidR="0034438D" w:rsidRPr="00E402D7" w:rsidRDefault="0034438D" w:rsidP="0034438D">
            <w:pPr>
              <w:spacing w:before="0" w:line="240" w:lineRule="auto"/>
              <w:jc w:val="center"/>
              <w:rPr>
                <w:rFonts w:cs="Calibri"/>
                <w:color w:val="FFFFFF" w:themeColor="background1"/>
                <w:sz w:val="18"/>
                <w:szCs w:val="18"/>
              </w:rPr>
            </w:pPr>
            <w:r w:rsidRPr="00E402D7">
              <w:rPr>
                <w:rFonts w:cs="Calibri"/>
                <w:b/>
                <w:bCs/>
                <w:color w:val="FFFFFF" w:themeColor="background1"/>
                <w:sz w:val="18"/>
                <w:szCs w:val="18"/>
              </w:rPr>
              <w:t>Diferenca në % me planin fillestar</w:t>
            </w:r>
          </w:p>
        </w:tc>
        <w:tc>
          <w:tcPr>
            <w:tcW w:w="624" w:type="pct"/>
            <w:shd w:val="clear" w:color="auto" w:fill="0B5294" w:themeFill="accent1" w:themeFillShade="BF"/>
            <w:noWrap/>
            <w:vAlign w:val="center"/>
          </w:tcPr>
          <w:p w:rsidR="0034438D" w:rsidRPr="00E402D7" w:rsidRDefault="0034438D" w:rsidP="0034438D">
            <w:pPr>
              <w:spacing w:before="0" w:line="240" w:lineRule="auto"/>
              <w:jc w:val="center"/>
              <w:rPr>
                <w:rFonts w:cs="Calibri"/>
                <w:color w:val="FFFFFF" w:themeColor="background1"/>
                <w:sz w:val="18"/>
                <w:szCs w:val="18"/>
              </w:rPr>
            </w:pPr>
            <w:r w:rsidRPr="00E402D7">
              <w:rPr>
                <w:rFonts w:cs="Calibri"/>
                <w:color w:val="FFFFFF" w:themeColor="background1"/>
                <w:sz w:val="18"/>
                <w:szCs w:val="18"/>
              </w:rPr>
              <w:t>Diferenca në % me planin e rishikuar</w:t>
            </w:r>
          </w:p>
        </w:tc>
      </w:tr>
      <w:tr w:rsidR="0034438D" w:rsidRPr="00CB2FCF" w:rsidTr="0034438D">
        <w:trPr>
          <w:trHeight w:val="184"/>
          <w:jc w:val="center"/>
        </w:trPr>
        <w:tc>
          <w:tcPr>
            <w:tcW w:w="1258" w:type="pct"/>
            <w:noWrap/>
            <w:hideMark/>
          </w:tcPr>
          <w:p w:rsidR="0034438D" w:rsidRPr="00CB2FCF" w:rsidRDefault="0034438D" w:rsidP="0034438D">
            <w:pPr>
              <w:spacing w:before="0" w:line="240" w:lineRule="auto"/>
              <w:jc w:val="center"/>
              <w:rPr>
                <w:rFonts w:cs="Calibri"/>
                <w:sz w:val="18"/>
                <w:szCs w:val="17"/>
              </w:rPr>
            </w:pPr>
            <w:r w:rsidRPr="00CB2FCF">
              <w:rPr>
                <w:rFonts w:cs="Calibri"/>
                <w:sz w:val="18"/>
                <w:szCs w:val="17"/>
              </w:rPr>
              <w:t>Planifikim Menaxhim Administrim</w:t>
            </w:r>
          </w:p>
        </w:tc>
        <w:tc>
          <w:tcPr>
            <w:tcW w:w="611" w:type="pct"/>
            <w:noWrap/>
            <w:hideMark/>
          </w:tcPr>
          <w:p w:rsidR="0034438D" w:rsidRPr="00CB2FCF" w:rsidRDefault="0034438D" w:rsidP="0034438D">
            <w:pPr>
              <w:spacing w:before="0" w:line="240" w:lineRule="auto"/>
              <w:jc w:val="center"/>
              <w:rPr>
                <w:rFonts w:cs="Calibri"/>
                <w:sz w:val="18"/>
                <w:szCs w:val="18"/>
              </w:rPr>
            </w:pPr>
            <w:r w:rsidRPr="00CB2FCF">
              <w:rPr>
                <w:rFonts w:cs="Calibri"/>
                <w:sz w:val="18"/>
                <w:szCs w:val="18"/>
              </w:rPr>
              <w:t>2 188 312</w:t>
            </w:r>
          </w:p>
        </w:tc>
        <w:tc>
          <w:tcPr>
            <w:tcW w:w="627" w:type="pct"/>
            <w:noWrap/>
            <w:hideMark/>
          </w:tcPr>
          <w:p w:rsidR="0034438D" w:rsidRPr="00CB2FCF" w:rsidRDefault="0034438D" w:rsidP="0034438D">
            <w:pPr>
              <w:spacing w:before="0" w:line="240" w:lineRule="auto"/>
              <w:jc w:val="center"/>
              <w:rPr>
                <w:rFonts w:cs="Calibri"/>
                <w:sz w:val="18"/>
                <w:szCs w:val="18"/>
              </w:rPr>
            </w:pPr>
            <w:r w:rsidRPr="00CB2FCF">
              <w:rPr>
                <w:rFonts w:cs="Calibri"/>
                <w:sz w:val="18"/>
                <w:szCs w:val="18"/>
              </w:rPr>
              <w:t>381,687</w:t>
            </w:r>
          </w:p>
        </w:tc>
        <w:tc>
          <w:tcPr>
            <w:tcW w:w="627" w:type="pct"/>
            <w:noWrap/>
            <w:hideMark/>
          </w:tcPr>
          <w:p w:rsidR="0034438D" w:rsidRPr="00CB2FCF" w:rsidRDefault="0034438D" w:rsidP="0034438D">
            <w:pPr>
              <w:spacing w:before="0" w:line="240" w:lineRule="auto"/>
              <w:jc w:val="center"/>
              <w:rPr>
                <w:rFonts w:cs="Calibri"/>
                <w:sz w:val="18"/>
                <w:szCs w:val="18"/>
              </w:rPr>
            </w:pPr>
            <w:r w:rsidRPr="00CB2FCF">
              <w:rPr>
                <w:rFonts w:cs="Calibri"/>
                <w:sz w:val="18"/>
                <w:szCs w:val="18"/>
              </w:rPr>
              <w:t>1,585,267</w:t>
            </w:r>
          </w:p>
        </w:tc>
        <w:tc>
          <w:tcPr>
            <w:tcW w:w="626" w:type="pct"/>
            <w:noWrap/>
            <w:hideMark/>
          </w:tcPr>
          <w:p w:rsidR="0034438D" w:rsidRPr="00CB2FCF" w:rsidRDefault="0034438D" w:rsidP="0034438D">
            <w:pPr>
              <w:spacing w:before="0" w:line="240" w:lineRule="auto"/>
              <w:jc w:val="center"/>
              <w:rPr>
                <w:rFonts w:cs="Calibri"/>
                <w:sz w:val="18"/>
                <w:szCs w:val="18"/>
              </w:rPr>
            </w:pPr>
            <w:r w:rsidRPr="00CB2FCF">
              <w:rPr>
                <w:rFonts w:cs="Calibri"/>
                <w:sz w:val="18"/>
                <w:szCs w:val="18"/>
              </w:rPr>
              <w:t>1,534,148</w:t>
            </w:r>
          </w:p>
        </w:tc>
        <w:tc>
          <w:tcPr>
            <w:tcW w:w="627" w:type="pct"/>
            <w:noWrap/>
          </w:tcPr>
          <w:p w:rsidR="0034438D" w:rsidRPr="00CB2FCF" w:rsidRDefault="0034438D" w:rsidP="0034438D">
            <w:pPr>
              <w:spacing w:before="0" w:line="240" w:lineRule="auto"/>
              <w:jc w:val="center"/>
              <w:rPr>
                <w:rFonts w:cs="Calibri"/>
                <w:sz w:val="18"/>
                <w:szCs w:val="18"/>
              </w:rPr>
            </w:pPr>
            <w:r w:rsidRPr="00CB2FCF">
              <w:rPr>
                <w:rFonts w:cs="Calibri"/>
                <w:sz w:val="18"/>
                <w:szCs w:val="18"/>
              </w:rPr>
              <w:t>401.9%</w:t>
            </w:r>
          </w:p>
        </w:tc>
        <w:tc>
          <w:tcPr>
            <w:tcW w:w="624" w:type="pct"/>
            <w:noWrap/>
          </w:tcPr>
          <w:p w:rsidR="0034438D" w:rsidRPr="00CB2FCF" w:rsidRDefault="0034438D" w:rsidP="0034438D">
            <w:pPr>
              <w:spacing w:before="0" w:line="240" w:lineRule="auto"/>
              <w:jc w:val="center"/>
              <w:rPr>
                <w:rFonts w:cs="Calibri"/>
                <w:sz w:val="18"/>
                <w:szCs w:val="18"/>
              </w:rPr>
            </w:pPr>
            <w:r w:rsidRPr="00CB2FCF">
              <w:rPr>
                <w:rFonts w:cs="Calibri"/>
                <w:sz w:val="18"/>
                <w:szCs w:val="18"/>
              </w:rPr>
              <w:t>96.78%</w:t>
            </w:r>
          </w:p>
        </w:tc>
      </w:tr>
      <w:tr w:rsidR="0034438D" w:rsidRPr="00CB2FCF" w:rsidTr="0034438D">
        <w:trPr>
          <w:trHeight w:val="406"/>
          <w:jc w:val="center"/>
        </w:trPr>
        <w:tc>
          <w:tcPr>
            <w:tcW w:w="1258" w:type="pct"/>
            <w:hideMark/>
          </w:tcPr>
          <w:p w:rsidR="0034438D" w:rsidRPr="00CB2FCF" w:rsidRDefault="0034438D" w:rsidP="0034438D">
            <w:pPr>
              <w:spacing w:before="0" w:line="240" w:lineRule="auto"/>
              <w:jc w:val="center"/>
              <w:rPr>
                <w:rFonts w:cs="Calibri"/>
                <w:sz w:val="18"/>
                <w:szCs w:val="17"/>
              </w:rPr>
            </w:pPr>
            <w:r w:rsidRPr="00CB2FCF">
              <w:rPr>
                <w:rFonts w:cs="Calibri"/>
                <w:sz w:val="18"/>
                <w:szCs w:val="17"/>
              </w:rPr>
              <w:t>Shërbime të Kujdesit Shëndetësor Parësor</w:t>
            </w:r>
          </w:p>
        </w:tc>
        <w:tc>
          <w:tcPr>
            <w:tcW w:w="611" w:type="pct"/>
            <w:noWrap/>
            <w:hideMark/>
          </w:tcPr>
          <w:p w:rsidR="0034438D" w:rsidRPr="00CB2FCF" w:rsidRDefault="0034438D" w:rsidP="0034438D">
            <w:pPr>
              <w:spacing w:before="0" w:line="240" w:lineRule="auto"/>
              <w:jc w:val="center"/>
              <w:rPr>
                <w:rFonts w:cs="Calibri"/>
                <w:sz w:val="18"/>
                <w:szCs w:val="18"/>
              </w:rPr>
            </w:pPr>
            <w:r w:rsidRPr="00CB2FCF">
              <w:rPr>
                <w:rFonts w:cs="Calibri"/>
                <w:sz w:val="18"/>
                <w:szCs w:val="18"/>
              </w:rPr>
              <w:t>7 702 041</w:t>
            </w:r>
          </w:p>
        </w:tc>
        <w:tc>
          <w:tcPr>
            <w:tcW w:w="627" w:type="pct"/>
            <w:noWrap/>
            <w:hideMark/>
          </w:tcPr>
          <w:p w:rsidR="0034438D" w:rsidRPr="00CB2FCF" w:rsidRDefault="0034438D" w:rsidP="0034438D">
            <w:pPr>
              <w:spacing w:before="0" w:line="240" w:lineRule="auto"/>
              <w:jc w:val="center"/>
              <w:rPr>
                <w:rFonts w:cs="Calibri"/>
                <w:sz w:val="18"/>
                <w:szCs w:val="18"/>
              </w:rPr>
            </w:pPr>
            <w:r w:rsidRPr="00CB2FCF">
              <w:rPr>
                <w:rFonts w:cs="Calibri"/>
                <w:sz w:val="18"/>
                <w:szCs w:val="18"/>
              </w:rPr>
              <w:t>9,631,898</w:t>
            </w:r>
          </w:p>
        </w:tc>
        <w:tc>
          <w:tcPr>
            <w:tcW w:w="627" w:type="pct"/>
            <w:noWrap/>
            <w:hideMark/>
          </w:tcPr>
          <w:p w:rsidR="0034438D" w:rsidRPr="00CB2FCF" w:rsidRDefault="0034438D" w:rsidP="0034438D">
            <w:pPr>
              <w:spacing w:before="0" w:line="240" w:lineRule="auto"/>
              <w:jc w:val="center"/>
              <w:rPr>
                <w:rFonts w:cs="Calibri"/>
                <w:sz w:val="18"/>
                <w:szCs w:val="18"/>
              </w:rPr>
            </w:pPr>
            <w:r w:rsidRPr="00CB2FCF">
              <w:rPr>
                <w:rFonts w:cs="Calibri"/>
                <w:sz w:val="18"/>
                <w:szCs w:val="18"/>
              </w:rPr>
              <w:t>8,453,388</w:t>
            </w:r>
          </w:p>
        </w:tc>
        <w:tc>
          <w:tcPr>
            <w:tcW w:w="626" w:type="pct"/>
            <w:noWrap/>
            <w:hideMark/>
          </w:tcPr>
          <w:p w:rsidR="0034438D" w:rsidRPr="00CB2FCF" w:rsidRDefault="0034438D" w:rsidP="0034438D">
            <w:pPr>
              <w:spacing w:before="0" w:line="240" w:lineRule="auto"/>
              <w:jc w:val="center"/>
              <w:rPr>
                <w:rFonts w:cs="Calibri"/>
                <w:sz w:val="18"/>
                <w:szCs w:val="18"/>
              </w:rPr>
            </w:pPr>
            <w:r w:rsidRPr="00CB2FCF">
              <w:rPr>
                <w:rFonts w:cs="Calibri"/>
                <w:sz w:val="18"/>
                <w:szCs w:val="18"/>
              </w:rPr>
              <w:t>8,421,690</w:t>
            </w:r>
          </w:p>
        </w:tc>
        <w:tc>
          <w:tcPr>
            <w:tcW w:w="627" w:type="pct"/>
            <w:noWrap/>
          </w:tcPr>
          <w:p w:rsidR="0034438D" w:rsidRPr="00CB2FCF" w:rsidRDefault="0034438D" w:rsidP="0034438D">
            <w:pPr>
              <w:spacing w:before="0" w:line="240" w:lineRule="auto"/>
              <w:jc w:val="center"/>
              <w:rPr>
                <w:rFonts w:cs="Calibri"/>
                <w:sz w:val="18"/>
                <w:szCs w:val="18"/>
              </w:rPr>
            </w:pPr>
            <w:r w:rsidRPr="00CB2FCF">
              <w:rPr>
                <w:rFonts w:cs="Calibri"/>
                <w:sz w:val="18"/>
                <w:szCs w:val="18"/>
              </w:rPr>
              <w:t>87.4%</w:t>
            </w:r>
          </w:p>
        </w:tc>
        <w:tc>
          <w:tcPr>
            <w:tcW w:w="624" w:type="pct"/>
            <w:noWrap/>
          </w:tcPr>
          <w:p w:rsidR="0034438D" w:rsidRPr="00CB2FCF" w:rsidRDefault="0034438D" w:rsidP="0034438D">
            <w:pPr>
              <w:spacing w:before="0" w:line="240" w:lineRule="auto"/>
              <w:jc w:val="center"/>
              <w:rPr>
                <w:rFonts w:cs="Calibri"/>
                <w:sz w:val="18"/>
                <w:szCs w:val="18"/>
              </w:rPr>
            </w:pPr>
            <w:r w:rsidRPr="00CB2FCF">
              <w:rPr>
                <w:rFonts w:cs="Calibri"/>
                <w:sz w:val="18"/>
                <w:szCs w:val="18"/>
              </w:rPr>
              <w:t>99.63%</w:t>
            </w:r>
          </w:p>
        </w:tc>
      </w:tr>
      <w:tr w:rsidR="0034438D" w:rsidRPr="00CB2FCF" w:rsidTr="0034438D">
        <w:trPr>
          <w:trHeight w:val="363"/>
          <w:jc w:val="center"/>
        </w:trPr>
        <w:tc>
          <w:tcPr>
            <w:tcW w:w="1258" w:type="pct"/>
            <w:hideMark/>
          </w:tcPr>
          <w:p w:rsidR="0034438D" w:rsidRPr="00CB2FCF" w:rsidRDefault="0034438D" w:rsidP="0034438D">
            <w:pPr>
              <w:spacing w:before="0" w:line="240" w:lineRule="auto"/>
              <w:jc w:val="center"/>
              <w:rPr>
                <w:rFonts w:cs="Calibri"/>
                <w:sz w:val="18"/>
                <w:szCs w:val="17"/>
              </w:rPr>
            </w:pPr>
            <w:r w:rsidRPr="00CB2FCF">
              <w:rPr>
                <w:rFonts w:cs="Calibri"/>
                <w:sz w:val="18"/>
                <w:szCs w:val="17"/>
              </w:rPr>
              <w:t>Shërbime të Kujdesit Shëndetësor Dytësor</w:t>
            </w:r>
          </w:p>
        </w:tc>
        <w:tc>
          <w:tcPr>
            <w:tcW w:w="611" w:type="pct"/>
            <w:noWrap/>
            <w:hideMark/>
          </w:tcPr>
          <w:p w:rsidR="0034438D" w:rsidRPr="00CB2FCF" w:rsidRDefault="0034438D" w:rsidP="0034438D">
            <w:pPr>
              <w:spacing w:before="0" w:line="240" w:lineRule="auto"/>
              <w:jc w:val="center"/>
              <w:rPr>
                <w:rFonts w:cs="Calibri"/>
                <w:sz w:val="18"/>
                <w:szCs w:val="18"/>
              </w:rPr>
            </w:pPr>
            <w:r w:rsidRPr="00CB2FCF">
              <w:rPr>
                <w:rFonts w:cs="Calibri"/>
                <w:sz w:val="18"/>
                <w:szCs w:val="18"/>
              </w:rPr>
              <w:t>25 732 181</w:t>
            </w:r>
          </w:p>
        </w:tc>
        <w:tc>
          <w:tcPr>
            <w:tcW w:w="627" w:type="pct"/>
            <w:noWrap/>
            <w:hideMark/>
          </w:tcPr>
          <w:p w:rsidR="0034438D" w:rsidRPr="00CB2FCF" w:rsidRDefault="0034438D" w:rsidP="0034438D">
            <w:pPr>
              <w:spacing w:before="0" w:line="240" w:lineRule="auto"/>
              <w:jc w:val="center"/>
              <w:rPr>
                <w:rFonts w:cs="Calibri"/>
                <w:sz w:val="18"/>
                <w:szCs w:val="18"/>
              </w:rPr>
            </w:pPr>
            <w:r w:rsidRPr="00CB2FCF">
              <w:rPr>
                <w:rFonts w:cs="Calibri"/>
                <w:sz w:val="18"/>
                <w:szCs w:val="18"/>
              </w:rPr>
              <w:t>28,852,919</w:t>
            </w:r>
          </w:p>
        </w:tc>
        <w:tc>
          <w:tcPr>
            <w:tcW w:w="627" w:type="pct"/>
            <w:noWrap/>
            <w:hideMark/>
          </w:tcPr>
          <w:p w:rsidR="0034438D" w:rsidRPr="00CB2FCF" w:rsidRDefault="0034438D" w:rsidP="0034438D">
            <w:pPr>
              <w:spacing w:before="0" w:line="240" w:lineRule="auto"/>
              <w:jc w:val="center"/>
              <w:rPr>
                <w:rFonts w:cs="Calibri"/>
                <w:sz w:val="18"/>
                <w:szCs w:val="18"/>
              </w:rPr>
            </w:pPr>
            <w:r w:rsidRPr="00CB2FCF">
              <w:rPr>
                <w:rFonts w:cs="Calibri"/>
                <w:sz w:val="18"/>
                <w:szCs w:val="18"/>
              </w:rPr>
              <w:t>32,530,659</w:t>
            </w:r>
          </w:p>
        </w:tc>
        <w:tc>
          <w:tcPr>
            <w:tcW w:w="626" w:type="pct"/>
            <w:noWrap/>
            <w:hideMark/>
          </w:tcPr>
          <w:p w:rsidR="0034438D" w:rsidRPr="00CB2FCF" w:rsidRDefault="0034438D" w:rsidP="0034438D">
            <w:pPr>
              <w:spacing w:before="0" w:line="240" w:lineRule="auto"/>
              <w:jc w:val="center"/>
              <w:rPr>
                <w:rFonts w:cs="Calibri"/>
                <w:sz w:val="18"/>
                <w:szCs w:val="18"/>
              </w:rPr>
            </w:pPr>
            <w:r w:rsidRPr="00CB2FCF">
              <w:rPr>
                <w:rFonts w:cs="Calibri"/>
                <w:sz w:val="18"/>
                <w:szCs w:val="18"/>
              </w:rPr>
              <w:t>31,938,572</w:t>
            </w:r>
          </w:p>
        </w:tc>
        <w:tc>
          <w:tcPr>
            <w:tcW w:w="627" w:type="pct"/>
            <w:noWrap/>
          </w:tcPr>
          <w:p w:rsidR="0034438D" w:rsidRPr="00CB2FCF" w:rsidRDefault="0034438D" w:rsidP="0034438D">
            <w:pPr>
              <w:spacing w:before="0" w:line="240" w:lineRule="auto"/>
              <w:jc w:val="center"/>
              <w:rPr>
                <w:rFonts w:cs="Calibri"/>
                <w:sz w:val="18"/>
                <w:szCs w:val="18"/>
              </w:rPr>
            </w:pPr>
            <w:r w:rsidRPr="00CB2FCF">
              <w:rPr>
                <w:rFonts w:cs="Calibri"/>
                <w:sz w:val="18"/>
                <w:szCs w:val="18"/>
              </w:rPr>
              <w:t>110.7%</w:t>
            </w:r>
          </w:p>
        </w:tc>
        <w:tc>
          <w:tcPr>
            <w:tcW w:w="624" w:type="pct"/>
            <w:noWrap/>
          </w:tcPr>
          <w:p w:rsidR="0034438D" w:rsidRPr="00CB2FCF" w:rsidRDefault="0034438D" w:rsidP="0034438D">
            <w:pPr>
              <w:spacing w:before="0" w:line="240" w:lineRule="auto"/>
              <w:jc w:val="center"/>
              <w:rPr>
                <w:rFonts w:cs="Calibri"/>
                <w:sz w:val="18"/>
                <w:szCs w:val="18"/>
              </w:rPr>
            </w:pPr>
            <w:r w:rsidRPr="00CB2FCF">
              <w:rPr>
                <w:rFonts w:cs="Calibri"/>
                <w:sz w:val="18"/>
                <w:szCs w:val="18"/>
              </w:rPr>
              <w:t>98.18%</w:t>
            </w:r>
          </w:p>
        </w:tc>
      </w:tr>
      <w:tr w:rsidR="0034438D" w:rsidRPr="00CB2FCF" w:rsidTr="0034438D">
        <w:trPr>
          <w:trHeight w:val="184"/>
          <w:jc w:val="center"/>
        </w:trPr>
        <w:tc>
          <w:tcPr>
            <w:tcW w:w="1258" w:type="pct"/>
            <w:noWrap/>
            <w:hideMark/>
          </w:tcPr>
          <w:p w:rsidR="0034438D" w:rsidRPr="00CB2FCF" w:rsidRDefault="0034438D" w:rsidP="0034438D">
            <w:pPr>
              <w:spacing w:before="0" w:line="240" w:lineRule="auto"/>
              <w:jc w:val="center"/>
              <w:rPr>
                <w:rFonts w:cs="Calibri"/>
                <w:sz w:val="18"/>
                <w:szCs w:val="17"/>
              </w:rPr>
            </w:pPr>
            <w:r w:rsidRPr="00CB2FCF">
              <w:rPr>
                <w:rFonts w:cs="Calibri"/>
                <w:sz w:val="18"/>
                <w:szCs w:val="17"/>
              </w:rPr>
              <w:t>Shërbime të Shëndetit Publik</w:t>
            </w:r>
          </w:p>
        </w:tc>
        <w:tc>
          <w:tcPr>
            <w:tcW w:w="611" w:type="pct"/>
            <w:noWrap/>
            <w:hideMark/>
          </w:tcPr>
          <w:p w:rsidR="0034438D" w:rsidRPr="00CB2FCF" w:rsidRDefault="0034438D" w:rsidP="0034438D">
            <w:pPr>
              <w:spacing w:before="0" w:line="240" w:lineRule="auto"/>
              <w:jc w:val="center"/>
              <w:rPr>
                <w:rFonts w:cs="Calibri"/>
                <w:sz w:val="18"/>
                <w:szCs w:val="18"/>
              </w:rPr>
            </w:pPr>
            <w:r w:rsidRPr="00CB2FCF">
              <w:rPr>
                <w:rFonts w:cs="Calibri"/>
                <w:sz w:val="18"/>
                <w:szCs w:val="18"/>
              </w:rPr>
              <w:t>2 842 056</w:t>
            </w:r>
          </w:p>
        </w:tc>
        <w:tc>
          <w:tcPr>
            <w:tcW w:w="627" w:type="pct"/>
            <w:noWrap/>
            <w:hideMark/>
          </w:tcPr>
          <w:p w:rsidR="0034438D" w:rsidRPr="00CB2FCF" w:rsidRDefault="0034438D" w:rsidP="0034438D">
            <w:pPr>
              <w:spacing w:before="0" w:line="240" w:lineRule="auto"/>
              <w:jc w:val="center"/>
              <w:rPr>
                <w:rFonts w:cs="Calibri"/>
                <w:sz w:val="18"/>
                <w:szCs w:val="18"/>
              </w:rPr>
            </w:pPr>
            <w:r w:rsidRPr="00CB2FCF">
              <w:rPr>
                <w:rFonts w:cs="Calibri"/>
                <w:sz w:val="18"/>
                <w:szCs w:val="18"/>
              </w:rPr>
              <w:t>3,228,741</w:t>
            </w:r>
          </w:p>
        </w:tc>
        <w:tc>
          <w:tcPr>
            <w:tcW w:w="627" w:type="pct"/>
            <w:noWrap/>
            <w:hideMark/>
          </w:tcPr>
          <w:p w:rsidR="0034438D" w:rsidRPr="00CB2FCF" w:rsidRDefault="0034438D" w:rsidP="0034438D">
            <w:pPr>
              <w:spacing w:before="0" w:line="240" w:lineRule="auto"/>
              <w:jc w:val="center"/>
              <w:rPr>
                <w:rFonts w:cs="Calibri"/>
                <w:sz w:val="18"/>
                <w:szCs w:val="18"/>
              </w:rPr>
            </w:pPr>
            <w:r w:rsidRPr="00CB2FCF">
              <w:rPr>
                <w:rFonts w:cs="Calibri"/>
                <w:sz w:val="18"/>
                <w:szCs w:val="18"/>
              </w:rPr>
              <w:t>7,121,514</w:t>
            </w:r>
          </w:p>
        </w:tc>
        <w:tc>
          <w:tcPr>
            <w:tcW w:w="626" w:type="pct"/>
            <w:noWrap/>
            <w:hideMark/>
          </w:tcPr>
          <w:p w:rsidR="0034438D" w:rsidRPr="00CB2FCF" w:rsidRDefault="0034438D" w:rsidP="0034438D">
            <w:pPr>
              <w:spacing w:before="0" w:line="240" w:lineRule="auto"/>
              <w:jc w:val="center"/>
              <w:rPr>
                <w:rFonts w:cs="Calibri"/>
                <w:sz w:val="18"/>
                <w:szCs w:val="18"/>
              </w:rPr>
            </w:pPr>
            <w:r w:rsidRPr="00CB2FCF">
              <w:rPr>
                <w:rFonts w:cs="Calibri"/>
                <w:sz w:val="18"/>
                <w:szCs w:val="18"/>
              </w:rPr>
              <w:t>7,016,121</w:t>
            </w:r>
          </w:p>
        </w:tc>
        <w:tc>
          <w:tcPr>
            <w:tcW w:w="627" w:type="pct"/>
            <w:noWrap/>
          </w:tcPr>
          <w:p w:rsidR="0034438D" w:rsidRPr="00CB2FCF" w:rsidRDefault="0034438D" w:rsidP="0034438D">
            <w:pPr>
              <w:spacing w:before="0" w:line="240" w:lineRule="auto"/>
              <w:jc w:val="center"/>
              <w:rPr>
                <w:rFonts w:cs="Calibri"/>
                <w:sz w:val="18"/>
                <w:szCs w:val="18"/>
              </w:rPr>
            </w:pPr>
            <w:r w:rsidRPr="00CB2FCF">
              <w:rPr>
                <w:rFonts w:cs="Calibri"/>
                <w:sz w:val="18"/>
                <w:szCs w:val="18"/>
              </w:rPr>
              <w:t>217.3%</w:t>
            </w:r>
          </w:p>
        </w:tc>
        <w:tc>
          <w:tcPr>
            <w:tcW w:w="624" w:type="pct"/>
            <w:noWrap/>
          </w:tcPr>
          <w:p w:rsidR="0034438D" w:rsidRPr="00CB2FCF" w:rsidRDefault="0034438D" w:rsidP="0034438D">
            <w:pPr>
              <w:spacing w:before="0" w:line="240" w:lineRule="auto"/>
              <w:jc w:val="center"/>
              <w:rPr>
                <w:rFonts w:cs="Calibri"/>
                <w:sz w:val="18"/>
                <w:szCs w:val="18"/>
              </w:rPr>
            </w:pPr>
            <w:r w:rsidRPr="00CB2FCF">
              <w:rPr>
                <w:rFonts w:cs="Calibri"/>
                <w:sz w:val="18"/>
                <w:szCs w:val="18"/>
              </w:rPr>
              <w:t>98.52%</w:t>
            </w:r>
          </w:p>
        </w:tc>
      </w:tr>
      <w:tr w:rsidR="0034438D" w:rsidRPr="00CB2FCF" w:rsidTr="0034438D">
        <w:trPr>
          <w:trHeight w:val="184"/>
          <w:jc w:val="center"/>
        </w:trPr>
        <w:tc>
          <w:tcPr>
            <w:tcW w:w="1258" w:type="pct"/>
            <w:noWrap/>
            <w:hideMark/>
          </w:tcPr>
          <w:p w:rsidR="0034438D" w:rsidRPr="00CB2FCF" w:rsidRDefault="0034438D" w:rsidP="0034438D">
            <w:pPr>
              <w:spacing w:before="0" w:line="240" w:lineRule="auto"/>
              <w:jc w:val="center"/>
              <w:rPr>
                <w:rFonts w:cs="Calibri"/>
                <w:sz w:val="18"/>
                <w:szCs w:val="17"/>
              </w:rPr>
            </w:pPr>
            <w:r w:rsidRPr="00CB2FCF">
              <w:rPr>
                <w:rFonts w:cs="Calibri"/>
                <w:sz w:val="18"/>
                <w:szCs w:val="17"/>
              </w:rPr>
              <w:t>Shërbimi Kombëtar i Urgjencës</w:t>
            </w:r>
          </w:p>
        </w:tc>
        <w:tc>
          <w:tcPr>
            <w:tcW w:w="611" w:type="pct"/>
            <w:noWrap/>
            <w:hideMark/>
          </w:tcPr>
          <w:p w:rsidR="0034438D" w:rsidRPr="00CB2FCF" w:rsidRDefault="0034438D" w:rsidP="0034438D">
            <w:pPr>
              <w:spacing w:before="0" w:line="240" w:lineRule="auto"/>
              <w:jc w:val="center"/>
              <w:rPr>
                <w:rFonts w:cs="Calibri"/>
                <w:sz w:val="18"/>
                <w:szCs w:val="18"/>
              </w:rPr>
            </w:pPr>
            <w:r w:rsidRPr="00CB2FCF">
              <w:rPr>
                <w:rFonts w:cs="Calibri"/>
                <w:sz w:val="18"/>
                <w:szCs w:val="18"/>
              </w:rPr>
              <w:t>296 051</w:t>
            </w:r>
          </w:p>
        </w:tc>
        <w:tc>
          <w:tcPr>
            <w:tcW w:w="627" w:type="pct"/>
            <w:noWrap/>
            <w:hideMark/>
          </w:tcPr>
          <w:p w:rsidR="0034438D" w:rsidRPr="00CB2FCF" w:rsidRDefault="0034438D" w:rsidP="0034438D">
            <w:pPr>
              <w:spacing w:before="0" w:line="240" w:lineRule="auto"/>
              <w:jc w:val="center"/>
              <w:rPr>
                <w:rFonts w:cs="Calibri"/>
                <w:sz w:val="18"/>
                <w:szCs w:val="18"/>
              </w:rPr>
            </w:pPr>
            <w:r w:rsidRPr="00CB2FCF">
              <w:rPr>
                <w:rFonts w:cs="Calibri"/>
                <w:sz w:val="18"/>
                <w:szCs w:val="18"/>
              </w:rPr>
              <w:t>343,100</w:t>
            </w:r>
          </w:p>
        </w:tc>
        <w:tc>
          <w:tcPr>
            <w:tcW w:w="627" w:type="pct"/>
            <w:noWrap/>
            <w:hideMark/>
          </w:tcPr>
          <w:p w:rsidR="0034438D" w:rsidRPr="00CB2FCF" w:rsidRDefault="0034438D" w:rsidP="0034438D">
            <w:pPr>
              <w:spacing w:before="0" w:line="240" w:lineRule="auto"/>
              <w:jc w:val="center"/>
              <w:rPr>
                <w:rFonts w:cs="Calibri"/>
                <w:sz w:val="18"/>
                <w:szCs w:val="18"/>
              </w:rPr>
            </w:pPr>
            <w:r w:rsidRPr="00CB2FCF">
              <w:rPr>
                <w:rFonts w:cs="Calibri"/>
                <w:sz w:val="18"/>
                <w:szCs w:val="18"/>
              </w:rPr>
              <w:t>333,050</w:t>
            </w:r>
          </w:p>
        </w:tc>
        <w:tc>
          <w:tcPr>
            <w:tcW w:w="626" w:type="pct"/>
            <w:noWrap/>
            <w:hideMark/>
          </w:tcPr>
          <w:p w:rsidR="0034438D" w:rsidRPr="00CB2FCF" w:rsidRDefault="0034438D" w:rsidP="0034438D">
            <w:pPr>
              <w:spacing w:before="0" w:line="240" w:lineRule="auto"/>
              <w:jc w:val="center"/>
              <w:rPr>
                <w:rFonts w:cs="Calibri"/>
                <w:sz w:val="18"/>
                <w:szCs w:val="18"/>
              </w:rPr>
            </w:pPr>
            <w:r w:rsidRPr="00CB2FCF">
              <w:rPr>
                <w:rFonts w:cs="Calibri"/>
                <w:sz w:val="18"/>
                <w:szCs w:val="18"/>
              </w:rPr>
              <w:t>289,775</w:t>
            </w:r>
          </w:p>
        </w:tc>
        <w:tc>
          <w:tcPr>
            <w:tcW w:w="627" w:type="pct"/>
            <w:noWrap/>
          </w:tcPr>
          <w:p w:rsidR="0034438D" w:rsidRPr="00CB2FCF" w:rsidRDefault="0034438D" w:rsidP="0034438D">
            <w:pPr>
              <w:spacing w:before="0" w:line="240" w:lineRule="auto"/>
              <w:jc w:val="center"/>
              <w:rPr>
                <w:rFonts w:cs="Calibri"/>
                <w:sz w:val="18"/>
                <w:szCs w:val="18"/>
              </w:rPr>
            </w:pPr>
            <w:r w:rsidRPr="00CB2FCF">
              <w:rPr>
                <w:rFonts w:cs="Calibri"/>
                <w:sz w:val="18"/>
                <w:szCs w:val="18"/>
              </w:rPr>
              <w:t>84.5%</w:t>
            </w:r>
          </w:p>
        </w:tc>
        <w:tc>
          <w:tcPr>
            <w:tcW w:w="624" w:type="pct"/>
            <w:noWrap/>
          </w:tcPr>
          <w:p w:rsidR="0034438D" w:rsidRPr="00CB2FCF" w:rsidRDefault="0034438D" w:rsidP="0034438D">
            <w:pPr>
              <w:spacing w:before="0" w:line="240" w:lineRule="auto"/>
              <w:jc w:val="center"/>
              <w:rPr>
                <w:rFonts w:cs="Calibri"/>
                <w:sz w:val="18"/>
                <w:szCs w:val="18"/>
              </w:rPr>
            </w:pPr>
            <w:r w:rsidRPr="00CB2FCF">
              <w:rPr>
                <w:rFonts w:cs="Calibri"/>
                <w:sz w:val="18"/>
                <w:szCs w:val="18"/>
              </w:rPr>
              <w:t>87.01%</w:t>
            </w:r>
          </w:p>
        </w:tc>
      </w:tr>
      <w:tr w:rsidR="0034438D" w:rsidRPr="00CB2FCF" w:rsidTr="0034438D">
        <w:trPr>
          <w:trHeight w:val="184"/>
          <w:jc w:val="center"/>
        </w:trPr>
        <w:tc>
          <w:tcPr>
            <w:tcW w:w="1258" w:type="pct"/>
            <w:noWrap/>
            <w:hideMark/>
          </w:tcPr>
          <w:p w:rsidR="0034438D" w:rsidRPr="00CB2FCF" w:rsidRDefault="0034438D" w:rsidP="0034438D">
            <w:pPr>
              <w:spacing w:before="0" w:line="240" w:lineRule="auto"/>
              <w:jc w:val="center"/>
              <w:rPr>
                <w:rFonts w:cs="Calibri"/>
                <w:sz w:val="18"/>
                <w:szCs w:val="17"/>
              </w:rPr>
            </w:pPr>
            <w:r w:rsidRPr="00CB2FCF">
              <w:rPr>
                <w:rFonts w:cs="Calibri"/>
                <w:sz w:val="18"/>
                <w:szCs w:val="17"/>
              </w:rPr>
              <w:t>Përkujdesi Social</w:t>
            </w:r>
          </w:p>
        </w:tc>
        <w:tc>
          <w:tcPr>
            <w:tcW w:w="611" w:type="pct"/>
            <w:noWrap/>
            <w:hideMark/>
          </w:tcPr>
          <w:p w:rsidR="0034438D" w:rsidRPr="00CB2FCF" w:rsidRDefault="0034438D" w:rsidP="0034438D">
            <w:pPr>
              <w:spacing w:before="0" w:line="240" w:lineRule="auto"/>
              <w:jc w:val="center"/>
              <w:rPr>
                <w:rFonts w:cs="Calibri"/>
                <w:sz w:val="18"/>
                <w:szCs w:val="18"/>
              </w:rPr>
            </w:pPr>
            <w:r w:rsidRPr="00CB2FCF">
              <w:rPr>
                <w:rFonts w:cs="Calibri"/>
                <w:sz w:val="18"/>
                <w:szCs w:val="18"/>
              </w:rPr>
              <w:t>27 756 407</w:t>
            </w:r>
          </w:p>
        </w:tc>
        <w:tc>
          <w:tcPr>
            <w:tcW w:w="627" w:type="pct"/>
            <w:noWrap/>
            <w:hideMark/>
          </w:tcPr>
          <w:p w:rsidR="0034438D" w:rsidRPr="00CB2FCF" w:rsidRDefault="0034438D" w:rsidP="0034438D">
            <w:pPr>
              <w:spacing w:before="0" w:line="240" w:lineRule="auto"/>
              <w:jc w:val="center"/>
              <w:rPr>
                <w:rFonts w:cs="Calibri"/>
                <w:sz w:val="18"/>
                <w:szCs w:val="18"/>
              </w:rPr>
            </w:pPr>
            <w:r w:rsidRPr="00CB2FCF">
              <w:rPr>
                <w:rFonts w:cs="Calibri"/>
                <w:sz w:val="18"/>
                <w:szCs w:val="18"/>
              </w:rPr>
              <w:t>27,979,260</w:t>
            </w:r>
          </w:p>
        </w:tc>
        <w:tc>
          <w:tcPr>
            <w:tcW w:w="627" w:type="pct"/>
            <w:noWrap/>
            <w:hideMark/>
          </w:tcPr>
          <w:p w:rsidR="0034438D" w:rsidRPr="00CB2FCF" w:rsidRDefault="0034438D" w:rsidP="0034438D">
            <w:pPr>
              <w:spacing w:before="0" w:line="240" w:lineRule="auto"/>
              <w:jc w:val="center"/>
              <w:rPr>
                <w:rFonts w:cs="Calibri"/>
                <w:sz w:val="18"/>
                <w:szCs w:val="18"/>
              </w:rPr>
            </w:pPr>
            <w:r w:rsidRPr="00CB2FCF">
              <w:rPr>
                <w:rFonts w:cs="Calibri"/>
                <w:sz w:val="18"/>
                <w:szCs w:val="18"/>
              </w:rPr>
              <w:t>28,624,304</w:t>
            </w:r>
          </w:p>
        </w:tc>
        <w:tc>
          <w:tcPr>
            <w:tcW w:w="626" w:type="pct"/>
            <w:noWrap/>
            <w:hideMark/>
          </w:tcPr>
          <w:p w:rsidR="0034438D" w:rsidRPr="00CB2FCF" w:rsidRDefault="0034438D" w:rsidP="0034438D">
            <w:pPr>
              <w:spacing w:before="0" w:line="240" w:lineRule="auto"/>
              <w:jc w:val="center"/>
              <w:rPr>
                <w:rFonts w:cs="Calibri"/>
                <w:sz w:val="18"/>
                <w:szCs w:val="18"/>
              </w:rPr>
            </w:pPr>
            <w:r w:rsidRPr="00CB2FCF">
              <w:rPr>
                <w:rFonts w:cs="Calibri"/>
                <w:sz w:val="18"/>
                <w:szCs w:val="18"/>
              </w:rPr>
              <w:t>28,215,775</w:t>
            </w:r>
          </w:p>
        </w:tc>
        <w:tc>
          <w:tcPr>
            <w:tcW w:w="627" w:type="pct"/>
            <w:noWrap/>
          </w:tcPr>
          <w:p w:rsidR="0034438D" w:rsidRPr="00CB2FCF" w:rsidRDefault="0034438D" w:rsidP="0034438D">
            <w:pPr>
              <w:spacing w:before="0" w:line="240" w:lineRule="auto"/>
              <w:jc w:val="center"/>
              <w:rPr>
                <w:rFonts w:cs="Calibri"/>
                <w:sz w:val="18"/>
                <w:szCs w:val="18"/>
              </w:rPr>
            </w:pPr>
            <w:r w:rsidRPr="00CB2FCF">
              <w:rPr>
                <w:rFonts w:cs="Calibri"/>
                <w:sz w:val="18"/>
                <w:szCs w:val="18"/>
              </w:rPr>
              <w:t>100.8%</w:t>
            </w:r>
          </w:p>
        </w:tc>
        <w:tc>
          <w:tcPr>
            <w:tcW w:w="624" w:type="pct"/>
            <w:noWrap/>
          </w:tcPr>
          <w:p w:rsidR="0034438D" w:rsidRPr="00CB2FCF" w:rsidRDefault="0034438D" w:rsidP="0034438D">
            <w:pPr>
              <w:spacing w:before="0" w:line="240" w:lineRule="auto"/>
              <w:jc w:val="center"/>
              <w:rPr>
                <w:rFonts w:cs="Calibri"/>
                <w:sz w:val="18"/>
                <w:szCs w:val="18"/>
              </w:rPr>
            </w:pPr>
            <w:r w:rsidRPr="00CB2FCF">
              <w:rPr>
                <w:rFonts w:cs="Calibri"/>
                <w:sz w:val="18"/>
                <w:szCs w:val="18"/>
              </w:rPr>
              <w:t>98.57%</w:t>
            </w:r>
          </w:p>
        </w:tc>
      </w:tr>
      <w:tr w:rsidR="0034438D" w:rsidRPr="00CB2FCF" w:rsidTr="0034438D">
        <w:trPr>
          <w:trHeight w:val="184"/>
          <w:jc w:val="center"/>
        </w:trPr>
        <w:tc>
          <w:tcPr>
            <w:tcW w:w="1258" w:type="pct"/>
            <w:noWrap/>
            <w:hideMark/>
          </w:tcPr>
          <w:p w:rsidR="0034438D" w:rsidRPr="00CB2FCF" w:rsidRDefault="0034438D" w:rsidP="0034438D">
            <w:pPr>
              <w:spacing w:before="0" w:line="240" w:lineRule="auto"/>
              <w:jc w:val="center"/>
              <w:rPr>
                <w:rFonts w:cs="Calibri"/>
                <w:sz w:val="18"/>
                <w:szCs w:val="17"/>
              </w:rPr>
            </w:pPr>
            <w:r w:rsidRPr="00CB2FCF">
              <w:rPr>
                <w:rFonts w:cs="Calibri"/>
                <w:sz w:val="18"/>
                <w:szCs w:val="17"/>
              </w:rPr>
              <w:t>Rehabilitimi i të Përndjekurve Politikë</w:t>
            </w:r>
          </w:p>
        </w:tc>
        <w:tc>
          <w:tcPr>
            <w:tcW w:w="611" w:type="pct"/>
            <w:noWrap/>
            <w:hideMark/>
          </w:tcPr>
          <w:p w:rsidR="0034438D" w:rsidRPr="00CB2FCF" w:rsidRDefault="0034438D" w:rsidP="0034438D">
            <w:pPr>
              <w:spacing w:before="0" w:line="240" w:lineRule="auto"/>
              <w:jc w:val="center"/>
              <w:rPr>
                <w:rFonts w:cs="Calibri"/>
                <w:sz w:val="18"/>
                <w:szCs w:val="18"/>
              </w:rPr>
            </w:pPr>
            <w:r w:rsidRPr="00CB2FCF">
              <w:rPr>
                <w:rFonts w:cs="Calibri"/>
                <w:sz w:val="18"/>
                <w:szCs w:val="18"/>
              </w:rPr>
              <w:t>1 033 156</w:t>
            </w:r>
          </w:p>
        </w:tc>
        <w:tc>
          <w:tcPr>
            <w:tcW w:w="627" w:type="pct"/>
            <w:noWrap/>
            <w:hideMark/>
          </w:tcPr>
          <w:p w:rsidR="0034438D" w:rsidRPr="00CB2FCF" w:rsidRDefault="0034438D" w:rsidP="0034438D">
            <w:pPr>
              <w:spacing w:before="0" w:line="240" w:lineRule="auto"/>
              <w:jc w:val="center"/>
              <w:rPr>
                <w:rFonts w:cs="Calibri"/>
                <w:sz w:val="18"/>
                <w:szCs w:val="18"/>
              </w:rPr>
            </w:pPr>
            <w:r w:rsidRPr="00CB2FCF">
              <w:rPr>
                <w:rFonts w:cs="Calibri"/>
                <w:sz w:val="18"/>
                <w:szCs w:val="18"/>
              </w:rPr>
              <w:t>1,035,000</w:t>
            </w:r>
          </w:p>
        </w:tc>
        <w:tc>
          <w:tcPr>
            <w:tcW w:w="627" w:type="pct"/>
            <w:noWrap/>
            <w:hideMark/>
          </w:tcPr>
          <w:p w:rsidR="0034438D" w:rsidRPr="00CB2FCF" w:rsidRDefault="0034438D" w:rsidP="0034438D">
            <w:pPr>
              <w:spacing w:before="0" w:line="240" w:lineRule="auto"/>
              <w:jc w:val="center"/>
              <w:rPr>
                <w:rFonts w:cs="Calibri"/>
                <w:sz w:val="18"/>
                <w:szCs w:val="18"/>
              </w:rPr>
            </w:pPr>
            <w:r w:rsidRPr="00CB2FCF">
              <w:rPr>
                <w:rFonts w:cs="Calibri"/>
                <w:sz w:val="18"/>
                <w:szCs w:val="18"/>
              </w:rPr>
              <w:t>1,035,200</w:t>
            </w:r>
          </w:p>
        </w:tc>
        <w:tc>
          <w:tcPr>
            <w:tcW w:w="626" w:type="pct"/>
            <w:noWrap/>
            <w:hideMark/>
          </w:tcPr>
          <w:p w:rsidR="0034438D" w:rsidRPr="00CB2FCF" w:rsidRDefault="0034438D" w:rsidP="0034438D">
            <w:pPr>
              <w:spacing w:before="0" w:line="240" w:lineRule="auto"/>
              <w:jc w:val="center"/>
              <w:rPr>
                <w:rFonts w:cs="Calibri"/>
                <w:sz w:val="18"/>
                <w:szCs w:val="18"/>
              </w:rPr>
            </w:pPr>
            <w:r w:rsidRPr="00CB2FCF">
              <w:rPr>
                <w:rFonts w:cs="Calibri"/>
                <w:sz w:val="18"/>
                <w:szCs w:val="18"/>
              </w:rPr>
              <w:t>945,121</w:t>
            </w:r>
          </w:p>
        </w:tc>
        <w:tc>
          <w:tcPr>
            <w:tcW w:w="627" w:type="pct"/>
            <w:noWrap/>
          </w:tcPr>
          <w:p w:rsidR="0034438D" w:rsidRPr="00CB2FCF" w:rsidRDefault="0034438D" w:rsidP="0034438D">
            <w:pPr>
              <w:spacing w:before="0" w:line="240" w:lineRule="auto"/>
              <w:jc w:val="center"/>
              <w:rPr>
                <w:rFonts w:cs="Calibri"/>
                <w:sz w:val="18"/>
                <w:szCs w:val="18"/>
              </w:rPr>
            </w:pPr>
            <w:r w:rsidRPr="00CB2FCF">
              <w:rPr>
                <w:rFonts w:cs="Calibri"/>
                <w:sz w:val="18"/>
                <w:szCs w:val="18"/>
              </w:rPr>
              <w:t>91.3%</w:t>
            </w:r>
          </w:p>
        </w:tc>
        <w:tc>
          <w:tcPr>
            <w:tcW w:w="624" w:type="pct"/>
            <w:noWrap/>
          </w:tcPr>
          <w:p w:rsidR="0034438D" w:rsidRPr="00CB2FCF" w:rsidRDefault="0034438D" w:rsidP="0034438D">
            <w:pPr>
              <w:spacing w:before="0" w:line="240" w:lineRule="auto"/>
              <w:jc w:val="center"/>
              <w:rPr>
                <w:rFonts w:cs="Calibri"/>
                <w:sz w:val="18"/>
                <w:szCs w:val="18"/>
              </w:rPr>
            </w:pPr>
            <w:r w:rsidRPr="00CB2FCF">
              <w:rPr>
                <w:rFonts w:cs="Calibri"/>
                <w:sz w:val="18"/>
                <w:szCs w:val="18"/>
              </w:rPr>
              <w:t>91.30%</w:t>
            </w:r>
          </w:p>
        </w:tc>
      </w:tr>
      <w:tr w:rsidR="0034438D" w:rsidRPr="00CB2FCF" w:rsidTr="0034438D">
        <w:trPr>
          <w:trHeight w:val="184"/>
          <w:jc w:val="center"/>
        </w:trPr>
        <w:tc>
          <w:tcPr>
            <w:tcW w:w="1258" w:type="pct"/>
            <w:noWrap/>
            <w:hideMark/>
          </w:tcPr>
          <w:p w:rsidR="0034438D" w:rsidRPr="00CB2FCF" w:rsidRDefault="0034438D" w:rsidP="0034438D">
            <w:pPr>
              <w:spacing w:before="0" w:line="240" w:lineRule="auto"/>
              <w:jc w:val="center"/>
              <w:rPr>
                <w:rFonts w:cs="Calibri"/>
                <w:sz w:val="18"/>
                <w:szCs w:val="17"/>
              </w:rPr>
            </w:pPr>
            <w:r w:rsidRPr="00CB2FCF">
              <w:rPr>
                <w:rFonts w:cs="Calibri"/>
                <w:sz w:val="18"/>
                <w:szCs w:val="17"/>
              </w:rPr>
              <w:t>Gjithsej</w:t>
            </w:r>
          </w:p>
        </w:tc>
        <w:tc>
          <w:tcPr>
            <w:tcW w:w="611" w:type="pct"/>
            <w:noWrap/>
            <w:hideMark/>
          </w:tcPr>
          <w:p w:rsidR="0034438D" w:rsidRPr="00CB2FCF" w:rsidRDefault="0034438D" w:rsidP="0034438D">
            <w:pPr>
              <w:spacing w:before="0" w:line="240" w:lineRule="auto"/>
              <w:jc w:val="center"/>
              <w:rPr>
                <w:rFonts w:cs="Calibri"/>
                <w:sz w:val="18"/>
                <w:szCs w:val="18"/>
              </w:rPr>
            </w:pPr>
            <w:r w:rsidRPr="00CB2FCF">
              <w:rPr>
                <w:rFonts w:cs="Calibri"/>
                <w:sz w:val="18"/>
                <w:szCs w:val="18"/>
              </w:rPr>
              <w:t>67 550 204</w:t>
            </w:r>
          </w:p>
        </w:tc>
        <w:tc>
          <w:tcPr>
            <w:tcW w:w="627" w:type="pct"/>
            <w:noWrap/>
            <w:hideMark/>
          </w:tcPr>
          <w:p w:rsidR="0034438D" w:rsidRPr="00CB2FCF" w:rsidRDefault="0034438D" w:rsidP="0034438D">
            <w:pPr>
              <w:spacing w:before="0" w:line="240" w:lineRule="auto"/>
              <w:jc w:val="center"/>
              <w:rPr>
                <w:rFonts w:cs="Calibri"/>
                <w:sz w:val="18"/>
                <w:szCs w:val="18"/>
              </w:rPr>
            </w:pPr>
            <w:r w:rsidRPr="00CB2FCF">
              <w:rPr>
                <w:rFonts w:cs="Calibri"/>
                <w:sz w:val="18"/>
                <w:szCs w:val="18"/>
              </w:rPr>
              <w:t>71,452,605</w:t>
            </w:r>
          </w:p>
        </w:tc>
        <w:tc>
          <w:tcPr>
            <w:tcW w:w="627" w:type="pct"/>
            <w:noWrap/>
            <w:hideMark/>
          </w:tcPr>
          <w:p w:rsidR="0034438D" w:rsidRPr="00CB2FCF" w:rsidRDefault="0034438D" w:rsidP="0034438D">
            <w:pPr>
              <w:spacing w:before="0" w:line="240" w:lineRule="auto"/>
              <w:jc w:val="center"/>
              <w:rPr>
                <w:rFonts w:cs="Calibri"/>
                <w:sz w:val="18"/>
                <w:szCs w:val="18"/>
              </w:rPr>
            </w:pPr>
            <w:r w:rsidRPr="00CB2FCF">
              <w:rPr>
                <w:rFonts w:cs="Calibri"/>
                <w:sz w:val="18"/>
                <w:szCs w:val="18"/>
              </w:rPr>
              <w:t>79,683,382</w:t>
            </w:r>
          </w:p>
        </w:tc>
        <w:tc>
          <w:tcPr>
            <w:tcW w:w="626" w:type="pct"/>
            <w:noWrap/>
            <w:hideMark/>
          </w:tcPr>
          <w:p w:rsidR="0034438D" w:rsidRPr="00CB2FCF" w:rsidRDefault="0034438D" w:rsidP="0034438D">
            <w:pPr>
              <w:spacing w:before="0" w:line="240" w:lineRule="auto"/>
              <w:jc w:val="center"/>
              <w:rPr>
                <w:rFonts w:cs="Calibri"/>
                <w:sz w:val="18"/>
                <w:szCs w:val="18"/>
              </w:rPr>
            </w:pPr>
            <w:r w:rsidRPr="00CB2FCF">
              <w:rPr>
                <w:rFonts w:cs="Calibri"/>
                <w:sz w:val="18"/>
                <w:szCs w:val="18"/>
              </w:rPr>
              <w:t>78,361,202</w:t>
            </w:r>
          </w:p>
        </w:tc>
        <w:tc>
          <w:tcPr>
            <w:tcW w:w="627" w:type="pct"/>
            <w:noWrap/>
          </w:tcPr>
          <w:p w:rsidR="0034438D" w:rsidRPr="00CB2FCF" w:rsidRDefault="0034438D" w:rsidP="0034438D">
            <w:pPr>
              <w:spacing w:before="0" w:line="240" w:lineRule="auto"/>
              <w:jc w:val="center"/>
              <w:rPr>
                <w:rFonts w:cs="Calibri"/>
                <w:sz w:val="18"/>
                <w:szCs w:val="18"/>
              </w:rPr>
            </w:pPr>
            <w:r w:rsidRPr="00CB2FCF">
              <w:rPr>
                <w:rFonts w:cs="Calibri"/>
                <w:sz w:val="18"/>
                <w:szCs w:val="18"/>
              </w:rPr>
              <w:t>109.7%</w:t>
            </w:r>
          </w:p>
        </w:tc>
        <w:tc>
          <w:tcPr>
            <w:tcW w:w="624" w:type="pct"/>
            <w:noWrap/>
          </w:tcPr>
          <w:p w:rsidR="0034438D" w:rsidRPr="00CB2FCF" w:rsidRDefault="0034438D" w:rsidP="0034438D">
            <w:pPr>
              <w:spacing w:before="0" w:line="240" w:lineRule="auto"/>
              <w:jc w:val="center"/>
              <w:rPr>
                <w:rFonts w:cs="Calibri"/>
                <w:sz w:val="18"/>
                <w:szCs w:val="18"/>
              </w:rPr>
            </w:pPr>
            <w:r w:rsidRPr="00CB2FCF">
              <w:rPr>
                <w:rFonts w:cs="Calibri"/>
                <w:sz w:val="18"/>
                <w:szCs w:val="18"/>
              </w:rPr>
              <w:t>98.34%</w:t>
            </w:r>
          </w:p>
        </w:tc>
      </w:tr>
      <w:tr w:rsidR="0034438D" w:rsidRPr="00CB2FCF" w:rsidTr="0034438D">
        <w:trPr>
          <w:trHeight w:val="184"/>
          <w:jc w:val="center"/>
        </w:trPr>
        <w:tc>
          <w:tcPr>
            <w:tcW w:w="1258" w:type="pct"/>
            <w:noWrap/>
          </w:tcPr>
          <w:p w:rsidR="0034438D" w:rsidRPr="00CB2FCF" w:rsidRDefault="0034438D" w:rsidP="0034438D">
            <w:pPr>
              <w:spacing w:before="0" w:line="240" w:lineRule="auto"/>
              <w:jc w:val="center"/>
              <w:rPr>
                <w:rFonts w:cs="Calibri"/>
                <w:sz w:val="18"/>
                <w:szCs w:val="17"/>
              </w:rPr>
            </w:pPr>
            <w:r w:rsidRPr="00CB2FCF">
              <w:rPr>
                <w:rFonts w:cs="Calibri"/>
                <w:sz w:val="18"/>
                <w:szCs w:val="17"/>
              </w:rPr>
              <w:t>Shpenzime nga të ardhura jashtë limitit</w:t>
            </w:r>
          </w:p>
        </w:tc>
        <w:tc>
          <w:tcPr>
            <w:tcW w:w="611" w:type="pct"/>
            <w:noWrap/>
          </w:tcPr>
          <w:p w:rsidR="0034438D" w:rsidRPr="00CB2FCF" w:rsidRDefault="0034438D" w:rsidP="0034438D">
            <w:pPr>
              <w:spacing w:before="0" w:line="240" w:lineRule="auto"/>
              <w:jc w:val="center"/>
              <w:rPr>
                <w:rFonts w:cs="Calibri"/>
                <w:sz w:val="18"/>
                <w:szCs w:val="18"/>
              </w:rPr>
            </w:pPr>
            <w:r w:rsidRPr="00CB2FCF">
              <w:rPr>
                <w:rFonts w:cs="Calibri"/>
                <w:sz w:val="18"/>
                <w:szCs w:val="18"/>
              </w:rPr>
              <w:t>312 489</w:t>
            </w:r>
          </w:p>
        </w:tc>
        <w:tc>
          <w:tcPr>
            <w:tcW w:w="627" w:type="pct"/>
            <w:noWrap/>
          </w:tcPr>
          <w:p w:rsidR="0034438D" w:rsidRPr="00CB2FCF" w:rsidRDefault="0034438D" w:rsidP="0034438D">
            <w:pPr>
              <w:spacing w:before="0" w:line="240" w:lineRule="auto"/>
              <w:jc w:val="center"/>
              <w:rPr>
                <w:rFonts w:cs="Calibri"/>
                <w:sz w:val="18"/>
                <w:szCs w:val="18"/>
              </w:rPr>
            </w:pPr>
          </w:p>
        </w:tc>
        <w:tc>
          <w:tcPr>
            <w:tcW w:w="627" w:type="pct"/>
            <w:noWrap/>
          </w:tcPr>
          <w:p w:rsidR="0034438D" w:rsidRPr="00CB2FCF" w:rsidRDefault="0034438D" w:rsidP="0034438D">
            <w:pPr>
              <w:spacing w:before="0" w:line="240" w:lineRule="auto"/>
              <w:jc w:val="center"/>
              <w:rPr>
                <w:rFonts w:cs="Calibri"/>
                <w:sz w:val="18"/>
                <w:szCs w:val="18"/>
              </w:rPr>
            </w:pPr>
          </w:p>
        </w:tc>
        <w:tc>
          <w:tcPr>
            <w:tcW w:w="626" w:type="pct"/>
            <w:noWrap/>
          </w:tcPr>
          <w:p w:rsidR="0034438D" w:rsidRPr="00CB2FCF" w:rsidRDefault="0034438D" w:rsidP="0034438D">
            <w:pPr>
              <w:spacing w:before="0" w:line="240" w:lineRule="auto"/>
              <w:jc w:val="center"/>
              <w:rPr>
                <w:rFonts w:cs="Calibri"/>
                <w:sz w:val="18"/>
                <w:szCs w:val="18"/>
              </w:rPr>
            </w:pPr>
            <w:r w:rsidRPr="00CB2FCF">
              <w:rPr>
                <w:rFonts w:cs="Calibri"/>
                <w:sz w:val="18"/>
                <w:szCs w:val="18"/>
              </w:rPr>
              <w:t>567,313</w:t>
            </w:r>
          </w:p>
        </w:tc>
        <w:tc>
          <w:tcPr>
            <w:tcW w:w="627" w:type="pct"/>
            <w:noWrap/>
          </w:tcPr>
          <w:p w:rsidR="0034438D" w:rsidRPr="00CB2FCF" w:rsidRDefault="0034438D" w:rsidP="0034438D">
            <w:pPr>
              <w:spacing w:before="0" w:line="240" w:lineRule="auto"/>
              <w:jc w:val="center"/>
              <w:rPr>
                <w:rFonts w:cs="Calibri"/>
                <w:sz w:val="18"/>
                <w:szCs w:val="18"/>
              </w:rPr>
            </w:pPr>
          </w:p>
        </w:tc>
        <w:tc>
          <w:tcPr>
            <w:tcW w:w="624" w:type="pct"/>
            <w:noWrap/>
          </w:tcPr>
          <w:p w:rsidR="0034438D" w:rsidRPr="00CB2FCF" w:rsidRDefault="0034438D" w:rsidP="0034438D">
            <w:pPr>
              <w:spacing w:before="0" w:line="240" w:lineRule="auto"/>
              <w:jc w:val="center"/>
              <w:rPr>
                <w:rFonts w:cs="Calibri"/>
                <w:sz w:val="18"/>
                <w:szCs w:val="18"/>
              </w:rPr>
            </w:pPr>
          </w:p>
        </w:tc>
      </w:tr>
      <w:tr w:rsidR="0034438D" w:rsidRPr="0034438D" w:rsidTr="0034438D">
        <w:trPr>
          <w:trHeight w:val="184"/>
          <w:jc w:val="center"/>
        </w:trPr>
        <w:tc>
          <w:tcPr>
            <w:tcW w:w="1258" w:type="pct"/>
            <w:noWrap/>
          </w:tcPr>
          <w:p w:rsidR="0034438D" w:rsidRPr="0034438D" w:rsidRDefault="0034438D" w:rsidP="0034438D">
            <w:pPr>
              <w:spacing w:before="0" w:line="240" w:lineRule="auto"/>
              <w:jc w:val="center"/>
              <w:rPr>
                <w:rFonts w:cs="Calibri"/>
                <w:b/>
                <w:sz w:val="18"/>
                <w:szCs w:val="18"/>
              </w:rPr>
            </w:pPr>
            <w:r w:rsidRPr="0034438D">
              <w:rPr>
                <w:rFonts w:cs="Calibri"/>
                <w:b/>
                <w:sz w:val="18"/>
                <w:szCs w:val="18"/>
              </w:rPr>
              <w:t>Gjithsej</w:t>
            </w:r>
          </w:p>
        </w:tc>
        <w:tc>
          <w:tcPr>
            <w:tcW w:w="611" w:type="pct"/>
            <w:noWrap/>
          </w:tcPr>
          <w:p w:rsidR="0034438D" w:rsidRPr="0034438D" w:rsidRDefault="0034438D" w:rsidP="0034438D">
            <w:pPr>
              <w:spacing w:before="0" w:line="240" w:lineRule="auto"/>
              <w:jc w:val="center"/>
              <w:rPr>
                <w:rFonts w:cs="Calibri"/>
                <w:b/>
                <w:sz w:val="18"/>
                <w:szCs w:val="18"/>
              </w:rPr>
            </w:pPr>
            <w:r w:rsidRPr="0034438D">
              <w:rPr>
                <w:rFonts w:cs="Calibri"/>
                <w:b/>
                <w:sz w:val="18"/>
                <w:szCs w:val="18"/>
              </w:rPr>
              <w:t>67 862 692</w:t>
            </w:r>
          </w:p>
        </w:tc>
        <w:tc>
          <w:tcPr>
            <w:tcW w:w="627" w:type="pct"/>
            <w:noWrap/>
          </w:tcPr>
          <w:p w:rsidR="0034438D" w:rsidRPr="0034438D" w:rsidRDefault="0034438D" w:rsidP="0034438D">
            <w:pPr>
              <w:spacing w:before="0" w:line="240" w:lineRule="auto"/>
              <w:jc w:val="center"/>
              <w:rPr>
                <w:rFonts w:cs="Calibri"/>
                <w:b/>
                <w:sz w:val="18"/>
                <w:szCs w:val="18"/>
              </w:rPr>
            </w:pPr>
            <w:r w:rsidRPr="0034438D">
              <w:rPr>
                <w:rFonts w:cs="Calibri"/>
                <w:b/>
                <w:sz w:val="18"/>
                <w:szCs w:val="18"/>
              </w:rPr>
              <w:t>71,452,605</w:t>
            </w:r>
          </w:p>
        </w:tc>
        <w:tc>
          <w:tcPr>
            <w:tcW w:w="627" w:type="pct"/>
            <w:noWrap/>
          </w:tcPr>
          <w:p w:rsidR="0034438D" w:rsidRPr="0034438D" w:rsidRDefault="0034438D" w:rsidP="0034438D">
            <w:pPr>
              <w:spacing w:before="0" w:line="240" w:lineRule="auto"/>
              <w:jc w:val="center"/>
              <w:rPr>
                <w:rFonts w:cs="Calibri"/>
                <w:b/>
                <w:sz w:val="18"/>
                <w:szCs w:val="18"/>
              </w:rPr>
            </w:pPr>
            <w:r w:rsidRPr="0034438D">
              <w:rPr>
                <w:rFonts w:cs="Calibri"/>
                <w:b/>
                <w:sz w:val="18"/>
                <w:szCs w:val="18"/>
              </w:rPr>
              <w:t>79,683,382</w:t>
            </w:r>
          </w:p>
        </w:tc>
        <w:tc>
          <w:tcPr>
            <w:tcW w:w="626" w:type="pct"/>
            <w:noWrap/>
          </w:tcPr>
          <w:p w:rsidR="0034438D" w:rsidRPr="0034438D" w:rsidRDefault="0034438D" w:rsidP="0034438D">
            <w:pPr>
              <w:spacing w:before="0" w:line="240" w:lineRule="auto"/>
              <w:jc w:val="center"/>
              <w:rPr>
                <w:rFonts w:cs="Calibri"/>
                <w:b/>
                <w:sz w:val="18"/>
                <w:szCs w:val="18"/>
              </w:rPr>
            </w:pPr>
            <w:r w:rsidRPr="0034438D">
              <w:rPr>
                <w:rFonts w:cs="Calibri"/>
                <w:b/>
                <w:sz w:val="18"/>
                <w:szCs w:val="18"/>
              </w:rPr>
              <w:t>78,928,515</w:t>
            </w:r>
          </w:p>
        </w:tc>
        <w:tc>
          <w:tcPr>
            <w:tcW w:w="627" w:type="pct"/>
            <w:noWrap/>
          </w:tcPr>
          <w:p w:rsidR="0034438D" w:rsidRPr="0034438D" w:rsidRDefault="0034438D" w:rsidP="0034438D">
            <w:pPr>
              <w:spacing w:before="0" w:line="240" w:lineRule="auto"/>
              <w:jc w:val="center"/>
              <w:rPr>
                <w:rFonts w:cs="Calibri"/>
                <w:b/>
                <w:sz w:val="18"/>
                <w:szCs w:val="18"/>
              </w:rPr>
            </w:pPr>
            <w:r w:rsidRPr="0034438D">
              <w:rPr>
                <w:rFonts w:cs="Calibri"/>
                <w:b/>
                <w:sz w:val="18"/>
                <w:szCs w:val="18"/>
              </w:rPr>
              <w:t>110.5%</w:t>
            </w:r>
          </w:p>
        </w:tc>
        <w:tc>
          <w:tcPr>
            <w:tcW w:w="624" w:type="pct"/>
            <w:noWrap/>
          </w:tcPr>
          <w:p w:rsidR="0034438D" w:rsidRPr="0034438D" w:rsidRDefault="0034438D" w:rsidP="0034438D">
            <w:pPr>
              <w:spacing w:before="0" w:line="240" w:lineRule="auto"/>
              <w:jc w:val="center"/>
              <w:rPr>
                <w:rFonts w:cs="Calibri"/>
                <w:b/>
                <w:sz w:val="18"/>
                <w:szCs w:val="18"/>
              </w:rPr>
            </w:pPr>
            <w:r w:rsidRPr="0034438D">
              <w:rPr>
                <w:rFonts w:cs="Calibri"/>
                <w:b/>
                <w:sz w:val="18"/>
                <w:szCs w:val="18"/>
              </w:rPr>
              <w:t>99%</w:t>
            </w:r>
          </w:p>
        </w:tc>
      </w:tr>
    </w:tbl>
    <w:p w:rsidR="0034438D" w:rsidRDefault="0034438D" w:rsidP="0034438D">
      <w:pPr>
        <w:rPr>
          <w:rFonts w:cs="Calibri"/>
          <w:color w:val="000000"/>
          <w:lang w:val="sq-AL"/>
        </w:rPr>
      </w:pPr>
      <w:r w:rsidRPr="00CB2FCF">
        <w:rPr>
          <w:rFonts w:cs="Calibri"/>
          <w:color w:val="000000"/>
          <w:lang w:val="sq-AL"/>
        </w:rPr>
        <w:t>Buxheti i Ministrisë së Shëndetësisë dhe Mbrojtjes Sociale u rishikua në ngritje të ndjeshme gjatë vitit 2021, si institucioni drejtues për përballimin e pasojave të pandemisë Covid-19 jo vetëm nga pikëpamja e shëndetit publik; por edhe për masat e ndërmarra në ndihmë të kategorive në nevojë.</w:t>
      </w:r>
      <w:r>
        <w:rPr>
          <w:rFonts w:cs="Calibri"/>
          <w:color w:val="000000"/>
          <w:lang w:val="sq-AL"/>
        </w:rPr>
        <w:t xml:space="preserve"> </w:t>
      </w:r>
      <w:r w:rsidRPr="00CB2FCF">
        <w:rPr>
          <w:rFonts w:cs="Calibri"/>
          <w:color w:val="000000"/>
          <w:lang w:val="sq-AL"/>
        </w:rPr>
        <w:t>Më konkretisht</w:t>
      </w:r>
      <w:r>
        <w:rPr>
          <w:rFonts w:cs="Calibri"/>
          <w:color w:val="000000"/>
          <w:lang w:val="sq-AL"/>
        </w:rPr>
        <w:t>:</w:t>
      </w:r>
      <w:r w:rsidRPr="00CB2FCF">
        <w:rPr>
          <w:rFonts w:cs="Calibri"/>
          <w:color w:val="000000"/>
          <w:lang w:val="sq-AL"/>
        </w:rPr>
        <w:t xml:space="preserve"> </w:t>
      </w:r>
    </w:p>
    <w:p w:rsidR="0034438D" w:rsidRPr="00CB2FCF" w:rsidRDefault="0034438D" w:rsidP="0034438D">
      <w:pPr>
        <w:rPr>
          <w:rFonts w:cs="Calibri"/>
          <w:color w:val="000000"/>
          <w:lang w:val="sq-AL"/>
        </w:rPr>
      </w:pPr>
      <w:r>
        <w:rPr>
          <w:rFonts w:cs="Calibri"/>
          <w:color w:val="000000"/>
          <w:lang w:val="sq-AL"/>
        </w:rPr>
        <w:t>B</w:t>
      </w:r>
      <w:r w:rsidRPr="00CB2FCF">
        <w:rPr>
          <w:rFonts w:cs="Calibri"/>
          <w:color w:val="000000"/>
          <w:lang w:val="sq-AL"/>
        </w:rPr>
        <w:t xml:space="preserve">uxheti i programit </w:t>
      </w:r>
      <w:r w:rsidRPr="0034438D">
        <w:rPr>
          <w:rFonts w:cs="Calibri"/>
          <w:b/>
          <w:color w:val="000000"/>
          <w:lang w:val="sq-AL"/>
        </w:rPr>
        <w:t>“Planifikim, menaxhim dhe administrim”</w:t>
      </w:r>
      <w:r w:rsidRPr="00CB2FCF">
        <w:rPr>
          <w:rFonts w:cs="Calibri"/>
          <w:color w:val="000000"/>
          <w:lang w:val="sq-AL"/>
        </w:rPr>
        <w:t xml:space="preserve"> u katërfishua gjatë vitit 2021, për të përballuar shpenzimet ekstra të nevojshme në sistemin shëndetësor për blerje pajisje mbrojtëse ndaj Covid19; blerje pajisjesh mjekësore, autoambulanca, si dhe bonusi për mjekët dhe infermierët e angazhuar jashtë shtetit. </w:t>
      </w:r>
    </w:p>
    <w:p w:rsidR="0034438D" w:rsidRPr="00CB2FCF" w:rsidRDefault="0034438D" w:rsidP="0034438D">
      <w:pPr>
        <w:rPr>
          <w:rFonts w:cs="Calibri"/>
          <w:color w:val="000000"/>
          <w:lang w:val="sq-AL"/>
        </w:rPr>
      </w:pPr>
      <w:r w:rsidRPr="00CB2FCF">
        <w:rPr>
          <w:rFonts w:cs="Calibri"/>
          <w:color w:val="000000"/>
          <w:lang w:val="sq-AL"/>
        </w:rPr>
        <w:t xml:space="preserve">Programi </w:t>
      </w:r>
      <w:r w:rsidRPr="00CB2FCF">
        <w:rPr>
          <w:rFonts w:cs="Calibri"/>
          <w:b/>
          <w:color w:val="000000"/>
          <w:lang w:val="sq-AL"/>
        </w:rPr>
        <w:t>“Shërbime të Kujdesit Shëndetësor Parësor”</w:t>
      </w:r>
      <w:r w:rsidRPr="00CB2FCF">
        <w:rPr>
          <w:rFonts w:cs="Calibri"/>
          <w:color w:val="000000"/>
          <w:lang w:val="sq-AL"/>
        </w:rPr>
        <w:t xml:space="preserve"> hasi disa pengesa në lidhje me qëllimin, i cili synon mbulim universal të nevojave të popullatës për kujdes mjekësor parësor</w:t>
      </w:r>
      <w:r w:rsidRPr="00CB2FCF">
        <w:rPr>
          <w:rFonts w:cs="Calibri"/>
          <w:i/>
          <w:color w:val="000000"/>
          <w:lang w:val="sq-AL"/>
        </w:rPr>
        <w:t xml:space="preserve">. </w:t>
      </w:r>
      <w:r w:rsidRPr="00CB2FCF">
        <w:rPr>
          <w:rFonts w:cs="Calibri"/>
          <w:color w:val="000000"/>
          <w:lang w:val="sq-AL"/>
        </w:rPr>
        <w:t>Megjithatë, personeli shëndetësor u angazhua maksimalisht nëpërmjet vizitave në qendra shëndetësore e në distancë.</w:t>
      </w:r>
      <w:r w:rsidRPr="00CB2FCF">
        <w:rPr>
          <w:rFonts w:cs="Calibri"/>
          <w:i/>
          <w:color w:val="000000"/>
          <w:lang w:val="sq-AL"/>
        </w:rPr>
        <w:t xml:space="preserve"> </w:t>
      </w:r>
      <w:r w:rsidRPr="00CB2FCF">
        <w:rPr>
          <w:rFonts w:cs="Calibri"/>
          <w:color w:val="000000"/>
          <w:lang w:val="sq-AL"/>
        </w:rPr>
        <w:t>Qëllimi i programit u reali</w:t>
      </w:r>
      <w:r>
        <w:rPr>
          <w:rFonts w:cs="Calibri"/>
          <w:color w:val="000000"/>
          <w:lang w:val="sq-AL"/>
        </w:rPr>
        <w:t>zua nëpërmjet objektivit, sa më</w:t>
      </w:r>
      <w:r w:rsidRPr="00CB2FCF">
        <w:rPr>
          <w:rFonts w:cs="Calibri"/>
          <w:color w:val="000000"/>
          <w:lang w:val="sq-AL"/>
        </w:rPr>
        <w:t xml:space="preserve">poshtë: </w:t>
      </w:r>
    </w:p>
    <w:p w:rsidR="0034438D" w:rsidRPr="0034438D" w:rsidRDefault="0034438D" w:rsidP="00842F80">
      <w:pPr>
        <w:numPr>
          <w:ilvl w:val="0"/>
          <w:numId w:val="9"/>
        </w:numPr>
        <w:spacing w:before="0"/>
        <w:rPr>
          <w:rFonts w:cs="Calibri"/>
          <w:i/>
          <w:color w:val="000000"/>
          <w:lang w:val="sq-AL"/>
        </w:rPr>
      </w:pPr>
      <w:r w:rsidRPr="0034438D">
        <w:rPr>
          <w:rFonts w:cs="Calibri"/>
          <w:i/>
          <w:color w:val="000000"/>
          <w:lang w:val="sq-AL"/>
        </w:rPr>
        <w:t>Përmirësimi i shërbimeve parandaluese dhe të diagnostikimit të hershëm të sëmundjeve.</w:t>
      </w:r>
    </w:p>
    <w:p w:rsidR="0034438D" w:rsidRPr="00CB2FCF" w:rsidRDefault="0034438D" w:rsidP="0034438D">
      <w:pPr>
        <w:rPr>
          <w:rFonts w:cs="Calibri"/>
          <w:color w:val="000000"/>
          <w:lang w:val="sq-AL"/>
        </w:rPr>
      </w:pPr>
      <w:r w:rsidRPr="00CB2FCF">
        <w:rPr>
          <w:rFonts w:cs="Calibri"/>
          <w:color w:val="000000"/>
          <w:lang w:val="sq-AL"/>
        </w:rPr>
        <w:t xml:space="preserve">Ky objektiv u realizua nëpërmjet produkteve, performanca e të cilave për vitin 2021, është </w:t>
      </w:r>
      <w:r>
        <w:rPr>
          <w:rFonts w:cs="Calibri"/>
          <w:color w:val="000000"/>
          <w:lang w:val="sq-AL"/>
        </w:rPr>
        <w:t>si më</w:t>
      </w:r>
      <w:r w:rsidRPr="00CB2FCF">
        <w:rPr>
          <w:rFonts w:cs="Calibri"/>
          <w:color w:val="000000"/>
          <w:lang w:val="sq-AL"/>
        </w:rPr>
        <w:t>poshtë:</w:t>
      </w:r>
    </w:p>
    <w:p w:rsidR="0034438D" w:rsidRPr="0034438D" w:rsidRDefault="0034438D" w:rsidP="00842F80">
      <w:pPr>
        <w:numPr>
          <w:ilvl w:val="0"/>
          <w:numId w:val="10"/>
        </w:numPr>
        <w:spacing w:before="0"/>
        <w:rPr>
          <w:rFonts w:cs="Calibri"/>
          <w:i/>
          <w:color w:val="000000"/>
          <w:lang w:val="sq-AL"/>
        </w:rPr>
      </w:pPr>
      <w:r w:rsidRPr="0034438D">
        <w:rPr>
          <w:rFonts w:cs="Calibri"/>
          <w:i/>
          <w:color w:val="000000"/>
          <w:lang w:val="sq-AL"/>
        </w:rPr>
        <w:t xml:space="preserve"> “Mbulimi me kujdesin parësor ”, janë realizuar rreth 7.1 milionë vizita tek mjeku i familjes, me një kosto faktike rreth 3,133 milionë lekë. </w:t>
      </w:r>
    </w:p>
    <w:p w:rsidR="0034438D" w:rsidRPr="0034438D" w:rsidRDefault="0034438D" w:rsidP="00842F80">
      <w:pPr>
        <w:numPr>
          <w:ilvl w:val="0"/>
          <w:numId w:val="10"/>
        </w:numPr>
        <w:spacing w:before="0"/>
        <w:rPr>
          <w:rFonts w:cs="Calibri"/>
          <w:i/>
          <w:color w:val="000000"/>
          <w:lang w:val="sq-AL"/>
        </w:rPr>
      </w:pPr>
      <w:r w:rsidRPr="0034438D">
        <w:rPr>
          <w:rFonts w:cs="Calibri"/>
          <w:i/>
          <w:color w:val="000000"/>
          <w:lang w:val="sq-AL"/>
        </w:rPr>
        <w:t xml:space="preserve">“Kryerja e Check-Up”, ku gjatë vitit 2021 kanë kryer chek-up rreth 165 mijë pacientë të moshës 35 – 70 vjeç, me një kosto faktike rreth 146 milionë lekë. Programi i check-up-it </w:t>
      </w:r>
      <w:r w:rsidRPr="0034438D">
        <w:rPr>
          <w:rFonts w:cs="Calibri"/>
          <w:bCs/>
          <w:i/>
          <w:iCs/>
          <w:color w:val="000000"/>
          <w:lang w:val="sq-AL"/>
        </w:rPr>
        <w:t>rifillimoi veprimtarinë në shtator 2021</w:t>
      </w:r>
      <w:r w:rsidRPr="0034438D">
        <w:rPr>
          <w:rFonts w:cs="Calibri"/>
          <w:i/>
          <w:color w:val="000000"/>
          <w:lang w:val="sq-AL"/>
        </w:rPr>
        <w:t>për shkak të situatës së pandemisë.</w:t>
      </w:r>
    </w:p>
    <w:p w:rsidR="0034438D" w:rsidRPr="0034438D" w:rsidRDefault="0034438D" w:rsidP="00842F80">
      <w:pPr>
        <w:numPr>
          <w:ilvl w:val="0"/>
          <w:numId w:val="10"/>
        </w:numPr>
        <w:spacing w:before="0"/>
        <w:rPr>
          <w:rFonts w:cs="Calibri"/>
          <w:i/>
          <w:color w:val="000000"/>
          <w:lang w:val="sq-AL"/>
        </w:rPr>
      </w:pPr>
      <w:r w:rsidRPr="0034438D">
        <w:rPr>
          <w:rFonts w:cs="Calibri"/>
          <w:i/>
          <w:color w:val="000000"/>
          <w:lang w:val="sq-AL"/>
        </w:rPr>
        <w:t xml:space="preserve">“Pacientë të trajtuar me recetë me rimbursim nga mjeku i familjes”, me një kosto faktike prej 4,827 milionë lekë për rreth 410 mijë pacientë. </w:t>
      </w:r>
    </w:p>
    <w:p w:rsidR="0034438D" w:rsidRPr="00CB2FCF" w:rsidRDefault="0034438D" w:rsidP="0034438D">
      <w:pPr>
        <w:rPr>
          <w:bCs/>
          <w:iCs/>
          <w:color w:val="000000"/>
          <w:lang w:val="sq-AL"/>
        </w:rPr>
      </w:pPr>
      <w:r w:rsidRPr="00CB2FCF">
        <w:rPr>
          <w:rFonts w:cs="Calibri"/>
          <w:color w:val="000000"/>
          <w:lang w:val="sq-AL"/>
        </w:rPr>
        <w:t xml:space="preserve">Programi </w:t>
      </w:r>
      <w:r w:rsidRPr="00CB2FCF">
        <w:rPr>
          <w:rFonts w:cs="Calibri"/>
          <w:b/>
          <w:color w:val="000000"/>
          <w:lang w:val="sq-AL"/>
        </w:rPr>
        <w:t>“Shërbime të Kujdesit Shëndetësor Dytësor”</w:t>
      </w:r>
      <w:r w:rsidRPr="0034438D">
        <w:rPr>
          <w:rFonts w:cs="Calibri"/>
          <w:color w:val="000000"/>
          <w:lang w:val="sq-AL"/>
        </w:rPr>
        <w:t xml:space="preserve">, i cili </w:t>
      </w:r>
      <w:r w:rsidRPr="00CB2FCF">
        <w:rPr>
          <w:rFonts w:cs="Calibri"/>
          <w:color w:val="000000"/>
          <w:lang w:val="sq-AL"/>
        </w:rPr>
        <w:t>synon</w:t>
      </w:r>
      <w:r w:rsidRPr="00CB2FCF">
        <w:rPr>
          <w:rFonts w:cs="Calibri"/>
          <w:b/>
          <w:color w:val="000000"/>
          <w:lang w:val="sq-AL"/>
        </w:rPr>
        <w:t xml:space="preserve"> </w:t>
      </w:r>
      <w:r w:rsidRPr="00CB2FCF">
        <w:rPr>
          <w:rFonts w:cs="Calibri"/>
          <w:color w:val="000000"/>
          <w:lang w:val="sq-AL"/>
        </w:rPr>
        <w:t xml:space="preserve">mbulim universal të nevojave të popullatës për kujdes mjekësor të specializuar, u prek nga kufizimi i shërbimeve jourgjente spitalore për shkak të pandemisë. Si rezultat,gjatë vitit 2021 </w:t>
      </w:r>
      <w:r w:rsidRPr="00CB2FCF">
        <w:rPr>
          <w:bCs/>
          <w:iCs/>
          <w:color w:val="000000"/>
          <w:lang w:val="sq-AL"/>
        </w:rPr>
        <w:t>janë trajtuar në shërbimet me shtretër rreth 257,829 pacientë (rreth 38 mijë më shumë nga e njëjta periudhë e një viti më parë).</w:t>
      </w:r>
    </w:p>
    <w:p w:rsidR="0034438D" w:rsidRPr="00CB2FCF" w:rsidRDefault="0034438D" w:rsidP="0034438D">
      <w:pPr>
        <w:rPr>
          <w:color w:val="000000"/>
          <w:lang w:val="sq-AL"/>
        </w:rPr>
      </w:pPr>
      <w:r w:rsidRPr="00CB2FCF">
        <w:rPr>
          <w:color w:val="000000"/>
          <w:lang w:val="sq-AL"/>
        </w:rPr>
        <w:t>U trajtuan normalisht pacientët në:</w:t>
      </w:r>
    </w:p>
    <w:p w:rsidR="0034438D" w:rsidRPr="0034438D" w:rsidRDefault="0034438D" w:rsidP="00842F80">
      <w:pPr>
        <w:numPr>
          <w:ilvl w:val="0"/>
          <w:numId w:val="10"/>
        </w:numPr>
        <w:spacing w:before="0"/>
        <w:rPr>
          <w:rFonts w:cs="Calibri"/>
          <w:i/>
          <w:color w:val="000000"/>
          <w:lang w:val="sq-AL"/>
        </w:rPr>
      </w:pPr>
      <w:r w:rsidRPr="0034438D">
        <w:rPr>
          <w:rFonts w:cs="Calibri"/>
          <w:i/>
          <w:color w:val="000000"/>
          <w:lang w:val="sq-AL"/>
        </w:rPr>
        <w:t xml:space="preserve">Shërbimin e dializës (190,453 seanca, në spitalet publike, jopublike si dhe sipas kontratës koncesionare në pesë qendra të reja - spitale rajonale të vendit, me kosto prej 2,400 milionë lekë); </w:t>
      </w:r>
    </w:p>
    <w:p w:rsidR="0034438D" w:rsidRPr="0034438D" w:rsidRDefault="00AB7A9F" w:rsidP="00842F80">
      <w:pPr>
        <w:numPr>
          <w:ilvl w:val="0"/>
          <w:numId w:val="10"/>
        </w:numPr>
        <w:spacing w:before="0"/>
        <w:rPr>
          <w:rFonts w:cs="Calibri"/>
          <w:i/>
          <w:color w:val="000000"/>
          <w:lang w:val="sq-AL"/>
        </w:rPr>
      </w:pPr>
      <w:r>
        <w:rPr>
          <w:rFonts w:cs="Calibri"/>
          <w:i/>
          <w:color w:val="000000"/>
          <w:lang w:val="sq-AL"/>
        </w:rPr>
        <w:lastRenderedPageBreak/>
        <w:t>U</w:t>
      </w:r>
      <w:r w:rsidR="0034438D" w:rsidRPr="0034438D">
        <w:rPr>
          <w:rFonts w:cs="Calibri"/>
          <w:i/>
          <w:color w:val="000000"/>
          <w:lang w:val="sq-AL"/>
        </w:rPr>
        <w:t xml:space="preserve"> realizuan 7,756 raste të paketave të kardiologjisë e kardiokirurgjisë me një kosto faktike prej  850 milion lekë, </w:t>
      </w:r>
    </w:p>
    <w:p w:rsidR="0034438D" w:rsidRPr="0034438D" w:rsidRDefault="0034438D" w:rsidP="00842F80">
      <w:pPr>
        <w:numPr>
          <w:ilvl w:val="0"/>
          <w:numId w:val="10"/>
        </w:numPr>
        <w:spacing w:before="0"/>
        <w:rPr>
          <w:rFonts w:cs="Calibri"/>
          <w:i/>
          <w:color w:val="000000"/>
          <w:lang w:val="sq-AL"/>
        </w:rPr>
      </w:pPr>
      <w:r w:rsidRPr="0034438D">
        <w:rPr>
          <w:rFonts w:cs="Calibri"/>
          <w:i/>
          <w:color w:val="000000"/>
          <w:lang w:val="sq-AL"/>
        </w:rPr>
        <w:t xml:space="preserve">23 raste të paketës së transplantit të veshkës, </w:t>
      </w:r>
    </w:p>
    <w:p w:rsidR="0034438D" w:rsidRPr="0034438D" w:rsidRDefault="0034438D" w:rsidP="00842F80">
      <w:pPr>
        <w:numPr>
          <w:ilvl w:val="0"/>
          <w:numId w:val="10"/>
        </w:numPr>
        <w:spacing w:before="0"/>
        <w:rPr>
          <w:rFonts w:cs="Calibri"/>
          <w:i/>
          <w:color w:val="000000"/>
          <w:lang w:val="sq-AL"/>
        </w:rPr>
      </w:pPr>
      <w:r w:rsidRPr="0034438D">
        <w:rPr>
          <w:rFonts w:cs="Calibri"/>
          <w:i/>
          <w:color w:val="000000"/>
          <w:lang w:val="sq-AL"/>
        </w:rPr>
        <w:t xml:space="preserve">3,018 raste të paketës së kataraktës, </w:t>
      </w:r>
    </w:p>
    <w:p w:rsidR="0034438D" w:rsidRPr="0034438D" w:rsidRDefault="0034438D" w:rsidP="00842F80">
      <w:pPr>
        <w:numPr>
          <w:ilvl w:val="0"/>
          <w:numId w:val="10"/>
        </w:numPr>
        <w:spacing w:before="0"/>
        <w:rPr>
          <w:rFonts w:cs="Calibri"/>
          <w:i/>
          <w:color w:val="000000"/>
          <w:lang w:val="sq-AL"/>
        </w:rPr>
      </w:pPr>
      <w:r w:rsidRPr="0034438D">
        <w:rPr>
          <w:rFonts w:cs="Calibri"/>
          <w:i/>
          <w:color w:val="000000"/>
          <w:lang w:val="sq-AL"/>
        </w:rPr>
        <w:t>22,961 seanca të radioterapisë, shoqëruar me një kosto prej 147.3 milionë lekë,</w:t>
      </w:r>
    </w:p>
    <w:p w:rsidR="0034438D" w:rsidRPr="0034438D" w:rsidRDefault="0034438D" w:rsidP="00842F80">
      <w:pPr>
        <w:numPr>
          <w:ilvl w:val="0"/>
          <w:numId w:val="10"/>
        </w:numPr>
        <w:spacing w:before="0"/>
        <w:rPr>
          <w:rFonts w:cs="Calibri"/>
          <w:i/>
          <w:color w:val="000000"/>
          <w:lang w:val="sq-AL"/>
        </w:rPr>
      </w:pPr>
      <w:r w:rsidRPr="0034438D">
        <w:rPr>
          <w:rFonts w:cs="Calibri"/>
          <w:i/>
          <w:color w:val="000000"/>
          <w:lang w:val="sq-AL"/>
        </w:rPr>
        <w:t>Janë kryer rreth 3.4 milionë ekzaminime laboratorike, shoqëruar me një kosto prej 1,106 milionë lekë.</w:t>
      </w:r>
    </w:p>
    <w:p w:rsidR="0034438D" w:rsidRDefault="0034438D" w:rsidP="0034438D">
      <w:pPr>
        <w:rPr>
          <w:rFonts w:cs="Calibri"/>
          <w:lang w:val="sq-AL"/>
        </w:rPr>
      </w:pPr>
      <w:r w:rsidRPr="00CB2FCF">
        <w:rPr>
          <w:rFonts w:cs="Calibri"/>
          <w:lang w:val="sq-AL"/>
        </w:rPr>
        <w:t xml:space="preserve">Programi </w:t>
      </w:r>
      <w:r w:rsidRPr="00CB2FCF">
        <w:rPr>
          <w:rFonts w:cs="Calibri"/>
          <w:b/>
          <w:lang w:val="sq-AL"/>
        </w:rPr>
        <w:t>“Shërbime të Shëndetit Publik”</w:t>
      </w:r>
      <w:r w:rsidRPr="00CB2FCF">
        <w:rPr>
          <w:rFonts w:cs="Calibri"/>
          <w:lang w:val="sq-AL"/>
        </w:rPr>
        <w:t xml:space="preserve"> </w:t>
      </w:r>
      <w:r w:rsidRPr="00CB2FCF">
        <w:rPr>
          <w:lang w:val="sq-AL"/>
        </w:rPr>
        <w:t>ofrohet nëpërmjet programeve kombëtare të imunizimit, TBC, HIV/AIDS dhe IST, të survejancës epidemio</w:t>
      </w:r>
      <w:r w:rsidR="00F61F6A">
        <w:rPr>
          <w:lang w:val="sq-AL"/>
        </w:rPr>
        <w:t>lo</w:t>
      </w:r>
      <w:r w:rsidRPr="00CB2FCF">
        <w:rPr>
          <w:lang w:val="sq-AL"/>
        </w:rPr>
        <w:t>gjike dhe ndjekjes së sëmundshmërisë infektive (sëmundshmërisë kronike me pasoja në shëndet publik të ndikuara nga kushtet e mjedisit) si dhe të programeve të sigurisë ushqimore, kontrollit të ujit të pijshëm dhe shëndetit riprodhues.</w:t>
      </w:r>
      <w:r w:rsidRPr="00CB2FCF">
        <w:rPr>
          <w:rFonts w:cs="Calibri"/>
          <w:lang w:val="sq-AL"/>
        </w:rPr>
        <w:t xml:space="preserve"> Gjatë vitit 2021</w:t>
      </w:r>
      <w:r>
        <w:rPr>
          <w:rFonts w:cs="Calibri"/>
          <w:lang w:val="sq-AL"/>
        </w:rPr>
        <w:t>:</w:t>
      </w:r>
      <w:r w:rsidRPr="00CB2FCF">
        <w:rPr>
          <w:rFonts w:cs="Calibri"/>
          <w:lang w:val="sq-AL"/>
        </w:rPr>
        <w:t xml:space="preserve"> </w:t>
      </w:r>
    </w:p>
    <w:p w:rsidR="0034438D" w:rsidRDefault="0034438D" w:rsidP="00842F80">
      <w:pPr>
        <w:numPr>
          <w:ilvl w:val="0"/>
          <w:numId w:val="10"/>
        </w:numPr>
        <w:spacing w:before="0"/>
        <w:rPr>
          <w:rFonts w:cs="Calibri"/>
          <w:i/>
          <w:color w:val="000000"/>
          <w:lang w:val="sq-AL"/>
        </w:rPr>
      </w:pPr>
      <w:r>
        <w:rPr>
          <w:rFonts w:cs="Calibri"/>
          <w:i/>
          <w:color w:val="000000"/>
          <w:lang w:val="sq-AL"/>
        </w:rPr>
        <w:t>N</w:t>
      </w:r>
      <w:r w:rsidRPr="0034438D">
        <w:rPr>
          <w:rFonts w:cs="Calibri"/>
          <w:i/>
          <w:color w:val="000000"/>
          <w:lang w:val="sq-AL"/>
        </w:rPr>
        <w:t xml:space="preserve">umri i aktivitetit në lidhje me monitorimin e situatave </w:t>
      </w:r>
      <w:r w:rsidR="00F61F6A">
        <w:rPr>
          <w:rFonts w:cs="Calibri"/>
          <w:i/>
          <w:color w:val="000000"/>
          <w:lang w:val="sq-AL"/>
        </w:rPr>
        <w:t>e</w:t>
      </w:r>
      <w:r w:rsidRPr="0034438D">
        <w:rPr>
          <w:rFonts w:cs="Calibri"/>
          <w:i/>
          <w:color w:val="000000"/>
          <w:lang w:val="sq-AL"/>
        </w:rPr>
        <w:t xml:space="preserve">pidemiologjike dhe inspektimet, për shkak të situatës është realizuar me 24 mijë inspektime, me një kosto faktike prej rreth 370 milion lekë. </w:t>
      </w:r>
    </w:p>
    <w:p w:rsidR="0034438D" w:rsidRDefault="0034438D" w:rsidP="00842F80">
      <w:pPr>
        <w:numPr>
          <w:ilvl w:val="0"/>
          <w:numId w:val="10"/>
        </w:numPr>
        <w:spacing w:before="0"/>
        <w:rPr>
          <w:rFonts w:cs="Calibri"/>
          <w:i/>
          <w:color w:val="000000"/>
          <w:lang w:val="sq-AL"/>
        </w:rPr>
      </w:pPr>
      <w:r w:rsidRPr="0034438D">
        <w:rPr>
          <w:rFonts w:cs="Calibri"/>
          <w:i/>
          <w:color w:val="000000"/>
          <w:lang w:val="sq-AL"/>
        </w:rPr>
        <w:t xml:space="preserve">Numri i vaksinimeve është ulur lehtësisht (183 mijë fëmijë të vaksinuar përkundrejt 240 mijë të planifikuar) dhe po ashtu, numri i depistimeve të popullatës për kancerin e gjirit (3,727 depistime ose 35% më pak se parashikimi). </w:t>
      </w:r>
    </w:p>
    <w:p w:rsidR="0034438D" w:rsidRPr="0034438D" w:rsidRDefault="0034438D" w:rsidP="00842F80">
      <w:pPr>
        <w:numPr>
          <w:ilvl w:val="0"/>
          <w:numId w:val="10"/>
        </w:numPr>
        <w:spacing w:before="0"/>
        <w:rPr>
          <w:rFonts w:cs="Calibri"/>
          <w:i/>
          <w:color w:val="000000"/>
          <w:lang w:val="sq-AL"/>
        </w:rPr>
      </w:pPr>
      <w:r w:rsidRPr="0034438D">
        <w:rPr>
          <w:rFonts w:cs="Calibri"/>
          <w:i/>
          <w:color w:val="000000"/>
          <w:lang w:val="sq-AL"/>
        </w:rPr>
        <w:t>Po ashtu, 268 punonjës mjekësorë dhe jo-mjekësorë janë trajtuar me bonus per COVID-19”, me kosto faktike rreth 168 milionë lekë, për vitin 2021.</w:t>
      </w:r>
    </w:p>
    <w:p w:rsidR="0034438D" w:rsidRPr="0034438D" w:rsidRDefault="0034438D" w:rsidP="00842F80">
      <w:pPr>
        <w:numPr>
          <w:ilvl w:val="0"/>
          <w:numId w:val="10"/>
        </w:numPr>
        <w:spacing w:before="0"/>
        <w:rPr>
          <w:rFonts w:cs="Calibri"/>
          <w:i/>
          <w:color w:val="000000"/>
          <w:lang w:val="sq-AL"/>
        </w:rPr>
      </w:pPr>
      <w:r w:rsidRPr="0034438D">
        <w:rPr>
          <w:rFonts w:cs="Calibri"/>
          <w:i/>
          <w:color w:val="000000"/>
          <w:lang w:val="sq-AL"/>
        </w:rPr>
        <w:t>Si dhe</w:t>
      </w:r>
      <w:r>
        <w:rPr>
          <w:rFonts w:cs="Calibri"/>
          <w:i/>
          <w:color w:val="000000"/>
          <w:lang w:val="sq-AL"/>
        </w:rPr>
        <w:t>,</w:t>
      </w:r>
      <w:r w:rsidRPr="0034438D">
        <w:rPr>
          <w:rFonts w:cs="Calibri"/>
          <w:i/>
          <w:color w:val="000000"/>
          <w:lang w:val="sq-AL"/>
        </w:rPr>
        <w:t xml:space="preserve"> janë vaksinuar rreth 1.2 milionë persona me vaksinën anti COVID-19 përgjatë vitit 2021.</w:t>
      </w:r>
    </w:p>
    <w:p w:rsidR="0034438D" w:rsidRPr="0034438D" w:rsidRDefault="0034438D" w:rsidP="0034438D">
      <w:pPr>
        <w:rPr>
          <w:rFonts w:cs="Calibri"/>
          <w:color w:val="000000"/>
          <w:sz w:val="6"/>
          <w:lang w:val="sq-AL"/>
        </w:rPr>
      </w:pPr>
      <w:r w:rsidRPr="00CB2FCF">
        <w:rPr>
          <w:rFonts w:cs="Calibri"/>
          <w:color w:val="000000"/>
          <w:lang w:val="sq-AL"/>
        </w:rPr>
        <w:t xml:space="preserve">Programi </w:t>
      </w:r>
      <w:r w:rsidRPr="00CB2FCF">
        <w:rPr>
          <w:rFonts w:cs="Calibri"/>
          <w:b/>
          <w:color w:val="000000"/>
          <w:lang w:val="sq-AL"/>
        </w:rPr>
        <w:t>“Përkujdesi Social”,</w:t>
      </w:r>
      <w:r w:rsidRPr="00CB2FCF">
        <w:rPr>
          <w:rFonts w:cs="Calibri"/>
          <w:color w:val="000000"/>
          <w:lang w:val="sq-AL"/>
        </w:rPr>
        <w:t xml:space="preserve">  </w:t>
      </w:r>
      <w:r w:rsidRPr="00CB2FCF">
        <w:rPr>
          <w:color w:val="000000"/>
          <w:lang w:val="sq-AL"/>
        </w:rPr>
        <w:t>mbështet nëpërmjet pagesave në cash dhe shërbimeve sociale, familjet në nevojë dhe individët me aftësi të kufizuara, të cilët nuk mund të sigurojnë plotësimin e nevojave bazë jetike, zhvillimin e aftësive dhe mundësive personale, për shkak të aftësive dhe mundësive të kufizuara social ekonomike.</w:t>
      </w:r>
      <w:r>
        <w:rPr>
          <w:rFonts w:cs="Calibri"/>
          <w:color w:val="000000"/>
          <w:sz w:val="6"/>
          <w:lang w:val="sq-AL"/>
        </w:rPr>
        <w:t xml:space="preserve"> </w:t>
      </w:r>
      <w:r w:rsidRPr="00CB2FCF">
        <w:rPr>
          <w:lang w:val="sq-AL"/>
        </w:rPr>
        <w:t xml:space="preserve">Gjatë vitit 2021, programi i ndihmës ekonomike u zgjerua për të mbështetur me ndihmë ekonomike shtesë (dyfish) për familjet që ishin përfituese për gjysmën e parë të vitit 2021. Më hollësisht, </w:t>
      </w:r>
      <w:r w:rsidRPr="00CB2FCF">
        <w:rPr>
          <w:rFonts w:cs="Calibri"/>
          <w:color w:val="000000"/>
          <w:lang w:val="sq-AL"/>
        </w:rPr>
        <w:t xml:space="preserve">produktet e financuara nga programi  përfshijnë: </w:t>
      </w:r>
    </w:p>
    <w:p w:rsidR="0034438D" w:rsidRPr="0034438D" w:rsidRDefault="0034438D" w:rsidP="00842F80">
      <w:pPr>
        <w:numPr>
          <w:ilvl w:val="0"/>
          <w:numId w:val="13"/>
        </w:numPr>
        <w:spacing w:before="0"/>
        <w:contextualSpacing/>
        <w:rPr>
          <w:rFonts w:cs="Calibri"/>
          <w:i/>
          <w:color w:val="000000"/>
          <w:lang w:val="sq-AL"/>
        </w:rPr>
      </w:pPr>
      <w:r w:rsidRPr="0034438D">
        <w:rPr>
          <w:rFonts w:cs="Calibri"/>
          <w:i/>
          <w:color w:val="000000"/>
          <w:lang w:val="sq-AL"/>
        </w:rPr>
        <w:t>“Familje dhe individë në nevojë, përfitues të ndihmës ekonomike”, është realizuar me një kosto faktike prej rreth 6.5  miliard lekë për 65,222 familje përfituese; përkundrejt planit prej 5.6 miliardë lekë për 66,087 familje përfituese.</w:t>
      </w:r>
    </w:p>
    <w:p w:rsidR="0034438D" w:rsidRPr="0034438D" w:rsidRDefault="0034438D" w:rsidP="00842F80">
      <w:pPr>
        <w:numPr>
          <w:ilvl w:val="0"/>
          <w:numId w:val="10"/>
        </w:numPr>
        <w:spacing w:before="0"/>
        <w:rPr>
          <w:rFonts w:cs="Calibri"/>
          <w:i/>
          <w:color w:val="000000"/>
          <w:lang w:val="sq-AL"/>
        </w:rPr>
      </w:pPr>
      <w:r w:rsidRPr="0034438D">
        <w:rPr>
          <w:rFonts w:cs="Calibri"/>
          <w:i/>
          <w:color w:val="000000"/>
          <w:lang w:val="sq-AL"/>
        </w:rPr>
        <w:t>“Persona me aftësi të kufizuar përfitues nga programi i aftësisë së kufizuar” është realizuar me një kosto faktike prej rreth 17.1 miliard lekë për 162,581 persona përfitues.</w:t>
      </w:r>
    </w:p>
    <w:p w:rsidR="0034438D" w:rsidRPr="0034438D" w:rsidRDefault="0034438D" w:rsidP="00842F80">
      <w:pPr>
        <w:numPr>
          <w:ilvl w:val="0"/>
          <w:numId w:val="10"/>
        </w:numPr>
        <w:spacing w:before="0"/>
        <w:rPr>
          <w:rFonts w:cs="Calibri"/>
          <w:i/>
          <w:color w:val="000000"/>
          <w:lang w:val="sq-AL"/>
        </w:rPr>
      </w:pPr>
      <w:r w:rsidRPr="0034438D">
        <w:rPr>
          <w:rFonts w:cs="Calibri"/>
          <w:i/>
          <w:color w:val="000000"/>
          <w:lang w:val="sq-AL"/>
        </w:rPr>
        <w:t>“Përfitues të shërbimeve të përkujdesit social të ofruara në qëndrat rezidenciale publike”, është realizuar me një kosto faktike prej rreth 458 milionë lekë për 457 persona. Numri i përfituesve në qendrat rezidenciale ishte më i lartë se parashikimi (21 përfitues) por ndjeshëm më i ulët se një vit më parë rreth 45 % më pak.</w:t>
      </w:r>
    </w:p>
    <w:p w:rsidR="0034438D" w:rsidRPr="0034438D" w:rsidRDefault="0034438D" w:rsidP="00842F80">
      <w:pPr>
        <w:numPr>
          <w:ilvl w:val="0"/>
          <w:numId w:val="10"/>
        </w:numPr>
        <w:spacing w:before="0"/>
        <w:rPr>
          <w:rFonts w:cs="Calibri"/>
          <w:i/>
          <w:color w:val="000000"/>
          <w:lang w:val="sq-AL"/>
        </w:rPr>
      </w:pPr>
      <w:r w:rsidRPr="0034438D">
        <w:rPr>
          <w:rFonts w:cs="Calibri"/>
          <w:i/>
          <w:color w:val="000000"/>
          <w:lang w:val="sq-AL"/>
        </w:rPr>
        <w:t xml:space="preserve">“Shpërblimi i lindjes” ku kanë përfituar 43,441 bebe me një kosto faktike prej rreth 3.3 miliard lekë, apo kanë përfituar bonus rreth 20 % bebe më shume se një vit më parë. </w:t>
      </w:r>
    </w:p>
    <w:p w:rsidR="00BD1FA0" w:rsidRPr="00BD1FA0" w:rsidRDefault="007B7B50" w:rsidP="00BD1FA0">
      <w:pPr>
        <w:rPr>
          <w:rFonts w:cs="Calibri"/>
          <w:lang w:val="sq-AL"/>
        </w:rPr>
      </w:pPr>
      <w:r w:rsidRPr="00BD1FA0">
        <w:rPr>
          <w:rFonts w:cs="Calibri"/>
          <w:lang w:val="sq-AL"/>
        </w:rPr>
        <w:t xml:space="preserve">Për sa u përket </w:t>
      </w:r>
      <w:r w:rsidRPr="00BD1FA0">
        <w:rPr>
          <w:rFonts w:cs="Calibri"/>
          <w:b/>
          <w:lang w:val="sq-AL"/>
        </w:rPr>
        <w:t xml:space="preserve">investimeve publike, </w:t>
      </w:r>
      <w:r w:rsidR="00BD1FA0" w:rsidRPr="00BD1FA0">
        <w:rPr>
          <w:rFonts w:cs="Calibri"/>
          <w:lang w:val="sq-AL"/>
        </w:rPr>
        <w:t xml:space="preserve">realizimi në vitin 2021 ishte </w:t>
      </w:r>
      <w:r w:rsidR="001007C6">
        <w:rPr>
          <w:rFonts w:cs="Calibri"/>
          <w:lang w:val="sq-AL"/>
        </w:rPr>
        <w:t>85.7</w:t>
      </w:r>
      <w:r w:rsidR="00BD1FA0" w:rsidRPr="00BD1FA0">
        <w:rPr>
          <w:rFonts w:cs="Calibri"/>
          <w:lang w:val="sq-AL"/>
        </w:rPr>
        <w:t>% e buxhetit fillestar për projektet me financim të brendshëm (2.1 milard lekë)</w:t>
      </w:r>
      <w:r w:rsidR="00BD1FA0" w:rsidRPr="00BD1FA0">
        <w:rPr>
          <w:rFonts w:cs="Calibri"/>
          <w:bCs/>
          <w:iCs/>
          <w:lang w:val="sq-AL"/>
        </w:rPr>
        <w:t xml:space="preserve"> </w:t>
      </w:r>
      <w:r w:rsidR="00BD1FA0">
        <w:rPr>
          <w:rFonts w:cs="Calibri"/>
          <w:bCs/>
          <w:iCs/>
          <w:lang w:val="sq-AL"/>
        </w:rPr>
        <w:t xml:space="preserve">ose </w:t>
      </w:r>
      <w:r w:rsidR="00BD1FA0" w:rsidRPr="00BD1FA0">
        <w:rPr>
          <w:rFonts w:cs="Calibri"/>
          <w:bCs/>
          <w:iCs/>
          <w:lang w:val="sq-AL"/>
        </w:rPr>
        <w:t>90.2 % të planit vjetor të ndryshuar me AN nr.34</w:t>
      </w:r>
      <w:r w:rsidR="00BD1FA0" w:rsidRPr="00BD1FA0">
        <w:rPr>
          <w:rFonts w:cs="Calibri"/>
          <w:lang w:val="sq-AL"/>
        </w:rPr>
        <w:t xml:space="preserve"> dhe </w:t>
      </w:r>
      <w:r w:rsidR="001007C6">
        <w:rPr>
          <w:rFonts w:cs="Calibri"/>
          <w:lang w:val="sq-AL"/>
        </w:rPr>
        <w:t>171.9</w:t>
      </w:r>
      <w:r w:rsidR="00BD1FA0" w:rsidRPr="00BD1FA0">
        <w:rPr>
          <w:rFonts w:cs="Calibri"/>
          <w:lang w:val="sq-AL"/>
        </w:rPr>
        <w:t>% e buxhetit fillestar për projektet me financim të huaj (1</w:t>
      </w:r>
      <w:r w:rsidR="00BD1FA0">
        <w:rPr>
          <w:rFonts w:cs="Calibri"/>
          <w:lang w:val="sq-AL"/>
        </w:rPr>
        <w:t>.</w:t>
      </w:r>
      <w:r w:rsidR="00BD1FA0" w:rsidRPr="00BD1FA0">
        <w:rPr>
          <w:rFonts w:cs="Calibri"/>
          <w:lang w:val="sq-AL"/>
        </w:rPr>
        <w:t xml:space="preserve">9 miliardë lekë) </w:t>
      </w:r>
      <w:r w:rsidR="00BD1FA0">
        <w:rPr>
          <w:rFonts w:cs="Calibri"/>
          <w:bCs/>
          <w:iCs/>
          <w:lang w:val="sq-AL"/>
        </w:rPr>
        <w:t xml:space="preserve">ose </w:t>
      </w:r>
      <w:r w:rsidR="00BD1FA0" w:rsidRPr="00BD1FA0">
        <w:rPr>
          <w:rFonts w:cs="Calibri"/>
          <w:bCs/>
          <w:iCs/>
          <w:lang w:val="sq-AL"/>
        </w:rPr>
        <w:t>96.5 % të planit vjetor të ndryshuar me AN nr.34.</w:t>
      </w:r>
      <w:r w:rsidR="00BD1FA0" w:rsidRPr="00BD1FA0">
        <w:rPr>
          <w:rFonts w:cs="Calibri"/>
          <w:lang w:val="sq-AL"/>
        </w:rPr>
        <w:t xml:space="preserve"> Buxheti i shpenzimeve kapitale pësoi disa ndryshime, duke shtuar fonde për projekte priorit</w:t>
      </w:r>
      <w:r w:rsidR="00BD1FA0">
        <w:rPr>
          <w:rFonts w:cs="Calibri"/>
          <w:lang w:val="sq-AL"/>
        </w:rPr>
        <w:t>are për përballimin e pandemisë,</w:t>
      </w:r>
      <w:r w:rsidR="00BD1FA0" w:rsidRPr="00BD1FA0">
        <w:rPr>
          <w:rFonts w:cs="Calibri"/>
          <w:lang w:val="sq-AL"/>
        </w:rPr>
        <w:t xml:space="preserve"> përfshirë edhe disa rialokime. J</w:t>
      </w:r>
      <w:r w:rsidR="00BD1FA0" w:rsidRPr="00BD1FA0">
        <w:rPr>
          <w:rFonts w:asciiTheme="majorHAnsi" w:hAnsiTheme="majorHAnsi" w:cs="Calibri Light"/>
          <w:szCs w:val="22"/>
          <w:lang w:val="sq-AL"/>
        </w:rPr>
        <w:t>anë mbyllur kontratat e investimit, ku ndër më kryesoret veçojmë:</w:t>
      </w:r>
    </w:p>
    <w:p w:rsidR="00BD1FA0" w:rsidRPr="00BD1FA0" w:rsidRDefault="00BD1FA0" w:rsidP="00842F80">
      <w:pPr>
        <w:pStyle w:val="ListParagraph"/>
        <w:numPr>
          <w:ilvl w:val="0"/>
          <w:numId w:val="20"/>
        </w:numPr>
        <w:shd w:val="clear" w:color="auto" w:fill="FFFFFF" w:themeFill="background1"/>
        <w:spacing w:before="0"/>
        <w:rPr>
          <w:rFonts w:asciiTheme="majorHAnsi" w:hAnsiTheme="majorHAnsi" w:cs="Calibri Light"/>
          <w:szCs w:val="22"/>
          <w:lang w:val="sq-AL"/>
        </w:rPr>
      </w:pPr>
      <w:r w:rsidRPr="00BD1FA0">
        <w:rPr>
          <w:rFonts w:asciiTheme="majorHAnsi" w:hAnsiTheme="majorHAnsi" w:cs="Calibri Light"/>
          <w:szCs w:val="22"/>
          <w:lang w:val="sq-AL"/>
        </w:rPr>
        <w:t xml:space="preserve">3 kontrata me vlerë 597 milionë lekë për shërbimet e kujdesit parësor ku veçojmë: </w:t>
      </w:r>
    </w:p>
    <w:p w:rsidR="00BD1FA0" w:rsidRPr="00BD1FA0" w:rsidRDefault="00BD1FA0" w:rsidP="00842F80">
      <w:pPr>
        <w:numPr>
          <w:ilvl w:val="0"/>
          <w:numId w:val="21"/>
        </w:numPr>
        <w:shd w:val="clear" w:color="auto" w:fill="FFFFFF" w:themeFill="background1"/>
        <w:spacing w:before="0"/>
        <w:rPr>
          <w:rFonts w:asciiTheme="majorHAnsi" w:hAnsiTheme="majorHAnsi" w:cs="Calibri Light"/>
          <w:i/>
          <w:szCs w:val="22"/>
          <w:lang w:val="sq-AL"/>
        </w:rPr>
      </w:pPr>
      <w:r w:rsidRPr="00BD1FA0">
        <w:rPr>
          <w:rFonts w:asciiTheme="majorHAnsi" w:hAnsiTheme="majorHAnsi" w:cs="Calibri Light"/>
          <w:i/>
          <w:szCs w:val="22"/>
          <w:lang w:val="sq-AL"/>
        </w:rPr>
        <w:t>Rikonstruksion i qendrave shendetësore në qytete/njësi administrative 2020-2021 me vlerë 502</w:t>
      </w:r>
      <w:r w:rsidRPr="00BD1FA0">
        <w:rPr>
          <w:rFonts w:asciiTheme="majorHAnsi" w:hAnsiTheme="majorHAnsi" w:cs="Calibri Light"/>
          <w:i/>
          <w:color w:val="000000"/>
          <w:szCs w:val="22"/>
        </w:rPr>
        <w:t xml:space="preserve"> milionë lekë;</w:t>
      </w:r>
      <w:r w:rsidRPr="00BD1FA0">
        <w:rPr>
          <w:rFonts w:asciiTheme="majorHAnsi" w:hAnsiTheme="majorHAnsi" w:cs="Calibri Light"/>
          <w:i/>
          <w:szCs w:val="22"/>
          <w:lang w:val="sq-AL"/>
        </w:rPr>
        <w:t xml:space="preserve"> </w:t>
      </w:r>
    </w:p>
    <w:p w:rsidR="00BD1FA0" w:rsidRPr="00BD1FA0" w:rsidRDefault="00BD1FA0" w:rsidP="00842F80">
      <w:pPr>
        <w:pStyle w:val="ListParagraph"/>
        <w:numPr>
          <w:ilvl w:val="0"/>
          <w:numId w:val="21"/>
        </w:numPr>
        <w:shd w:val="clear" w:color="auto" w:fill="FFFFFF" w:themeFill="background1"/>
        <w:spacing w:before="0"/>
        <w:rPr>
          <w:rFonts w:asciiTheme="majorHAnsi" w:hAnsiTheme="majorHAnsi" w:cs="Calibri Light"/>
          <w:i/>
          <w:szCs w:val="22"/>
          <w:lang w:val="sq-AL"/>
        </w:rPr>
      </w:pPr>
      <w:r w:rsidRPr="00BD1FA0">
        <w:rPr>
          <w:rFonts w:asciiTheme="majorHAnsi" w:hAnsiTheme="majorHAnsi" w:cs="Calibri Light"/>
          <w:i/>
          <w:szCs w:val="22"/>
          <w:lang w:val="sq-AL"/>
        </w:rPr>
        <w:t>"F.V pajisje mjekesore dhe mobilimi për qendra shendetësore " me vlerë 79</w:t>
      </w:r>
      <w:r w:rsidRPr="00BD1FA0">
        <w:rPr>
          <w:rFonts w:asciiTheme="majorHAnsi" w:hAnsiTheme="majorHAnsi" w:cs="Calibri Light"/>
          <w:i/>
          <w:szCs w:val="22"/>
        </w:rPr>
        <w:t xml:space="preserve"> </w:t>
      </w:r>
      <w:r w:rsidRPr="00BD1FA0">
        <w:rPr>
          <w:rFonts w:asciiTheme="majorHAnsi" w:hAnsiTheme="majorHAnsi" w:cs="Calibri Light"/>
          <w:i/>
          <w:color w:val="000000"/>
          <w:szCs w:val="22"/>
        </w:rPr>
        <w:t>milionë lekë;</w:t>
      </w:r>
      <w:r w:rsidRPr="00BD1FA0">
        <w:rPr>
          <w:rFonts w:asciiTheme="majorHAnsi" w:hAnsiTheme="majorHAnsi" w:cs="Calibri Light"/>
          <w:i/>
          <w:szCs w:val="22"/>
          <w:lang w:val="sq-AL"/>
        </w:rPr>
        <w:t xml:space="preserve"> </w:t>
      </w:r>
    </w:p>
    <w:p w:rsidR="00BD1FA0" w:rsidRPr="00BD1FA0" w:rsidRDefault="00BD1FA0" w:rsidP="00842F80">
      <w:pPr>
        <w:pStyle w:val="ListParagraph"/>
        <w:numPr>
          <w:ilvl w:val="0"/>
          <w:numId w:val="21"/>
        </w:numPr>
        <w:shd w:val="clear" w:color="auto" w:fill="FFFFFF" w:themeFill="background1"/>
        <w:spacing w:before="0"/>
        <w:rPr>
          <w:rFonts w:asciiTheme="majorHAnsi" w:hAnsiTheme="majorHAnsi" w:cs="Calibri Light"/>
          <w:i/>
          <w:szCs w:val="22"/>
          <w:lang w:val="sq-AL"/>
        </w:rPr>
      </w:pPr>
      <w:r w:rsidRPr="00BD1FA0">
        <w:rPr>
          <w:rFonts w:asciiTheme="majorHAnsi" w:hAnsiTheme="majorHAnsi" w:cs="Calibri Light"/>
          <w:i/>
          <w:szCs w:val="22"/>
          <w:lang w:val="sq-AL"/>
        </w:rPr>
        <w:t>F.V pajisje per matjen e densitometrisë kockore për strukturat shëndetësore me vlerë 15</w:t>
      </w:r>
      <w:r>
        <w:rPr>
          <w:rFonts w:asciiTheme="majorHAnsi" w:hAnsiTheme="majorHAnsi" w:cs="Calibri Light"/>
          <w:i/>
          <w:szCs w:val="22"/>
          <w:lang w:val="sq-AL"/>
        </w:rPr>
        <w:t>mln</w:t>
      </w:r>
      <w:r w:rsidRPr="00BD1FA0">
        <w:rPr>
          <w:rFonts w:asciiTheme="majorHAnsi" w:hAnsiTheme="majorHAnsi" w:cs="Calibri Light"/>
          <w:i/>
          <w:color w:val="000000"/>
          <w:szCs w:val="22"/>
        </w:rPr>
        <w:t xml:space="preserve"> lekë;</w:t>
      </w:r>
    </w:p>
    <w:p w:rsidR="00BD1FA0" w:rsidRPr="00BD1FA0" w:rsidRDefault="00BD1FA0" w:rsidP="00842F80">
      <w:pPr>
        <w:numPr>
          <w:ilvl w:val="0"/>
          <w:numId w:val="10"/>
        </w:numPr>
        <w:shd w:val="clear" w:color="auto" w:fill="FFFFFF" w:themeFill="background1"/>
        <w:spacing w:before="0"/>
        <w:rPr>
          <w:rFonts w:asciiTheme="majorHAnsi" w:hAnsiTheme="majorHAnsi" w:cs="Calibri Light"/>
          <w:szCs w:val="22"/>
          <w:lang w:val="sq-AL"/>
        </w:rPr>
      </w:pPr>
      <w:r w:rsidRPr="00BD1FA0">
        <w:rPr>
          <w:rFonts w:asciiTheme="majorHAnsi" w:hAnsiTheme="majorHAnsi" w:cs="Calibri Light"/>
          <w:szCs w:val="22"/>
          <w:lang w:val="sq-AL"/>
        </w:rPr>
        <w:lastRenderedPageBreak/>
        <w:t>20 kontrata me vlerë të plotë projektesh 1469 milionë lekë për shërbimet e kujdesit dytësor ku veçojmë:</w:t>
      </w:r>
    </w:p>
    <w:p w:rsidR="00BD1FA0" w:rsidRPr="00BD1FA0" w:rsidRDefault="00BD1FA0" w:rsidP="00842F80">
      <w:pPr>
        <w:pStyle w:val="ListParagraph"/>
        <w:numPr>
          <w:ilvl w:val="0"/>
          <w:numId w:val="19"/>
        </w:numPr>
        <w:shd w:val="clear" w:color="auto" w:fill="FFFFFF" w:themeFill="background1"/>
        <w:spacing w:before="0"/>
        <w:rPr>
          <w:rFonts w:asciiTheme="majorHAnsi" w:eastAsia="Calibri" w:hAnsiTheme="majorHAnsi" w:cs="Calibri Light"/>
          <w:i/>
          <w:szCs w:val="22"/>
          <w:lang w:val="sq-AL"/>
        </w:rPr>
      </w:pPr>
      <w:r w:rsidRPr="00BD1FA0">
        <w:rPr>
          <w:rFonts w:asciiTheme="majorHAnsi" w:eastAsia="Calibri" w:hAnsiTheme="majorHAnsi" w:cs="Calibri Light"/>
          <w:i/>
          <w:szCs w:val="22"/>
          <w:lang w:val="sq-AL"/>
        </w:rPr>
        <w:t>Rikonstruksion në sp.Lezhë dhe shtesë për Maternitetin Lezhë -319 milionë lekë;</w:t>
      </w:r>
    </w:p>
    <w:p w:rsidR="00BD1FA0" w:rsidRPr="00BD1FA0" w:rsidRDefault="00BD1FA0" w:rsidP="00842F80">
      <w:pPr>
        <w:pStyle w:val="ListParagraph"/>
        <w:numPr>
          <w:ilvl w:val="0"/>
          <w:numId w:val="19"/>
        </w:numPr>
        <w:shd w:val="clear" w:color="auto" w:fill="FFFFFF" w:themeFill="background1"/>
        <w:spacing w:before="0"/>
        <w:rPr>
          <w:rFonts w:asciiTheme="majorHAnsi" w:eastAsia="Calibri" w:hAnsiTheme="majorHAnsi" w:cs="Calibri Light"/>
          <w:i/>
          <w:szCs w:val="22"/>
          <w:lang w:val="sq-AL"/>
        </w:rPr>
      </w:pPr>
      <w:r w:rsidRPr="00BD1FA0">
        <w:rPr>
          <w:rFonts w:asciiTheme="majorHAnsi" w:eastAsia="Calibri" w:hAnsiTheme="majorHAnsi" w:cs="Calibri Light"/>
          <w:i/>
          <w:szCs w:val="22"/>
          <w:lang w:val="sq-AL"/>
        </w:rPr>
        <w:t>F.V pajisje për sallat operatore të sp.Shkodër - 282 milionë lekë;</w:t>
      </w:r>
    </w:p>
    <w:p w:rsidR="00BD1FA0" w:rsidRPr="00BD1FA0" w:rsidRDefault="00BD1FA0" w:rsidP="00842F80">
      <w:pPr>
        <w:pStyle w:val="ListParagraph"/>
        <w:numPr>
          <w:ilvl w:val="0"/>
          <w:numId w:val="19"/>
        </w:numPr>
        <w:shd w:val="clear" w:color="auto" w:fill="FFFFFF" w:themeFill="background1"/>
        <w:spacing w:before="0"/>
        <w:rPr>
          <w:rFonts w:asciiTheme="majorHAnsi" w:eastAsia="Calibri" w:hAnsiTheme="majorHAnsi" w:cs="Calibri Light"/>
          <w:i/>
          <w:szCs w:val="22"/>
          <w:lang w:val="sq-AL"/>
        </w:rPr>
      </w:pPr>
      <w:r w:rsidRPr="00BD1FA0">
        <w:rPr>
          <w:rFonts w:asciiTheme="majorHAnsi" w:eastAsia="Calibri" w:hAnsiTheme="majorHAnsi" w:cs="Calibri Light"/>
          <w:i/>
          <w:szCs w:val="22"/>
          <w:lang w:val="sq-AL"/>
        </w:rPr>
        <w:t xml:space="preserve">"Rikonstruksion dhe shtesë materniteti për sp.Berat " - 210 milionë lekë; </w:t>
      </w:r>
    </w:p>
    <w:p w:rsidR="00BD1FA0" w:rsidRPr="00BD1FA0" w:rsidRDefault="00BD1FA0" w:rsidP="00842F80">
      <w:pPr>
        <w:pStyle w:val="ListParagraph"/>
        <w:numPr>
          <w:ilvl w:val="0"/>
          <w:numId w:val="19"/>
        </w:numPr>
        <w:shd w:val="clear" w:color="auto" w:fill="FFFFFF" w:themeFill="background1"/>
        <w:spacing w:before="0"/>
        <w:rPr>
          <w:rFonts w:asciiTheme="majorHAnsi" w:eastAsia="Calibri" w:hAnsiTheme="majorHAnsi" w:cs="Calibri Light"/>
          <w:i/>
          <w:szCs w:val="22"/>
          <w:lang w:val="sq-AL"/>
        </w:rPr>
      </w:pPr>
      <w:r w:rsidRPr="00BD1FA0">
        <w:rPr>
          <w:rFonts w:asciiTheme="majorHAnsi" w:eastAsia="Calibri" w:hAnsiTheme="majorHAnsi" w:cs="Calibri Light"/>
          <w:i/>
          <w:szCs w:val="22"/>
          <w:lang w:val="sq-AL"/>
        </w:rPr>
        <w:t>Rikonstruksione në spitalin rajonal Kukës - 188 milionë lekë;</w:t>
      </w:r>
    </w:p>
    <w:p w:rsidR="00BD1FA0" w:rsidRPr="00BD1FA0" w:rsidRDefault="00BD1FA0" w:rsidP="00842F80">
      <w:pPr>
        <w:pStyle w:val="ListParagraph"/>
        <w:numPr>
          <w:ilvl w:val="0"/>
          <w:numId w:val="19"/>
        </w:numPr>
        <w:shd w:val="clear" w:color="auto" w:fill="FFFFFF" w:themeFill="background1"/>
        <w:spacing w:before="0"/>
        <w:rPr>
          <w:rFonts w:asciiTheme="majorHAnsi" w:eastAsia="Calibri" w:hAnsiTheme="majorHAnsi" w:cs="Calibri Light"/>
          <w:i/>
          <w:szCs w:val="22"/>
          <w:lang w:val="sq-AL"/>
        </w:rPr>
      </w:pPr>
      <w:r w:rsidRPr="00BD1FA0">
        <w:rPr>
          <w:rFonts w:asciiTheme="majorHAnsi" w:eastAsia="Calibri" w:hAnsiTheme="majorHAnsi" w:cs="Calibri Light"/>
          <w:i/>
          <w:szCs w:val="22"/>
          <w:lang w:val="sq-AL"/>
        </w:rPr>
        <w:t>"F.V pajisje për shërbimin e kardiokirurgjisë në SU Shefqet Ndroqi Tiranë" - 86 milionë lekë;</w:t>
      </w:r>
    </w:p>
    <w:p w:rsidR="00BD1FA0" w:rsidRPr="00BD1FA0" w:rsidRDefault="00BD1FA0" w:rsidP="00842F80">
      <w:pPr>
        <w:pStyle w:val="ListParagraph"/>
        <w:numPr>
          <w:ilvl w:val="0"/>
          <w:numId w:val="19"/>
        </w:numPr>
        <w:shd w:val="clear" w:color="auto" w:fill="FFFFFF" w:themeFill="background1"/>
        <w:spacing w:before="0"/>
        <w:rPr>
          <w:rFonts w:asciiTheme="majorHAnsi" w:eastAsia="Calibri" w:hAnsiTheme="majorHAnsi" w:cs="Calibri Light"/>
          <w:i/>
          <w:szCs w:val="22"/>
          <w:lang w:val="sq-AL"/>
        </w:rPr>
      </w:pPr>
      <w:r w:rsidRPr="00BD1FA0">
        <w:rPr>
          <w:rFonts w:asciiTheme="majorHAnsi" w:eastAsia="Calibri" w:hAnsiTheme="majorHAnsi" w:cs="Calibri Light"/>
          <w:i/>
          <w:szCs w:val="22"/>
          <w:lang w:val="sq-AL"/>
        </w:rPr>
        <w:t>F.V pajisje hotelerie dhe mjekësore për maternitetin e sp.Lezhë -  70 milionë lekë;</w:t>
      </w:r>
    </w:p>
    <w:p w:rsidR="00BD1FA0" w:rsidRPr="00BD1FA0" w:rsidRDefault="00BD1FA0" w:rsidP="00842F80">
      <w:pPr>
        <w:pStyle w:val="ListParagraph"/>
        <w:numPr>
          <w:ilvl w:val="0"/>
          <w:numId w:val="19"/>
        </w:numPr>
        <w:shd w:val="clear" w:color="auto" w:fill="FFFFFF" w:themeFill="background1"/>
        <w:spacing w:before="0"/>
        <w:rPr>
          <w:rFonts w:asciiTheme="majorHAnsi" w:eastAsia="Calibri" w:hAnsiTheme="majorHAnsi" w:cs="Calibri Light"/>
          <w:i/>
          <w:szCs w:val="22"/>
          <w:lang w:val="sq-AL"/>
        </w:rPr>
      </w:pPr>
      <w:r w:rsidRPr="00BD1FA0">
        <w:rPr>
          <w:rFonts w:asciiTheme="majorHAnsi" w:eastAsia="Calibri" w:hAnsiTheme="majorHAnsi" w:cs="Calibri Light"/>
          <w:i/>
          <w:szCs w:val="22"/>
          <w:lang w:val="sq-AL"/>
        </w:rPr>
        <w:t>Rikonstruksion i Bllokut të Sallave Operatore dhe Sallës Operatore  të Shërbimit të Urgjencës Spitali Shkodër - 62 milionë lekë;</w:t>
      </w:r>
    </w:p>
    <w:p w:rsidR="00BD1FA0" w:rsidRPr="00BD1FA0" w:rsidRDefault="00BD1FA0" w:rsidP="00842F80">
      <w:pPr>
        <w:pStyle w:val="ListParagraph"/>
        <w:numPr>
          <w:ilvl w:val="0"/>
          <w:numId w:val="19"/>
        </w:numPr>
        <w:shd w:val="clear" w:color="auto" w:fill="FFFFFF" w:themeFill="background1"/>
        <w:spacing w:before="0"/>
        <w:rPr>
          <w:rFonts w:asciiTheme="majorHAnsi" w:eastAsia="Calibri" w:hAnsiTheme="majorHAnsi" w:cs="Calibri Light"/>
          <w:i/>
          <w:szCs w:val="22"/>
          <w:lang w:val="sq-AL"/>
        </w:rPr>
      </w:pPr>
      <w:r w:rsidRPr="00BD1FA0">
        <w:rPr>
          <w:rFonts w:asciiTheme="majorHAnsi" w:eastAsia="Calibri" w:hAnsiTheme="majorHAnsi" w:cs="Calibri Light"/>
          <w:i/>
          <w:szCs w:val="22"/>
          <w:lang w:val="sq-AL"/>
        </w:rPr>
        <w:t xml:space="preserve"> F.V pajisje hotelerie dhe mjekësore për maternitetin e sp.Berat - 48 milionë lekë;</w:t>
      </w:r>
    </w:p>
    <w:p w:rsidR="00BD1FA0" w:rsidRPr="00BD1FA0" w:rsidRDefault="00BD1FA0" w:rsidP="00842F80">
      <w:pPr>
        <w:pStyle w:val="ListParagraph"/>
        <w:numPr>
          <w:ilvl w:val="0"/>
          <w:numId w:val="19"/>
        </w:numPr>
        <w:shd w:val="clear" w:color="auto" w:fill="FFFFFF" w:themeFill="background1"/>
        <w:spacing w:before="0"/>
        <w:rPr>
          <w:rFonts w:asciiTheme="majorHAnsi" w:eastAsia="Calibri" w:hAnsiTheme="majorHAnsi" w:cs="Calibri Light"/>
          <w:i/>
          <w:szCs w:val="22"/>
          <w:lang w:val="sq-AL"/>
        </w:rPr>
      </w:pPr>
      <w:r w:rsidRPr="00BD1FA0">
        <w:rPr>
          <w:rFonts w:asciiTheme="majorHAnsi" w:eastAsia="Calibri" w:hAnsiTheme="majorHAnsi" w:cs="Calibri Light"/>
          <w:i/>
          <w:szCs w:val="22"/>
          <w:lang w:val="sq-AL"/>
        </w:rPr>
        <w:t>F.V aparatura mjekësore, mobilimi dhe hotelerie për godinën e re të pediatrisë ndërtuar me kredi të Bankës Botërore - 38 milionë lekë;</w:t>
      </w:r>
    </w:p>
    <w:p w:rsidR="00BD1FA0" w:rsidRPr="00BD1FA0" w:rsidRDefault="00BD1FA0" w:rsidP="00842F80">
      <w:pPr>
        <w:pStyle w:val="ListParagraph"/>
        <w:numPr>
          <w:ilvl w:val="0"/>
          <w:numId w:val="20"/>
        </w:numPr>
        <w:shd w:val="clear" w:color="auto" w:fill="FFFFFF" w:themeFill="background1"/>
        <w:spacing w:before="0"/>
        <w:rPr>
          <w:rFonts w:asciiTheme="majorHAnsi" w:eastAsia="Calibri" w:hAnsiTheme="majorHAnsi" w:cs="Calibri Light"/>
          <w:i/>
          <w:szCs w:val="22"/>
          <w:lang w:val="sq-AL"/>
        </w:rPr>
      </w:pPr>
      <w:r w:rsidRPr="00BD1FA0">
        <w:rPr>
          <w:rFonts w:asciiTheme="majorHAnsi" w:hAnsiTheme="majorHAnsi" w:cs="Calibri Light"/>
          <w:szCs w:val="22"/>
          <w:lang w:val="sq-AL"/>
        </w:rPr>
        <w:t xml:space="preserve">2 kontrata në Shërbimin e Kujdesit Social: </w:t>
      </w:r>
    </w:p>
    <w:p w:rsidR="00BD1FA0" w:rsidRPr="00BD1FA0" w:rsidRDefault="00BD1FA0" w:rsidP="00842F80">
      <w:pPr>
        <w:pStyle w:val="ListParagraph"/>
        <w:numPr>
          <w:ilvl w:val="0"/>
          <w:numId w:val="19"/>
        </w:numPr>
        <w:shd w:val="clear" w:color="auto" w:fill="FFFFFF" w:themeFill="background1"/>
        <w:spacing w:before="0"/>
        <w:rPr>
          <w:rFonts w:asciiTheme="majorHAnsi" w:eastAsia="Calibri" w:hAnsiTheme="majorHAnsi" w:cs="Calibri Light"/>
          <w:i/>
          <w:szCs w:val="22"/>
          <w:lang w:val="sq-AL"/>
        </w:rPr>
      </w:pPr>
      <w:r w:rsidRPr="00BD1FA0">
        <w:rPr>
          <w:rFonts w:asciiTheme="majorHAnsi" w:eastAsia="Calibri" w:hAnsiTheme="majorHAnsi" w:cs="Calibri Light"/>
          <w:i/>
          <w:szCs w:val="22"/>
          <w:lang w:val="sq-AL"/>
        </w:rPr>
        <w:t xml:space="preserve">Kontrata “Rikonstruksioni i zyrave të SHSSH rajonal Elbasan dhe Durrës” 2 milionë lekë për përkujdesin social. </w:t>
      </w:r>
    </w:p>
    <w:p w:rsidR="00BD1FA0" w:rsidRPr="00BD1FA0" w:rsidRDefault="00BD1FA0" w:rsidP="00842F80">
      <w:pPr>
        <w:pStyle w:val="ListParagraph"/>
        <w:numPr>
          <w:ilvl w:val="0"/>
          <w:numId w:val="19"/>
        </w:numPr>
        <w:shd w:val="clear" w:color="auto" w:fill="FFFFFF" w:themeFill="background1"/>
        <w:spacing w:before="0"/>
        <w:rPr>
          <w:rFonts w:asciiTheme="majorHAnsi" w:eastAsia="Calibri" w:hAnsiTheme="majorHAnsi" w:cs="Calibri Light"/>
          <w:i/>
          <w:szCs w:val="22"/>
          <w:lang w:val="sq-AL"/>
        </w:rPr>
      </w:pPr>
      <w:r w:rsidRPr="00BD1FA0">
        <w:rPr>
          <w:rFonts w:asciiTheme="majorHAnsi" w:eastAsia="Calibri" w:hAnsiTheme="majorHAnsi" w:cs="Calibri Light"/>
          <w:i/>
          <w:szCs w:val="22"/>
          <w:lang w:val="sq-AL"/>
        </w:rPr>
        <w:t>Paguar TVSH për projektin me PNUD në vlerën e 33 milionë lekë.</w:t>
      </w:r>
    </w:p>
    <w:p w:rsidR="00BD1FA0" w:rsidRPr="00BD1FA0" w:rsidRDefault="00BD1FA0" w:rsidP="00842F80">
      <w:pPr>
        <w:pStyle w:val="ListParagraph"/>
        <w:numPr>
          <w:ilvl w:val="0"/>
          <w:numId w:val="19"/>
        </w:numPr>
        <w:shd w:val="clear" w:color="auto" w:fill="FFFFFF" w:themeFill="background1"/>
        <w:spacing w:before="0"/>
        <w:rPr>
          <w:rFonts w:asciiTheme="majorHAnsi" w:eastAsia="Calibri" w:hAnsiTheme="majorHAnsi" w:cs="Calibri Light"/>
          <w:i/>
          <w:szCs w:val="22"/>
          <w:lang w:val="sq-AL"/>
        </w:rPr>
      </w:pPr>
      <w:r w:rsidRPr="00BD1FA0">
        <w:rPr>
          <w:rFonts w:asciiTheme="majorHAnsi" w:eastAsia="Calibri" w:hAnsiTheme="majorHAnsi" w:cs="Calibri Light"/>
          <w:i/>
          <w:szCs w:val="22"/>
          <w:lang w:val="sq-AL"/>
        </w:rPr>
        <w:t>F.V Mamograf  - 25</w:t>
      </w:r>
      <w:r w:rsidRPr="00BD1FA0">
        <w:rPr>
          <w:rFonts w:asciiTheme="majorHAnsi" w:hAnsiTheme="majorHAnsi" w:cs="Calibri Light"/>
          <w:szCs w:val="22"/>
        </w:rPr>
        <w:t xml:space="preserve"> </w:t>
      </w:r>
      <w:r w:rsidRPr="00BD1FA0">
        <w:rPr>
          <w:rFonts w:asciiTheme="majorHAnsi" w:eastAsia="Calibri" w:hAnsiTheme="majorHAnsi" w:cs="Calibri Light"/>
          <w:i/>
          <w:szCs w:val="22"/>
          <w:lang w:val="sq-AL"/>
        </w:rPr>
        <w:t>milionë lekë;</w:t>
      </w:r>
    </w:p>
    <w:p w:rsidR="00BD1FA0" w:rsidRPr="00BD1FA0" w:rsidRDefault="00BD1FA0" w:rsidP="00842F80">
      <w:pPr>
        <w:pStyle w:val="ListParagraph"/>
        <w:numPr>
          <w:ilvl w:val="0"/>
          <w:numId w:val="19"/>
        </w:numPr>
        <w:shd w:val="clear" w:color="auto" w:fill="FFFFFF" w:themeFill="background1"/>
        <w:spacing w:before="0"/>
        <w:rPr>
          <w:rFonts w:asciiTheme="majorHAnsi" w:eastAsia="Calibri" w:hAnsiTheme="majorHAnsi" w:cs="Calibri Light"/>
          <w:i/>
          <w:szCs w:val="22"/>
          <w:lang w:val="sq-AL"/>
        </w:rPr>
      </w:pPr>
      <w:r w:rsidRPr="00BD1FA0">
        <w:rPr>
          <w:rFonts w:asciiTheme="majorHAnsi" w:eastAsia="Calibri" w:hAnsiTheme="majorHAnsi" w:cs="Calibri Light"/>
          <w:i/>
          <w:szCs w:val="22"/>
          <w:lang w:val="sq-AL"/>
        </w:rPr>
        <w:t>F.V pajisje hotelerie dhe mjekësore për pediatrine e sp.Elbasan - 25 milionë lekë;</w:t>
      </w:r>
    </w:p>
    <w:p w:rsidR="00BD1FA0" w:rsidRPr="00BD1FA0" w:rsidRDefault="00BD1FA0" w:rsidP="00842F80">
      <w:pPr>
        <w:pStyle w:val="ListParagraph"/>
        <w:numPr>
          <w:ilvl w:val="0"/>
          <w:numId w:val="20"/>
        </w:numPr>
        <w:shd w:val="clear" w:color="auto" w:fill="FFFFFF" w:themeFill="background1"/>
        <w:spacing w:before="0"/>
        <w:rPr>
          <w:rFonts w:asciiTheme="majorHAnsi" w:hAnsiTheme="majorHAnsi" w:cs="Calibri Light"/>
          <w:szCs w:val="22"/>
          <w:lang w:val="sq-AL"/>
        </w:rPr>
      </w:pPr>
      <w:r w:rsidRPr="00BD1FA0">
        <w:rPr>
          <w:rFonts w:asciiTheme="majorHAnsi" w:hAnsiTheme="majorHAnsi" w:cs="Calibri Light"/>
          <w:szCs w:val="22"/>
          <w:lang w:val="sq-AL"/>
        </w:rPr>
        <w:t>2 kontrata pranë Shërbimit Kombëtar të Urgjencës:</w:t>
      </w:r>
    </w:p>
    <w:p w:rsidR="00BD1FA0" w:rsidRPr="00BD1FA0" w:rsidRDefault="00BD1FA0" w:rsidP="00842F80">
      <w:pPr>
        <w:pStyle w:val="ListParagraph"/>
        <w:numPr>
          <w:ilvl w:val="0"/>
          <w:numId w:val="19"/>
        </w:numPr>
        <w:shd w:val="clear" w:color="auto" w:fill="FFFFFF" w:themeFill="background1"/>
        <w:spacing w:before="0"/>
        <w:rPr>
          <w:rFonts w:asciiTheme="majorHAnsi" w:eastAsia="Calibri" w:hAnsiTheme="majorHAnsi" w:cs="Calibri Light"/>
          <w:i/>
          <w:szCs w:val="22"/>
          <w:lang w:val="sq-AL"/>
        </w:rPr>
      </w:pPr>
      <w:r w:rsidRPr="00BD1FA0">
        <w:rPr>
          <w:rFonts w:asciiTheme="majorHAnsi" w:eastAsia="Calibri" w:hAnsiTheme="majorHAnsi" w:cs="Calibri Light"/>
          <w:i/>
          <w:szCs w:val="22"/>
          <w:lang w:val="sq-AL"/>
        </w:rPr>
        <w:t>"F.V pajisje mjekesore per sherbimin e urgjences kombetare   me vlerë 7 milionë lekë;</w:t>
      </w:r>
    </w:p>
    <w:p w:rsidR="00BD1FA0" w:rsidRPr="001A1B6A" w:rsidRDefault="00BD1FA0" w:rsidP="00BD1FA0">
      <w:pPr>
        <w:pStyle w:val="ListParagraph"/>
        <w:numPr>
          <w:ilvl w:val="0"/>
          <w:numId w:val="19"/>
        </w:numPr>
        <w:shd w:val="clear" w:color="auto" w:fill="FFFFFF" w:themeFill="background1"/>
        <w:spacing w:before="0"/>
        <w:rPr>
          <w:rFonts w:asciiTheme="majorHAnsi" w:eastAsia="Calibri" w:hAnsiTheme="majorHAnsi" w:cs="Calibri Light"/>
          <w:i/>
          <w:szCs w:val="22"/>
          <w:lang w:val="sq-AL"/>
        </w:rPr>
      </w:pPr>
      <w:r w:rsidRPr="00BD1FA0">
        <w:rPr>
          <w:rFonts w:asciiTheme="majorHAnsi" w:eastAsia="Calibri" w:hAnsiTheme="majorHAnsi" w:cs="Calibri Light"/>
          <w:i/>
          <w:szCs w:val="22"/>
          <w:lang w:val="sq-AL"/>
        </w:rPr>
        <w:t>Blerje pajisje kompjuterike per SHKU  me vlerë 4 milionë lekë.</w:t>
      </w:r>
    </w:p>
    <w:p w:rsidR="00AB4424" w:rsidRDefault="00AB4424" w:rsidP="007B7B50">
      <w:pPr>
        <w:rPr>
          <w:sz w:val="12"/>
          <w:lang w:val="sq-AL"/>
        </w:rPr>
      </w:pPr>
    </w:p>
    <w:p w:rsidR="00AB7A9F" w:rsidRPr="00476D2E" w:rsidRDefault="00AB7A9F" w:rsidP="007B7B50">
      <w:pPr>
        <w:rPr>
          <w:sz w:val="12"/>
          <w:lang w:val="sq-AL"/>
        </w:rPr>
      </w:pPr>
    </w:p>
    <w:p w:rsidR="007B7B50" w:rsidRPr="00476D2E" w:rsidRDefault="007B7B50" w:rsidP="007B7B50">
      <w:pPr>
        <w:pStyle w:val="fiskale3"/>
        <w:rPr>
          <w:rFonts w:ascii="Calibri" w:hAnsi="Calibri" w:cs="Calibri"/>
          <w:b/>
        </w:rPr>
      </w:pPr>
      <w:bookmarkStart w:id="238" w:name="_Toc10721441"/>
      <w:bookmarkStart w:id="239" w:name="_Toc104980361"/>
      <w:bookmarkStart w:id="240" w:name="_Toc10033296"/>
      <w:bookmarkStart w:id="241" w:name="_Toc10721432"/>
      <w:r w:rsidRPr="00476D2E">
        <w:rPr>
          <w:rFonts w:ascii="Calibri" w:hAnsi="Calibri" w:cs="Calibri"/>
          <w:b/>
        </w:rPr>
        <w:t>Arsimi</w:t>
      </w:r>
      <w:bookmarkEnd w:id="238"/>
      <w:bookmarkEnd w:id="239"/>
    </w:p>
    <w:p w:rsidR="007B7B50" w:rsidRPr="00476D2E" w:rsidRDefault="007B7B50" w:rsidP="007B7B50">
      <w:pPr>
        <w:shd w:val="clear" w:color="auto" w:fill="FFFFFF" w:themeFill="background1"/>
        <w:ind w:left="-180"/>
        <w:contextualSpacing/>
        <w:rPr>
          <w:rFonts w:cs="Calibri"/>
          <w:color w:val="000000"/>
          <w:lang w:val="sq-AL"/>
        </w:rPr>
      </w:pPr>
      <w:r w:rsidRPr="00476D2E">
        <w:rPr>
          <w:rFonts w:cs="Calibri"/>
          <w:color w:val="000000"/>
          <w:lang w:val="sq-AL"/>
        </w:rPr>
        <w:t>Në përputhje me drejtimet kryesore të politikës së përgjithshme shtetërore, me fondet buxhetore të miratuara për vitin 202</w:t>
      </w:r>
      <w:r w:rsidR="00D0519A">
        <w:rPr>
          <w:rFonts w:cs="Calibri"/>
          <w:color w:val="000000"/>
          <w:lang w:val="sq-AL"/>
        </w:rPr>
        <w:t>1</w:t>
      </w:r>
      <w:r w:rsidRPr="00476D2E">
        <w:rPr>
          <w:rFonts w:cs="Calibri"/>
          <w:color w:val="000000"/>
          <w:lang w:val="sq-AL"/>
        </w:rPr>
        <w:t>, performanca e treguesve buxhetorë për këto katër programe kryesore në Ministrinë e Arsimit, Sportit dhe Rinisë, paraqitet si më poshtë:</w:t>
      </w:r>
    </w:p>
    <w:p w:rsidR="007B7B50" w:rsidRPr="00476D2E" w:rsidRDefault="007B7B50" w:rsidP="007B7B50">
      <w:pPr>
        <w:keepNext/>
        <w:rPr>
          <w:rFonts w:cs="Calibri"/>
          <w:i/>
          <w:iCs/>
          <w:color w:val="17406D" w:themeColor="text2"/>
          <w:sz w:val="18"/>
          <w:szCs w:val="18"/>
          <w:lang w:val="sq-AL"/>
        </w:rPr>
      </w:pPr>
      <w:bookmarkStart w:id="242" w:name="_Toc104984094"/>
      <w:r w:rsidRPr="00476D2E">
        <w:rPr>
          <w:rFonts w:cs="Calibri"/>
          <w:i/>
          <w:iCs/>
          <w:color w:val="17406D" w:themeColor="text2"/>
          <w:sz w:val="18"/>
          <w:szCs w:val="18"/>
          <w:lang w:val="sq-AL"/>
        </w:rPr>
        <w:t xml:space="preserve">Tabela </w:t>
      </w:r>
      <w:r w:rsidRPr="00476D2E">
        <w:rPr>
          <w:rFonts w:cs="Calibri"/>
          <w:i/>
          <w:iCs/>
          <w:color w:val="17406D" w:themeColor="text2"/>
          <w:sz w:val="18"/>
          <w:szCs w:val="18"/>
          <w:lang w:val="sq-AL"/>
        </w:rPr>
        <w:fldChar w:fldCharType="begin"/>
      </w:r>
      <w:r w:rsidRPr="00476D2E">
        <w:rPr>
          <w:rFonts w:cs="Calibri"/>
          <w:i/>
          <w:iCs/>
          <w:color w:val="17406D" w:themeColor="text2"/>
          <w:sz w:val="18"/>
          <w:szCs w:val="18"/>
          <w:lang w:val="sq-AL"/>
        </w:rPr>
        <w:instrText xml:space="preserve"> SEQ Tabela \* ARABIC </w:instrText>
      </w:r>
      <w:r w:rsidRPr="00476D2E">
        <w:rPr>
          <w:rFonts w:cs="Calibri"/>
          <w:i/>
          <w:iCs/>
          <w:color w:val="17406D" w:themeColor="text2"/>
          <w:sz w:val="18"/>
          <w:szCs w:val="18"/>
          <w:lang w:val="sq-AL"/>
        </w:rPr>
        <w:fldChar w:fldCharType="separate"/>
      </w:r>
      <w:r w:rsidR="00276062">
        <w:rPr>
          <w:rFonts w:cs="Calibri"/>
          <w:i/>
          <w:iCs/>
          <w:noProof/>
          <w:color w:val="17406D" w:themeColor="text2"/>
          <w:sz w:val="18"/>
          <w:szCs w:val="18"/>
          <w:lang w:val="sq-AL"/>
        </w:rPr>
        <w:t>22</w:t>
      </w:r>
      <w:r w:rsidRPr="00476D2E">
        <w:rPr>
          <w:rFonts w:cs="Calibri"/>
          <w:i/>
          <w:iCs/>
          <w:noProof/>
          <w:color w:val="17406D" w:themeColor="text2"/>
          <w:sz w:val="18"/>
          <w:szCs w:val="18"/>
          <w:lang w:val="sq-AL"/>
        </w:rPr>
        <w:fldChar w:fldCharType="end"/>
      </w:r>
      <w:r w:rsidRPr="00476D2E">
        <w:rPr>
          <w:rFonts w:cs="Calibri"/>
          <w:i/>
          <w:iCs/>
          <w:color w:val="17406D" w:themeColor="text2"/>
          <w:sz w:val="18"/>
          <w:szCs w:val="18"/>
          <w:lang w:val="sq-AL"/>
        </w:rPr>
        <w:t xml:space="preserve"> Realizimi i buxhetit 202</w:t>
      </w:r>
      <w:r w:rsidR="00BD1FA0">
        <w:rPr>
          <w:rFonts w:cs="Calibri"/>
          <w:i/>
          <w:iCs/>
          <w:color w:val="17406D" w:themeColor="text2"/>
          <w:sz w:val="18"/>
          <w:szCs w:val="18"/>
          <w:lang w:val="sq-AL"/>
        </w:rPr>
        <w:t>1</w:t>
      </w:r>
      <w:r w:rsidRPr="00476D2E">
        <w:rPr>
          <w:rFonts w:cs="Calibri"/>
          <w:i/>
          <w:iCs/>
          <w:color w:val="17406D" w:themeColor="text2"/>
          <w:sz w:val="18"/>
          <w:szCs w:val="18"/>
          <w:lang w:val="sq-AL"/>
        </w:rPr>
        <w:t xml:space="preserve"> për Ministrinë e Arsimit, Sportit dhe Rinisë (në mijë lekë)</w:t>
      </w:r>
      <w:bookmarkEnd w:id="242"/>
    </w:p>
    <w:tbl>
      <w:tblPr>
        <w:tblW w:w="5254"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1"/>
        <w:gridCol w:w="1276"/>
        <w:gridCol w:w="1278"/>
        <w:gridCol w:w="1290"/>
        <w:gridCol w:w="1320"/>
        <w:gridCol w:w="1293"/>
        <w:gridCol w:w="1522"/>
      </w:tblGrid>
      <w:tr w:rsidR="00D0519A" w:rsidRPr="00476D2E" w:rsidTr="00D0519A">
        <w:trPr>
          <w:trHeight w:val="223"/>
          <w:jc w:val="center"/>
        </w:trPr>
        <w:tc>
          <w:tcPr>
            <w:tcW w:w="1247" w:type="pct"/>
            <w:shd w:val="clear" w:color="auto" w:fill="0B5294" w:themeFill="accent1" w:themeFillShade="BF"/>
            <w:vAlign w:val="center"/>
            <w:hideMark/>
          </w:tcPr>
          <w:p w:rsidR="00D0519A" w:rsidRPr="00476D2E" w:rsidRDefault="00D0519A" w:rsidP="00D0519A">
            <w:pPr>
              <w:spacing w:before="0" w:line="240" w:lineRule="auto"/>
              <w:jc w:val="center"/>
              <w:rPr>
                <w:rFonts w:cs="Calibri"/>
                <w:b/>
                <w:bCs/>
                <w:color w:val="000000"/>
                <w:sz w:val="18"/>
                <w:szCs w:val="18"/>
                <w:lang w:val="sq-AL" w:eastAsia="sq-AL"/>
              </w:rPr>
            </w:pPr>
            <w:r w:rsidRPr="00476D2E">
              <w:rPr>
                <w:rFonts w:cs="Calibri"/>
                <w:color w:val="FFFFFF" w:themeColor="background1"/>
                <w:sz w:val="18"/>
                <w:szCs w:val="18"/>
              </w:rPr>
              <w:t>Programi buxhetor</w:t>
            </w:r>
          </w:p>
        </w:tc>
        <w:tc>
          <w:tcPr>
            <w:tcW w:w="600" w:type="pct"/>
            <w:shd w:val="clear" w:color="auto" w:fill="0B5294" w:themeFill="accent1" w:themeFillShade="BF"/>
            <w:vAlign w:val="center"/>
          </w:tcPr>
          <w:p w:rsidR="00D0519A" w:rsidRPr="00476D2E" w:rsidRDefault="00D0519A" w:rsidP="00D0519A">
            <w:pPr>
              <w:spacing w:before="0" w:line="240" w:lineRule="auto"/>
              <w:jc w:val="center"/>
              <w:rPr>
                <w:rFonts w:cs="Calibri"/>
                <w:b/>
                <w:bCs/>
                <w:color w:val="000000"/>
                <w:sz w:val="18"/>
                <w:szCs w:val="18"/>
                <w:lang w:val="sq-AL" w:eastAsia="sq-AL"/>
              </w:rPr>
            </w:pPr>
            <w:r>
              <w:rPr>
                <w:rFonts w:cs="Calibri"/>
                <w:b/>
                <w:bCs/>
                <w:color w:val="FFFFFF" w:themeColor="background1"/>
                <w:sz w:val="18"/>
                <w:szCs w:val="18"/>
              </w:rPr>
              <w:t>Fakti viti 2020</w:t>
            </w:r>
          </w:p>
        </w:tc>
        <w:tc>
          <w:tcPr>
            <w:tcW w:w="601" w:type="pct"/>
            <w:shd w:val="clear" w:color="auto" w:fill="0B5294" w:themeFill="accent1" w:themeFillShade="BF"/>
            <w:vAlign w:val="center"/>
          </w:tcPr>
          <w:p w:rsidR="00D0519A" w:rsidRPr="00476D2E" w:rsidRDefault="00D0519A" w:rsidP="00D0519A">
            <w:pPr>
              <w:spacing w:before="0" w:line="240" w:lineRule="auto"/>
              <w:jc w:val="center"/>
              <w:rPr>
                <w:rFonts w:cs="Calibri"/>
                <w:b/>
                <w:bCs/>
                <w:color w:val="FFFFFF" w:themeColor="background1"/>
                <w:sz w:val="18"/>
                <w:szCs w:val="18"/>
              </w:rPr>
            </w:pPr>
            <w:r w:rsidRPr="00476D2E">
              <w:rPr>
                <w:rFonts w:cs="Calibri"/>
                <w:b/>
                <w:bCs/>
                <w:color w:val="FFFFFF" w:themeColor="background1"/>
                <w:sz w:val="18"/>
                <w:szCs w:val="18"/>
              </w:rPr>
              <w:t>Buxheti vjetor</w:t>
            </w:r>
          </w:p>
          <w:p w:rsidR="00D0519A" w:rsidRPr="00476D2E" w:rsidRDefault="00D0519A" w:rsidP="00D0519A">
            <w:pPr>
              <w:spacing w:before="0" w:line="240" w:lineRule="auto"/>
              <w:jc w:val="center"/>
              <w:rPr>
                <w:rFonts w:cs="Calibri"/>
                <w:b/>
                <w:bCs/>
                <w:color w:val="000000"/>
                <w:sz w:val="18"/>
                <w:szCs w:val="18"/>
                <w:lang w:val="sq-AL" w:eastAsia="sq-AL"/>
              </w:rPr>
            </w:pPr>
            <w:r>
              <w:rPr>
                <w:rFonts w:cs="Calibri"/>
                <w:b/>
                <w:bCs/>
                <w:color w:val="FFFFFF" w:themeColor="background1"/>
                <w:sz w:val="18"/>
                <w:szCs w:val="18"/>
              </w:rPr>
              <w:t>Plan fillestar 2021</w:t>
            </w:r>
          </w:p>
        </w:tc>
        <w:tc>
          <w:tcPr>
            <w:tcW w:w="607" w:type="pct"/>
            <w:shd w:val="clear" w:color="auto" w:fill="0B5294" w:themeFill="accent1" w:themeFillShade="BF"/>
            <w:vAlign w:val="center"/>
            <w:hideMark/>
          </w:tcPr>
          <w:p w:rsidR="00D0519A" w:rsidRPr="00476D2E" w:rsidRDefault="00D0519A" w:rsidP="00D0519A">
            <w:pPr>
              <w:spacing w:before="0" w:line="240" w:lineRule="auto"/>
              <w:jc w:val="center"/>
              <w:rPr>
                <w:rFonts w:cs="Calibri"/>
                <w:b/>
                <w:bCs/>
                <w:color w:val="FFFFFF" w:themeColor="background1"/>
                <w:sz w:val="18"/>
                <w:szCs w:val="18"/>
              </w:rPr>
            </w:pPr>
            <w:r w:rsidRPr="00476D2E">
              <w:rPr>
                <w:rFonts w:cs="Calibri"/>
                <w:b/>
                <w:bCs/>
                <w:color w:val="FFFFFF" w:themeColor="background1"/>
                <w:sz w:val="18"/>
                <w:szCs w:val="18"/>
              </w:rPr>
              <w:t>Buxheti vjetor</w:t>
            </w:r>
          </w:p>
          <w:p w:rsidR="00D0519A" w:rsidRPr="00476D2E" w:rsidRDefault="00D0519A" w:rsidP="00D0519A">
            <w:pPr>
              <w:spacing w:before="0" w:line="240" w:lineRule="auto"/>
              <w:jc w:val="center"/>
              <w:rPr>
                <w:rFonts w:cs="Calibri"/>
                <w:b/>
                <w:bCs/>
                <w:color w:val="000000"/>
                <w:sz w:val="18"/>
                <w:szCs w:val="18"/>
                <w:lang w:val="sq-AL" w:eastAsia="sq-AL"/>
              </w:rPr>
            </w:pPr>
            <w:r>
              <w:rPr>
                <w:rFonts w:cs="Calibri"/>
                <w:b/>
                <w:bCs/>
                <w:color w:val="FFFFFF" w:themeColor="background1"/>
                <w:sz w:val="18"/>
                <w:szCs w:val="18"/>
              </w:rPr>
              <w:t>Plan i rishikuar 2021</w:t>
            </w:r>
          </w:p>
        </w:tc>
        <w:tc>
          <w:tcPr>
            <w:tcW w:w="621" w:type="pct"/>
            <w:shd w:val="clear" w:color="auto" w:fill="0B5294" w:themeFill="accent1" w:themeFillShade="BF"/>
            <w:vAlign w:val="center"/>
            <w:hideMark/>
          </w:tcPr>
          <w:p w:rsidR="00D0519A" w:rsidRPr="00476D2E" w:rsidRDefault="00D0519A" w:rsidP="00D0519A">
            <w:pPr>
              <w:spacing w:before="0" w:line="240" w:lineRule="auto"/>
              <w:jc w:val="center"/>
              <w:rPr>
                <w:rFonts w:cs="Calibri"/>
                <w:b/>
                <w:bCs/>
                <w:color w:val="000000"/>
                <w:sz w:val="18"/>
                <w:szCs w:val="18"/>
                <w:lang w:val="sq-AL" w:eastAsia="sq-AL"/>
              </w:rPr>
            </w:pPr>
            <w:r>
              <w:rPr>
                <w:rFonts w:cs="Calibri"/>
                <w:b/>
                <w:bCs/>
                <w:color w:val="FFFFFF" w:themeColor="background1"/>
                <w:sz w:val="18"/>
                <w:szCs w:val="18"/>
              </w:rPr>
              <w:t>Realizimi faktik 2021</w:t>
            </w:r>
          </w:p>
        </w:tc>
        <w:tc>
          <w:tcPr>
            <w:tcW w:w="608" w:type="pct"/>
            <w:shd w:val="clear" w:color="auto" w:fill="0B5294" w:themeFill="accent1" w:themeFillShade="BF"/>
            <w:vAlign w:val="center"/>
            <w:hideMark/>
          </w:tcPr>
          <w:p w:rsidR="00D0519A" w:rsidRPr="00476D2E" w:rsidRDefault="00D0519A" w:rsidP="00D0519A">
            <w:pPr>
              <w:spacing w:before="0" w:line="240" w:lineRule="auto"/>
              <w:jc w:val="center"/>
              <w:rPr>
                <w:rFonts w:cs="Calibri"/>
                <w:b/>
                <w:bCs/>
                <w:color w:val="000000"/>
                <w:sz w:val="18"/>
                <w:szCs w:val="18"/>
                <w:lang w:val="sq-AL" w:eastAsia="sq-AL"/>
              </w:rPr>
            </w:pPr>
            <w:r w:rsidRPr="00476D2E">
              <w:rPr>
                <w:rFonts w:cs="Calibri"/>
                <w:b/>
                <w:bCs/>
                <w:color w:val="FFFFFF" w:themeColor="background1"/>
                <w:sz w:val="18"/>
                <w:szCs w:val="18"/>
              </w:rPr>
              <w:t>Diferenca në % me planin fillestar</w:t>
            </w:r>
          </w:p>
        </w:tc>
        <w:tc>
          <w:tcPr>
            <w:tcW w:w="716" w:type="pct"/>
            <w:shd w:val="clear" w:color="auto" w:fill="0B5294" w:themeFill="accent1" w:themeFillShade="BF"/>
            <w:vAlign w:val="center"/>
            <w:hideMark/>
          </w:tcPr>
          <w:p w:rsidR="00D0519A" w:rsidRPr="00476D2E" w:rsidRDefault="00D0519A" w:rsidP="00D0519A">
            <w:pPr>
              <w:spacing w:before="0" w:line="240" w:lineRule="auto"/>
              <w:jc w:val="center"/>
              <w:rPr>
                <w:rFonts w:cs="Calibri"/>
                <w:b/>
                <w:bCs/>
                <w:color w:val="000000"/>
                <w:sz w:val="18"/>
                <w:szCs w:val="18"/>
                <w:lang w:val="sq-AL" w:eastAsia="sq-AL"/>
              </w:rPr>
            </w:pPr>
            <w:r w:rsidRPr="00476D2E">
              <w:rPr>
                <w:rFonts w:cs="Calibri"/>
                <w:color w:val="FFFFFF" w:themeColor="background1"/>
                <w:sz w:val="18"/>
                <w:szCs w:val="18"/>
              </w:rPr>
              <w:t>Diferenca në % me planin e rishikuar</w:t>
            </w:r>
          </w:p>
        </w:tc>
      </w:tr>
      <w:tr w:rsidR="00D0519A" w:rsidRPr="00D0519A" w:rsidTr="00D0519A">
        <w:trPr>
          <w:trHeight w:val="350"/>
          <w:jc w:val="center"/>
        </w:trPr>
        <w:tc>
          <w:tcPr>
            <w:tcW w:w="1247" w:type="pct"/>
            <w:shd w:val="clear" w:color="auto" w:fill="auto"/>
            <w:vAlign w:val="center"/>
            <w:hideMark/>
          </w:tcPr>
          <w:p w:rsidR="00D0519A" w:rsidRPr="00476D2E" w:rsidRDefault="00D0519A" w:rsidP="00D0519A">
            <w:pPr>
              <w:spacing w:before="0" w:line="240" w:lineRule="auto"/>
              <w:jc w:val="center"/>
              <w:rPr>
                <w:rFonts w:cs="Calibri"/>
                <w:color w:val="000000"/>
                <w:sz w:val="18"/>
                <w:szCs w:val="18"/>
                <w:lang w:val="sq-AL" w:eastAsia="sq-AL"/>
              </w:rPr>
            </w:pPr>
            <w:r w:rsidRPr="00476D2E">
              <w:rPr>
                <w:rFonts w:cs="Calibri"/>
                <w:color w:val="000000"/>
                <w:sz w:val="18"/>
                <w:szCs w:val="18"/>
                <w:lang w:val="sq-AL" w:eastAsia="sq-AL"/>
              </w:rPr>
              <w:t>Planifikimi, Menaxhimi dhe Administrimi</w:t>
            </w:r>
          </w:p>
        </w:tc>
        <w:tc>
          <w:tcPr>
            <w:tcW w:w="600" w:type="pct"/>
          </w:tcPr>
          <w:p w:rsidR="00D0519A" w:rsidRPr="00D0519A" w:rsidRDefault="00D0519A" w:rsidP="00D0519A">
            <w:pPr>
              <w:spacing w:before="0" w:line="240" w:lineRule="auto"/>
              <w:jc w:val="center"/>
              <w:rPr>
                <w:rFonts w:cs="Calibri"/>
                <w:color w:val="000000"/>
                <w:sz w:val="18"/>
                <w:szCs w:val="18"/>
                <w:lang w:val="sq-AL" w:eastAsia="sq-AL"/>
              </w:rPr>
            </w:pPr>
          </w:p>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616 731</w:t>
            </w:r>
          </w:p>
        </w:tc>
        <w:tc>
          <w:tcPr>
            <w:tcW w:w="601" w:type="pct"/>
          </w:tcPr>
          <w:p w:rsidR="00D0519A" w:rsidRPr="00D0519A" w:rsidRDefault="00D0519A" w:rsidP="00D0519A">
            <w:pPr>
              <w:spacing w:before="0" w:line="240" w:lineRule="auto"/>
              <w:jc w:val="center"/>
              <w:rPr>
                <w:rFonts w:cs="Calibri"/>
                <w:color w:val="000000"/>
                <w:sz w:val="18"/>
                <w:szCs w:val="18"/>
                <w:lang w:val="sq-AL" w:eastAsia="sq-AL"/>
              </w:rPr>
            </w:pPr>
          </w:p>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722,000</w:t>
            </w:r>
          </w:p>
        </w:tc>
        <w:tc>
          <w:tcPr>
            <w:tcW w:w="607" w:type="pct"/>
            <w:shd w:val="clear" w:color="auto" w:fill="auto"/>
            <w:vAlign w:val="bottom"/>
          </w:tcPr>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739,003</w:t>
            </w:r>
          </w:p>
        </w:tc>
        <w:tc>
          <w:tcPr>
            <w:tcW w:w="621" w:type="pct"/>
            <w:shd w:val="clear" w:color="auto" w:fill="auto"/>
          </w:tcPr>
          <w:p w:rsidR="00D0519A" w:rsidRPr="00D0519A" w:rsidRDefault="00D0519A" w:rsidP="00D0519A">
            <w:pPr>
              <w:spacing w:before="0" w:line="240" w:lineRule="auto"/>
              <w:jc w:val="center"/>
              <w:rPr>
                <w:rFonts w:cs="Calibri"/>
                <w:color w:val="000000"/>
                <w:sz w:val="18"/>
                <w:szCs w:val="18"/>
                <w:lang w:val="sq-AL" w:eastAsia="sq-AL"/>
              </w:rPr>
            </w:pPr>
          </w:p>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724,423</w:t>
            </w:r>
          </w:p>
        </w:tc>
        <w:tc>
          <w:tcPr>
            <w:tcW w:w="608" w:type="pct"/>
            <w:shd w:val="clear" w:color="auto" w:fill="auto"/>
            <w:vAlign w:val="bottom"/>
          </w:tcPr>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100.3%</w:t>
            </w:r>
          </w:p>
        </w:tc>
        <w:tc>
          <w:tcPr>
            <w:tcW w:w="716" w:type="pct"/>
            <w:shd w:val="clear" w:color="auto" w:fill="auto"/>
          </w:tcPr>
          <w:p w:rsidR="00D0519A" w:rsidRPr="00D0519A" w:rsidRDefault="00D0519A" w:rsidP="00D0519A">
            <w:pPr>
              <w:spacing w:before="0" w:line="240" w:lineRule="auto"/>
              <w:jc w:val="center"/>
              <w:rPr>
                <w:rFonts w:cs="Calibri"/>
                <w:color w:val="000000"/>
                <w:sz w:val="18"/>
                <w:szCs w:val="18"/>
                <w:lang w:val="sq-AL" w:eastAsia="sq-AL"/>
              </w:rPr>
            </w:pPr>
          </w:p>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98.03%</w:t>
            </w:r>
          </w:p>
        </w:tc>
      </w:tr>
      <w:tr w:rsidR="00D0519A" w:rsidRPr="00D0519A" w:rsidTr="00D0519A">
        <w:trPr>
          <w:trHeight w:val="350"/>
          <w:jc w:val="center"/>
        </w:trPr>
        <w:tc>
          <w:tcPr>
            <w:tcW w:w="1247" w:type="pct"/>
            <w:shd w:val="clear" w:color="auto" w:fill="auto"/>
            <w:vAlign w:val="center"/>
            <w:hideMark/>
          </w:tcPr>
          <w:p w:rsidR="00D0519A" w:rsidRPr="00476D2E" w:rsidRDefault="00D0519A" w:rsidP="00D0519A">
            <w:pPr>
              <w:spacing w:before="0" w:line="240" w:lineRule="auto"/>
              <w:jc w:val="center"/>
              <w:rPr>
                <w:rFonts w:cs="Calibri"/>
                <w:color w:val="000000"/>
                <w:sz w:val="18"/>
                <w:szCs w:val="18"/>
                <w:lang w:val="sq-AL" w:eastAsia="sq-AL"/>
              </w:rPr>
            </w:pPr>
            <w:r w:rsidRPr="00476D2E">
              <w:rPr>
                <w:rFonts w:cs="Calibri"/>
                <w:color w:val="000000"/>
                <w:sz w:val="18"/>
                <w:szCs w:val="18"/>
                <w:lang w:val="sq-AL" w:eastAsia="sq-AL"/>
              </w:rPr>
              <w:t>Arsimi Baze (përfshire parashkollorin)</w:t>
            </w:r>
          </w:p>
        </w:tc>
        <w:tc>
          <w:tcPr>
            <w:tcW w:w="600" w:type="pct"/>
          </w:tcPr>
          <w:p w:rsidR="00D0519A" w:rsidRPr="00D0519A" w:rsidRDefault="00D0519A" w:rsidP="00D0519A">
            <w:pPr>
              <w:spacing w:before="0" w:line="240" w:lineRule="auto"/>
              <w:jc w:val="center"/>
              <w:rPr>
                <w:rFonts w:cs="Calibri"/>
                <w:color w:val="000000"/>
                <w:sz w:val="18"/>
                <w:szCs w:val="18"/>
                <w:lang w:val="sq-AL" w:eastAsia="sq-AL"/>
              </w:rPr>
            </w:pPr>
          </w:p>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22 147 728</w:t>
            </w:r>
          </w:p>
        </w:tc>
        <w:tc>
          <w:tcPr>
            <w:tcW w:w="601" w:type="pct"/>
          </w:tcPr>
          <w:p w:rsidR="00D0519A" w:rsidRPr="00D0519A" w:rsidRDefault="00D0519A" w:rsidP="00D0519A">
            <w:pPr>
              <w:spacing w:before="0" w:line="240" w:lineRule="auto"/>
              <w:jc w:val="center"/>
              <w:rPr>
                <w:rFonts w:cs="Calibri"/>
                <w:color w:val="000000"/>
                <w:sz w:val="18"/>
                <w:szCs w:val="18"/>
                <w:lang w:val="sq-AL" w:eastAsia="sq-AL"/>
              </w:rPr>
            </w:pPr>
          </w:p>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22,792,076</w:t>
            </w:r>
          </w:p>
        </w:tc>
        <w:tc>
          <w:tcPr>
            <w:tcW w:w="607" w:type="pct"/>
            <w:shd w:val="clear" w:color="auto" w:fill="auto"/>
            <w:vAlign w:val="bottom"/>
          </w:tcPr>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23,898,770</w:t>
            </w:r>
          </w:p>
        </w:tc>
        <w:tc>
          <w:tcPr>
            <w:tcW w:w="621" w:type="pct"/>
            <w:shd w:val="clear" w:color="auto" w:fill="auto"/>
          </w:tcPr>
          <w:p w:rsidR="00D0519A" w:rsidRPr="00D0519A" w:rsidRDefault="00D0519A" w:rsidP="00D0519A">
            <w:pPr>
              <w:spacing w:before="0" w:line="240" w:lineRule="auto"/>
              <w:jc w:val="center"/>
              <w:rPr>
                <w:rFonts w:cs="Calibri"/>
                <w:color w:val="000000"/>
                <w:sz w:val="18"/>
                <w:szCs w:val="18"/>
                <w:lang w:val="sq-AL" w:eastAsia="sq-AL"/>
              </w:rPr>
            </w:pPr>
          </w:p>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23,727,060</w:t>
            </w:r>
          </w:p>
        </w:tc>
        <w:tc>
          <w:tcPr>
            <w:tcW w:w="608" w:type="pct"/>
            <w:shd w:val="clear" w:color="auto" w:fill="auto"/>
            <w:vAlign w:val="bottom"/>
          </w:tcPr>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104.1%</w:t>
            </w:r>
          </w:p>
        </w:tc>
        <w:tc>
          <w:tcPr>
            <w:tcW w:w="716" w:type="pct"/>
            <w:shd w:val="clear" w:color="auto" w:fill="auto"/>
          </w:tcPr>
          <w:p w:rsidR="00D0519A" w:rsidRPr="00D0519A" w:rsidRDefault="00D0519A" w:rsidP="00D0519A">
            <w:pPr>
              <w:spacing w:before="0" w:line="240" w:lineRule="auto"/>
              <w:jc w:val="center"/>
              <w:rPr>
                <w:rFonts w:cs="Calibri"/>
                <w:color w:val="000000"/>
                <w:sz w:val="18"/>
                <w:szCs w:val="18"/>
                <w:lang w:val="sq-AL" w:eastAsia="sq-AL"/>
              </w:rPr>
            </w:pPr>
          </w:p>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99.28%</w:t>
            </w:r>
          </w:p>
        </w:tc>
      </w:tr>
      <w:tr w:rsidR="00D0519A" w:rsidRPr="00D0519A" w:rsidTr="00D0519A">
        <w:trPr>
          <w:trHeight w:val="347"/>
          <w:jc w:val="center"/>
        </w:trPr>
        <w:tc>
          <w:tcPr>
            <w:tcW w:w="1247" w:type="pct"/>
            <w:shd w:val="clear" w:color="auto" w:fill="auto"/>
            <w:vAlign w:val="center"/>
            <w:hideMark/>
          </w:tcPr>
          <w:p w:rsidR="00D0519A" w:rsidRPr="00476D2E" w:rsidRDefault="00D0519A" w:rsidP="00D0519A">
            <w:pPr>
              <w:spacing w:before="0" w:line="240" w:lineRule="auto"/>
              <w:jc w:val="center"/>
              <w:rPr>
                <w:rFonts w:cs="Calibri"/>
                <w:color w:val="000000"/>
                <w:sz w:val="18"/>
                <w:szCs w:val="18"/>
                <w:lang w:val="sq-AL" w:eastAsia="sq-AL"/>
              </w:rPr>
            </w:pPr>
            <w:r w:rsidRPr="00476D2E">
              <w:rPr>
                <w:rFonts w:cs="Calibri"/>
                <w:color w:val="000000"/>
                <w:sz w:val="18"/>
                <w:szCs w:val="18"/>
                <w:lang w:val="sq-AL" w:eastAsia="sq-AL"/>
              </w:rPr>
              <w:t>Arsimi i Mesëm (i përgjithshëm)</w:t>
            </w:r>
          </w:p>
        </w:tc>
        <w:tc>
          <w:tcPr>
            <w:tcW w:w="600" w:type="pct"/>
          </w:tcPr>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6 834 684</w:t>
            </w:r>
          </w:p>
        </w:tc>
        <w:tc>
          <w:tcPr>
            <w:tcW w:w="601" w:type="pct"/>
          </w:tcPr>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7,199,000</w:t>
            </w:r>
          </w:p>
        </w:tc>
        <w:tc>
          <w:tcPr>
            <w:tcW w:w="607" w:type="pct"/>
            <w:shd w:val="clear" w:color="auto" w:fill="auto"/>
            <w:vAlign w:val="bottom"/>
          </w:tcPr>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6,870,417</w:t>
            </w:r>
          </w:p>
        </w:tc>
        <w:tc>
          <w:tcPr>
            <w:tcW w:w="621" w:type="pct"/>
            <w:shd w:val="clear" w:color="auto" w:fill="auto"/>
          </w:tcPr>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6,791,421</w:t>
            </w:r>
          </w:p>
        </w:tc>
        <w:tc>
          <w:tcPr>
            <w:tcW w:w="608" w:type="pct"/>
            <w:shd w:val="clear" w:color="auto" w:fill="auto"/>
            <w:vAlign w:val="bottom"/>
          </w:tcPr>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94.3%</w:t>
            </w:r>
          </w:p>
        </w:tc>
        <w:tc>
          <w:tcPr>
            <w:tcW w:w="716" w:type="pct"/>
            <w:shd w:val="clear" w:color="auto" w:fill="auto"/>
          </w:tcPr>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98.85%</w:t>
            </w:r>
          </w:p>
        </w:tc>
      </w:tr>
      <w:tr w:rsidR="00D0519A" w:rsidRPr="00D0519A" w:rsidTr="00D0519A">
        <w:trPr>
          <w:trHeight w:val="223"/>
          <w:jc w:val="center"/>
        </w:trPr>
        <w:tc>
          <w:tcPr>
            <w:tcW w:w="1247" w:type="pct"/>
            <w:shd w:val="clear" w:color="auto" w:fill="auto"/>
            <w:vAlign w:val="center"/>
            <w:hideMark/>
          </w:tcPr>
          <w:p w:rsidR="00D0519A" w:rsidRPr="00476D2E" w:rsidRDefault="00D0519A" w:rsidP="00D0519A">
            <w:pPr>
              <w:spacing w:before="0" w:line="240" w:lineRule="auto"/>
              <w:jc w:val="center"/>
              <w:rPr>
                <w:rFonts w:cs="Calibri"/>
                <w:color w:val="000000"/>
                <w:sz w:val="18"/>
                <w:szCs w:val="18"/>
                <w:lang w:val="sq-AL" w:eastAsia="sq-AL"/>
              </w:rPr>
            </w:pPr>
            <w:r w:rsidRPr="00476D2E">
              <w:rPr>
                <w:rFonts w:cs="Calibri"/>
                <w:color w:val="000000"/>
                <w:sz w:val="18"/>
                <w:szCs w:val="18"/>
                <w:lang w:val="sq-AL" w:eastAsia="sq-AL"/>
              </w:rPr>
              <w:t>Arsimi Universitar</w:t>
            </w:r>
          </w:p>
        </w:tc>
        <w:tc>
          <w:tcPr>
            <w:tcW w:w="600" w:type="pct"/>
          </w:tcPr>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8 812 526</w:t>
            </w:r>
          </w:p>
        </w:tc>
        <w:tc>
          <w:tcPr>
            <w:tcW w:w="601" w:type="pct"/>
          </w:tcPr>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10,096,000</w:t>
            </w:r>
          </w:p>
        </w:tc>
        <w:tc>
          <w:tcPr>
            <w:tcW w:w="607" w:type="pct"/>
            <w:shd w:val="clear" w:color="auto" w:fill="auto"/>
            <w:vAlign w:val="bottom"/>
          </w:tcPr>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11,040,485</w:t>
            </w:r>
          </w:p>
        </w:tc>
        <w:tc>
          <w:tcPr>
            <w:tcW w:w="621" w:type="pct"/>
            <w:shd w:val="clear" w:color="auto" w:fill="auto"/>
          </w:tcPr>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9,187,674</w:t>
            </w:r>
          </w:p>
        </w:tc>
        <w:tc>
          <w:tcPr>
            <w:tcW w:w="608" w:type="pct"/>
            <w:shd w:val="clear" w:color="auto" w:fill="auto"/>
            <w:vAlign w:val="bottom"/>
          </w:tcPr>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91.0%</w:t>
            </w:r>
          </w:p>
        </w:tc>
        <w:tc>
          <w:tcPr>
            <w:tcW w:w="716" w:type="pct"/>
            <w:shd w:val="clear" w:color="auto" w:fill="auto"/>
          </w:tcPr>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83.22%</w:t>
            </w:r>
          </w:p>
        </w:tc>
      </w:tr>
      <w:tr w:rsidR="00D0519A" w:rsidRPr="00D0519A" w:rsidTr="00D0519A">
        <w:trPr>
          <w:trHeight w:val="223"/>
          <w:jc w:val="center"/>
        </w:trPr>
        <w:tc>
          <w:tcPr>
            <w:tcW w:w="1247" w:type="pct"/>
            <w:shd w:val="clear" w:color="auto" w:fill="auto"/>
            <w:vAlign w:val="center"/>
            <w:hideMark/>
          </w:tcPr>
          <w:p w:rsidR="00D0519A" w:rsidRPr="00476D2E" w:rsidRDefault="00D0519A" w:rsidP="00D0519A">
            <w:pPr>
              <w:spacing w:before="0" w:line="240" w:lineRule="auto"/>
              <w:jc w:val="center"/>
              <w:rPr>
                <w:rFonts w:cs="Calibri"/>
                <w:color w:val="000000"/>
                <w:sz w:val="18"/>
                <w:szCs w:val="18"/>
                <w:lang w:val="sq-AL" w:eastAsia="sq-AL"/>
              </w:rPr>
            </w:pPr>
            <w:r w:rsidRPr="00476D2E">
              <w:rPr>
                <w:rFonts w:cs="Calibri"/>
                <w:color w:val="000000"/>
                <w:sz w:val="18"/>
                <w:szCs w:val="18"/>
                <w:lang w:val="sq-AL" w:eastAsia="sq-AL"/>
              </w:rPr>
              <w:t>Fonde për Shkencën</w:t>
            </w:r>
          </w:p>
        </w:tc>
        <w:tc>
          <w:tcPr>
            <w:tcW w:w="600" w:type="pct"/>
          </w:tcPr>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614 895</w:t>
            </w:r>
          </w:p>
        </w:tc>
        <w:tc>
          <w:tcPr>
            <w:tcW w:w="601" w:type="pct"/>
          </w:tcPr>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680,000</w:t>
            </w:r>
          </w:p>
        </w:tc>
        <w:tc>
          <w:tcPr>
            <w:tcW w:w="607" w:type="pct"/>
            <w:shd w:val="clear" w:color="auto" w:fill="auto"/>
            <w:vAlign w:val="bottom"/>
          </w:tcPr>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702,015</w:t>
            </w:r>
          </w:p>
        </w:tc>
        <w:tc>
          <w:tcPr>
            <w:tcW w:w="621" w:type="pct"/>
            <w:shd w:val="clear" w:color="auto" w:fill="auto"/>
          </w:tcPr>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398,245</w:t>
            </w:r>
          </w:p>
        </w:tc>
        <w:tc>
          <w:tcPr>
            <w:tcW w:w="608" w:type="pct"/>
            <w:shd w:val="clear" w:color="auto" w:fill="auto"/>
            <w:vAlign w:val="bottom"/>
          </w:tcPr>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58.6%</w:t>
            </w:r>
          </w:p>
        </w:tc>
        <w:tc>
          <w:tcPr>
            <w:tcW w:w="716" w:type="pct"/>
            <w:shd w:val="clear" w:color="auto" w:fill="auto"/>
          </w:tcPr>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56.73%</w:t>
            </w:r>
          </w:p>
        </w:tc>
      </w:tr>
      <w:tr w:rsidR="00D0519A" w:rsidRPr="00D0519A" w:rsidTr="00D0519A">
        <w:trPr>
          <w:trHeight w:val="223"/>
          <w:jc w:val="center"/>
        </w:trPr>
        <w:tc>
          <w:tcPr>
            <w:tcW w:w="1247" w:type="pct"/>
            <w:shd w:val="clear" w:color="auto" w:fill="auto"/>
            <w:vAlign w:val="center"/>
            <w:hideMark/>
          </w:tcPr>
          <w:p w:rsidR="00D0519A" w:rsidRPr="00476D2E" w:rsidRDefault="00D0519A" w:rsidP="00D0519A">
            <w:pPr>
              <w:spacing w:before="0" w:line="240" w:lineRule="auto"/>
              <w:jc w:val="center"/>
              <w:rPr>
                <w:rFonts w:cs="Calibri"/>
                <w:color w:val="000000"/>
                <w:sz w:val="18"/>
                <w:szCs w:val="18"/>
                <w:lang w:val="sq-AL" w:eastAsia="sq-AL"/>
              </w:rPr>
            </w:pPr>
            <w:r w:rsidRPr="00476D2E">
              <w:rPr>
                <w:rFonts w:cs="Calibri"/>
                <w:color w:val="000000"/>
                <w:sz w:val="18"/>
                <w:szCs w:val="18"/>
                <w:lang w:val="sq-AL" w:eastAsia="sq-AL"/>
              </w:rPr>
              <w:t>Zhvillimi i Sportit dhe Rinise</w:t>
            </w:r>
          </w:p>
        </w:tc>
        <w:tc>
          <w:tcPr>
            <w:tcW w:w="600" w:type="pct"/>
          </w:tcPr>
          <w:p w:rsidR="00D0519A" w:rsidRPr="00D0519A" w:rsidRDefault="00D0519A" w:rsidP="00D0519A">
            <w:pPr>
              <w:spacing w:before="0" w:line="240" w:lineRule="auto"/>
              <w:jc w:val="center"/>
              <w:rPr>
                <w:rFonts w:cs="Calibri"/>
                <w:color w:val="000000"/>
                <w:sz w:val="18"/>
                <w:szCs w:val="18"/>
                <w:lang w:val="sq-AL" w:eastAsia="sq-AL"/>
              </w:rPr>
            </w:pPr>
          </w:p>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208 474</w:t>
            </w:r>
          </w:p>
        </w:tc>
        <w:tc>
          <w:tcPr>
            <w:tcW w:w="601" w:type="pct"/>
          </w:tcPr>
          <w:p w:rsidR="00D0519A" w:rsidRPr="00D0519A" w:rsidRDefault="00D0519A" w:rsidP="00D0519A">
            <w:pPr>
              <w:spacing w:before="0" w:line="240" w:lineRule="auto"/>
              <w:jc w:val="center"/>
              <w:rPr>
                <w:rFonts w:cs="Calibri"/>
                <w:color w:val="000000"/>
                <w:sz w:val="18"/>
                <w:szCs w:val="18"/>
                <w:lang w:val="sq-AL" w:eastAsia="sq-AL"/>
              </w:rPr>
            </w:pPr>
          </w:p>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725,000</w:t>
            </w:r>
          </w:p>
        </w:tc>
        <w:tc>
          <w:tcPr>
            <w:tcW w:w="607" w:type="pct"/>
            <w:shd w:val="clear" w:color="auto" w:fill="auto"/>
            <w:vAlign w:val="bottom"/>
          </w:tcPr>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1,121,100</w:t>
            </w:r>
          </w:p>
        </w:tc>
        <w:tc>
          <w:tcPr>
            <w:tcW w:w="621" w:type="pct"/>
            <w:shd w:val="clear" w:color="auto" w:fill="auto"/>
          </w:tcPr>
          <w:p w:rsidR="00D0519A" w:rsidRPr="00D0519A" w:rsidRDefault="00D0519A" w:rsidP="00D0519A">
            <w:pPr>
              <w:spacing w:before="0" w:line="240" w:lineRule="auto"/>
              <w:jc w:val="center"/>
              <w:rPr>
                <w:rFonts w:cs="Calibri"/>
                <w:color w:val="000000"/>
                <w:sz w:val="18"/>
                <w:szCs w:val="18"/>
                <w:lang w:val="sq-AL" w:eastAsia="sq-AL"/>
              </w:rPr>
            </w:pPr>
          </w:p>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1,085,705</w:t>
            </w:r>
          </w:p>
        </w:tc>
        <w:tc>
          <w:tcPr>
            <w:tcW w:w="608" w:type="pct"/>
            <w:shd w:val="clear" w:color="auto" w:fill="auto"/>
            <w:vAlign w:val="bottom"/>
          </w:tcPr>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149.8%</w:t>
            </w:r>
          </w:p>
        </w:tc>
        <w:tc>
          <w:tcPr>
            <w:tcW w:w="716" w:type="pct"/>
            <w:shd w:val="clear" w:color="auto" w:fill="auto"/>
          </w:tcPr>
          <w:p w:rsidR="00D0519A" w:rsidRPr="00D0519A" w:rsidRDefault="00D0519A" w:rsidP="00D0519A">
            <w:pPr>
              <w:spacing w:before="0" w:line="240" w:lineRule="auto"/>
              <w:jc w:val="center"/>
              <w:rPr>
                <w:rFonts w:cs="Calibri"/>
                <w:color w:val="000000"/>
                <w:sz w:val="18"/>
                <w:szCs w:val="18"/>
                <w:lang w:val="sq-AL" w:eastAsia="sq-AL"/>
              </w:rPr>
            </w:pPr>
          </w:p>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96.84%</w:t>
            </w:r>
          </w:p>
        </w:tc>
      </w:tr>
      <w:tr w:rsidR="00D0519A" w:rsidRPr="00D0519A" w:rsidTr="00D0519A">
        <w:trPr>
          <w:trHeight w:val="223"/>
          <w:jc w:val="center"/>
        </w:trPr>
        <w:tc>
          <w:tcPr>
            <w:tcW w:w="1247" w:type="pct"/>
            <w:shd w:val="clear" w:color="auto" w:fill="auto"/>
            <w:vAlign w:val="center"/>
          </w:tcPr>
          <w:p w:rsidR="00D0519A" w:rsidRPr="00476D2E" w:rsidRDefault="00D0519A" w:rsidP="00D0519A">
            <w:pPr>
              <w:spacing w:before="0" w:line="240" w:lineRule="auto"/>
              <w:jc w:val="center"/>
              <w:rPr>
                <w:rFonts w:cs="Calibri"/>
                <w:color w:val="000000"/>
                <w:sz w:val="18"/>
                <w:szCs w:val="18"/>
                <w:lang w:val="sq-AL" w:eastAsia="sq-AL"/>
              </w:rPr>
            </w:pPr>
            <w:r w:rsidRPr="00476D2E">
              <w:rPr>
                <w:rFonts w:cs="Calibri"/>
                <w:color w:val="000000"/>
                <w:sz w:val="18"/>
                <w:szCs w:val="18"/>
                <w:lang w:val="sq-AL" w:eastAsia="sq-AL"/>
              </w:rPr>
              <w:t>Grant i trasheguar</w:t>
            </w:r>
          </w:p>
        </w:tc>
        <w:tc>
          <w:tcPr>
            <w:tcW w:w="600" w:type="pct"/>
          </w:tcPr>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w:t>
            </w:r>
          </w:p>
        </w:tc>
        <w:tc>
          <w:tcPr>
            <w:tcW w:w="601" w:type="pct"/>
            <w:vAlign w:val="bottom"/>
          </w:tcPr>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w:t>
            </w:r>
          </w:p>
        </w:tc>
        <w:tc>
          <w:tcPr>
            <w:tcW w:w="607" w:type="pct"/>
            <w:shd w:val="clear" w:color="auto" w:fill="auto"/>
            <w:vAlign w:val="bottom"/>
          </w:tcPr>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1,140,850</w:t>
            </w:r>
          </w:p>
        </w:tc>
        <w:tc>
          <w:tcPr>
            <w:tcW w:w="621" w:type="pct"/>
            <w:shd w:val="clear" w:color="auto" w:fill="auto"/>
            <w:vAlign w:val="bottom"/>
          </w:tcPr>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w:t>
            </w:r>
          </w:p>
        </w:tc>
        <w:tc>
          <w:tcPr>
            <w:tcW w:w="608" w:type="pct"/>
            <w:shd w:val="clear" w:color="auto" w:fill="auto"/>
            <w:vAlign w:val="bottom"/>
          </w:tcPr>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w:t>
            </w:r>
          </w:p>
        </w:tc>
        <w:tc>
          <w:tcPr>
            <w:tcW w:w="716" w:type="pct"/>
            <w:shd w:val="clear" w:color="auto" w:fill="auto"/>
            <w:vAlign w:val="bottom"/>
          </w:tcPr>
          <w:p w:rsidR="00D0519A" w:rsidRPr="00D0519A" w:rsidRDefault="00D0519A" w:rsidP="00D0519A">
            <w:pPr>
              <w:spacing w:before="0" w:line="240" w:lineRule="auto"/>
              <w:jc w:val="center"/>
              <w:rPr>
                <w:rFonts w:cs="Calibri"/>
                <w:color w:val="000000"/>
                <w:sz w:val="18"/>
                <w:szCs w:val="18"/>
                <w:lang w:val="sq-AL" w:eastAsia="sq-AL"/>
              </w:rPr>
            </w:pPr>
            <w:r w:rsidRPr="00D0519A">
              <w:rPr>
                <w:rFonts w:cs="Calibri"/>
                <w:color w:val="000000"/>
                <w:sz w:val="18"/>
                <w:szCs w:val="18"/>
                <w:lang w:val="sq-AL" w:eastAsia="sq-AL"/>
              </w:rPr>
              <w:t>-</w:t>
            </w:r>
          </w:p>
        </w:tc>
      </w:tr>
      <w:tr w:rsidR="00D0519A" w:rsidRPr="00476D2E" w:rsidTr="00D0519A">
        <w:trPr>
          <w:trHeight w:val="223"/>
          <w:jc w:val="center"/>
        </w:trPr>
        <w:tc>
          <w:tcPr>
            <w:tcW w:w="1247" w:type="pct"/>
            <w:shd w:val="clear" w:color="auto" w:fill="auto"/>
            <w:vAlign w:val="center"/>
          </w:tcPr>
          <w:p w:rsidR="00D0519A" w:rsidRPr="00476D2E" w:rsidRDefault="00D0519A" w:rsidP="00D0519A">
            <w:pPr>
              <w:spacing w:before="0" w:line="240" w:lineRule="auto"/>
              <w:jc w:val="center"/>
              <w:rPr>
                <w:rFonts w:cs="Calibri"/>
                <w:b/>
                <w:color w:val="000000"/>
                <w:sz w:val="18"/>
                <w:szCs w:val="18"/>
                <w:lang w:val="sq-AL" w:eastAsia="sq-AL"/>
              </w:rPr>
            </w:pPr>
            <w:r w:rsidRPr="00476D2E">
              <w:rPr>
                <w:rFonts w:cs="Calibri"/>
                <w:b/>
                <w:color w:val="000000"/>
                <w:sz w:val="18"/>
                <w:szCs w:val="18"/>
                <w:lang w:val="sq-AL" w:eastAsia="sq-AL"/>
              </w:rPr>
              <w:t>Gjithsej</w:t>
            </w:r>
          </w:p>
        </w:tc>
        <w:tc>
          <w:tcPr>
            <w:tcW w:w="600" w:type="pct"/>
          </w:tcPr>
          <w:p w:rsidR="00D0519A" w:rsidRPr="00CB2FCF" w:rsidRDefault="00D0519A" w:rsidP="00D0519A">
            <w:pPr>
              <w:spacing w:before="0" w:line="240" w:lineRule="auto"/>
              <w:jc w:val="center"/>
              <w:rPr>
                <w:rFonts w:asciiTheme="majorHAnsi" w:hAnsiTheme="majorHAnsi" w:cstheme="majorHAnsi"/>
                <w:b/>
                <w:sz w:val="18"/>
                <w:szCs w:val="18"/>
              </w:rPr>
            </w:pPr>
          </w:p>
          <w:p w:rsidR="00D0519A" w:rsidRPr="00CB2FCF" w:rsidRDefault="00D0519A" w:rsidP="00D0519A">
            <w:pPr>
              <w:spacing w:before="0" w:line="240" w:lineRule="auto"/>
              <w:jc w:val="center"/>
              <w:rPr>
                <w:rFonts w:asciiTheme="majorHAnsi" w:hAnsiTheme="majorHAnsi" w:cstheme="majorHAnsi"/>
                <w:b/>
                <w:sz w:val="18"/>
                <w:szCs w:val="18"/>
              </w:rPr>
            </w:pPr>
            <w:r w:rsidRPr="00CB2FCF">
              <w:rPr>
                <w:rFonts w:asciiTheme="majorHAnsi" w:hAnsiTheme="majorHAnsi" w:cstheme="majorHAnsi"/>
                <w:b/>
                <w:sz w:val="18"/>
                <w:szCs w:val="18"/>
              </w:rPr>
              <w:t>39 235 038</w:t>
            </w:r>
          </w:p>
        </w:tc>
        <w:tc>
          <w:tcPr>
            <w:tcW w:w="601" w:type="pct"/>
            <w:vAlign w:val="center"/>
          </w:tcPr>
          <w:p w:rsidR="00D0519A" w:rsidRPr="00CB2FCF" w:rsidRDefault="00D0519A" w:rsidP="00D0519A">
            <w:pPr>
              <w:spacing w:before="0" w:line="240" w:lineRule="auto"/>
              <w:jc w:val="center"/>
              <w:rPr>
                <w:rFonts w:asciiTheme="majorHAnsi" w:hAnsiTheme="majorHAnsi" w:cstheme="majorHAnsi"/>
                <w:b/>
                <w:sz w:val="18"/>
                <w:szCs w:val="18"/>
              </w:rPr>
            </w:pPr>
          </w:p>
          <w:p w:rsidR="00D0519A" w:rsidRPr="00CB2FCF" w:rsidRDefault="00D0519A" w:rsidP="00D0519A">
            <w:pPr>
              <w:spacing w:before="0" w:line="240" w:lineRule="auto"/>
              <w:jc w:val="center"/>
              <w:rPr>
                <w:rFonts w:asciiTheme="majorHAnsi" w:hAnsiTheme="majorHAnsi" w:cstheme="majorHAnsi"/>
                <w:b/>
                <w:sz w:val="18"/>
                <w:szCs w:val="18"/>
              </w:rPr>
            </w:pPr>
            <w:r w:rsidRPr="00CB2FCF">
              <w:rPr>
                <w:rFonts w:asciiTheme="majorHAnsi" w:hAnsiTheme="majorHAnsi" w:cstheme="majorHAnsi"/>
                <w:b/>
                <w:sz w:val="18"/>
                <w:szCs w:val="18"/>
              </w:rPr>
              <w:t>42,214,076</w:t>
            </w:r>
          </w:p>
        </w:tc>
        <w:tc>
          <w:tcPr>
            <w:tcW w:w="607" w:type="pct"/>
            <w:shd w:val="clear" w:color="auto" w:fill="auto"/>
            <w:vAlign w:val="center"/>
          </w:tcPr>
          <w:p w:rsidR="00D0519A" w:rsidRPr="00CB2FCF" w:rsidRDefault="00D0519A" w:rsidP="00D0519A">
            <w:pPr>
              <w:spacing w:before="0" w:line="240" w:lineRule="auto"/>
              <w:jc w:val="center"/>
              <w:rPr>
                <w:rFonts w:asciiTheme="majorHAnsi" w:hAnsiTheme="majorHAnsi" w:cstheme="majorHAnsi"/>
                <w:b/>
                <w:sz w:val="18"/>
                <w:szCs w:val="18"/>
              </w:rPr>
            </w:pPr>
          </w:p>
          <w:p w:rsidR="00D0519A" w:rsidRPr="00CB2FCF" w:rsidRDefault="00D0519A" w:rsidP="00D0519A">
            <w:pPr>
              <w:spacing w:before="0" w:line="240" w:lineRule="auto"/>
              <w:jc w:val="center"/>
              <w:rPr>
                <w:rFonts w:asciiTheme="majorHAnsi" w:hAnsiTheme="majorHAnsi" w:cstheme="majorHAnsi"/>
                <w:b/>
                <w:sz w:val="18"/>
                <w:szCs w:val="18"/>
              </w:rPr>
            </w:pPr>
            <w:r w:rsidRPr="00CB2FCF">
              <w:rPr>
                <w:rFonts w:asciiTheme="majorHAnsi" w:hAnsiTheme="majorHAnsi" w:cstheme="majorHAnsi"/>
                <w:b/>
                <w:sz w:val="18"/>
                <w:szCs w:val="18"/>
              </w:rPr>
              <w:t>44,371,790</w:t>
            </w:r>
          </w:p>
        </w:tc>
        <w:tc>
          <w:tcPr>
            <w:tcW w:w="621" w:type="pct"/>
            <w:shd w:val="clear" w:color="auto" w:fill="auto"/>
            <w:vAlign w:val="center"/>
          </w:tcPr>
          <w:p w:rsidR="00D0519A" w:rsidRPr="00CB2FCF" w:rsidRDefault="00D0519A" w:rsidP="00D0519A">
            <w:pPr>
              <w:spacing w:before="0" w:line="240" w:lineRule="auto"/>
              <w:jc w:val="center"/>
              <w:rPr>
                <w:rFonts w:asciiTheme="majorHAnsi" w:hAnsiTheme="majorHAnsi" w:cstheme="majorHAnsi"/>
                <w:b/>
                <w:sz w:val="18"/>
                <w:szCs w:val="18"/>
              </w:rPr>
            </w:pPr>
          </w:p>
          <w:p w:rsidR="00D0519A" w:rsidRPr="00CB2FCF" w:rsidRDefault="00D0519A" w:rsidP="00D0519A">
            <w:pPr>
              <w:spacing w:before="0" w:line="240" w:lineRule="auto"/>
              <w:jc w:val="center"/>
              <w:rPr>
                <w:rFonts w:asciiTheme="majorHAnsi" w:hAnsiTheme="majorHAnsi" w:cstheme="majorHAnsi"/>
                <w:b/>
                <w:sz w:val="18"/>
                <w:szCs w:val="18"/>
                <w:lang w:val="sq-AL" w:eastAsia="sq-AL"/>
              </w:rPr>
            </w:pPr>
            <w:r w:rsidRPr="00CB2FCF">
              <w:rPr>
                <w:rFonts w:asciiTheme="majorHAnsi" w:hAnsiTheme="majorHAnsi" w:cstheme="majorHAnsi"/>
                <w:b/>
                <w:sz w:val="18"/>
                <w:szCs w:val="18"/>
              </w:rPr>
              <w:t>41,914,528</w:t>
            </w:r>
          </w:p>
        </w:tc>
        <w:tc>
          <w:tcPr>
            <w:tcW w:w="608" w:type="pct"/>
            <w:shd w:val="clear" w:color="auto" w:fill="auto"/>
            <w:vAlign w:val="bottom"/>
          </w:tcPr>
          <w:p w:rsidR="00D0519A" w:rsidRPr="00CB2FCF" w:rsidRDefault="00D0519A" w:rsidP="00D0519A">
            <w:pPr>
              <w:spacing w:before="0" w:line="240" w:lineRule="auto"/>
              <w:jc w:val="center"/>
              <w:rPr>
                <w:rFonts w:asciiTheme="majorHAnsi" w:hAnsiTheme="majorHAnsi" w:cstheme="majorHAnsi"/>
                <w:b/>
                <w:sz w:val="18"/>
                <w:szCs w:val="18"/>
                <w:lang w:val="sq-AL" w:eastAsia="sq-AL"/>
              </w:rPr>
            </w:pPr>
            <w:r w:rsidRPr="00CB2FCF">
              <w:rPr>
                <w:rFonts w:asciiTheme="majorHAnsi" w:hAnsiTheme="majorHAnsi" w:cstheme="majorHAnsi"/>
                <w:b/>
                <w:sz w:val="18"/>
                <w:szCs w:val="18"/>
              </w:rPr>
              <w:t>99.3%</w:t>
            </w:r>
          </w:p>
        </w:tc>
        <w:tc>
          <w:tcPr>
            <w:tcW w:w="716" w:type="pct"/>
            <w:shd w:val="clear" w:color="auto" w:fill="auto"/>
            <w:vAlign w:val="bottom"/>
          </w:tcPr>
          <w:p w:rsidR="00D0519A" w:rsidRPr="00CB2FCF" w:rsidRDefault="00D0519A" w:rsidP="00D0519A">
            <w:pPr>
              <w:spacing w:before="0" w:line="240" w:lineRule="auto"/>
              <w:jc w:val="center"/>
              <w:rPr>
                <w:rFonts w:asciiTheme="majorHAnsi" w:hAnsiTheme="majorHAnsi" w:cstheme="majorHAnsi"/>
                <w:b/>
                <w:sz w:val="18"/>
                <w:szCs w:val="18"/>
              </w:rPr>
            </w:pPr>
            <w:r w:rsidRPr="00CB2FCF">
              <w:rPr>
                <w:rFonts w:asciiTheme="majorHAnsi" w:hAnsiTheme="majorHAnsi" w:cstheme="majorHAnsi"/>
                <w:b/>
                <w:sz w:val="18"/>
                <w:szCs w:val="18"/>
              </w:rPr>
              <w:t>94.46%</w:t>
            </w:r>
          </w:p>
        </w:tc>
      </w:tr>
    </w:tbl>
    <w:p w:rsidR="00D0519A" w:rsidRDefault="00D0519A" w:rsidP="00D0519A">
      <w:pPr>
        <w:jc w:val="center"/>
        <w:rPr>
          <w:lang w:val="sq-AL"/>
        </w:rPr>
      </w:pPr>
    </w:p>
    <w:p w:rsidR="00B102F9" w:rsidRDefault="00B102F9" w:rsidP="00B102F9">
      <w:pPr>
        <w:rPr>
          <w:lang w:val="sq-AL"/>
        </w:rPr>
      </w:pPr>
      <w:r w:rsidRPr="00CB2FCF">
        <w:rPr>
          <w:lang w:val="sq-AL"/>
        </w:rPr>
        <w:t xml:space="preserve">Në programin </w:t>
      </w:r>
      <w:r w:rsidRPr="00CB2FCF">
        <w:rPr>
          <w:b/>
          <w:lang w:val="sq-AL"/>
        </w:rPr>
        <w:t>“Arsimi Bazë”</w:t>
      </w:r>
      <w:r w:rsidRPr="00CB2FCF">
        <w:rPr>
          <w:lang w:val="sq-AL"/>
        </w:rPr>
        <w:t xml:space="preserve"> është ofruar shërbimi i mësimdhënies për mbi 337 mijë fëmijë në arsimin parashkollor dhe arsimin bazë. Vëmendje e veçantë i është kushtuar uljes së braktisjes shkollore; tërheqjes </w:t>
      </w:r>
      <w:r w:rsidR="00F61F6A">
        <w:rPr>
          <w:lang w:val="sq-AL"/>
        </w:rPr>
        <w:t>së</w:t>
      </w:r>
      <w:r w:rsidRPr="00CB2FCF">
        <w:rPr>
          <w:lang w:val="sq-AL"/>
        </w:rPr>
        <w:t xml:space="preserve"> fëmijëve romë/egjiptianë dhe fëmijëve me aftësi të kufizuara. </w:t>
      </w:r>
    </w:p>
    <w:p w:rsidR="00B102F9" w:rsidRDefault="00B102F9" w:rsidP="00842F80">
      <w:pPr>
        <w:pStyle w:val="ListParagraph"/>
        <w:numPr>
          <w:ilvl w:val="0"/>
          <w:numId w:val="20"/>
        </w:numPr>
        <w:shd w:val="clear" w:color="auto" w:fill="FFFFFF" w:themeFill="background1"/>
        <w:spacing w:before="0"/>
        <w:rPr>
          <w:rFonts w:asciiTheme="majorHAnsi" w:hAnsiTheme="majorHAnsi" w:cs="Calibri Light"/>
          <w:i/>
          <w:szCs w:val="22"/>
          <w:lang w:val="sq-AL"/>
        </w:rPr>
      </w:pPr>
      <w:r w:rsidRPr="00B102F9">
        <w:rPr>
          <w:rFonts w:asciiTheme="majorHAnsi" w:hAnsiTheme="majorHAnsi" w:cs="Calibri Light"/>
          <w:i/>
          <w:szCs w:val="22"/>
          <w:lang w:val="sq-AL"/>
        </w:rPr>
        <w:lastRenderedPageBreak/>
        <w:t xml:space="preserve">Në kushtet e pandemisë, u zhvilluan klasa përgatitore para fillimit të vitit shkollor 2020-2021 për rikuperimin e dijeve të munguara për fëmijët që nuk kishin frekuentuar rregullisht mësimin gjatë periudhës së karantinës si dhe u dhuruan 5,438 pajisje digjitale për ndjekjen e mësimeve. </w:t>
      </w:r>
    </w:p>
    <w:p w:rsidR="00B102F9" w:rsidRDefault="00B102F9" w:rsidP="00842F80">
      <w:pPr>
        <w:pStyle w:val="ListParagraph"/>
        <w:numPr>
          <w:ilvl w:val="0"/>
          <w:numId w:val="20"/>
        </w:numPr>
        <w:shd w:val="clear" w:color="auto" w:fill="FFFFFF" w:themeFill="background1"/>
        <w:spacing w:before="0"/>
        <w:rPr>
          <w:rFonts w:asciiTheme="majorHAnsi" w:hAnsiTheme="majorHAnsi" w:cs="Calibri Light"/>
          <w:i/>
          <w:szCs w:val="22"/>
          <w:lang w:val="sq-AL"/>
        </w:rPr>
      </w:pPr>
      <w:r w:rsidRPr="00B102F9">
        <w:rPr>
          <w:rFonts w:asciiTheme="majorHAnsi" w:hAnsiTheme="majorHAnsi" w:cs="Calibri Light"/>
          <w:i/>
          <w:szCs w:val="22"/>
          <w:lang w:val="sq-AL"/>
        </w:rPr>
        <w:t xml:space="preserve">Gjatë vitit shkollor 2020 – 2021, të zhvilluar në distancë, ndoqën rregullisht mësimin në arsimin bazë publik rreth 3,725 nxënës romë dhe 7,794 nxënës egjiptian. </w:t>
      </w:r>
    </w:p>
    <w:p w:rsidR="00B102F9" w:rsidRDefault="00B102F9" w:rsidP="00842F80">
      <w:pPr>
        <w:pStyle w:val="ListParagraph"/>
        <w:numPr>
          <w:ilvl w:val="0"/>
          <w:numId w:val="20"/>
        </w:numPr>
        <w:shd w:val="clear" w:color="auto" w:fill="FFFFFF" w:themeFill="background1"/>
        <w:spacing w:before="0"/>
        <w:rPr>
          <w:rFonts w:asciiTheme="majorHAnsi" w:hAnsiTheme="majorHAnsi" w:cs="Calibri Light"/>
          <w:i/>
          <w:szCs w:val="22"/>
          <w:lang w:val="sq-AL"/>
        </w:rPr>
      </w:pPr>
      <w:r w:rsidRPr="00B102F9">
        <w:rPr>
          <w:rFonts w:asciiTheme="majorHAnsi" w:hAnsiTheme="majorHAnsi" w:cs="Calibri Light"/>
          <w:i/>
          <w:szCs w:val="22"/>
          <w:lang w:val="sq-AL"/>
        </w:rPr>
        <w:t>Gjithatu, u ofrua shërbimi i transportit me fonde të buxhetit, për të mbuluar shpenzimet për transportin e rreth 45 mijë punonjës nxënës/mësues që kanë vendbanimin mbi 2 km nga shkolla, për transportin për fëmijët që ndjekin arsimin parashkollor dhe edukatorëve të tyre, si dhe transportin e mësuesve që punojnë mbi 5 km nga vendbanimi/qendra e përhershme e punës në shkollë me një kosto prej rreth 791.8 milion lekë</w:t>
      </w:r>
      <w:r>
        <w:rPr>
          <w:rFonts w:asciiTheme="majorHAnsi" w:hAnsiTheme="majorHAnsi" w:cs="Calibri Light"/>
          <w:i/>
          <w:szCs w:val="22"/>
          <w:lang w:val="sq-AL"/>
        </w:rPr>
        <w:t>.</w:t>
      </w:r>
      <w:r w:rsidRPr="00B102F9">
        <w:rPr>
          <w:rFonts w:asciiTheme="majorHAnsi" w:hAnsiTheme="majorHAnsi" w:cs="Calibri Light"/>
          <w:i/>
          <w:szCs w:val="22"/>
          <w:lang w:val="sq-AL"/>
        </w:rPr>
        <w:t xml:space="preserve"> </w:t>
      </w:r>
    </w:p>
    <w:p w:rsidR="00B102F9" w:rsidRPr="00B102F9" w:rsidRDefault="00B102F9" w:rsidP="00842F80">
      <w:pPr>
        <w:pStyle w:val="ListParagraph"/>
        <w:numPr>
          <w:ilvl w:val="0"/>
          <w:numId w:val="20"/>
        </w:numPr>
        <w:shd w:val="clear" w:color="auto" w:fill="FFFFFF" w:themeFill="background1"/>
        <w:spacing w:before="0"/>
        <w:rPr>
          <w:rFonts w:asciiTheme="majorHAnsi" w:hAnsiTheme="majorHAnsi" w:cs="Calibri Light"/>
          <w:i/>
          <w:szCs w:val="22"/>
          <w:lang w:val="sq-AL"/>
        </w:rPr>
      </w:pPr>
      <w:r>
        <w:rPr>
          <w:rFonts w:asciiTheme="majorHAnsi" w:hAnsiTheme="majorHAnsi" w:cs="Calibri Light"/>
          <w:i/>
          <w:szCs w:val="22"/>
          <w:lang w:val="sq-AL"/>
        </w:rPr>
        <w:t>S</w:t>
      </w:r>
      <w:r w:rsidRPr="00B102F9">
        <w:rPr>
          <w:rFonts w:asciiTheme="majorHAnsi" w:hAnsiTheme="majorHAnsi" w:cs="Calibri Light"/>
          <w:i/>
          <w:szCs w:val="22"/>
          <w:lang w:val="sq-AL"/>
        </w:rPr>
        <w:t>i dhe</w:t>
      </w:r>
      <w:r>
        <w:rPr>
          <w:rFonts w:asciiTheme="majorHAnsi" w:hAnsiTheme="majorHAnsi" w:cs="Calibri Light"/>
          <w:i/>
          <w:szCs w:val="22"/>
          <w:lang w:val="sq-AL"/>
        </w:rPr>
        <w:t>,</w:t>
      </w:r>
      <w:r w:rsidRPr="00B102F9">
        <w:rPr>
          <w:rFonts w:asciiTheme="majorHAnsi" w:hAnsiTheme="majorHAnsi" w:cs="Calibri Light"/>
          <w:i/>
          <w:szCs w:val="22"/>
          <w:lang w:val="sq-AL"/>
        </w:rPr>
        <w:t xml:space="preserve"> u ofruan tekstet shkollore falas për përdorim për rreth 259 mijë nxënës nga klasa e parë në klasën e nëntë me një efekt financiar prej 964.5 milionë lekë.</w:t>
      </w:r>
    </w:p>
    <w:p w:rsidR="00B102F9" w:rsidRDefault="00B102F9" w:rsidP="00B102F9">
      <w:pPr>
        <w:rPr>
          <w:rFonts w:cs="Calibri"/>
          <w:lang w:val="sq-AL"/>
        </w:rPr>
      </w:pPr>
      <w:r w:rsidRPr="00CB2FCF">
        <w:rPr>
          <w:lang w:val="sq-AL"/>
        </w:rPr>
        <w:t xml:space="preserve">Në programin </w:t>
      </w:r>
      <w:r w:rsidRPr="00CB2FCF">
        <w:rPr>
          <w:b/>
          <w:lang w:val="sq-AL"/>
        </w:rPr>
        <w:t>“Arsimi Mesëm i Përgjithshëm”</w:t>
      </w:r>
      <w:r w:rsidRPr="00CB2FCF">
        <w:rPr>
          <w:lang w:val="sq-AL"/>
        </w:rPr>
        <w:t xml:space="preserve"> </w:t>
      </w:r>
      <w:r w:rsidRPr="00CB2FCF">
        <w:rPr>
          <w:rFonts w:cs="Calibri"/>
          <w:lang w:val="sq-AL"/>
        </w:rPr>
        <w:t xml:space="preserve">afërsisht 89 mijë e nxënës që përfunduan arsimin e detyrueshëm u regjistruan në arsimin e mesëm. </w:t>
      </w:r>
    </w:p>
    <w:p w:rsidR="00B102F9" w:rsidRDefault="00B102F9" w:rsidP="00842F80">
      <w:pPr>
        <w:pStyle w:val="ListParagraph"/>
        <w:numPr>
          <w:ilvl w:val="0"/>
          <w:numId w:val="20"/>
        </w:numPr>
        <w:shd w:val="clear" w:color="auto" w:fill="FFFFFF" w:themeFill="background1"/>
        <w:spacing w:before="0"/>
        <w:rPr>
          <w:rFonts w:asciiTheme="majorHAnsi" w:hAnsiTheme="majorHAnsi" w:cs="Calibri Light"/>
          <w:i/>
          <w:szCs w:val="22"/>
          <w:lang w:val="sq-AL"/>
        </w:rPr>
      </w:pPr>
      <w:r w:rsidRPr="00B102F9">
        <w:rPr>
          <w:rFonts w:asciiTheme="majorHAnsi" w:hAnsiTheme="majorHAnsi" w:cs="Calibri Light"/>
          <w:i/>
          <w:szCs w:val="22"/>
          <w:lang w:val="sq-AL"/>
        </w:rPr>
        <w:t>Në vitin shkollor 2021 – 2022 m</w:t>
      </w:r>
      <w:r>
        <w:rPr>
          <w:rFonts w:asciiTheme="majorHAnsi" w:hAnsiTheme="majorHAnsi" w:cs="Calibri Light"/>
          <w:i/>
          <w:szCs w:val="22"/>
          <w:lang w:val="sq-AL"/>
        </w:rPr>
        <w:t>orën</w:t>
      </w:r>
      <w:r w:rsidRPr="00B102F9">
        <w:rPr>
          <w:rFonts w:asciiTheme="majorHAnsi" w:hAnsiTheme="majorHAnsi" w:cs="Calibri Light"/>
          <w:i/>
          <w:szCs w:val="22"/>
          <w:lang w:val="sq-AL"/>
        </w:rPr>
        <w:t xml:space="preserve"> shërbim arsimor në arsimin e mesëm të përgjithshëm rreth  86,186 nxënës (apo 11 % më shumë se një vitë më parë), me një kosto prej rreth 5,823 milion lekë. </w:t>
      </w:r>
    </w:p>
    <w:p w:rsidR="00B102F9" w:rsidRDefault="00B102F9" w:rsidP="00842F80">
      <w:pPr>
        <w:pStyle w:val="ListParagraph"/>
        <w:numPr>
          <w:ilvl w:val="0"/>
          <w:numId w:val="20"/>
        </w:numPr>
        <w:shd w:val="clear" w:color="auto" w:fill="FFFFFF" w:themeFill="background1"/>
        <w:spacing w:before="0"/>
        <w:rPr>
          <w:rFonts w:asciiTheme="majorHAnsi" w:hAnsiTheme="majorHAnsi" w:cs="Calibri Light"/>
          <w:i/>
          <w:szCs w:val="22"/>
          <w:lang w:val="sq-AL"/>
        </w:rPr>
      </w:pPr>
      <w:r w:rsidRPr="00B102F9">
        <w:rPr>
          <w:rFonts w:asciiTheme="majorHAnsi" w:hAnsiTheme="majorHAnsi" w:cs="Calibri Light"/>
          <w:i/>
          <w:szCs w:val="22"/>
          <w:lang w:val="sq-AL"/>
        </w:rPr>
        <w:t xml:space="preserve">Vijoi ofrimi i shërbimit të transportit për rreth 5,300 mijë mësues të AML me një kosto (56 milion lekë) </w:t>
      </w:r>
    </w:p>
    <w:p w:rsidR="00B102F9" w:rsidRDefault="00B102F9" w:rsidP="00842F80">
      <w:pPr>
        <w:pStyle w:val="ListParagraph"/>
        <w:numPr>
          <w:ilvl w:val="0"/>
          <w:numId w:val="20"/>
        </w:numPr>
        <w:shd w:val="clear" w:color="auto" w:fill="FFFFFF" w:themeFill="background1"/>
        <w:spacing w:before="0"/>
        <w:rPr>
          <w:rFonts w:asciiTheme="majorHAnsi" w:hAnsiTheme="majorHAnsi" w:cs="Calibri Light"/>
          <w:i/>
          <w:szCs w:val="22"/>
          <w:lang w:val="sq-AL"/>
        </w:rPr>
      </w:pPr>
      <w:r>
        <w:rPr>
          <w:rFonts w:asciiTheme="majorHAnsi" w:hAnsiTheme="majorHAnsi" w:cs="Calibri Light"/>
          <w:i/>
          <w:szCs w:val="22"/>
          <w:lang w:val="sq-AL"/>
        </w:rPr>
        <w:t>S</w:t>
      </w:r>
      <w:r w:rsidRPr="00B102F9">
        <w:rPr>
          <w:rFonts w:asciiTheme="majorHAnsi" w:hAnsiTheme="majorHAnsi" w:cs="Calibri Light"/>
          <w:i/>
          <w:szCs w:val="22"/>
          <w:lang w:val="sq-AL"/>
        </w:rPr>
        <w:t>i dhe</w:t>
      </w:r>
      <w:r>
        <w:rPr>
          <w:rFonts w:asciiTheme="majorHAnsi" w:hAnsiTheme="majorHAnsi" w:cs="Calibri Light"/>
          <w:i/>
          <w:szCs w:val="22"/>
          <w:lang w:val="sq-AL"/>
        </w:rPr>
        <w:t>, vijoi</w:t>
      </w:r>
      <w:r w:rsidRPr="00B102F9">
        <w:rPr>
          <w:rFonts w:asciiTheme="majorHAnsi" w:hAnsiTheme="majorHAnsi" w:cs="Calibri Light"/>
          <w:i/>
          <w:szCs w:val="22"/>
          <w:lang w:val="sq-AL"/>
        </w:rPr>
        <w:t xml:space="preserve"> plotësimi i paketës kurrikulare sipas qasjes me bazë kompetencat në arsimin e mesëm të lartë. </w:t>
      </w:r>
    </w:p>
    <w:p w:rsidR="00B102F9" w:rsidRPr="00B102F9" w:rsidRDefault="00B102F9" w:rsidP="00842F80">
      <w:pPr>
        <w:pStyle w:val="ListParagraph"/>
        <w:numPr>
          <w:ilvl w:val="0"/>
          <w:numId w:val="20"/>
        </w:numPr>
        <w:shd w:val="clear" w:color="auto" w:fill="FFFFFF" w:themeFill="background1"/>
        <w:spacing w:before="0"/>
        <w:rPr>
          <w:rFonts w:asciiTheme="majorHAnsi" w:hAnsiTheme="majorHAnsi" w:cs="Calibri Light"/>
          <w:i/>
          <w:szCs w:val="22"/>
          <w:lang w:val="sq-AL"/>
        </w:rPr>
      </w:pPr>
      <w:r w:rsidRPr="00B102F9">
        <w:rPr>
          <w:rFonts w:asciiTheme="majorHAnsi" w:hAnsiTheme="majorHAnsi" w:cs="Calibri Light"/>
          <w:i/>
          <w:szCs w:val="22"/>
          <w:lang w:val="sq-AL"/>
        </w:rPr>
        <w:t>Gjithashtu, kanë përfituar tekste mësimore falas 18,000 nxënës të grupeve sociale në nevojë.</w:t>
      </w:r>
    </w:p>
    <w:p w:rsidR="00B102F9" w:rsidRDefault="00B102F9" w:rsidP="007B7B50">
      <w:pPr>
        <w:rPr>
          <w:lang w:val="sq-AL"/>
        </w:rPr>
      </w:pPr>
      <w:r w:rsidRPr="00CB2FCF">
        <w:rPr>
          <w:rFonts w:eastAsia="Batang"/>
          <w:lang w:val="sq-AL" w:eastAsia="ko-KR"/>
        </w:rPr>
        <w:t xml:space="preserve">Në programin </w:t>
      </w:r>
      <w:r w:rsidRPr="00CB2FCF">
        <w:rPr>
          <w:rFonts w:eastAsia="Batang"/>
          <w:b/>
          <w:lang w:val="sq-AL" w:eastAsia="ko-KR"/>
        </w:rPr>
        <w:t>“Arsimi Lartë”,</w:t>
      </w:r>
      <w:r w:rsidRPr="00CB2FCF">
        <w:rPr>
          <w:rFonts w:eastAsia="Batang"/>
          <w:lang w:val="sq-AL" w:eastAsia="ko-KR"/>
        </w:rPr>
        <w:t xml:space="preserve"> gjatë vitit 2021, tashmë me një reformë tërësore të sistemit të arsimit të lartë, që synon rritjen e cilësisë në të gjithë sistemin, pa cënuar aspak mundësitë e të rinjve për t’u arsimuar,</w:t>
      </w:r>
      <w:r w:rsidRPr="00CB2FCF">
        <w:rPr>
          <w:rFonts w:eastAsia="Batang"/>
          <w:b/>
          <w:lang w:val="sq-AL" w:eastAsia="ko-KR"/>
        </w:rPr>
        <w:t xml:space="preserve"> </w:t>
      </w:r>
      <w:r w:rsidRPr="00CB2FCF">
        <w:rPr>
          <w:rFonts w:eastAsia="Batang"/>
          <w:lang w:val="sq-AL" w:eastAsia="ko-KR"/>
        </w:rPr>
        <w:t>është</w:t>
      </w:r>
      <w:r w:rsidRPr="00CB2FCF">
        <w:rPr>
          <w:rFonts w:eastAsia="Batang"/>
          <w:b/>
          <w:lang w:val="sq-AL" w:eastAsia="ko-KR"/>
        </w:rPr>
        <w:t xml:space="preserve"> </w:t>
      </w:r>
      <w:r w:rsidRPr="00CB2FCF">
        <w:rPr>
          <w:lang w:val="sq-AL"/>
        </w:rPr>
        <w:t xml:space="preserve">ulur lehtësisht numri i studentëve në ciklin e parë të studimeve në rreth 76,637 studentë nga 79.398 studentë që ishin një vitë më parë. </w:t>
      </w:r>
    </w:p>
    <w:p w:rsidR="00B102F9" w:rsidRDefault="00B102F9" w:rsidP="00842F80">
      <w:pPr>
        <w:pStyle w:val="ListParagraph"/>
        <w:numPr>
          <w:ilvl w:val="0"/>
          <w:numId w:val="20"/>
        </w:numPr>
        <w:shd w:val="clear" w:color="auto" w:fill="FFFFFF" w:themeFill="background1"/>
        <w:spacing w:before="0"/>
        <w:rPr>
          <w:rFonts w:asciiTheme="majorHAnsi" w:hAnsiTheme="majorHAnsi" w:cs="Calibri Light"/>
          <w:i/>
          <w:szCs w:val="22"/>
          <w:lang w:val="sq-AL"/>
        </w:rPr>
      </w:pPr>
      <w:r w:rsidRPr="00B102F9">
        <w:rPr>
          <w:rFonts w:asciiTheme="majorHAnsi" w:hAnsiTheme="majorHAnsi" w:cs="Calibri Light"/>
          <w:i/>
          <w:szCs w:val="22"/>
          <w:lang w:val="sq-AL"/>
        </w:rPr>
        <w:t xml:space="preserve">Ka vijuar me prioritet financimi me bursa i studentëve me rezultate të larta, i atyre të kategorive sociale në nevojë, si dhe përjashtimi 100 % nga tarifa vjetore e shkollimit apo reduktimi në masën 50% nga tarifa vjetore e shkollimit për studentët e ciklit të dytë. </w:t>
      </w:r>
    </w:p>
    <w:p w:rsidR="007B7B50" w:rsidRPr="00B102F9" w:rsidRDefault="00B102F9" w:rsidP="00842F80">
      <w:pPr>
        <w:pStyle w:val="ListParagraph"/>
        <w:numPr>
          <w:ilvl w:val="0"/>
          <w:numId w:val="20"/>
        </w:numPr>
        <w:shd w:val="clear" w:color="auto" w:fill="FFFFFF" w:themeFill="background1"/>
        <w:spacing w:before="0"/>
        <w:rPr>
          <w:rFonts w:asciiTheme="majorHAnsi" w:hAnsiTheme="majorHAnsi" w:cs="Calibri Light"/>
          <w:i/>
          <w:szCs w:val="22"/>
          <w:lang w:val="sq-AL"/>
        </w:rPr>
      </w:pPr>
      <w:r w:rsidRPr="00B102F9">
        <w:rPr>
          <w:rFonts w:asciiTheme="majorHAnsi" w:hAnsiTheme="majorHAnsi" w:cs="Calibri Light"/>
          <w:i/>
          <w:szCs w:val="22"/>
          <w:lang w:val="sq-AL"/>
        </w:rPr>
        <w:t>Për vitin akademik 2021-2022 kanë përfituar bursa dhe mbështetje financiare, nëpërmjet akomodimit në shtëpitë  e trajtimit të studentëve të rreth 19,029 studentë me një kosto me rreth 1.3 miliardë lekë (nga 20,704 studentë të parashikuar</w:t>
      </w:r>
      <w:r>
        <w:rPr>
          <w:rFonts w:asciiTheme="majorHAnsi" w:hAnsiTheme="majorHAnsi" w:cs="Calibri Light"/>
          <w:i/>
          <w:szCs w:val="22"/>
          <w:lang w:val="sq-AL"/>
        </w:rPr>
        <w:t>)</w:t>
      </w:r>
      <w:r w:rsidRPr="00B102F9">
        <w:rPr>
          <w:rFonts w:asciiTheme="majorHAnsi" w:hAnsiTheme="majorHAnsi" w:cs="Calibri Light"/>
          <w:i/>
          <w:szCs w:val="22"/>
          <w:lang w:val="sq-AL"/>
        </w:rPr>
        <w:t xml:space="preserve">. </w:t>
      </w:r>
      <w:r w:rsidR="007B7B50" w:rsidRPr="00B102F9">
        <w:rPr>
          <w:rFonts w:asciiTheme="majorHAnsi" w:hAnsiTheme="majorHAnsi" w:cs="Calibri Light"/>
          <w:i/>
          <w:szCs w:val="22"/>
          <w:lang w:val="sq-AL"/>
        </w:rPr>
        <w:t xml:space="preserve"> </w:t>
      </w:r>
    </w:p>
    <w:p w:rsidR="00C37319" w:rsidRPr="00BD1FA0" w:rsidRDefault="007B7B50" w:rsidP="00C37319">
      <w:pPr>
        <w:shd w:val="clear" w:color="auto" w:fill="FFFFFF" w:themeFill="background1"/>
        <w:rPr>
          <w:rFonts w:asciiTheme="majorHAnsi" w:eastAsiaTheme="minorHAnsi" w:hAnsiTheme="majorHAnsi" w:cs="Calibri Light"/>
          <w:szCs w:val="22"/>
          <w:lang w:val="sq-AL"/>
        </w:rPr>
      </w:pPr>
      <w:r w:rsidRPr="00BD1FA0">
        <w:rPr>
          <w:rFonts w:eastAsiaTheme="minorHAnsi" w:cs="Calibri"/>
          <w:lang w:val="sq-AL"/>
        </w:rPr>
        <w:t xml:space="preserve">Për sa u përket </w:t>
      </w:r>
      <w:r w:rsidRPr="00BD1FA0">
        <w:rPr>
          <w:rFonts w:eastAsiaTheme="minorHAnsi" w:cs="Calibri"/>
          <w:b/>
          <w:bCs/>
          <w:lang w:val="sq-AL"/>
        </w:rPr>
        <w:t xml:space="preserve">investimeve publike, </w:t>
      </w:r>
      <w:r w:rsidR="00BD1FA0" w:rsidRPr="00BD1FA0">
        <w:rPr>
          <w:rFonts w:cs="Calibri"/>
          <w:lang w:val="sq-AL"/>
        </w:rPr>
        <w:t>realizimi në vitin 2021 ishte 2</w:t>
      </w:r>
      <w:r w:rsidR="001007C6">
        <w:rPr>
          <w:rFonts w:cs="Calibri"/>
          <w:lang w:val="sq-AL"/>
        </w:rPr>
        <w:t>0.5</w:t>
      </w:r>
      <w:r w:rsidR="00BD1FA0" w:rsidRPr="00BD1FA0">
        <w:rPr>
          <w:rFonts w:cs="Calibri"/>
          <w:lang w:val="sq-AL"/>
        </w:rPr>
        <w:t>% e buxhetit fillestar për projektet me financim të brendshëm (0.9 milard lekë)</w:t>
      </w:r>
      <w:r w:rsidR="00BD1FA0" w:rsidRPr="00BD1FA0">
        <w:rPr>
          <w:rFonts w:cs="Calibri"/>
          <w:bCs/>
          <w:iCs/>
          <w:lang w:val="sq-AL"/>
        </w:rPr>
        <w:t xml:space="preserve"> (46.4 % të planit vjetor të ndryshuar me AN nr.34)</w:t>
      </w:r>
      <w:r w:rsidR="00BD1FA0" w:rsidRPr="00BD1FA0">
        <w:rPr>
          <w:rFonts w:cs="Calibri"/>
          <w:lang w:val="sq-AL"/>
        </w:rPr>
        <w:t xml:space="preserve"> dhe </w:t>
      </w:r>
      <w:r w:rsidR="001007C6">
        <w:rPr>
          <w:rFonts w:cs="Calibri"/>
          <w:lang w:val="sq-AL"/>
        </w:rPr>
        <w:t>82.7</w:t>
      </w:r>
      <w:r w:rsidR="00BD1FA0" w:rsidRPr="00BD1FA0">
        <w:rPr>
          <w:rFonts w:cs="Calibri"/>
          <w:lang w:val="sq-AL"/>
        </w:rPr>
        <w:t xml:space="preserve">% e buxhetit fillestar për projektet me financim të huaj (0.32 miliardë lekë) </w:t>
      </w:r>
      <w:r w:rsidR="001007C6">
        <w:rPr>
          <w:rFonts w:cs="Calibri"/>
          <w:bCs/>
          <w:iCs/>
          <w:lang w:val="sq-AL"/>
        </w:rPr>
        <w:t>(124.1</w:t>
      </w:r>
      <w:r w:rsidR="00BD1FA0" w:rsidRPr="00BD1FA0">
        <w:rPr>
          <w:rFonts w:cs="Calibri"/>
          <w:bCs/>
          <w:iCs/>
          <w:lang w:val="sq-AL"/>
        </w:rPr>
        <w:t>% të planit vjetor të ndryshuar me AN nr.34).</w:t>
      </w:r>
      <w:r w:rsidR="00BD1FA0" w:rsidRPr="00BD1FA0">
        <w:rPr>
          <w:rFonts w:cs="Calibri"/>
          <w:lang w:val="sq-AL"/>
        </w:rPr>
        <w:t xml:space="preserve"> Buxheti i shpenzimeve kapitale pësoi disa ndryshime, duke shkurtuar fonde për projekte të cilat nuk mund të realizoheshin gjatë vitit.</w:t>
      </w:r>
      <w:r w:rsidR="00BD1FA0" w:rsidRPr="00BD1FA0">
        <w:rPr>
          <w:rFonts w:eastAsiaTheme="minorHAnsi" w:cs="Calibri"/>
          <w:b/>
          <w:bCs/>
          <w:lang w:val="sq-AL"/>
        </w:rPr>
        <w:t xml:space="preserve"> </w:t>
      </w:r>
      <w:r w:rsidR="00C37319" w:rsidRPr="00BD1FA0">
        <w:rPr>
          <w:rFonts w:asciiTheme="majorHAnsi" w:eastAsiaTheme="minorHAnsi" w:hAnsiTheme="majorHAnsi" w:cs="Calibri Light"/>
          <w:szCs w:val="22"/>
          <w:lang w:val="sq-AL"/>
        </w:rPr>
        <w:t>Janë mbyllur kontratat e investimit si mëposhtë sipas programeve buxhetore:</w:t>
      </w:r>
    </w:p>
    <w:p w:rsidR="00C37319" w:rsidRPr="001A1EF0" w:rsidRDefault="00C37319" w:rsidP="00842F80">
      <w:pPr>
        <w:pStyle w:val="ListParagraph"/>
        <w:numPr>
          <w:ilvl w:val="0"/>
          <w:numId w:val="20"/>
        </w:numPr>
        <w:shd w:val="clear" w:color="auto" w:fill="FFFFFF" w:themeFill="background1"/>
        <w:spacing w:before="0"/>
        <w:rPr>
          <w:rFonts w:asciiTheme="majorHAnsi" w:eastAsia="Calibri" w:hAnsiTheme="majorHAnsi" w:cs="Calibri Light"/>
          <w:i/>
          <w:szCs w:val="22"/>
          <w:lang w:val="sq-AL"/>
        </w:rPr>
      </w:pPr>
      <w:r w:rsidRPr="00BD1FA0">
        <w:rPr>
          <w:rFonts w:asciiTheme="majorHAnsi" w:eastAsiaTheme="minorHAnsi" w:hAnsiTheme="majorHAnsi" w:cs="Calibri Light"/>
          <w:szCs w:val="22"/>
          <w:lang w:val="sq-AL"/>
        </w:rPr>
        <w:t>Në programin “</w:t>
      </w:r>
      <w:r w:rsidRPr="00BD1FA0">
        <w:rPr>
          <w:rFonts w:asciiTheme="majorHAnsi" w:eastAsiaTheme="minorHAnsi" w:hAnsiTheme="majorHAnsi" w:cs="Calibri Light"/>
          <w:i/>
          <w:szCs w:val="22"/>
          <w:lang w:val="sq-AL"/>
        </w:rPr>
        <w:t>Planifikim Menaxhim, Administrim</w:t>
      </w:r>
      <w:r w:rsidRPr="00BD1FA0">
        <w:rPr>
          <w:rFonts w:asciiTheme="majorHAnsi" w:eastAsiaTheme="minorHAnsi" w:hAnsiTheme="majorHAnsi" w:cs="Calibri Light"/>
          <w:szCs w:val="22"/>
          <w:lang w:val="sq-AL"/>
        </w:rPr>
        <w:t>“ ka përfunduar kontrata “Rikonstruksion i mjediseve të ish-magazinës dhe zdruktharisë të ZVA Korçë-Pustec, Projekti për ndërtimin e Zyrës Vendore</w:t>
      </w:r>
      <w:r w:rsidRPr="001A1EF0">
        <w:rPr>
          <w:rFonts w:asciiTheme="majorHAnsi" w:eastAsiaTheme="minorHAnsi" w:hAnsiTheme="majorHAnsi" w:cs="Calibri Light"/>
          <w:szCs w:val="22"/>
          <w:lang w:val="sq-AL"/>
        </w:rPr>
        <w:t xml:space="preserve"> Arsimore Maliq” me vlerë 25.8 </w:t>
      </w:r>
      <w:r w:rsidRPr="001A1EF0">
        <w:rPr>
          <w:rFonts w:asciiTheme="majorHAnsi" w:eastAsia="Calibri" w:hAnsiTheme="majorHAnsi" w:cs="Calibri Light"/>
          <w:i/>
          <w:szCs w:val="22"/>
          <w:lang w:val="sq-AL"/>
        </w:rPr>
        <w:t>milionë lekë.</w:t>
      </w:r>
    </w:p>
    <w:p w:rsidR="00C37319" w:rsidRPr="001A1EF0" w:rsidRDefault="00C37319" w:rsidP="00842F80">
      <w:pPr>
        <w:pStyle w:val="ListParagraph"/>
        <w:numPr>
          <w:ilvl w:val="0"/>
          <w:numId w:val="20"/>
        </w:numPr>
        <w:shd w:val="clear" w:color="auto" w:fill="FFFFFF" w:themeFill="background1"/>
        <w:spacing w:before="0" w:line="240" w:lineRule="auto"/>
        <w:rPr>
          <w:rFonts w:asciiTheme="majorHAnsi" w:eastAsiaTheme="minorHAnsi" w:hAnsiTheme="majorHAnsi" w:cs="Calibri Light"/>
          <w:szCs w:val="22"/>
          <w:lang w:val="sq-AL"/>
        </w:rPr>
      </w:pPr>
      <w:r w:rsidRPr="001A1EF0">
        <w:rPr>
          <w:rFonts w:asciiTheme="majorHAnsi" w:eastAsiaTheme="minorHAnsi" w:hAnsiTheme="majorHAnsi" w:cs="Calibri Light"/>
          <w:szCs w:val="22"/>
          <w:lang w:val="sq-AL"/>
        </w:rPr>
        <w:t xml:space="preserve">Në programin </w:t>
      </w:r>
      <w:r w:rsidRPr="001A1EF0">
        <w:rPr>
          <w:rFonts w:asciiTheme="majorHAnsi" w:eastAsiaTheme="minorHAnsi" w:hAnsiTheme="majorHAnsi" w:cs="Calibri Light"/>
          <w:b/>
          <w:i/>
          <w:szCs w:val="22"/>
          <w:lang w:val="sq-AL"/>
        </w:rPr>
        <w:t>e Arsimit Bazë</w:t>
      </w:r>
      <w:r w:rsidRPr="001A1EF0">
        <w:rPr>
          <w:rFonts w:asciiTheme="majorHAnsi" w:eastAsiaTheme="minorHAnsi" w:hAnsiTheme="majorHAnsi" w:cs="Calibri Light"/>
          <w:szCs w:val="22"/>
          <w:lang w:val="sq-AL"/>
        </w:rPr>
        <w:t xml:space="preserve"> kanë përfunduar 2 kontrata investimi konkretisht:</w:t>
      </w:r>
    </w:p>
    <w:p w:rsidR="00C37319" w:rsidRPr="00D53A8B" w:rsidRDefault="00C37319" w:rsidP="00842F80">
      <w:pPr>
        <w:pStyle w:val="ListParagraph"/>
        <w:numPr>
          <w:ilvl w:val="0"/>
          <w:numId w:val="22"/>
        </w:numPr>
        <w:shd w:val="clear" w:color="auto" w:fill="FFFFFF" w:themeFill="background1"/>
        <w:spacing w:before="0" w:line="240" w:lineRule="auto"/>
        <w:rPr>
          <w:rFonts w:asciiTheme="majorHAnsi" w:eastAsiaTheme="minorHAnsi" w:hAnsiTheme="majorHAnsi" w:cs="Calibri Light"/>
          <w:i/>
          <w:szCs w:val="22"/>
          <w:lang w:val="sq-AL"/>
        </w:rPr>
      </w:pPr>
      <w:r w:rsidRPr="00D53A8B">
        <w:rPr>
          <w:rFonts w:asciiTheme="majorHAnsi" w:eastAsiaTheme="minorHAnsi" w:hAnsiTheme="majorHAnsi" w:cs="Calibri Light"/>
          <w:i/>
          <w:szCs w:val="22"/>
          <w:lang w:val="sq-AL"/>
        </w:rPr>
        <w:t>Ndërtim kopshti me drekë në Çermë-Sektor me vlerë 35 milionë lekë;</w:t>
      </w:r>
    </w:p>
    <w:p w:rsidR="00C37319" w:rsidRPr="00D53A8B" w:rsidRDefault="00C37319" w:rsidP="00842F80">
      <w:pPr>
        <w:pStyle w:val="ListParagraph"/>
        <w:numPr>
          <w:ilvl w:val="0"/>
          <w:numId w:val="22"/>
        </w:numPr>
        <w:shd w:val="clear" w:color="auto" w:fill="FFFFFF" w:themeFill="background1"/>
        <w:spacing w:before="0" w:line="240" w:lineRule="auto"/>
        <w:rPr>
          <w:rFonts w:asciiTheme="majorHAnsi" w:eastAsiaTheme="minorHAnsi" w:hAnsiTheme="majorHAnsi" w:cs="Calibri Light"/>
          <w:i/>
          <w:szCs w:val="22"/>
          <w:lang w:val="sq-AL"/>
        </w:rPr>
      </w:pPr>
      <w:r w:rsidRPr="00D53A8B">
        <w:rPr>
          <w:rFonts w:asciiTheme="majorHAnsi" w:eastAsiaTheme="minorHAnsi" w:hAnsiTheme="majorHAnsi" w:cs="Calibri Light"/>
          <w:i/>
          <w:szCs w:val="22"/>
          <w:lang w:val="sq-AL"/>
        </w:rPr>
        <w:t>Rikonstruksion+shtesë anësore 2kt. i shkollës së mesme të bashkuar "Mihal Nako" fshati Fier-Seman, Bashkia Divjakë me vlerë rreth 43,9 milionë lekë.</w:t>
      </w:r>
    </w:p>
    <w:p w:rsidR="00C37319" w:rsidRPr="001A1EF0" w:rsidRDefault="00C37319" w:rsidP="00842F80">
      <w:pPr>
        <w:pStyle w:val="ListParagraph"/>
        <w:numPr>
          <w:ilvl w:val="0"/>
          <w:numId w:val="23"/>
        </w:numPr>
        <w:shd w:val="clear" w:color="auto" w:fill="FFFFFF" w:themeFill="background1"/>
        <w:spacing w:before="0" w:line="240" w:lineRule="auto"/>
        <w:rPr>
          <w:rFonts w:asciiTheme="majorHAnsi" w:eastAsiaTheme="minorHAnsi" w:hAnsiTheme="majorHAnsi" w:cs="Calibri Light"/>
          <w:szCs w:val="22"/>
          <w:lang w:val="sq-AL"/>
        </w:rPr>
      </w:pPr>
      <w:r w:rsidRPr="001A1EF0">
        <w:rPr>
          <w:rFonts w:asciiTheme="majorHAnsi" w:eastAsiaTheme="minorHAnsi" w:hAnsiTheme="majorHAnsi" w:cs="Calibri Light"/>
          <w:szCs w:val="22"/>
          <w:lang w:val="sq-AL"/>
        </w:rPr>
        <w:t xml:space="preserve">Në programin e </w:t>
      </w:r>
      <w:r w:rsidRPr="001A1EF0">
        <w:rPr>
          <w:rFonts w:asciiTheme="majorHAnsi" w:eastAsiaTheme="minorHAnsi" w:hAnsiTheme="majorHAnsi" w:cs="Calibri Light"/>
          <w:b/>
          <w:i/>
          <w:szCs w:val="22"/>
          <w:lang w:val="sq-AL"/>
        </w:rPr>
        <w:t>Arsimit të Lartë</w:t>
      </w:r>
      <w:r w:rsidRPr="001A1EF0">
        <w:rPr>
          <w:rFonts w:asciiTheme="majorHAnsi" w:eastAsiaTheme="minorHAnsi" w:hAnsiTheme="majorHAnsi" w:cs="Calibri Light"/>
          <w:szCs w:val="22"/>
          <w:lang w:val="sq-AL"/>
        </w:rPr>
        <w:t xml:space="preserve"> është mbyllur kontrata “Rikualifikimi i ndërtesave të UPT-së (Fakulteti i Inxhinierisë Mekanike dhe Inxhinieria Elektrike) </w:t>
      </w:r>
      <w:r w:rsidRPr="001A1EF0">
        <w:rPr>
          <w:rFonts w:asciiTheme="majorHAnsi" w:eastAsiaTheme="minorHAnsi" w:hAnsiTheme="majorHAnsi" w:cs="Calibri Light"/>
          <w:color w:val="FF0000"/>
          <w:szCs w:val="22"/>
          <w:lang w:val="sq-AL"/>
        </w:rPr>
        <w:t xml:space="preserve"> </w:t>
      </w:r>
      <w:r w:rsidRPr="001A1EF0">
        <w:rPr>
          <w:rFonts w:asciiTheme="majorHAnsi" w:eastAsiaTheme="minorHAnsi" w:hAnsiTheme="majorHAnsi" w:cs="Calibri Light"/>
          <w:szCs w:val="22"/>
          <w:lang w:val="sq-AL"/>
        </w:rPr>
        <w:t xml:space="preserve">me vlerë totale 167 milionë lekë. </w:t>
      </w:r>
    </w:p>
    <w:p w:rsidR="007B7B50" w:rsidRPr="00C37319" w:rsidRDefault="00C37319" w:rsidP="00842F80">
      <w:pPr>
        <w:pStyle w:val="ListParagraph"/>
        <w:numPr>
          <w:ilvl w:val="0"/>
          <w:numId w:val="24"/>
        </w:numPr>
        <w:rPr>
          <w:rFonts w:eastAsiaTheme="minorHAnsi" w:cs="Calibri"/>
          <w:lang w:val="sq-AL"/>
        </w:rPr>
      </w:pPr>
      <w:r w:rsidRPr="00C37319">
        <w:rPr>
          <w:rFonts w:asciiTheme="majorHAnsi" w:eastAsiaTheme="minorHAnsi" w:hAnsiTheme="majorHAnsi" w:cs="Calibri Light"/>
          <w:szCs w:val="22"/>
          <w:lang w:val="sq-AL"/>
        </w:rPr>
        <w:t xml:space="preserve">Në programin e </w:t>
      </w:r>
      <w:r w:rsidRPr="00C37319">
        <w:rPr>
          <w:rFonts w:asciiTheme="majorHAnsi" w:eastAsiaTheme="minorHAnsi" w:hAnsiTheme="majorHAnsi" w:cs="Calibri Light"/>
          <w:b/>
          <w:i/>
          <w:szCs w:val="22"/>
          <w:lang w:val="sq-AL"/>
        </w:rPr>
        <w:t>Zhvillimit të Sportit</w:t>
      </w:r>
      <w:r w:rsidRPr="00C37319">
        <w:rPr>
          <w:rFonts w:asciiTheme="majorHAnsi" w:eastAsiaTheme="minorHAnsi" w:hAnsiTheme="majorHAnsi" w:cs="Calibri Light"/>
          <w:szCs w:val="22"/>
          <w:lang w:val="sq-AL"/>
        </w:rPr>
        <w:t xml:space="preserve"> dhe Rinisë është  mbyllur 1 kontratë “Objekte sportive të ndërtuara/ rehabilituara”me vlerë 293 milionë lekë</w:t>
      </w:r>
      <w:r w:rsidR="007B7B50" w:rsidRPr="00C37319">
        <w:rPr>
          <w:rFonts w:eastAsiaTheme="minorHAnsi" w:cs="Calibri"/>
          <w:lang w:val="sq-AL"/>
        </w:rPr>
        <w:t>.</w:t>
      </w:r>
    </w:p>
    <w:p w:rsidR="007B7B50" w:rsidRPr="00476D2E" w:rsidRDefault="007B7B50" w:rsidP="007B7B50">
      <w:pPr>
        <w:pStyle w:val="fiskale3"/>
        <w:rPr>
          <w:rFonts w:ascii="Calibri" w:hAnsi="Calibri" w:cs="Calibri"/>
          <w:b/>
        </w:rPr>
      </w:pPr>
      <w:bookmarkStart w:id="243" w:name="_Toc104980362"/>
      <w:r w:rsidRPr="00476D2E">
        <w:rPr>
          <w:rFonts w:ascii="Calibri" w:hAnsi="Calibri" w:cs="Calibri"/>
          <w:b/>
        </w:rPr>
        <w:lastRenderedPageBreak/>
        <w:t>Bujqësia dhe Zhvillimi Rural</w:t>
      </w:r>
      <w:bookmarkEnd w:id="240"/>
      <w:bookmarkEnd w:id="241"/>
      <w:bookmarkEnd w:id="243"/>
    </w:p>
    <w:p w:rsidR="007B7B50" w:rsidRPr="00476D2E" w:rsidRDefault="007B7B50" w:rsidP="007B7B50">
      <w:pPr>
        <w:rPr>
          <w:rFonts w:cs="Calibri"/>
          <w:lang w:val="sq-AL"/>
        </w:rPr>
      </w:pPr>
      <w:r w:rsidRPr="00476D2E">
        <w:rPr>
          <w:rFonts w:cs="Calibri"/>
          <w:lang w:val="sq-AL"/>
        </w:rPr>
        <w:t>Performanca e treguesve buxhetorë për shtatë programet e Ministrisë së Bujqësisë dhe Zh</w:t>
      </w:r>
      <w:r w:rsidR="003B75A6">
        <w:rPr>
          <w:rFonts w:cs="Calibri"/>
          <w:lang w:val="sq-AL"/>
        </w:rPr>
        <w:t>villimit Rural, paraqitet si më</w:t>
      </w:r>
      <w:r w:rsidRPr="00476D2E">
        <w:rPr>
          <w:rFonts w:cs="Calibri"/>
          <w:lang w:val="sq-AL"/>
        </w:rPr>
        <w:t>poshtë:</w:t>
      </w:r>
    </w:p>
    <w:p w:rsidR="007B7B50" w:rsidRPr="00476D2E" w:rsidRDefault="007B7B50" w:rsidP="007B7B50">
      <w:pPr>
        <w:keepNext/>
        <w:rPr>
          <w:rFonts w:cs="Calibri"/>
          <w:i/>
          <w:iCs/>
          <w:sz w:val="18"/>
          <w:szCs w:val="18"/>
          <w:lang w:val="sq-AL"/>
        </w:rPr>
      </w:pPr>
      <w:bookmarkStart w:id="244" w:name="_Toc104984095"/>
      <w:r w:rsidRPr="00476D2E">
        <w:rPr>
          <w:rFonts w:cs="Calibri"/>
          <w:i/>
          <w:iCs/>
          <w:sz w:val="18"/>
          <w:szCs w:val="18"/>
          <w:lang w:val="sq-AL"/>
        </w:rPr>
        <w:t xml:space="preserve">Tabela </w:t>
      </w:r>
      <w:r w:rsidRPr="00476D2E">
        <w:rPr>
          <w:rFonts w:cs="Calibri"/>
          <w:i/>
          <w:iCs/>
          <w:sz w:val="18"/>
          <w:szCs w:val="18"/>
          <w:lang w:val="sq-AL"/>
        </w:rPr>
        <w:fldChar w:fldCharType="begin"/>
      </w:r>
      <w:r w:rsidRPr="00476D2E">
        <w:rPr>
          <w:rFonts w:cs="Calibri"/>
          <w:i/>
          <w:iCs/>
          <w:sz w:val="18"/>
          <w:szCs w:val="18"/>
          <w:lang w:val="sq-AL"/>
        </w:rPr>
        <w:instrText xml:space="preserve"> SEQ Tabela \* ARABIC </w:instrText>
      </w:r>
      <w:r w:rsidRPr="00476D2E">
        <w:rPr>
          <w:rFonts w:cs="Calibri"/>
          <w:i/>
          <w:iCs/>
          <w:sz w:val="18"/>
          <w:szCs w:val="18"/>
          <w:lang w:val="sq-AL"/>
        </w:rPr>
        <w:fldChar w:fldCharType="separate"/>
      </w:r>
      <w:r w:rsidR="00276062">
        <w:rPr>
          <w:rFonts w:cs="Calibri"/>
          <w:i/>
          <w:iCs/>
          <w:noProof/>
          <w:sz w:val="18"/>
          <w:szCs w:val="18"/>
          <w:lang w:val="sq-AL"/>
        </w:rPr>
        <w:t>23</w:t>
      </w:r>
      <w:r w:rsidRPr="00476D2E">
        <w:rPr>
          <w:rFonts w:cs="Calibri"/>
          <w:i/>
          <w:iCs/>
          <w:noProof/>
          <w:sz w:val="18"/>
          <w:szCs w:val="18"/>
          <w:lang w:val="sq-AL"/>
        </w:rPr>
        <w:fldChar w:fldCharType="end"/>
      </w:r>
      <w:r w:rsidRPr="00476D2E">
        <w:rPr>
          <w:rFonts w:cs="Calibri"/>
          <w:i/>
          <w:iCs/>
          <w:sz w:val="18"/>
          <w:szCs w:val="18"/>
          <w:lang w:val="sq-AL"/>
        </w:rPr>
        <w:t xml:space="preserve"> Realizimi i buxhetit 202</w:t>
      </w:r>
      <w:r w:rsidR="00BD1FA0">
        <w:rPr>
          <w:rFonts w:cs="Calibri"/>
          <w:i/>
          <w:iCs/>
          <w:sz w:val="18"/>
          <w:szCs w:val="18"/>
          <w:lang w:val="sq-AL"/>
        </w:rPr>
        <w:t>1</w:t>
      </w:r>
      <w:r w:rsidRPr="00476D2E">
        <w:rPr>
          <w:rFonts w:cs="Calibri"/>
          <w:i/>
          <w:iCs/>
          <w:sz w:val="18"/>
          <w:szCs w:val="18"/>
          <w:lang w:val="sq-AL"/>
        </w:rPr>
        <w:t xml:space="preserve"> për Ministrinë e Bujqësisë dhe Zhvillimit Rural (në mijë lekë)</w:t>
      </w:r>
      <w:bookmarkEnd w:id="244"/>
    </w:p>
    <w:tbl>
      <w:tblPr>
        <w:tblW w:w="5495"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50"/>
        <w:gridCol w:w="1310"/>
        <w:gridCol w:w="1310"/>
        <w:gridCol w:w="1318"/>
        <w:gridCol w:w="1350"/>
        <w:gridCol w:w="1323"/>
        <w:gridCol w:w="1556"/>
      </w:tblGrid>
      <w:tr w:rsidR="003B75A6" w:rsidRPr="00BD6C06" w:rsidTr="00A57647">
        <w:trPr>
          <w:trHeight w:val="160"/>
          <w:jc w:val="center"/>
        </w:trPr>
        <w:tc>
          <w:tcPr>
            <w:tcW w:w="1327" w:type="pct"/>
            <w:shd w:val="clear" w:color="auto" w:fill="0B5294" w:themeFill="accent1" w:themeFillShade="BF"/>
            <w:vAlign w:val="center"/>
            <w:hideMark/>
          </w:tcPr>
          <w:p w:rsidR="003B75A6" w:rsidRPr="00BD6C06" w:rsidRDefault="003B75A6" w:rsidP="00E841D1">
            <w:pPr>
              <w:spacing w:before="0" w:line="240" w:lineRule="auto"/>
              <w:jc w:val="center"/>
              <w:rPr>
                <w:rFonts w:asciiTheme="majorHAnsi" w:hAnsiTheme="majorHAnsi"/>
                <w:b/>
                <w:bCs/>
                <w:color w:val="000000"/>
                <w:sz w:val="18"/>
                <w:szCs w:val="18"/>
                <w:lang w:val="sq-AL" w:eastAsia="sq-AL"/>
              </w:rPr>
            </w:pPr>
            <w:r w:rsidRPr="00BD6C06">
              <w:rPr>
                <w:rFonts w:asciiTheme="majorHAnsi" w:hAnsiTheme="majorHAnsi"/>
                <w:color w:val="FFFFFF" w:themeColor="background1"/>
                <w:sz w:val="18"/>
                <w:szCs w:val="18"/>
              </w:rPr>
              <w:t>Programi buxhetor</w:t>
            </w:r>
          </w:p>
        </w:tc>
        <w:tc>
          <w:tcPr>
            <w:tcW w:w="589" w:type="pct"/>
            <w:shd w:val="clear" w:color="auto" w:fill="0B5294" w:themeFill="accent1" w:themeFillShade="BF"/>
            <w:vAlign w:val="center"/>
          </w:tcPr>
          <w:p w:rsidR="003B75A6" w:rsidRPr="00BD6C06" w:rsidRDefault="003B75A6" w:rsidP="00E841D1">
            <w:pPr>
              <w:spacing w:before="0" w:line="240" w:lineRule="auto"/>
              <w:jc w:val="center"/>
              <w:rPr>
                <w:rFonts w:asciiTheme="majorHAnsi" w:hAnsiTheme="majorHAnsi"/>
                <w:b/>
                <w:bCs/>
                <w:color w:val="FFFFFF" w:themeColor="background1"/>
                <w:sz w:val="18"/>
                <w:szCs w:val="18"/>
              </w:rPr>
            </w:pPr>
            <w:r w:rsidRPr="00BD6C06">
              <w:rPr>
                <w:rFonts w:asciiTheme="majorHAnsi" w:hAnsiTheme="majorHAnsi"/>
                <w:b/>
                <w:bCs/>
                <w:color w:val="FFFFFF" w:themeColor="background1"/>
                <w:sz w:val="18"/>
                <w:szCs w:val="18"/>
              </w:rPr>
              <w:t>Fakti viti 2020</w:t>
            </w:r>
          </w:p>
          <w:p w:rsidR="003B75A6" w:rsidRPr="00BD6C06" w:rsidRDefault="003B75A6" w:rsidP="00E841D1">
            <w:pPr>
              <w:spacing w:before="0" w:line="240" w:lineRule="auto"/>
              <w:jc w:val="center"/>
              <w:rPr>
                <w:rFonts w:asciiTheme="majorHAnsi" w:hAnsiTheme="majorHAnsi"/>
                <w:b/>
                <w:bCs/>
                <w:color w:val="000000"/>
                <w:sz w:val="18"/>
                <w:szCs w:val="18"/>
                <w:lang w:val="sq-AL" w:eastAsia="sq-AL"/>
              </w:rPr>
            </w:pPr>
          </w:p>
        </w:tc>
        <w:tc>
          <w:tcPr>
            <w:tcW w:w="589" w:type="pct"/>
            <w:shd w:val="clear" w:color="auto" w:fill="0B5294" w:themeFill="accent1" w:themeFillShade="BF"/>
            <w:vAlign w:val="center"/>
          </w:tcPr>
          <w:p w:rsidR="003B75A6" w:rsidRPr="00BD6C06" w:rsidRDefault="003B75A6" w:rsidP="00E841D1">
            <w:pPr>
              <w:spacing w:before="0" w:line="240" w:lineRule="auto"/>
              <w:jc w:val="center"/>
              <w:rPr>
                <w:rFonts w:asciiTheme="majorHAnsi" w:hAnsiTheme="majorHAnsi"/>
                <w:b/>
                <w:bCs/>
                <w:color w:val="FFFFFF" w:themeColor="background1"/>
                <w:sz w:val="18"/>
                <w:szCs w:val="18"/>
              </w:rPr>
            </w:pPr>
            <w:r w:rsidRPr="00BD6C06">
              <w:rPr>
                <w:rFonts w:asciiTheme="majorHAnsi" w:hAnsiTheme="majorHAnsi"/>
                <w:b/>
                <w:bCs/>
                <w:color w:val="FFFFFF" w:themeColor="background1"/>
                <w:sz w:val="18"/>
                <w:szCs w:val="18"/>
              </w:rPr>
              <w:t>Buxheti vjetor</w:t>
            </w:r>
          </w:p>
          <w:p w:rsidR="003B75A6" w:rsidRPr="00BD6C06" w:rsidRDefault="003B75A6" w:rsidP="00E841D1">
            <w:pPr>
              <w:spacing w:before="0" w:line="240" w:lineRule="auto"/>
              <w:jc w:val="center"/>
              <w:rPr>
                <w:rFonts w:asciiTheme="majorHAnsi" w:hAnsiTheme="majorHAnsi"/>
                <w:b/>
                <w:bCs/>
                <w:color w:val="000000"/>
                <w:sz w:val="18"/>
                <w:szCs w:val="18"/>
                <w:lang w:val="sq-AL" w:eastAsia="sq-AL"/>
              </w:rPr>
            </w:pPr>
            <w:r w:rsidRPr="00BD6C06">
              <w:rPr>
                <w:rFonts w:asciiTheme="majorHAnsi" w:hAnsiTheme="majorHAnsi"/>
                <w:b/>
                <w:bCs/>
                <w:color w:val="FFFFFF" w:themeColor="background1"/>
                <w:sz w:val="18"/>
                <w:szCs w:val="18"/>
              </w:rPr>
              <w:t>Plan fillestar 2021</w:t>
            </w:r>
          </w:p>
        </w:tc>
        <w:tc>
          <w:tcPr>
            <w:tcW w:w="593" w:type="pct"/>
            <w:shd w:val="clear" w:color="auto" w:fill="0B5294" w:themeFill="accent1" w:themeFillShade="BF"/>
            <w:vAlign w:val="center"/>
            <w:hideMark/>
          </w:tcPr>
          <w:p w:rsidR="003B75A6" w:rsidRPr="00BD6C06" w:rsidRDefault="003B75A6" w:rsidP="00E841D1">
            <w:pPr>
              <w:spacing w:before="0" w:line="240" w:lineRule="auto"/>
              <w:jc w:val="center"/>
              <w:rPr>
                <w:rFonts w:asciiTheme="majorHAnsi" w:hAnsiTheme="majorHAnsi"/>
                <w:b/>
                <w:bCs/>
                <w:color w:val="FFFFFF" w:themeColor="background1"/>
                <w:sz w:val="18"/>
                <w:szCs w:val="18"/>
              </w:rPr>
            </w:pPr>
            <w:r w:rsidRPr="00BD6C06">
              <w:rPr>
                <w:rFonts w:asciiTheme="majorHAnsi" w:hAnsiTheme="majorHAnsi"/>
                <w:b/>
                <w:bCs/>
                <w:color w:val="FFFFFF" w:themeColor="background1"/>
                <w:sz w:val="18"/>
                <w:szCs w:val="18"/>
              </w:rPr>
              <w:t>Buxheti vjetor</w:t>
            </w:r>
          </w:p>
          <w:p w:rsidR="003B75A6" w:rsidRPr="00BD6C06" w:rsidRDefault="003B75A6" w:rsidP="00E841D1">
            <w:pPr>
              <w:spacing w:before="0" w:line="240" w:lineRule="auto"/>
              <w:jc w:val="center"/>
              <w:rPr>
                <w:rFonts w:asciiTheme="majorHAnsi" w:hAnsiTheme="majorHAnsi"/>
                <w:b/>
                <w:bCs/>
                <w:color w:val="000000"/>
                <w:sz w:val="18"/>
                <w:szCs w:val="18"/>
                <w:lang w:val="sq-AL" w:eastAsia="sq-AL"/>
              </w:rPr>
            </w:pPr>
            <w:r w:rsidRPr="00BD6C06">
              <w:rPr>
                <w:rFonts w:asciiTheme="majorHAnsi" w:hAnsiTheme="majorHAnsi"/>
                <w:b/>
                <w:bCs/>
                <w:color w:val="FFFFFF" w:themeColor="background1"/>
                <w:sz w:val="18"/>
                <w:szCs w:val="18"/>
              </w:rPr>
              <w:t>Plan i rishikuar 2021</w:t>
            </w:r>
          </w:p>
        </w:tc>
        <w:tc>
          <w:tcPr>
            <w:tcW w:w="607" w:type="pct"/>
            <w:shd w:val="clear" w:color="auto" w:fill="0B5294" w:themeFill="accent1" w:themeFillShade="BF"/>
            <w:vAlign w:val="center"/>
            <w:hideMark/>
          </w:tcPr>
          <w:p w:rsidR="003B75A6" w:rsidRPr="00BD6C06" w:rsidRDefault="003B75A6" w:rsidP="00E841D1">
            <w:pPr>
              <w:spacing w:before="0" w:line="240" w:lineRule="auto"/>
              <w:jc w:val="center"/>
              <w:rPr>
                <w:rFonts w:asciiTheme="majorHAnsi" w:hAnsiTheme="majorHAnsi"/>
                <w:b/>
                <w:bCs/>
                <w:color w:val="000000"/>
                <w:sz w:val="18"/>
                <w:szCs w:val="18"/>
                <w:lang w:val="sq-AL" w:eastAsia="sq-AL"/>
              </w:rPr>
            </w:pPr>
            <w:r w:rsidRPr="00BD6C06">
              <w:rPr>
                <w:rFonts w:asciiTheme="majorHAnsi" w:hAnsiTheme="majorHAnsi"/>
                <w:b/>
                <w:bCs/>
                <w:color w:val="FFFFFF" w:themeColor="background1"/>
                <w:sz w:val="18"/>
                <w:szCs w:val="18"/>
              </w:rPr>
              <w:t>Realizimi faktik 2021</w:t>
            </w:r>
          </w:p>
        </w:tc>
        <w:tc>
          <w:tcPr>
            <w:tcW w:w="595" w:type="pct"/>
            <w:shd w:val="clear" w:color="auto" w:fill="0B5294" w:themeFill="accent1" w:themeFillShade="BF"/>
            <w:vAlign w:val="center"/>
            <w:hideMark/>
          </w:tcPr>
          <w:p w:rsidR="003B75A6" w:rsidRPr="00BD6C06" w:rsidRDefault="003B75A6" w:rsidP="00E841D1">
            <w:pPr>
              <w:spacing w:before="0" w:line="240" w:lineRule="auto"/>
              <w:jc w:val="center"/>
              <w:rPr>
                <w:rFonts w:asciiTheme="majorHAnsi" w:hAnsiTheme="majorHAnsi"/>
                <w:b/>
                <w:bCs/>
                <w:color w:val="000000"/>
                <w:sz w:val="18"/>
                <w:szCs w:val="18"/>
                <w:lang w:val="sq-AL" w:eastAsia="sq-AL"/>
              </w:rPr>
            </w:pPr>
            <w:r w:rsidRPr="00BD6C06">
              <w:rPr>
                <w:rFonts w:asciiTheme="majorHAnsi" w:hAnsiTheme="majorHAnsi"/>
                <w:b/>
                <w:bCs/>
                <w:color w:val="FFFFFF" w:themeColor="background1"/>
                <w:sz w:val="18"/>
                <w:szCs w:val="18"/>
              </w:rPr>
              <w:t>Diferenca në % me planin fillestar</w:t>
            </w:r>
          </w:p>
        </w:tc>
        <w:tc>
          <w:tcPr>
            <w:tcW w:w="700" w:type="pct"/>
            <w:shd w:val="clear" w:color="auto" w:fill="0B5294" w:themeFill="accent1" w:themeFillShade="BF"/>
            <w:vAlign w:val="center"/>
            <w:hideMark/>
          </w:tcPr>
          <w:p w:rsidR="003B75A6" w:rsidRPr="00BD6C06" w:rsidRDefault="003B75A6" w:rsidP="00E841D1">
            <w:pPr>
              <w:spacing w:before="0" w:line="240" w:lineRule="auto"/>
              <w:jc w:val="center"/>
              <w:rPr>
                <w:rFonts w:asciiTheme="majorHAnsi" w:hAnsiTheme="majorHAnsi"/>
                <w:b/>
                <w:bCs/>
                <w:color w:val="000000"/>
                <w:sz w:val="18"/>
                <w:szCs w:val="18"/>
                <w:lang w:val="sq-AL" w:eastAsia="sq-AL"/>
              </w:rPr>
            </w:pPr>
            <w:r w:rsidRPr="00BD6C06">
              <w:rPr>
                <w:rFonts w:asciiTheme="majorHAnsi" w:hAnsiTheme="majorHAnsi"/>
                <w:color w:val="FFFFFF" w:themeColor="background1"/>
                <w:sz w:val="18"/>
                <w:szCs w:val="18"/>
              </w:rPr>
              <w:t>Diferenca në % me planin e rishikuar</w:t>
            </w:r>
          </w:p>
        </w:tc>
      </w:tr>
      <w:tr w:rsidR="00A57647" w:rsidRPr="00BD6C06" w:rsidTr="00A57647">
        <w:trPr>
          <w:trHeight w:val="252"/>
          <w:jc w:val="center"/>
        </w:trPr>
        <w:tc>
          <w:tcPr>
            <w:tcW w:w="1327" w:type="pct"/>
            <w:shd w:val="clear" w:color="auto" w:fill="auto"/>
            <w:vAlign w:val="center"/>
            <w:hideMark/>
          </w:tcPr>
          <w:p w:rsidR="003B75A6" w:rsidRPr="00BD6C06" w:rsidRDefault="003B75A6" w:rsidP="00E841D1">
            <w:pPr>
              <w:spacing w:before="0" w:line="240" w:lineRule="auto"/>
              <w:jc w:val="center"/>
              <w:rPr>
                <w:rFonts w:asciiTheme="majorHAnsi" w:hAnsiTheme="majorHAnsi"/>
                <w:color w:val="000000"/>
                <w:sz w:val="18"/>
                <w:szCs w:val="18"/>
                <w:lang w:val="sq-AL" w:eastAsia="sq-AL"/>
              </w:rPr>
            </w:pPr>
            <w:r w:rsidRPr="00BD6C06">
              <w:rPr>
                <w:rFonts w:asciiTheme="majorHAnsi" w:hAnsiTheme="majorHAnsi"/>
                <w:sz w:val="18"/>
                <w:szCs w:val="18"/>
              </w:rPr>
              <w:t>Planifikim menaxhim administrimi</w:t>
            </w:r>
          </w:p>
        </w:tc>
        <w:tc>
          <w:tcPr>
            <w:tcW w:w="589"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301 561 </w:t>
            </w:r>
          </w:p>
        </w:tc>
        <w:tc>
          <w:tcPr>
            <w:tcW w:w="589" w:type="pct"/>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327,000 </w:t>
            </w:r>
          </w:p>
        </w:tc>
        <w:tc>
          <w:tcPr>
            <w:tcW w:w="593"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310,550 </w:t>
            </w:r>
          </w:p>
        </w:tc>
        <w:tc>
          <w:tcPr>
            <w:tcW w:w="607"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300,742 </w:t>
            </w:r>
          </w:p>
        </w:tc>
        <w:tc>
          <w:tcPr>
            <w:tcW w:w="595"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91.97 </w:t>
            </w:r>
          </w:p>
        </w:tc>
        <w:tc>
          <w:tcPr>
            <w:tcW w:w="700"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96.84 </w:t>
            </w:r>
          </w:p>
        </w:tc>
      </w:tr>
      <w:tr w:rsidR="00A57647" w:rsidRPr="00BD6C06" w:rsidTr="00A57647">
        <w:trPr>
          <w:trHeight w:val="252"/>
          <w:jc w:val="center"/>
        </w:trPr>
        <w:tc>
          <w:tcPr>
            <w:tcW w:w="1327" w:type="pct"/>
            <w:shd w:val="clear" w:color="auto" w:fill="auto"/>
            <w:vAlign w:val="center"/>
            <w:hideMark/>
          </w:tcPr>
          <w:p w:rsidR="003B75A6" w:rsidRPr="00BD6C06" w:rsidRDefault="003B75A6" w:rsidP="00E841D1">
            <w:pPr>
              <w:spacing w:before="0" w:line="240" w:lineRule="auto"/>
              <w:jc w:val="center"/>
              <w:rPr>
                <w:rFonts w:asciiTheme="majorHAnsi" w:hAnsiTheme="majorHAnsi"/>
                <w:color w:val="000000"/>
                <w:sz w:val="18"/>
                <w:szCs w:val="18"/>
                <w:lang w:val="sq-AL" w:eastAsia="sq-AL"/>
              </w:rPr>
            </w:pPr>
            <w:r w:rsidRPr="00BD6C06">
              <w:rPr>
                <w:rFonts w:asciiTheme="majorHAnsi" w:hAnsiTheme="majorHAnsi"/>
                <w:sz w:val="18"/>
                <w:szCs w:val="18"/>
              </w:rPr>
              <w:t>Siguria ushqimore dhe mbrojtja e konsumatorit</w:t>
            </w:r>
          </w:p>
        </w:tc>
        <w:tc>
          <w:tcPr>
            <w:tcW w:w="589"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1 375 680 </w:t>
            </w:r>
          </w:p>
        </w:tc>
        <w:tc>
          <w:tcPr>
            <w:tcW w:w="589" w:type="pct"/>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2,134,099 </w:t>
            </w:r>
          </w:p>
        </w:tc>
        <w:tc>
          <w:tcPr>
            <w:tcW w:w="593"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1,653,528 </w:t>
            </w:r>
          </w:p>
        </w:tc>
        <w:tc>
          <w:tcPr>
            <w:tcW w:w="607"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1,580,035 </w:t>
            </w:r>
          </w:p>
        </w:tc>
        <w:tc>
          <w:tcPr>
            <w:tcW w:w="595"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74.04 </w:t>
            </w:r>
          </w:p>
        </w:tc>
        <w:tc>
          <w:tcPr>
            <w:tcW w:w="700"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95.56 </w:t>
            </w:r>
          </w:p>
        </w:tc>
      </w:tr>
      <w:tr w:rsidR="00A57647" w:rsidRPr="00BD6C06" w:rsidTr="00A57647">
        <w:trPr>
          <w:trHeight w:val="252"/>
          <w:jc w:val="center"/>
        </w:trPr>
        <w:tc>
          <w:tcPr>
            <w:tcW w:w="1327" w:type="pct"/>
            <w:shd w:val="clear" w:color="auto" w:fill="auto"/>
            <w:vAlign w:val="center"/>
            <w:hideMark/>
          </w:tcPr>
          <w:p w:rsidR="003B75A6" w:rsidRPr="00BD6C06" w:rsidRDefault="003B75A6" w:rsidP="00E841D1">
            <w:pPr>
              <w:spacing w:before="0" w:line="240" w:lineRule="auto"/>
              <w:jc w:val="center"/>
              <w:rPr>
                <w:rFonts w:asciiTheme="majorHAnsi" w:hAnsiTheme="majorHAnsi"/>
                <w:color w:val="000000"/>
                <w:sz w:val="18"/>
                <w:szCs w:val="18"/>
                <w:lang w:val="sq-AL" w:eastAsia="sq-AL"/>
              </w:rPr>
            </w:pPr>
            <w:r w:rsidRPr="00BD6C06">
              <w:rPr>
                <w:rFonts w:asciiTheme="majorHAnsi" w:hAnsiTheme="majorHAnsi"/>
                <w:sz w:val="18"/>
                <w:szCs w:val="18"/>
              </w:rPr>
              <w:t>Mbeshtetje per peshkimin</w:t>
            </w:r>
          </w:p>
        </w:tc>
        <w:tc>
          <w:tcPr>
            <w:tcW w:w="589"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206 518 </w:t>
            </w:r>
          </w:p>
        </w:tc>
        <w:tc>
          <w:tcPr>
            <w:tcW w:w="589" w:type="pct"/>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1,047,970 </w:t>
            </w:r>
          </w:p>
        </w:tc>
        <w:tc>
          <w:tcPr>
            <w:tcW w:w="593"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671,820 </w:t>
            </w:r>
          </w:p>
        </w:tc>
        <w:tc>
          <w:tcPr>
            <w:tcW w:w="607"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601,442 </w:t>
            </w:r>
          </w:p>
        </w:tc>
        <w:tc>
          <w:tcPr>
            <w:tcW w:w="595"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57.39 </w:t>
            </w:r>
          </w:p>
        </w:tc>
        <w:tc>
          <w:tcPr>
            <w:tcW w:w="700"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89.52 </w:t>
            </w:r>
          </w:p>
        </w:tc>
      </w:tr>
      <w:tr w:rsidR="00A57647" w:rsidRPr="00BD6C06" w:rsidTr="00A57647">
        <w:trPr>
          <w:trHeight w:val="160"/>
          <w:jc w:val="center"/>
        </w:trPr>
        <w:tc>
          <w:tcPr>
            <w:tcW w:w="1327" w:type="pct"/>
            <w:shd w:val="clear" w:color="auto" w:fill="auto"/>
            <w:vAlign w:val="center"/>
            <w:hideMark/>
          </w:tcPr>
          <w:p w:rsidR="003B75A6" w:rsidRPr="00BD6C06" w:rsidRDefault="003B75A6" w:rsidP="00E841D1">
            <w:pPr>
              <w:spacing w:before="0" w:line="240" w:lineRule="auto"/>
              <w:jc w:val="center"/>
              <w:rPr>
                <w:rFonts w:asciiTheme="majorHAnsi" w:hAnsiTheme="majorHAnsi"/>
                <w:color w:val="000000"/>
                <w:sz w:val="18"/>
                <w:szCs w:val="18"/>
                <w:lang w:val="sq-AL" w:eastAsia="sq-AL"/>
              </w:rPr>
            </w:pPr>
            <w:r w:rsidRPr="00BD6C06">
              <w:rPr>
                <w:rFonts w:asciiTheme="majorHAnsi" w:hAnsiTheme="majorHAnsi"/>
                <w:sz w:val="18"/>
                <w:szCs w:val="18"/>
              </w:rPr>
              <w:t>Menaxhimi i infrastruktures se kullimit dhe ujitjes</w:t>
            </w:r>
          </w:p>
        </w:tc>
        <w:tc>
          <w:tcPr>
            <w:tcW w:w="589"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4 226 761 </w:t>
            </w:r>
          </w:p>
        </w:tc>
        <w:tc>
          <w:tcPr>
            <w:tcW w:w="589" w:type="pct"/>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3,893,232 </w:t>
            </w:r>
          </w:p>
        </w:tc>
        <w:tc>
          <w:tcPr>
            <w:tcW w:w="593"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3,624,917 </w:t>
            </w:r>
          </w:p>
        </w:tc>
        <w:tc>
          <w:tcPr>
            <w:tcW w:w="607"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3,410,508 </w:t>
            </w:r>
          </w:p>
        </w:tc>
        <w:tc>
          <w:tcPr>
            <w:tcW w:w="595"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87.60 </w:t>
            </w:r>
          </w:p>
        </w:tc>
        <w:tc>
          <w:tcPr>
            <w:tcW w:w="700"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94.09 </w:t>
            </w:r>
          </w:p>
        </w:tc>
      </w:tr>
      <w:tr w:rsidR="00A57647" w:rsidRPr="00BD6C06" w:rsidTr="00A57647">
        <w:trPr>
          <w:trHeight w:val="160"/>
          <w:jc w:val="center"/>
        </w:trPr>
        <w:tc>
          <w:tcPr>
            <w:tcW w:w="1327" w:type="pct"/>
            <w:shd w:val="clear" w:color="auto" w:fill="auto"/>
            <w:vAlign w:val="center"/>
            <w:hideMark/>
          </w:tcPr>
          <w:p w:rsidR="003B75A6" w:rsidRPr="00BD6C06" w:rsidRDefault="003B75A6" w:rsidP="00E841D1">
            <w:pPr>
              <w:spacing w:before="0" w:line="240" w:lineRule="auto"/>
              <w:jc w:val="center"/>
              <w:rPr>
                <w:rFonts w:asciiTheme="majorHAnsi" w:hAnsiTheme="majorHAnsi"/>
                <w:color w:val="000000"/>
                <w:sz w:val="18"/>
                <w:szCs w:val="18"/>
                <w:lang w:val="sq-AL" w:eastAsia="sq-AL"/>
              </w:rPr>
            </w:pPr>
            <w:r w:rsidRPr="00BD6C06">
              <w:rPr>
                <w:rFonts w:asciiTheme="majorHAnsi" w:hAnsiTheme="majorHAnsi"/>
                <w:sz w:val="18"/>
                <w:szCs w:val="18"/>
              </w:rPr>
              <w:t>Zhvillimi rural duke mbeshtetur bujqesine, blegtorine dhe agroindustrine</w:t>
            </w:r>
          </w:p>
        </w:tc>
        <w:tc>
          <w:tcPr>
            <w:tcW w:w="589"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3 491 252 </w:t>
            </w:r>
          </w:p>
        </w:tc>
        <w:tc>
          <w:tcPr>
            <w:tcW w:w="589" w:type="pct"/>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4,986,031 </w:t>
            </w:r>
          </w:p>
        </w:tc>
        <w:tc>
          <w:tcPr>
            <w:tcW w:w="593"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6,503,126 </w:t>
            </w:r>
          </w:p>
        </w:tc>
        <w:tc>
          <w:tcPr>
            <w:tcW w:w="607"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6,387,188 </w:t>
            </w:r>
          </w:p>
        </w:tc>
        <w:tc>
          <w:tcPr>
            <w:tcW w:w="595"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128.10 </w:t>
            </w:r>
          </w:p>
        </w:tc>
        <w:tc>
          <w:tcPr>
            <w:tcW w:w="700"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98.22 </w:t>
            </w:r>
          </w:p>
        </w:tc>
      </w:tr>
      <w:tr w:rsidR="00A57647" w:rsidRPr="00BD6C06" w:rsidTr="00A57647">
        <w:trPr>
          <w:trHeight w:val="160"/>
          <w:jc w:val="center"/>
        </w:trPr>
        <w:tc>
          <w:tcPr>
            <w:tcW w:w="1327" w:type="pct"/>
            <w:shd w:val="clear" w:color="auto" w:fill="auto"/>
            <w:vAlign w:val="center"/>
            <w:hideMark/>
          </w:tcPr>
          <w:p w:rsidR="003B75A6" w:rsidRPr="00BD6C06" w:rsidRDefault="003B75A6" w:rsidP="00E841D1">
            <w:pPr>
              <w:spacing w:before="0" w:line="240" w:lineRule="auto"/>
              <w:jc w:val="center"/>
              <w:rPr>
                <w:rFonts w:asciiTheme="majorHAnsi" w:hAnsiTheme="majorHAnsi"/>
                <w:color w:val="000000"/>
                <w:sz w:val="18"/>
                <w:szCs w:val="18"/>
                <w:lang w:val="sq-AL" w:eastAsia="sq-AL"/>
              </w:rPr>
            </w:pPr>
            <w:r w:rsidRPr="00BD6C06">
              <w:rPr>
                <w:rFonts w:asciiTheme="majorHAnsi" w:hAnsiTheme="majorHAnsi"/>
                <w:sz w:val="18"/>
                <w:szCs w:val="18"/>
              </w:rPr>
              <w:t>Keshillimi dhe informaioni bujqesor</w:t>
            </w:r>
          </w:p>
        </w:tc>
        <w:tc>
          <w:tcPr>
            <w:tcW w:w="589"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426 731 </w:t>
            </w:r>
          </w:p>
        </w:tc>
        <w:tc>
          <w:tcPr>
            <w:tcW w:w="589" w:type="pct"/>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572,000 </w:t>
            </w:r>
          </w:p>
        </w:tc>
        <w:tc>
          <w:tcPr>
            <w:tcW w:w="593"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588,900 </w:t>
            </w:r>
          </w:p>
        </w:tc>
        <w:tc>
          <w:tcPr>
            <w:tcW w:w="607"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560,657 </w:t>
            </w:r>
          </w:p>
        </w:tc>
        <w:tc>
          <w:tcPr>
            <w:tcW w:w="595"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98.02 </w:t>
            </w:r>
          </w:p>
        </w:tc>
        <w:tc>
          <w:tcPr>
            <w:tcW w:w="700"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95.20 </w:t>
            </w:r>
          </w:p>
        </w:tc>
      </w:tr>
      <w:tr w:rsidR="00A57647" w:rsidRPr="00BD6C06" w:rsidTr="00A57647">
        <w:trPr>
          <w:trHeight w:val="160"/>
          <w:jc w:val="center"/>
        </w:trPr>
        <w:tc>
          <w:tcPr>
            <w:tcW w:w="1327" w:type="pct"/>
            <w:shd w:val="clear" w:color="auto" w:fill="auto"/>
            <w:vAlign w:val="center"/>
          </w:tcPr>
          <w:p w:rsidR="003B75A6" w:rsidRPr="00BD6C06" w:rsidRDefault="003B75A6" w:rsidP="00E841D1">
            <w:pPr>
              <w:spacing w:before="0" w:line="240" w:lineRule="auto"/>
              <w:jc w:val="center"/>
              <w:rPr>
                <w:rFonts w:asciiTheme="majorHAnsi" w:hAnsiTheme="majorHAnsi"/>
                <w:color w:val="000000"/>
                <w:sz w:val="18"/>
                <w:szCs w:val="18"/>
                <w:lang w:val="sq-AL" w:eastAsia="sq-AL"/>
              </w:rPr>
            </w:pPr>
            <w:r w:rsidRPr="00BD6C06">
              <w:rPr>
                <w:rFonts w:asciiTheme="majorHAnsi" w:hAnsiTheme="majorHAnsi"/>
                <w:sz w:val="18"/>
                <w:szCs w:val="18"/>
              </w:rPr>
              <w:t>Menaxhimi i qendrueshem i tokes bujqesore</w:t>
            </w:r>
          </w:p>
        </w:tc>
        <w:tc>
          <w:tcPr>
            <w:tcW w:w="589"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12 103 </w:t>
            </w:r>
          </w:p>
        </w:tc>
        <w:tc>
          <w:tcPr>
            <w:tcW w:w="589" w:type="pct"/>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20,000 </w:t>
            </w:r>
          </w:p>
        </w:tc>
        <w:tc>
          <w:tcPr>
            <w:tcW w:w="593"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19,350 </w:t>
            </w:r>
          </w:p>
        </w:tc>
        <w:tc>
          <w:tcPr>
            <w:tcW w:w="607"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9,020 </w:t>
            </w:r>
          </w:p>
        </w:tc>
        <w:tc>
          <w:tcPr>
            <w:tcW w:w="595"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45.10 </w:t>
            </w:r>
          </w:p>
        </w:tc>
        <w:tc>
          <w:tcPr>
            <w:tcW w:w="700"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46.61 </w:t>
            </w:r>
          </w:p>
        </w:tc>
      </w:tr>
      <w:tr w:rsidR="00A57647" w:rsidRPr="00BD6C06" w:rsidTr="00A57647">
        <w:trPr>
          <w:trHeight w:val="160"/>
          <w:jc w:val="center"/>
        </w:trPr>
        <w:tc>
          <w:tcPr>
            <w:tcW w:w="1327" w:type="pct"/>
            <w:shd w:val="clear" w:color="auto" w:fill="auto"/>
            <w:vAlign w:val="center"/>
          </w:tcPr>
          <w:p w:rsidR="003B75A6" w:rsidRPr="00BD6C06" w:rsidRDefault="003B75A6" w:rsidP="00E841D1">
            <w:pPr>
              <w:spacing w:before="0" w:line="240" w:lineRule="auto"/>
              <w:jc w:val="center"/>
              <w:rPr>
                <w:rFonts w:asciiTheme="majorHAnsi" w:hAnsiTheme="majorHAnsi"/>
                <w:b/>
                <w:color w:val="000000"/>
                <w:sz w:val="18"/>
                <w:szCs w:val="18"/>
                <w:lang w:val="sq-AL" w:eastAsia="sq-AL"/>
              </w:rPr>
            </w:pPr>
            <w:r w:rsidRPr="00BD6C06">
              <w:rPr>
                <w:rFonts w:asciiTheme="majorHAnsi" w:hAnsiTheme="majorHAnsi"/>
                <w:b/>
                <w:sz w:val="18"/>
                <w:szCs w:val="18"/>
              </w:rPr>
              <w:t>Gjithsej ministria</w:t>
            </w:r>
          </w:p>
        </w:tc>
        <w:tc>
          <w:tcPr>
            <w:tcW w:w="589" w:type="pct"/>
            <w:shd w:val="clear" w:color="auto" w:fill="auto"/>
          </w:tcPr>
          <w:p w:rsidR="003B75A6" w:rsidRPr="00BD6C06" w:rsidRDefault="003B75A6" w:rsidP="00E841D1">
            <w:pPr>
              <w:spacing w:before="0" w:line="240" w:lineRule="auto"/>
              <w:jc w:val="center"/>
              <w:rPr>
                <w:rFonts w:asciiTheme="majorHAnsi" w:hAnsiTheme="majorHAnsi"/>
                <w:b/>
                <w:sz w:val="18"/>
                <w:szCs w:val="18"/>
              </w:rPr>
            </w:pPr>
            <w:r w:rsidRPr="00BD6C06">
              <w:rPr>
                <w:rFonts w:asciiTheme="majorHAnsi" w:hAnsiTheme="majorHAnsi"/>
                <w:b/>
                <w:sz w:val="18"/>
                <w:szCs w:val="18"/>
              </w:rPr>
              <w:t xml:space="preserve"> 10 040 606 </w:t>
            </w:r>
          </w:p>
        </w:tc>
        <w:tc>
          <w:tcPr>
            <w:tcW w:w="589" w:type="pct"/>
          </w:tcPr>
          <w:p w:rsidR="003B75A6" w:rsidRPr="00BD6C06" w:rsidRDefault="003B75A6" w:rsidP="00E841D1">
            <w:pPr>
              <w:spacing w:before="0" w:line="240" w:lineRule="auto"/>
              <w:jc w:val="center"/>
              <w:rPr>
                <w:rFonts w:asciiTheme="majorHAnsi" w:hAnsiTheme="majorHAnsi"/>
                <w:b/>
                <w:sz w:val="18"/>
                <w:szCs w:val="18"/>
              </w:rPr>
            </w:pPr>
            <w:r w:rsidRPr="00BD6C06">
              <w:rPr>
                <w:rFonts w:asciiTheme="majorHAnsi" w:hAnsiTheme="majorHAnsi"/>
                <w:b/>
                <w:sz w:val="18"/>
                <w:szCs w:val="18"/>
              </w:rPr>
              <w:t xml:space="preserve"> 12,980,332 </w:t>
            </w:r>
          </w:p>
        </w:tc>
        <w:tc>
          <w:tcPr>
            <w:tcW w:w="593" w:type="pct"/>
            <w:shd w:val="clear" w:color="auto" w:fill="auto"/>
          </w:tcPr>
          <w:p w:rsidR="003B75A6" w:rsidRPr="00BD6C06" w:rsidRDefault="003B75A6" w:rsidP="00E841D1">
            <w:pPr>
              <w:spacing w:before="0" w:line="240" w:lineRule="auto"/>
              <w:jc w:val="center"/>
              <w:rPr>
                <w:rFonts w:asciiTheme="majorHAnsi" w:hAnsiTheme="majorHAnsi"/>
                <w:b/>
                <w:sz w:val="18"/>
                <w:szCs w:val="18"/>
              </w:rPr>
            </w:pPr>
            <w:r w:rsidRPr="00BD6C06">
              <w:rPr>
                <w:rFonts w:asciiTheme="majorHAnsi" w:hAnsiTheme="majorHAnsi"/>
                <w:b/>
                <w:sz w:val="18"/>
                <w:szCs w:val="18"/>
              </w:rPr>
              <w:t xml:space="preserve"> 13,372,191 </w:t>
            </w:r>
          </w:p>
        </w:tc>
        <w:tc>
          <w:tcPr>
            <w:tcW w:w="607" w:type="pct"/>
            <w:shd w:val="clear" w:color="auto" w:fill="auto"/>
          </w:tcPr>
          <w:p w:rsidR="003B75A6" w:rsidRPr="00BD6C06" w:rsidRDefault="003B75A6" w:rsidP="00E841D1">
            <w:pPr>
              <w:spacing w:before="0" w:line="240" w:lineRule="auto"/>
              <w:jc w:val="center"/>
              <w:rPr>
                <w:rFonts w:asciiTheme="majorHAnsi" w:hAnsiTheme="majorHAnsi"/>
                <w:b/>
                <w:sz w:val="18"/>
                <w:szCs w:val="18"/>
              </w:rPr>
            </w:pPr>
            <w:r w:rsidRPr="00BD6C06">
              <w:rPr>
                <w:rFonts w:asciiTheme="majorHAnsi" w:hAnsiTheme="majorHAnsi"/>
                <w:b/>
                <w:sz w:val="18"/>
                <w:szCs w:val="18"/>
              </w:rPr>
              <w:t xml:space="preserve"> 12,849,593 </w:t>
            </w:r>
          </w:p>
        </w:tc>
        <w:tc>
          <w:tcPr>
            <w:tcW w:w="595" w:type="pct"/>
            <w:shd w:val="clear" w:color="auto" w:fill="auto"/>
          </w:tcPr>
          <w:p w:rsidR="003B75A6" w:rsidRPr="00BD6C06" w:rsidRDefault="003B75A6" w:rsidP="00E841D1">
            <w:pPr>
              <w:spacing w:before="0" w:line="240" w:lineRule="auto"/>
              <w:jc w:val="center"/>
              <w:rPr>
                <w:rFonts w:asciiTheme="majorHAnsi" w:hAnsiTheme="majorHAnsi"/>
                <w:b/>
                <w:sz w:val="18"/>
                <w:szCs w:val="18"/>
              </w:rPr>
            </w:pPr>
            <w:r w:rsidRPr="00BD6C06">
              <w:rPr>
                <w:rFonts w:asciiTheme="majorHAnsi" w:hAnsiTheme="majorHAnsi"/>
                <w:b/>
                <w:sz w:val="18"/>
                <w:szCs w:val="18"/>
              </w:rPr>
              <w:t xml:space="preserve"> 98.99 </w:t>
            </w:r>
          </w:p>
        </w:tc>
        <w:tc>
          <w:tcPr>
            <w:tcW w:w="700" w:type="pct"/>
            <w:shd w:val="clear" w:color="auto" w:fill="auto"/>
          </w:tcPr>
          <w:p w:rsidR="003B75A6" w:rsidRPr="00BD6C06" w:rsidRDefault="003B75A6" w:rsidP="00E841D1">
            <w:pPr>
              <w:spacing w:before="0" w:line="240" w:lineRule="auto"/>
              <w:jc w:val="center"/>
              <w:rPr>
                <w:rFonts w:asciiTheme="majorHAnsi" w:hAnsiTheme="majorHAnsi"/>
                <w:b/>
                <w:sz w:val="18"/>
                <w:szCs w:val="18"/>
              </w:rPr>
            </w:pPr>
            <w:r w:rsidRPr="00BD6C06">
              <w:rPr>
                <w:rFonts w:asciiTheme="majorHAnsi" w:hAnsiTheme="majorHAnsi"/>
                <w:b/>
                <w:sz w:val="18"/>
                <w:szCs w:val="18"/>
              </w:rPr>
              <w:t xml:space="preserve"> 96.09 </w:t>
            </w:r>
          </w:p>
        </w:tc>
      </w:tr>
      <w:tr w:rsidR="00A57647" w:rsidRPr="00BD6C06" w:rsidTr="00A57647">
        <w:trPr>
          <w:trHeight w:val="330"/>
          <w:jc w:val="center"/>
        </w:trPr>
        <w:tc>
          <w:tcPr>
            <w:tcW w:w="1327" w:type="pct"/>
            <w:shd w:val="clear" w:color="auto" w:fill="auto"/>
            <w:vAlign w:val="center"/>
          </w:tcPr>
          <w:p w:rsidR="003B75A6" w:rsidRPr="00BD6C06" w:rsidRDefault="003B75A6" w:rsidP="00E841D1">
            <w:pPr>
              <w:spacing w:before="0" w:line="240" w:lineRule="auto"/>
              <w:jc w:val="center"/>
              <w:rPr>
                <w:rFonts w:asciiTheme="majorHAnsi" w:hAnsiTheme="majorHAnsi"/>
                <w:color w:val="000000"/>
                <w:sz w:val="18"/>
                <w:szCs w:val="18"/>
                <w:lang w:val="sq-AL" w:eastAsia="sq-AL"/>
              </w:rPr>
            </w:pPr>
            <w:r w:rsidRPr="00BD6C06">
              <w:rPr>
                <w:rFonts w:asciiTheme="majorHAnsi" w:hAnsiTheme="majorHAnsi"/>
                <w:sz w:val="18"/>
                <w:szCs w:val="18"/>
              </w:rPr>
              <w:t>Shpenzime nga te ardhurat jashte limitit</w:t>
            </w:r>
          </w:p>
        </w:tc>
        <w:tc>
          <w:tcPr>
            <w:tcW w:w="589"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1 025 </w:t>
            </w:r>
          </w:p>
        </w:tc>
        <w:tc>
          <w:tcPr>
            <w:tcW w:w="589" w:type="pct"/>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30,858 </w:t>
            </w:r>
          </w:p>
        </w:tc>
        <w:tc>
          <w:tcPr>
            <w:tcW w:w="593"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30,858 </w:t>
            </w:r>
          </w:p>
        </w:tc>
        <w:tc>
          <w:tcPr>
            <w:tcW w:w="607"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30,858 </w:t>
            </w:r>
          </w:p>
        </w:tc>
        <w:tc>
          <w:tcPr>
            <w:tcW w:w="595"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100.00 </w:t>
            </w:r>
          </w:p>
        </w:tc>
        <w:tc>
          <w:tcPr>
            <w:tcW w:w="700" w:type="pct"/>
            <w:shd w:val="clear" w:color="auto" w:fill="auto"/>
          </w:tcPr>
          <w:p w:rsidR="003B75A6" w:rsidRPr="00BD6C06" w:rsidRDefault="003B75A6" w:rsidP="00E841D1">
            <w:pPr>
              <w:spacing w:before="0" w:line="240" w:lineRule="auto"/>
              <w:jc w:val="center"/>
              <w:rPr>
                <w:rFonts w:asciiTheme="majorHAnsi" w:hAnsiTheme="majorHAnsi"/>
                <w:sz w:val="18"/>
                <w:szCs w:val="18"/>
              </w:rPr>
            </w:pPr>
            <w:r w:rsidRPr="00BD6C06">
              <w:rPr>
                <w:rFonts w:asciiTheme="majorHAnsi" w:hAnsiTheme="majorHAnsi"/>
                <w:sz w:val="18"/>
                <w:szCs w:val="18"/>
              </w:rPr>
              <w:t xml:space="preserve"> 100.00 </w:t>
            </w:r>
          </w:p>
        </w:tc>
      </w:tr>
      <w:tr w:rsidR="00A57647" w:rsidRPr="00BD6C06" w:rsidTr="00A57647">
        <w:trPr>
          <w:trHeight w:val="160"/>
          <w:jc w:val="center"/>
        </w:trPr>
        <w:tc>
          <w:tcPr>
            <w:tcW w:w="1327" w:type="pct"/>
            <w:shd w:val="clear" w:color="auto" w:fill="auto"/>
            <w:vAlign w:val="center"/>
          </w:tcPr>
          <w:p w:rsidR="003B75A6" w:rsidRPr="00BD6C06" w:rsidRDefault="003B75A6" w:rsidP="00E841D1">
            <w:pPr>
              <w:spacing w:before="0" w:line="240" w:lineRule="auto"/>
              <w:jc w:val="center"/>
              <w:rPr>
                <w:rFonts w:asciiTheme="majorHAnsi" w:hAnsiTheme="majorHAnsi"/>
                <w:b/>
                <w:color w:val="000000"/>
                <w:sz w:val="18"/>
                <w:szCs w:val="18"/>
                <w:lang w:val="sq-AL" w:eastAsia="sq-AL"/>
              </w:rPr>
            </w:pPr>
            <w:r w:rsidRPr="00BD6C06">
              <w:rPr>
                <w:rFonts w:asciiTheme="majorHAnsi" w:hAnsiTheme="majorHAnsi"/>
                <w:b/>
                <w:sz w:val="18"/>
                <w:szCs w:val="18"/>
              </w:rPr>
              <w:t>Gjithsej</w:t>
            </w:r>
          </w:p>
        </w:tc>
        <w:tc>
          <w:tcPr>
            <w:tcW w:w="589" w:type="pct"/>
            <w:shd w:val="clear" w:color="auto" w:fill="auto"/>
          </w:tcPr>
          <w:p w:rsidR="003B75A6" w:rsidRPr="00BD6C06" w:rsidRDefault="003B75A6" w:rsidP="00E841D1">
            <w:pPr>
              <w:spacing w:before="0" w:line="240" w:lineRule="auto"/>
              <w:jc w:val="center"/>
              <w:rPr>
                <w:rFonts w:asciiTheme="majorHAnsi" w:hAnsiTheme="majorHAnsi"/>
                <w:b/>
                <w:sz w:val="18"/>
                <w:szCs w:val="18"/>
              </w:rPr>
            </w:pPr>
            <w:r w:rsidRPr="00BD6C06">
              <w:rPr>
                <w:rFonts w:asciiTheme="majorHAnsi" w:hAnsiTheme="majorHAnsi"/>
                <w:b/>
                <w:sz w:val="18"/>
                <w:szCs w:val="18"/>
              </w:rPr>
              <w:t xml:space="preserve"> 10 041 631 </w:t>
            </w:r>
          </w:p>
        </w:tc>
        <w:tc>
          <w:tcPr>
            <w:tcW w:w="589" w:type="pct"/>
          </w:tcPr>
          <w:p w:rsidR="003B75A6" w:rsidRPr="00BD6C06" w:rsidRDefault="003B75A6" w:rsidP="00E841D1">
            <w:pPr>
              <w:spacing w:before="0" w:line="240" w:lineRule="auto"/>
              <w:jc w:val="center"/>
              <w:rPr>
                <w:rFonts w:asciiTheme="majorHAnsi" w:hAnsiTheme="majorHAnsi"/>
                <w:b/>
                <w:sz w:val="18"/>
                <w:szCs w:val="18"/>
              </w:rPr>
            </w:pPr>
            <w:r w:rsidRPr="00BD6C06">
              <w:rPr>
                <w:rFonts w:asciiTheme="majorHAnsi" w:hAnsiTheme="majorHAnsi"/>
                <w:b/>
                <w:sz w:val="18"/>
                <w:szCs w:val="18"/>
              </w:rPr>
              <w:t xml:space="preserve"> 13,011,190 </w:t>
            </w:r>
          </w:p>
        </w:tc>
        <w:tc>
          <w:tcPr>
            <w:tcW w:w="593" w:type="pct"/>
            <w:shd w:val="clear" w:color="auto" w:fill="auto"/>
          </w:tcPr>
          <w:p w:rsidR="003B75A6" w:rsidRPr="00BD6C06" w:rsidRDefault="003B75A6" w:rsidP="00E841D1">
            <w:pPr>
              <w:spacing w:before="0" w:line="240" w:lineRule="auto"/>
              <w:jc w:val="center"/>
              <w:rPr>
                <w:rFonts w:asciiTheme="majorHAnsi" w:hAnsiTheme="majorHAnsi"/>
                <w:b/>
                <w:sz w:val="18"/>
                <w:szCs w:val="18"/>
              </w:rPr>
            </w:pPr>
            <w:r w:rsidRPr="00BD6C06">
              <w:rPr>
                <w:rFonts w:asciiTheme="majorHAnsi" w:hAnsiTheme="majorHAnsi"/>
                <w:b/>
                <w:sz w:val="18"/>
                <w:szCs w:val="18"/>
              </w:rPr>
              <w:t xml:space="preserve"> 13,403,049 </w:t>
            </w:r>
          </w:p>
        </w:tc>
        <w:tc>
          <w:tcPr>
            <w:tcW w:w="607" w:type="pct"/>
            <w:shd w:val="clear" w:color="auto" w:fill="auto"/>
          </w:tcPr>
          <w:p w:rsidR="003B75A6" w:rsidRPr="00BD6C06" w:rsidRDefault="003B75A6" w:rsidP="00E841D1">
            <w:pPr>
              <w:spacing w:before="0" w:line="240" w:lineRule="auto"/>
              <w:jc w:val="center"/>
              <w:rPr>
                <w:rFonts w:asciiTheme="majorHAnsi" w:hAnsiTheme="majorHAnsi"/>
                <w:b/>
                <w:sz w:val="18"/>
                <w:szCs w:val="18"/>
              </w:rPr>
            </w:pPr>
            <w:r w:rsidRPr="00BD6C06">
              <w:rPr>
                <w:rFonts w:asciiTheme="majorHAnsi" w:hAnsiTheme="majorHAnsi"/>
                <w:b/>
                <w:sz w:val="18"/>
                <w:szCs w:val="18"/>
              </w:rPr>
              <w:t xml:space="preserve"> 12,880,451 </w:t>
            </w:r>
          </w:p>
        </w:tc>
        <w:tc>
          <w:tcPr>
            <w:tcW w:w="595" w:type="pct"/>
            <w:shd w:val="clear" w:color="auto" w:fill="auto"/>
          </w:tcPr>
          <w:p w:rsidR="003B75A6" w:rsidRPr="00BD6C06" w:rsidRDefault="003B75A6" w:rsidP="00E841D1">
            <w:pPr>
              <w:spacing w:before="0" w:line="240" w:lineRule="auto"/>
              <w:jc w:val="center"/>
              <w:rPr>
                <w:rFonts w:asciiTheme="majorHAnsi" w:hAnsiTheme="majorHAnsi"/>
                <w:b/>
                <w:sz w:val="18"/>
                <w:szCs w:val="18"/>
              </w:rPr>
            </w:pPr>
            <w:r w:rsidRPr="00BD6C06">
              <w:rPr>
                <w:rFonts w:asciiTheme="majorHAnsi" w:hAnsiTheme="majorHAnsi"/>
                <w:b/>
                <w:sz w:val="18"/>
                <w:szCs w:val="18"/>
              </w:rPr>
              <w:t xml:space="preserve"> 99.00 </w:t>
            </w:r>
          </w:p>
        </w:tc>
        <w:tc>
          <w:tcPr>
            <w:tcW w:w="700" w:type="pct"/>
            <w:shd w:val="clear" w:color="auto" w:fill="auto"/>
          </w:tcPr>
          <w:p w:rsidR="003B75A6" w:rsidRPr="00BD6C06" w:rsidRDefault="003B75A6" w:rsidP="00E841D1">
            <w:pPr>
              <w:spacing w:before="0" w:line="240" w:lineRule="auto"/>
              <w:jc w:val="center"/>
              <w:rPr>
                <w:rFonts w:asciiTheme="majorHAnsi" w:hAnsiTheme="majorHAnsi"/>
                <w:b/>
                <w:sz w:val="18"/>
                <w:szCs w:val="18"/>
              </w:rPr>
            </w:pPr>
            <w:r w:rsidRPr="00BD6C06">
              <w:rPr>
                <w:rFonts w:asciiTheme="majorHAnsi" w:hAnsiTheme="majorHAnsi"/>
                <w:b/>
                <w:sz w:val="18"/>
                <w:szCs w:val="18"/>
              </w:rPr>
              <w:t xml:space="preserve"> 96.10 </w:t>
            </w:r>
          </w:p>
        </w:tc>
      </w:tr>
    </w:tbl>
    <w:p w:rsidR="003B75A6" w:rsidRPr="00BD6C06" w:rsidRDefault="003B75A6" w:rsidP="003B75A6">
      <w:pPr>
        <w:rPr>
          <w:rFonts w:asciiTheme="majorHAnsi" w:hAnsiTheme="majorHAnsi"/>
          <w:color w:val="000000"/>
          <w:spacing w:val="11"/>
          <w:szCs w:val="22"/>
        </w:rPr>
      </w:pPr>
      <w:r w:rsidRPr="00BD6C06">
        <w:rPr>
          <w:rFonts w:asciiTheme="majorHAnsi" w:hAnsiTheme="majorHAnsi"/>
          <w:spacing w:val="-2"/>
          <w:szCs w:val="22"/>
        </w:rPr>
        <w:t>B</w:t>
      </w:r>
      <w:r w:rsidRPr="00BD6C06">
        <w:rPr>
          <w:rFonts w:asciiTheme="majorHAnsi" w:hAnsiTheme="majorHAnsi"/>
          <w:szCs w:val="22"/>
        </w:rPr>
        <w:t>u</w:t>
      </w:r>
      <w:r w:rsidRPr="00BD6C06">
        <w:rPr>
          <w:rFonts w:asciiTheme="majorHAnsi" w:hAnsiTheme="majorHAnsi"/>
          <w:spacing w:val="2"/>
          <w:szCs w:val="22"/>
        </w:rPr>
        <w:t>x</w:t>
      </w:r>
      <w:r w:rsidRPr="00BD6C06">
        <w:rPr>
          <w:rFonts w:asciiTheme="majorHAnsi" w:hAnsiTheme="majorHAnsi"/>
          <w:szCs w:val="22"/>
        </w:rPr>
        <w:t>h</w:t>
      </w:r>
      <w:r w:rsidRPr="00BD6C06">
        <w:rPr>
          <w:rFonts w:asciiTheme="majorHAnsi" w:hAnsiTheme="majorHAnsi"/>
          <w:spacing w:val="-1"/>
          <w:szCs w:val="22"/>
        </w:rPr>
        <w:t>e</w:t>
      </w:r>
      <w:r w:rsidRPr="00BD6C06">
        <w:rPr>
          <w:rFonts w:asciiTheme="majorHAnsi" w:hAnsiTheme="majorHAnsi"/>
          <w:szCs w:val="22"/>
        </w:rPr>
        <w:t>ti</w:t>
      </w:r>
      <w:r w:rsidRPr="00BD6C06">
        <w:rPr>
          <w:rFonts w:asciiTheme="majorHAnsi" w:hAnsiTheme="majorHAnsi"/>
          <w:spacing w:val="35"/>
          <w:szCs w:val="22"/>
        </w:rPr>
        <w:t xml:space="preserve"> </w:t>
      </w:r>
      <w:r w:rsidRPr="00BD6C06">
        <w:rPr>
          <w:rFonts w:asciiTheme="majorHAnsi" w:hAnsiTheme="majorHAnsi"/>
          <w:szCs w:val="22"/>
        </w:rPr>
        <w:t>vjetor i Ministrisë së Bujqësisë dhe Zhvillimit Rural fillestar u rishikua në rritje të lehtë (+3%) gjatë vitit 202</w:t>
      </w:r>
      <w:r>
        <w:rPr>
          <w:rFonts w:asciiTheme="majorHAnsi" w:hAnsiTheme="majorHAnsi"/>
          <w:szCs w:val="22"/>
        </w:rPr>
        <w:t>1</w:t>
      </w:r>
      <w:r w:rsidRPr="00BD6C06">
        <w:rPr>
          <w:rFonts w:asciiTheme="majorHAnsi" w:hAnsiTheme="majorHAnsi"/>
          <w:szCs w:val="22"/>
        </w:rPr>
        <w:t xml:space="preserve"> nëpërmjet 2 Akteve Normative për rishikimin e buxhetit. Realizimi faktik ishte </w:t>
      </w:r>
      <w:r w:rsidRPr="00BD6C06">
        <w:rPr>
          <w:rFonts w:asciiTheme="majorHAnsi" w:hAnsiTheme="majorHAnsi"/>
          <w:color w:val="000000"/>
          <w:szCs w:val="22"/>
        </w:rPr>
        <w:t>12.8 miliardë</w:t>
      </w:r>
      <w:r w:rsidRPr="00BD6C06">
        <w:rPr>
          <w:rFonts w:asciiTheme="majorHAnsi" w:hAnsiTheme="majorHAnsi"/>
          <w:szCs w:val="22"/>
        </w:rPr>
        <w:t xml:space="preserve"> lekë, ose 99% e buxhetit fillestar dhe 96% e buxhetit të rishikuar. </w:t>
      </w:r>
      <w:r w:rsidRPr="00BD6C06">
        <w:rPr>
          <w:rFonts w:asciiTheme="majorHAnsi" w:hAnsiTheme="majorHAnsi"/>
          <w:spacing w:val="-2"/>
          <w:szCs w:val="22"/>
        </w:rPr>
        <w:t>Real</w:t>
      </w:r>
      <w:r w:rsidRPr="00BD6C06">
        <w:rPr>
          <w:rFonts w:asciiTheme="majorHAnsi" w:hAnsiTheme="majorHAnsi"/>
          <w:spacing w:val="1"/>
          <w:szCs w:val="22"/>
        </w:rPr>
        <w:t>iz</w:t>
      </w:r>
      <w:r w:rsidRPr="00BD6C06">
        <w:rPr>
          <w:rFonts w:asciiTheme="majorHAnsi" w:hAnsiTheme="majorHAnsi"/>
          <w:szCs w:val="22"/>
        </w:rPr>
        <w:t>i</w:t>
      </w:r>
      <w:r w:rsidRPr="00BD6C06">
        <w:rPr>
          <w:rFonts w:asciiTheme="majorHAnsi" w:hAnsiTheme="majorHAnsi"/>
          <w:spacing w:val="1"/>
          <w:szCs w:val="22"/>
        </w:rPr>
        <w:t>m</w:t>
      </w:r>
      <w:r w:rsidRPr="00BD6C06">
        <w:rPr>
          <w:rFonts w:asciiTheme="majorHAnsi" w:hAnsiTheme="majorHAnsi"/>
          <w:spacing w:val="-1"/>
          <w:szCs w:val="22"/>
        </w:rPr>
        <w:t>i</w:t>
      </w:r>
      <w:r w:rsidRPr="00BD6C06">
        <w:rPr>
          <w:rFonts w:asciiTheme="majorHAnsi" w:hAnsiTheme="majorHAnsi"/>
          <w:spacing w:val="10"/>
          <w:szCs w:val="22"/>
        </w:rPr>
        <w:t xml:space="preserve"> </w:t>
      </w:r>
      <w:r w:rsidRPr="00BD6C06">
        <w:rPr>
          <w:rFonts w:asciiTheme="majorHAnsi" w:hAnsiTheme="majorHAnsi"/>
          <w:spacing w:val="2"/>
          <w:szCs w:val="22"/>
        </w:rPr>
        <w:t>i</w:t>
      </w:r>
      <w:r w:rsidRPr="00BD6C06">
        <w:rPr>
          <w:rFonts w:asciiTheme="majorHAnsi" w:hAnsiTheme="majorHAnsi"/>
          <w:spacing w:val="11"/>
          <w:szCs w:val="22"/>
        </w:rPr>
        <w:t xml:space="preserve"> </w:t>
      </w:r>
      <w:r w:rsidRPr="00BD6C06">
        <w:rPr>
          <w:rFonts w:asciiTheme="majorHAnsi" w:hAnsiTheme="majorHAnsi"/>
          <w:szCs w:val="22"/>
        </w:rPr>
        <w:t>shpe</w:t>
      </w:r>
      <w:r w:rsidRPr="00BD6C06">
        <w:rPr>
          <w:rFonts w:asciiTheme="majorHAnsi" w:hAnsiTheme="majorHAnsi"/>
          <w:spacing w:val="-1"/>
          <w:szCs w:val="22"/>
        </w:rPr>
        <w:t>n</w:t>
      </w:r>
      <w:r w:rsidRPr="00BD6C06">
        <w:rPr>
          <w:rFonts w:asciiTheme="majorHAnsi" w:hAnsiTheme="majorHAnsi"/>
          <w:spacing w:val="1"/>
          <w:szCs w:val="22"/>
        </w:rPr>
        <w:t>z</w:t>
      </w:r>
      <w:r w:rsidRPr="00BD6C06">
        <w:rPr>
          <w:rFonts w:asciiTheme="majorHAnsi" w:hAnsiTheme="majorHAnsi"/>
          <w:szCs w:val="22"/>
        </w:rPr>
        <w:t>i</w:t>
      </w:r>
      <w:r w:rsidRPr="00BD6C06">
        <w:rPr>
          <w:rFonts w:asciiTheme="majorHAnsi" w:hAnsiTheme="majorHAnsi"/>
          <w:spacing w:val="1"/>
          <w:szCs w:val="22"/>
        </w:rPr>
        <w:t>m</w:t>
      </w:r>
      <w:r w:rsidRPr="00BD6C06">
        <w:rPr>
          <w:rFonts w:asciiTheme="majorHAnsi" w:hAnsiTheme="majorHAnsi"/>
          <w:szCs w:val="22"/>
        </w:rPr>
        <w:t>eve</w:t>
      </w:r>
      <w:r w:rsidRPr="00BD6C06">
        <w:rPr>
          <w:rFonts w:asciiTheme="majorHAnsi" w:hAnsiTheme="majorHAnsi"/>
          <w:spacing w:val="12"/>
          <w:szCs w:val="22"/>
        </w:rPr>
        <w:t xml:space="preserve"> </w:t>
      </w:r>
      <w:r w:rsidRPr="00BD6C06">
        <w:rPr>
          <w:rFonts w:asciiTheme="majorHAnsi" w:hAnsiTheme="majorHAnsi"/>
          <w:szCs w:val="22"/>
        </w:rPr>
        <w:t>kor</w:t>
      </w:r>
      <w:r w:rsidRPr="00BD6C06">
        <w:rPr>
          <w:rFonts w:asciiTheme="majorHAnsi" w:hAnsiTheme="majorHAnsi"/>
          <w:spacing w:val="-1"/>
          <w:szCs w:val="22"/>
        </w:rPr>
        <w:t>re</w:t>
      </w:r>
      <w:r w:rsidRPr="00BD6C06">
        <w:rPr>
          <w:rFonts w:asciiTheme="majorHAnsi" w:hAnsiTheme="majorHAnsi"/>
          <w:szCs w:val="22"/>
        </w:rPr>
        <w:t>nte</w:t>
      </w:r>
      <w:r w:rsidRPr="00BD6C06">
        <w:rPr>
          <w:rFonts w:asciiTheme="majorHAnsi" w:hAnsiTheme="majorHAnsi"/>
          <w:spacing w:val="12"/>
          <w:szCs w:val="22"/>
        </w:rPr>
        <w:t xml:space="preserve"> </w:t>
      </w:r>
      <w:r w:rsidRPr="00BD6C06">
        <w:rPr>
          <w:rFonts w:asciiTheme="majorHAnsi" w:hAnsiTheme="majorHAnsi"/>
          <w:szCs w:val="22"/>
        </w:rPr>
        <w:t xml:space="preserve">ishte </w:t>
      </w:r>
      <w:r w:rsidRPr="00BD6C06">
        <w:rPr>
          <w:rFonts w:asciiTheme="majorHAnsi" w:hAnsiTheme="majorHAnsi"/>
          <w:spacing w:val="11"/>
          <w:szCs w:val="22"/>
        </w:rPr>
        <w:t>97.9</w:t>
      </w:r>
      <w:r w:rsidRPr="00BD6C06">
        <w:rPr>
          <w:rFonts w:asciiTheme="majorHAnsi" w:hAnsiTheme="majorHAnsi"/>
          <w:color w:val="000000"/>
          <w:spacing w:val="-1"/>
          <w:szCs w:val="22"/>
        </w:rPr>
        <w:t>%</w:t>
      </w:r>
      <w:r w:rsidRPr="00BD6C06">
        <w:rPr>
          <w:rFonts w:asciiTheme="majorHAnsi" w:hAnsiTheme="majorHAnsi"/>
          <w:color w:val="000000"/>
          <w:szCs w:val="22"/>
        </w:rPr>
        <w:t xml:space="preserve"> dhe i</w:t>
      </w:r>
      <w:r w:rsidRPr="00BD6C06">
        <w:rPr>
          <w:rFonts w:asciiTheme="majorHAnsi" w:hAnsiTheme="majorHAnsi"/>
          <w:color w:val="000000"/>
          <w:spacing w:val="12"/>
          <w:szCs w:val="22"/>
        </w:rPr>
        <w:t xml:space="preserve"> </w:t>
      </w:r>
      <w:r w:rsidRPr="00BD6C06">
        <w:rPr>
          <w:rFonts w:asciiTheme="majorHAnsi" w:hAnsiTheme="majorHAnsi"/>
          <w:color w:val="000000"/>
          <w:szCs w:val="22"/>
        </w:rPr>
        <w:t>investim</w:t>
      </w:r>
      <w:r w:rsidRPr="00BD6C06">
        <w:rPr>
          <w:rFonts w:asciiTheme="majorHAnsi" w:hAnsiTheme="majorHAnsi"/>
          <w:color w:val="000000"/>
          <w:spacing w:val="-3"/>
          <w:szCs w:val="22"/>
        </w:rPr>
        <w:t>e</w:t>
      </w:r>
      <w:r w:rsidRPr="00BD6C06">
        <w:rPr>
          <w:rFonts w:asciiTheme="majorHAnsi" w:hAnsiTheme="majorHAnsi"/>
          <w:color w:val="000000"/>
          <w:szCs w:val="22"/>
        </w:rPr>
        <w:t xml:space="preserve">ve </w:t>
      </w:r>
      <w:r w:rsidRPr="00BD6C06">
        <w:rPr>
          <w:rFonts w:asciiTheme="majorHAnsi" w:hAnsiTheme="majorHAnsi"/>
          <w:color w:val="000000"/>
          <w:spacing w:val="1"/>
          <w:szCs w:val="22"/>
        </w:rPr>
        <w:t>94.8% e planit të rishikuar.</w:t>
      </w:r>
    </w:p>
    <w:p w:rsidR="003B75A6" w:rsidRPr="00BD6C06" w:rsidRDefault="003B75A6" w:rsidP="003B75A6">
      <w:pPr>
        <w:shd w:val="clear" w:color="auto" w:fill="FFFFFF" w:themeFill="background1"/>
        <w:rPr>
          <w:rFonts w:asciiTheme="majorHAnsi" w:hAnsiTheme="majorHAnsi"/>
          <w:lang w:val="sq-AL"/>
        </w:rPr>
      </w:pPr>
      <w:r w:rsidRPr="00BD6C06">
        <w:rPr>
          <w:rFonts w:asciiTheme="majorHAnsi" w:hAnsiTheme="majorHAnsi"/>
          <w:lang w:val="sq-AL"/>
        </w:rPr>
        <w:t xml:space="preserve">Në programin e </w:t>
      </w:r>
      <w:r w:rsidRPr="00BD6C06">
        <w:rPr>
          <w:rFonts w:asciiTheme="majorHAnsi" w:hAnsiTheme="majorHAnsi"/>
          <w:b/>
          <w:lang w:val="sq-AL"/>
        </w:rPr>
        <w:t>“Zhvillimi Rural duke mbeshtetur bujqësinë, blegtorinë dhe agroindustrinë”,</w:t>
      </w:r>
      <w:r w:rsidRPr="00BD6C06">
        <w:rPr>
          <w:rFonts w:asciiTheme="majorHAnsi" w:hAnsiTheme="majorHAnsi"/>
          <w:lang w:val="sq-AL"/>
        </w:rPr>
        <w:t xml:space="preserve"> janë realizuar produkte me një kosto faktike prej 6.5 miliard lekë (nga 4.9 miliardë të plan</w:t>
      </w:r>
      <w:r>
        <w:rPr>
          <w:rFonts w:asciiTheme="majorHAnsi" w:hAnsiTheme="majorHAnsi"/>
          <w:lang w:val="sq-AL"/>
        </w:rPr>
        <w:t>ifikuara në buxhetin fillestar), ku</w:t>
      </w:r>
      <w:r w:rsidRPr="00BD6C06">
        <w:rPr>
          <w:rFonts w:asciiTheme="majorHAnsi" w:hAnsiTheme="majorHAnsi"/>
          <w:lang w:val="sq-AL"/>
        </w:rPr>
        <w:t xml:space="preserve">: </w:t>
      </w:r>
    </w:p>
    <w:p w:rsidR="003B75A6" w:rsidRDefault="003B75A6" w:rsidP="00842F80">
      <w:pPr>
        <w:pStyle w:val="ListParagraph"/>
        <w:numPr>
          <w:ilvl w:val="0"/>
          <w:numId w:val="23"/>
        </w:numPr>
        <w:shd w:val="clear" w:color="auto" w:fill="FFFFFF" w:themeFill="background1"/>
        <w:spacing w:before="0" w:line="240" w:lineRule="auto"/>
        <w:rPr>
          <w:rFonts w:asciiTheme="majorHAnsi" w:eastAsiaTheme="minorHAnsi" w:hAnsiTheme="majorHAnsi" w:cs="Calibri Light"/>
          <w:i/>
          <w:szCs w:val="22"/>
          <w:lang w:val="sq-AL"/>
        </w:rPr>
      </w:pPr>
      <w:r w:rsidRPr="003B75A6">
        <w:rPr>
          <w:rFonts w:asciiTheme="majorHAnsi" w:eastAsiaTheme="minorHAnsi" w:hAnsiTheme="majorHAnsi" w:cs="Calibri Light"/>
          <w:i/>
          <w:szCs w:val="22"/>
          <w:lang w:val="sq-AL"/>
        </w:rPr>
        <w:t xml:space="preserve">Kanë aplikuar dhe janë kualifikuar në fazën fillestare për mbështetjen nga skema kombëtare rreth 12 157 aplikantë për nga të cilët kanë përfituar 6 758 fermerë, me rreth 18% e tyre ishin përfituese femra. </w:t>
      </w:r>
    </w:p>
    <w:p w:rsidR="003B75A6" w:rsidRPr="003B75A6" w:rsidRDefault="003B75A6" w:rsidP="003B75A6">
      <w:pPr>
        <w:pStyle w:val="ListParagraph"/>
        <w:shd w:val="clear" w:color="auto" w:fill="FFFFFF" w:themeFill="background1"/>
        <w:spacing w:before="0" w:line="240" w:lineRule="auto"/>
        <w:rPr>
          <w:rFonts w:asciiTheme="majorHAnsi" w:eastAsiaTheme="minorHAnsi" w:hAnsiTheme="majorHAnsi" w:cs="Calibri Light"/>
          <w:i/>
          <w:szCs w:val="22"/>
          <w:lang w:val="sq-AL"/>
        </w:rPr>
      </w:pPr>
      <w:r w:rsidRPr="003B75A6">
        <w:rPr>
          <w:rFonts w:asciiTheme="majorHAnsi" w:eastAsiaTheme="minorHAnsi" w:hAnsiTheme="majorHAnsi" w:cs="Calibri Light"/>
          <w:i/>
          <w:szCs w:val="22"/>
          <w:lang w:val="sq-AL"/>
        </w:rPr>
        <w:t xml:space="preserve">Numri më i lartë i përfituesve ka qenë masa e blegtorisë, ndjekur nga mbjellja e bimëve aromatiko-mjekësore, zëvëndësimi i plasmasit termik për serat, etj. </w:t>
      </w:r>
    </w:p>
    <w:p w:rsidR="003B75A6" w:rsidRPr="003B75A6" w:rsidRDefault="003B75A6" w:rsidP="00842F80">
      <w:pPr>
        <w:pStyle w:val="ListParagraph"/>
        <w:numPr>
          <w:ilvl w:val="0"/>
          <w:numId w:val="23"/>
        </w:numPr>
        <w:shd w:val="clear" w:color="auto" w:fill="FFFFFF" w:themeFill="background1"/>
        <w:spacing w:before="0" w:line="240" w:lineRule="auto"/>
        <w:rPr>
          <w:rFonts w:asciiTheme="majorHAnsi" w:eastAsiaTheme="minorHAnsi" w:hAnsiTheme="majorHAnsi" w:cs="Calibri Light"/>
          <w:i/>
          <w:szCs w:val="22"/>
          <w:lang w:val="sq-AL"/>
        </w:rPr>
      </w:pPr>
      <w:r w:rsidRPr="003B75A6">
        <w:rPr>
          <w:rFonts w:asciiTheme="majorHAnsi" w:eastAsiaTheme="minorHAnsi" w:hAnsiTheme="majorHAnsi" w:cs="Calibri Light"/>
          <w:i/>
          <w:szCs w:val="22"/>
          <w:lang w:val="sq-AL"/>
        </w:rPr>
        <w:t>Skema e subvencionimit me naftë për bujqësinë ka pasur rreth 21 502 aplikime në total me një mbulim të sipërfaqes së mbjellë prej 56 505 ha. Kanë përfituar rreth 19 225 aplikime me rreth 4.1 milion litra naftë.</w:t>
      </w:r>
    </w:p>
    <w:p w:rsidR="003B75A6" w:rsidRPr="003B75A6" w:rsidRDefault="003B75A6" w:rsidP="00842F80">
      <w:pPr>
        <w:pStyle w:val="ListParagraph"/>
        <w:numPr>
          <w:ilvl w:val="0"/>
          <w:numId w:val="23"/>
        </w:numPr>
        <w:shd w:val="clear" w:color="auto" w:fill="FFFFFF" w:themeFill="background1"/>
        <w:spacing w:before="0" w:line="240" w:lineRule="auto"/>
        <w:rPr>
          <w:rFonts w:asciiTheme="majorHAnsi" w:eastAsiaTheme="minorHAnsi" w:hAnsiTheme="majorHAnsi" w:cs="Calibri Light"/>
          <w:i/>
          <w:szCs w:val="22"/>
          <w:lang w:val="sq-AL"/>
        </w:rPr>
      </w:pPr>
      <w:r w:rsidRPr="003B75A6">
        <w:rPr>
          <w:rFonts w:asciiTheme="majorHAnsi" w:eastAsiaTheme="minorHAnsi" w:hAnsiTheme="majorHAnsi" w:cs="Calibri Light"/>
          <w:i/>
          <w:szCs w:val="22"/>
          <w:lang w:val="sq-AL"/>
        </w:rPr>
        <w:t xml:space="preserve">Përfitues nga programi IPARD II, janë vlerësuar dhe disbursuar fonde për 166 kontrata nga të cilat 43 femra. </w:t>
      </w:r>
    </w:p>
    <w:p w:rsidR="003B75A6" w:rsidRPr="00BD6C06" w:rsidRDefault="003B75A6" w:rsidP="003B75A6">
      <w:pPr>
        <w:shd w:val="clear" w:color="auto" w:fill="FFFFFF" w:themeFill="background1"/>
        <w:rPr>
          <w:rFonts w:asciiTheme="majorHAnsi" w:eastAsiaTheme="minorHAnsi" w:hAnsiTheme="majorHAnsi"/>
          <w:lang w:val="sq-AL"/>
        </w:rPr>
      </w:pPr>
      <w:r w:rsidRPr="00BD6C06">
        <w:rPr>
          <w:rFonts w:asciiTheme="majorHAnsi" w:hAnsiTheme="majorHAnsi"/>
          <w:lang w:val="sq-AL"/>
        </w:rPr>
        <w:t xml:space="preserve">Në programin </w:t>
      </w:r>
      <w:r w:rsidRPr="00BD6C06">
        <w:rPr>
          <w:rFonts w:asciiTheme="majorHAnsi" w:hAnsiTheme="majorHAnsi"/>
          <w:b/>
          <w:lang w:val="sq-AL"/>
        </w:rPr>
        <w:t>“Siguria ushqimore dhe mbrojtja e konsumatorit”,</w:t>
      </w:r>
      <w:r w:rsidRPr="00BD6C06">
        <w:rPr>
          <w:rFonts w:asciiTheme="majorHAnsi" w:hAnsiTheme="majorHAnsi"/>
          <w:lang w:val="sq-AL"/>
        </w:rPr>
        <w:t xml:space="preserve"> janë realizuar produkte me një kosto faktike prej  1,5 miliardë lekë (ose 74% e planit fillestar dhe 95% e të rishikuarit), përfshirë: </w:t>
      </w:r>
    </w:p>
    <w:p w:rsidR="003B75A6" w:rsidRPr="003B75A6" w:rsidRDefault="003B75A6" w:rsidP="00842F80">
      <w:pPr>
        <w:pStyle w:val="ListParagraph"/>
        <w:numPr>
          <w:ilvl w:val="0"/>
          <w:numId w:val="23"/>
        </w:numPr>
        <w:shd w:val="clear" w:color="auto" w:fill="FFFFFF" w:themeFill="background1"/>
        <w:spacing w:before="0" w:line="240" w:lineRule="auto"/>
        <w:rPr>
          <w:rFonts w:asciiTheme="majorHAnsi" w:eastAsiaTheme="minorHAnsi" w:hAnsiTheme="majorHAnsi" w:cs="Calibri Light"/>
          <w:i/>
          <w:szCs w:val="22"/>
          <w:lang w:val="sq-AL"/>
        </w:rPr>
      </w:pPr>
      <w:r w:rsidRPr="003B75A6">
        <w:rPr>
          <w:rFonts w:asciiTheme="majorHAnsi" w:eastAsiaTheme="minorHAnsi" w:hAnsiTheme="majorHAnsi" w:cs="Calibri Light"/>
          <w:i/>
          <w:szCs w:val="22"/>
          <w:lang w:val="sq-AL"/>
        </w:rPr>
        <w:t>Kafshë të vaksinuara dhe të gjurmuara: është realizuar vaksinimi i 530 mijë krerëve (përkundrejt 600 mijë të planifikuar) , me një kosto faktike prej 60.8 milionë lekë (nga 30 milionë në planin fillestar).</w:t>
      </w:r>
    </w:p>
    <w:p w:rsidR="003B75A6" w:rsidRPr="003B75A6" w:rsidRDefault="003B75A6" w:rsidP="00842F80">
      <w:pPr>
        <w:pStyle w:val="ListParagraph"/>
        <w:numPr>
          <w:ilvl w:val="0"/>
          <w:numId w:val="23"/>
        </w:numPr>
        <w:shd w:val="clear" w:color="auto" w:fill="FFFFFF" w:themeFill="background1"/>
        <w:spacing w:before="0" w:line="240" w:lineRule="auto"/>
        <w:rPr>
          <w:rFonts w:asciiTheme="majorHAnsi" w:eastAsiaTheme="minorHAnsi" w:hAnsiTheme="majorHAnsi" w:cs="Calibri Light"/>
          <w:i/>
          <w:szCs w:val="22"/>
          <w:lang w:val="sq-AL"/>
        </w:rPr>
      </w:pPr>
      <w:r w:rsidRPr="003B75A6">
        <w:rPr>
          <w:rFonts w:asciiTheme="majorHAnsi" w:eastAsiaTheme="minorHAnsi" w:hAnsiTheme="majorHAnsi" w:cs="Calibri Light"/>
          <w:i/>
          <w:szCs w:val="22"/>
          <w:lang w:val="sq-AL"/>
        </w:rPr>
        <w:t>Përveç kontrolleve të realizuara në fermat e kafshëve të gjalla si dhe kontrolle në farmacitë veterinare dhe depot farmaceutike, janë realizuar kontrolle dhe në pulari për shkak të shpërthimit të gripit të shpendëve, në total janë realizuar 8.331 kontrolle në terren dhe 246.837 gjurmime në fermat e gjedhit.</w:t>
      </w:r>
    </w:p>
    <w:p w:rsidR="003B75A6" w:rsidRPr="003B75A6" w:rsidRDefault="003B75A6" w:rsidP="00842F80">
      <w:pPr>
        <w:pStyle w:val="ListParagraph"/>
        <w:numPr>
          <w:ilvl w:val="0"/>
          <w:numId w:val="23"/>
        </w:numPr>
        <w:shd w:val="clear" w:color="auto" w:fill="FFFFFF" w:themeFill="background1"/>
        <w:spacing w:before="0" w:line="240" w:lineRule="auto"/>
        <w:rPr>
          <w:rFonts w:asciiTheme="majorHAnsi" w:eastAsiaTheme="minorHAnsi" w:hAnsiTheme="majorHAnsi" w:cs="Calibri Light"/>
          <w:i/>
          <w:szCs w:val="22"/>
          <w:lang w:val="sq-AL"/>
        </w:rPr>
      </w:pPr>
      <w:r w:rsidRPr="003B75A6">
        <w:rPr>
          <w:rFonts w:asciiTheme="majorHAnsi" w:eastAsiaTheme="minorHAnsi" w:hAnsiTheme="majorHAnsi" w:cs="Calibri Light"/>
          <w:i/>
          <w:szCs w:val="22"/>
          <w:lang w:val="sq-AL"/>
        </w:rPr>
        <w:t>Janë luftuar 450 hektar gështenjë kundër parazit grerëz Galeformuese me kosto prej 26.4 milion lekë.</w:t>
      </w:r>
    </w:p>
    <w:p w:rsidR="007B7B50" w:rsidRDefault="003B75A6" w:rsidP="003B75A6">
      <w:pPr>
        <w:shd w:val="clear" w:color="auto" w:fill="FFFFFF" w:themeFill="background1"/>
        <w:rPr>
          <w:rFonts w:cs="Calibri"/>
          <w:lang w:val="sq-AL"/>
        </w:rPr>
      </w:pPr>
      <w:r w:rsidRPr="00BD6C06">
        <w:rPr>
          <w:rFonts w:asciiTheme="majorHAnsi" w:hAnsiTheme="majorHAnsi"/>
          <w:lang w:val="sq-AL"/>
        </w:rPr>
        <w:t>Në programin “</w:t>
      </w:r>
      <w:r w:rsidRPr="00BD6C06">
        <w:rPr>
          <w:rFonts w:asciiTheme="majorHAnsi" w:hAnsiTheme="majorHAnsi"/>
          <w:b/>
          <w:lang w:val="sq-AL"/>
        </w:rPr>
        <w:t>Infrastruktura e ujitjes dhe kullimit</w:t>
      </w:r>
      <w:r w:rsidRPr="00BD6C06">
        <w:rPr>
          <w:rFonts w:asciiTheme="majorHAnsi" w:hAnsiTheme="majorHAnsi"/>
          <w:lang w:val="sq-AL"/>
        </w:rPr>
        <w:t>”, janë realizuar produkte me një kosto faktike prej 3.4 miliardë lekë (ose 87.6% e planit fillestar dhe 94.1% e të rishikuarit), pjesën më të rëndësishme të këtij programi e zëne investimet me vlere 2.6 miliardë lekë</w:t>
      </w:r>
      <w:r w:rsidR="007B7B50" w:rsidRPr="00476D2E">
        <w:rPr>
          <w:rFonts w:cs="Calibri"/>
          <w:lang w:val="sq-AL"/>
        </w:rPr>
        <w:t>.</w:t>
      </w:r>
    </w:p>
    <w:p w:rsidR="00BD1FA0" w:rsidRPr="00476D2E" w:rsidRDefault="00BD1FA0" w:rsidP="003B75A6">
      <w:pPr>
        <w:shd w:val="clear" w:color="auto" w:fill="FFFFFF" w:themeFill="background1"/>
        <w:rPr>
          <w:rFonts w:cs="Calibri"/>
          <w:lang w:val="sq-AL"/>
        </w:rPr>
      </w:pPr>
    </w:p>
    <w:p w:rsidR="00BD1FA0" w:rsidRPr="00BD1FA0" w:rsidRDefault="007B7B50" w:rsidP="00BD1FA0">
      <w:pPr>
        <w:shd w:val="clear" w:color="auto" w:fill="FFFFFF" w:themeFill="background1"/>
        <w:rPr>
          <w:rFonts w:eastAsiaTheme="minorHAnsi" w:cs="Calibri"/>
          <w:b/>
          <w:bCs/>
          <w:lang w:val="sq-AL"/>
        </w:rPr>
      </w:pPr>
      <w:r w:rsidRPr="00BD1FA0">
        <w:rPr>
          <w:rFonts w:eastAsiaTheme="minorHAnsi" w:cs="Calibri"/>
          <w:lang w:val="sq-AL"/>
        </w:rPr>
        <w:lastRenderedPageBreak/>
        <w:t xml:space="preserve">Për sa u përket </w:t>
      </w:r>
      <w:r w:rsidRPr="00BD1FA0">
        <w:rPr>
          <w:rFonts w:eastAsiaTheme="minorHAnsi" w:cs="Calibri"/>
          <w:b/>
          <w:bCs/>
          <w:lang w:val="sq-AL"/>
        </w:rPr>
        <w:t>investimeve publike</w:t>
      </w:r>
      <w:r w:rsidRPr="00BD1FA0">
        <w:rPr>
          <w:rFonts w:eastAsiaTheme="minorHAnsi" w:cs="Calibri"/>
          <w:lang w:val="sq-AL"/>
        </w:rPr>
        <w:t xml:space="preserve"> </w:t>
      </w:r>
      <w:r w:rsidR="00BD1FA0" w:rsidRPr="00BD1FA0">
        <w:rPr>
          <w:rFonts w:cs="Calibri"/>
          <w:lang w:val="sq-AL"/>
        </w:rPr>
        <w:t>realizimi në</w:t>
      </w:r>
      <w:r w:rsidR="001007C6">
        <w:rPr>
          <w:rFonts w:cs="Calibri"/>
          <w:lang w:val="sq-AL"/>
        </w:rPr>
        <w:t xml:space="preserve"> vitin 2021 ishte 86.2</w:t>
      </w:r>
      <w:r w:rsidR="00BD1FA0" w:rsidRPr="00BD1FA0">
        <w:rPr>
          <w:rFonts w:cs="Calibri"/>
          <w:lang w:val="sq-AL"/>
        </w:rPr>
        <w:t>% e buxhetit fillestar për projektet me financim të brendshëm (3 milard lekë)</w:t>
      </w:r>
      <w:r w:rsidR="00BD1FA0" w:rsidRPr="00BD1FA0">
        <w:rPr>
          <w:rFonts w:cs="Calibri"/>
          <w:bCs/>
          <w:iCs/>
          <w:lang w:val="sq-AL"/>
        </w:rPr>
        <w:t xml:space="preserve"> (90.9 % të planit vjetor të ndryshuar me AN nr.34)</w:t>
      </w:r>
      <w:r w:rsidR="00BD1FA0" w:rsidRPr="00BD1FA0">
        <w:rPr>
          <w:rFonts w:cs="Calibri"/>
          <w:lang w:val="sq-AL"/>
        </w:rPr>
        <w:t xml:space="preserve"> dhe </w:t>
      </w:r>
      <w:r w:rsidR="001007C6">
        <w:rPr>
          <w:rFonts w:cs="Calibri"/>
          <w:lang w:val="sq-AL"/>
        </w:rPr>
        <w:t>104.8</w:t>
      </w:r>
      <w:r w:rsidR="00BD1FA0" w:rsidRPr="00BD1FA0">
        <w:rPr>
          <w:rFonts w:cs="Calibri"/>
          <w:lang w:val="sq-AL"/>
        </w:rPr>
        <w:t xml:space="preserve">% e buxhetit fillestar për projektet me financim të huaj (4.4 miliardë lekë) </w:t>
      </w:r>
      <w:r w:rsidR="00BD1FA0" w:rsidRPr="00BD1FA0">
        <w:rPr>
          <w:rFonts w:cs="Calibri"/>
          <w:bCs/>
          <w:iCs/>
          <w:lang w:val="sq-AL"/>
        </w:rPr>
        <w:t>(97.7 % të planit vjetor të ndryshuar me AN nr.34).</w:t>
      </w:r>
      <w:r w:rsidR="00BD1FA0" w:rsidRPr="00BD1FA0">
        <w:rPr>
          <w:rFonts w:cs="Calibri"/>
          <w:lang w:val="sq-AL"/>
        </w:rPr>
        <w:t xml:space="preserve"> Buxheti i shpenzimeve kapitale pësoi disa ndryshime gjatë vitit, duke shtuar fonde për projekte të cilat kishin ecuri të mirë fizike. </w:t>
      </w:r>
      <w:r w:rsidR="00BD1FA0" w:rsidRPr="00BD1FA0">
        <w:rPr>
          <w:rFonts w:asciiTheme="majorHAnsi" w:eastAsiaTheme="minorHAnsi" w:hAnsiTheme="majorHAnsi" w:cs="Calibri Light"/>
          <w:szCs w:val="22"/>
          <w:lang w:val="sq-AL"/>
        </w:rPr>
        <w:t>Janë mbyllur kontratat e investimit si më poshtë sipas programeve buxhetore, ku ndër më kryesoret veçojmë:</w:t>
      </w:r>
    </w:p>
    <w:p w:rsidR="00BD1FA0" w:rsidRPr="00BD1FA0" w:rsidRDefault="00BD1FA0" w:rsidP="00842F80">
      <w:pPr>
        <w:pStyle w:val="ListParagraph"/>
        <w:numPr>
          <w:ilvl w:val="0"/>
          <w:numId w:val="18"/>
        </w:numPr>
        <w:shd w:val="clear" w:color="auto" w:fill="FFFFFF" w:themeFill="background1"/>
        <w:spacing w:before="0" w:line="240" w:lineRule="auto"/>
        <w:rPr>
          <w:rFonts w:asciiTheme="majorHAnsi" w:hAnsiTheme="majorHAnsi" w:cs="Calibri Light"/>
          <w:bCs/>
          <w:szCs w:val="22"/>
          <w:lang w:val="sq-AL" w:eastAsia="en-GB"/>
        </w:rPr>
      </w:pPr>
      <w:r w:rsidRPr="00BD1FA0">
        <w:rPr>
          <w:rFonts w:asciiTheme="majorHAnsi" w:hAnsiTheme="majorHAnsi" w:cs="Calibri Light"/>
          <w:bCs/>
          <w:szCs w:val="22"/>
          <w:lang w:val="sq-AL" w:eastAsia="en-GB"/>
        </w:rPr>
        <w:t xml:space="preserve">Në programin e </w:t>
      </w:r>
      <w:r w:rsidRPr="00BD1FA0">
        <w:rPr>
          <w:rFonts w:asciiTheme="majorHAnsi" w:hAnsiTheme="majorHAnsi" w:cs="Calibri Light"/>
          <w:b/>
          <w:bCs/>
          <w:i/>
          <w:szCs w:val="22"/>
          <w:lang w:val="sq-AL" w:eastAsia="en-GB"/>
        </w:rPr>
        <w:t xml:space="preserve">Menaxhimi i Infrastrukturës së kullimit dhe Ujitjes </w:t>
      </w:r>
      <w:r w:rsidRPr="00BD1FA0">
        <w:rPr>
          <w:rFonts w:asciiTheme="majorHAnsi" w:hAnsiTheme="majorHAnsi" w:cs="Calibri Light"/>
          <w:bCs/>
          <w:szCs w:val="22"/>
          <w:lang w:val="sq-AL" w:eastAsia="en-GB"/>
        </w:rPr>
        <w:t xml:space="preserve"> kanë përfunduar 38 kontrata  me vlerë të plotë investimi prej rreth 1666 milionë lekë ku veçojmë kontratat e mëposhtme:</w:t>
      </w:r>
    </w:p>
    <w:p w:rsidR="00BD1FA0" w:rsidRPr="00BD1FA0" w:rsidRDefault="00BD1FA0" w:rsidP="00842F80">
      <w:pPr>
        <w:pStyle w:val="ListParagraph"/>
        <w:numPr>
          <w:ilvl w:val="0"/>
          <w:numId w:val="25"/>
        </w:numPr>
        <w:shd w:val="clear" w:color="auto" w:fill="FFFFFF" w:themeFill="background1"/>
        <w:spacing w:before="0" w:line="240" w:lineRule="auto"/>
        <w:rPr>
          <w:rFonts w:asciiTheme="majorHAnsi" w:hAnsiTheme="majorHAnsi" w:cs="Calibri Light"/>
          <w:bCs/>
          <w:i/>
          <w:szCs w:val="22"/>
          <w:lang w:val="sq-AL" w:eastAsia="en-GB"/>
        </w:rPr>
      </w:pPr>
      <w:r w:rsidRPr="00BD1FA0">
        <w:rPr>
          <w:rFonts w:asciiTheme="majorHAnsi" w:hAnsiTheme="majorHAnsi" w:cs="Calibri Light"/>
          <w:bCs/>
          <w:i/>
          <w:szCs w:val="22"/>
          <w:lang w:val="sq-AL" w:eastAsia="en-GB"/>
        </w:rPr>
        <w:t>Kanali ujitës Tuçep, Bulqizë – 124 milionë lekë;</w:t>
      </w:r>
    </w:p>
    <w:p w:rsidR="00BD1FA0" w:rsidRPr="00BD1FA0" w:rsidRDefault="00BD1FA0" w:rsidP="00842F80">
      <w:pPr>
        <w:pStyle w:val="ListParagraph"/>
        <w:numPr>
          <w:ilvl w:val="0"/>
          <w:numId w:val="25"/>
        </w:numPr>
        <w:shd w:val="clear" w:color="auto" w:fill="FFFFFF" w:themeFill="background1"/>
        <w:spacing w:before="0" w:line="240" w:lineRule="auto"/>
        <w:rPr>
          <w:rFonts w:asciiTheme="majorHAnsi" w:hAnsiTheme="majorHAnsi" w:cs="Calibri Light"/>
          <w:bCs/>
          <w:i/>
          <w:szCs w:val="22"/>
          <w:lang w:val="sq-AL" w:eastAsia="en-GB"/>
        </w:rPr>
      </w:pPr>
      <w:r w:rsidRPr="00BD1FA0">
        <w:rPr>
          <w:rFonts w:asciiTheme="majorHAnsi" w:hAnsiTheme="majorHAnsi" w:cs="Calibri Light"/>
          <w:bCs/>
          <w:i/>
          <w:szCs w:val="22"/>
          <w:lang w:val="sq-AL" w:eastAsia="en-GB"/>
        </w:rPr>
        <w:t>Mbrojtja nga Lumi Vjosa të rrugës Ura e Leklit-Këlcyrë - 113 milionë lekë;</w:t>
      </w:r>
    </w:p>
    <w:p w:rsidR="00BD1FA0" w:rsidRPr="00BD1FA0" w:rsidRDefault="00BD1FA0" w:rsidP="00842F80">
      <w:pPr>
        <w:pStyle w:val="ListParagraph"/>
        <w:numPr>
          <w:ilvl w:val="0"/>
          <w:numId w:val="25"/>
        </w:numPr>
        <w:shd w:val="clear" w:color="auto" w:fill="FFFFFF" w:themeFill="background1"/>
        <w:spacing w:before="0" w:line="240" w:lineRule="auto"/>
        <w:rPr>
          <w:rFonts w:asciiTheme="majorHAnsi" w:hAnsiTheme="majorHAnsi" w:cs="Calibri Light"/>
          <w:bCs/>
          <w:i/>
          <w:szCs w:val="22"/>
          <w:lang w:val="sq-AL" w:eastAsia="en-GB"/>
        </w:rPr>
      </w:pPr>
      <w:r w:rsidRPr="00BD1FA0">
        <w:rPr>
          <w:rFonts w:asciiTheme="majorHAnsi" w:hAnsiTheme="majorHAnsi" w:cs="Calibri Light"/>
          <w:bCs/>
          <w:i/>
          <w:szCs w:val="22"/>
          <w:lang w:val="sq-AL" w:eastAsia="en-GB"/>
        </w:rPr>
        <w:t>Kanali Ujitës Ndroq-Callik – 83 milionë lekë;</w:t>
      </w:r>
    </w:p>
    <w:p w:rsidR="00BD1FA0" w:rsidRPr="00BD1FA0" w:rsidRDefault="00BD1FA0" w:rsidP="00842F80">
      <w:pPr>
        <w:pStyle w:val="ListParagraph"/>
        <w:numPr>
          <w:ilvl w:val="0"/>
          <w:numId w:val="25"/>
        </w:numPr>
        <w:shd w:val="clear" w:color="auto" w:fill="FFFFFF" w:themeFill="background1"/>
        <w:spacing w:before="0" w:line="240" w:lineRule="auto"/>
        <w:rPr>
          <w:rFonts w:asciiTheme="majorHAnsi" w:hAnsiTheme="majorHAnsi" w:cs="Calibri Light"/>
          <w:bCs/>
          <w:i/>
          <w:szCs w:val="22"/>
          <w:lang w:val="sq-AL" w:eastAsia="en-GB"/>
        </w:rPr>
      </w:pPr>
      <w:r w:rsidRPr="00BD1FA0">
        <w:rPr>
          <w:rFonts w:asciiTheme="majorHAnsi" w:hAnsiTheme="majorHAnsi" w:cs="Calibri Light"/>
          <w:bCs/>
          <w:i/>
          <w:szCs w:val="22"/>
          <w:lang w:val="sq-AL" w:eastAsia="en-GB"/>
        </w:rPr>
        <w:t>Hidrovori Divjakë -  81 milionë lekë;</w:t>
      </w:r>
    </w:p>
    <w:p w:rsidR="00BD1FA0" w:rsidRPr="00BD1FA0" w:rsidRDefault="00BD1FA0" w:rsidP="00842F80">
      <w:pPr>
        <w:pStyle w:val="ListParagraph"/>
        <w:numPr>
          <w:ilvl w:val="0"/>
          <w:numId w:val="25"/>
        </w:numPr>
        <w:shd w:val="clear" w:color="auto" w:fill="FFFFFF" w:themeFill="background1"/>
        <w:spacing w:before="0" w:line="240" w:lineRule="auto"/>
        <w:rPr>
          <w:rFonts w:asciiTheme="majorHAnsi" w:hAnsiTheme="majorHAnsi" w:cs="Calibri Light"/>
          <w:bCs/>
          <w:i/>
          <w:szCs w:val="22"/>
          <w:lang w:val="sq-AL" w:eastAsia="en-GB"/>
        </w:rPr>
      </w:pPr>
      <w:r w:rsidRPr="00BD1FA0">
        <w:rPr>
          <w:rFonts w:asciiTheme="majorHAnsi" w:hAnsiTheme="majorHAnsi" w:cs="Calibri Light"/>
          <w:bCs/>
          <w:i/>
          <w:szCs w:val="22"/>
          <w:lang w:val="sq-AL" w:eastAsia="en-GB"/>
        </w:rPr>
        <w:t>Rikonstruksioni i rrjetit ujitës të rezervuarit të Gjonçit, bashkia Kolonjë – 75 milionë lekë;</w:t>
      </w:r>
    </w:p>
    <w:p w:rsidR="00BD1FA0" w:rsidRPr="00BD1FA0" w:rsidRDefault="00BD1FA0" w:rsidP="00842F80">
      <w:pPr>
        <w:pStyle w:val="ListParagraph"/>
        <w:numPr>
          <w:ilvl w:val="0"/>
          <w:numId w:val="25"/>
        </w:numPr>
        <w:shd w:val="clear" w:color="auto" w:fill="FFFFFF" w:themeFill="background1"/>
        <w:spacing w:before="0" w:line="240" w:lineRule="auto"/>
        <w:rPr>
          <w:rFonts w:asciiTheme="majorHAnsi" w:hAnsiTheme="majorHAnsi" w:cs="Calibri Light"/>
          <w:bCs/>
          <w:i/>
          <w:szCs w:val="22"/>
          <w:lang w:val="sq-AL" w:eastAsia="en-GB"/>
        </w:rPr>
      </w:pPr>
      <w:r w:rsidRPr="00BD1FA0">
        <w:rPr>
          <w:rFonts w:asciiTheme="majorHAnsi" w:hAnsiTheme="majorHAnsi" w:cs="Calibri Light"/>
          <w:bCs/>
          <w:i/>
          <w:szCs w:val="22"/>
          <w:lang w:val="sq-AL" w:eastAsia="en-GB"/>
        </w:rPr>
        <w:t xml:space="preserve">Mbrojtje nga përmbytja lumi Drin, përballë harkut të Bërdicës, Shkodër – 64 milionë lekë; </w:t>
      </w:r>
    </w:p>
    <w:p w:rsidR="00BD1FA0" w:rsidRPr="00BD1FA0" w:rsidRDefault="00BD1FA0" w:rsidP="00842F80">
      <w:pPr>
        <w:pStyle w:val="ListParagraph"/>
        <w:numPr>
          <w:ilvl w:val="0"/>
          <w:numId w:val="25"/>
        </w:numPr>
        <w:shd w:val="clear" w:color="auto" w:fill="FFFFFF" w:themeFill="background1"/>
        <w:spacing w:before="0" w:line="240" w:lineRule="auto"/>
        <w:rPr>
          <w:rFonts w:asciiTheme="majorHAnsi" w:hAnsiTheme="majorHAnsi" w:cs="Calibri Light"/>
          <w:bCs/>
          <w:i/>
          <w:szCs w:val="22"/>
          <w:lang w:val="sq-AL" w:eastAsia="en-GB"/>
        </w:rPr>
      </w:pPr>
      <w:r w:rsidRPr="00BD1FA0">
        <w:rPr>
          <w:rFonts w:asciiTheme="majorHAnsi" w:hAnsiTheme="majorHAnsi" w:cs="Calibri Light"/>
          <w:bCs/>
          <w:i/>
          <w:szCs w:val="22"/>
          <w:lang w:val="sq-AL" w:eastAsia="en-GB"/>
        </w:rPr>
        <w:t>Rehabilitimi i hidrovorit të Çukës në Sarandë – 58 milionë lekë;</w:t>
      </w:r>
    </w:p>
    <w:p w:rsidR="00BD1FA0" w:rsidRPr="00BD1FA0" w:rsidRDefault="00BD1FA0" w:rsidP="00842F80">
      <w:pPr>
        <w:pStyle w:val="ListParagraph"/>
        <w:numPr>
          <w:ilvl w:val="0"/>
          <w:numId w:val="25"/>
        </w:numPr>
        <w:shd w:val="clear" w:color="auto" w:fill="FFFFFF" w:themeFill="background1"/>
        <w:spacing w:before="0" w:line="240" w:lineRule="auto"/>
        <w:rPr>
          <w:rFonts w:asciiTheme="majorHAnsi" w:hAnsiTheme="majorHAnsi" w:cs="Calibri Light"/>
          <w:bCs/>
          <w:i/>
          <w:szCs w:val="22"/>
          <w:lang w:val="sq-AL" w:eastAsia="en-GB"/>
        </w:rPr>
      </w:pPr>
      <w:r w:rsidRPr="00BD1FA0">
        <w:rPr>
          <w:rFonts w:asciiTheme="majorHAnsi" w:hAnsiTheme="majorHAnsi" w:cs="Calibri Light"/>
          <w:bCs/>
          <w:i/>
          <w:szCs w:val="22"/>
          <w:lang w:val="sq-AL" w:eastAsia="en-GB"/>
        </w:rPr>
        <w:t>Mbrojtje nga përmbytjet nga lumi Osum në Starovë, Berat - 58 milionë lekë;</w:t>
      </w:r>
    </w:p>
    <w:p w:rsidR="00BD1FA0" w:rsidRPr="00BD1FA0" w:rsidRDefault="00BD1FA0" w:rsidP="00842F80">
      <w:pPr>
        <w:pStyle w:val="ListParagraph"/>
        <w:numPr>
          <w:ilvl w:val="0"/>
          <w:numId w:val="25"/>
        </w:numPr>
        <w:shd w:val="clear" w:color="auto" w:fill="FFFFFF" w:themeFill="background1"/>
        <w:spacing w:before="0" w:line="240" w:lineRule="auto"/>
        <w:rPr>
          <w:rFonts w:asciiTheme="majorHAnsi" w:hAnsiTheme="majorHAnsi" w:cs="Calibri Light"/>
          <w:bCs/>
          <w:i/>
          <w:szCs w:val="22"/>
          <w:lang w:val="sq-AL" w:eastAsia="en-GB"/>
        </w:rPr>
      </w:pPr>
      <w:r w:rsidRPr="00BD1FA0">
        <w:rPr>
          <w:rFonts w:asciiTheme="majorHAnsi" w:hAnsiTheme="majorHAnsi" w:cs="Calibri Light"/>
          <w:bCs/>
          <w:i/>
          <w:szCs w:val="22"/>
          <w:lang w:val="sq-AL" w:eastAsia="en-GB"/>
        </w:rPr>
        <w:t>Rehabilitimi i Digës së Gramës - 56 milionë lekë;</w:t>
      </w:r>
    </w:p>
    <w:p w:rsidR="00BD1FA0" w:rsidRPr="00BD1FA0" w:rsidRDefault="00BD1FA0" w:rsidP="00842F80">
      <w:pPr>
        <w:pStyle w:val="ListParagraph"/>
        <w:numPr>
          <w:ilvl w:val="0"/>
          <w:numId w:val="25"/>
        </w:numPr>
        <w:shd w:val="clear" w:color="auto" w:fill="FFFFFF" w:themeFill="background1"/>
        <w:spacing w:before="0" w:line="240" w:lineRule="auto"/>
        <w:rPr>
          <w:rFonts w:asciiTheme="majorHAnsi" w:hAnsiTheme="majorHAnsi" w:cs="Calibri Light"/>
          <w:bCs/>
          <w:i/>
          <w:szCs w:val="22"/>
          <w:lang w:val="sq-AL" w:eastAsia="en-GB"/>
        </w:rPr>
      </w:pPr>
      <w:r w:rsidRPr="00BD1FA0">
        <w:rPr>
          <w:rFonts w:asciiTheme="majorHAnsi" w:hAnsiTheme="majorHAnsi" w:cs="Calibri Light"/>
          <w:bCs/>
          <w:i/>
          <w:szCs w:val="22"/>
          <w:lang w:val="sq-AL" w:eastAsia="en-GB"/>
        </w:rPr>
        <w:t>Mbrojtje nga Lumi Seman në Zhelizhan dhe Toshkëz - 54 milionë lekë;</w:t>
      </w:r>
    </w:p>
    <w:p w:rsidR="00BD1FA0" w:rsidRPr="00BD1FA0" w:rsidRDefault="00BD1FA0" w:rsidP="00842F80">
      <w:pPr>
        <w:pStyle w:val="ListParagraph"/>
        <w:numPr>
          <w:ilvl w:val="0"/>
          <w:numId w:val="25"/>
        </w:numPr>
        <w:shd w:val="clear" w:color="auto" w:fill="FFFFFF" w:themeFill="background1"/>
        <w:spacing w:before="0" w:line="240" w:lineRule="auto"/>
        <w:rPr>
          <w:rFonts w:asciiTheme="majorHAnsi" w:hAnsiTheme="majorHAnsi" w:cs="Calibri Light"/>
          <w:bCs/>
          <w:i/>
          <w:szCs w:val="22"/>
          <w:lang w:val="sq-AL" w:eastAsia="en-GB"/>
        </w:rPr>
      </w:pPr>
      <w:r w:rsidRPr="00BD1FA0">
        <w:rPr>
          <w:rFonts w:asciiTheme="majorHAnsi" w:hAnsiTheme="majorHAnsi" w:cs="Calibri Light"/>
          <w:bCs/>
          <w:i/>
          <w:szCs w:val="22"/>
          <w:lang w:val="sq-AL" w:eastAsia="en-GB"/>
        </w:rPr>
        <w:t>Rehabilitimi i KUL Mamurras - 54 milionë lekë;</w:t>
      </w:r>
    </w:p>
    <w:p w:rsidR="00BD1FA0" w:rsidRPr="00BD1FA0" w:rsidRDefault="00BD1FA0" w:rsidP="00842F80">
      <w:pPr>
        <w:pStyle w:val="ListParagraph"/>
        <w:numPr>
          <w:ilvl w:val="0"/>
          <w:numId w:val="25"/>
        </w:numPr>
        <w:shd w:val="clear" w:color="auto" w:fill="FFFFFF" w:themeFill="background1"/>
        <w:spacing w:before="0" w:line="240" w:lineRule="auto"/>
        <w:rPr>
          <w:rFonts w:asciiTheme="majorHAnsi" w:hAnsiTheme="majorHAnsi" w:cs="Calibri Light"/>
          <w:bCs/>
          <w:i/>
          <w:szCs w:val="22"/>
          <w:lang w:val="sq-AL" w:eastAsia="en-GB"/>
        </w:rPr>
      </w:pPr>
      <w:r w:rsidRPr="00BD1FA0">
        <w:rPr>
          <w:rFonts w:asciiTheme="majorHAnsi" w:hAnsiTheme="majorHAnsi" w:cs="Calibri Light"/>
          <w:bCs/>
          <w:i/>
          <w:szCs w:val="22"/>
          <w:lang w:val="sq-AL" w:eastAsia="en-GB"/>
        </w:rPr>
        <w:t>Mbrojtje nga lumi Vjosë Fusha Hekal Mollajt - 53 milionë lekë;</w:t>
      </w:r>
    </w:p>
    <w:p w:rsidR="00BD1FA0" w:rsidRPr="00BD1FA0" w:rsidRDefault="00BD1FA0" w:rsidP="00842F80">
      <w:pPr>
        <w:pStyle w:val="ListParagraph"/>
        <w:numPr>
          <w:ilvl w:val="0"/>
          <w:numId w:val="25"/>
        </w:numPr>
        <w:shd w:val="clear" w:color="auto" w:fill="FFFFFF" w:themeFill="background1"/>
        <w:spacing w:before="0" w:line="240" w:lineRule="auto"/>
        <w:rPr>
          <w:rFonts w:asciiTheme="majorHAnsi" w:hAnsiTheme="majorHAnsi" w:cs="Calibri Light"/>
          <w:bCs/>
          <w:i/>
          <w:szCs w:val="22"/>
          <w:lang w:val="sq-AL" w:eastAsia="en-GB"/>
        </w:rPr>
      </w:pPr>
      <w:r w:rsidRPr="00BD1FA0">
        <w:rPr>
          <w:rFonts w:asciiTheme="majorHAnsi" w:hAnsiTheme="majorHAnsi" w:cs="Calibri Light"/>
          <w:bCs/>
          <w:i/>
          <w:szCs w:val="22"/>
          <w:lang w:val="sq-AL" w:eastAsia="en-GB"/>
        </w:rPr>
        <w:t>Mbrojtje në Kardhiq, Gjirokastër - 52 milionë lekë;</w:t>
      </w:r>
    </w:p>
    <w:p w:rsidR="00BD1FA0" w:rsidRPr="00BD1FA0" w:rsidRDefault="00BD1FA0" w:rsidP="00842F80">
      <w:pPr>
        <w:pStyle w:val="ListParagraph"/>
        <w:numPr>
          <w:ilvl w:val="0"/>
          <w:numId w:val="25"/>
        </w:numPr>
        <w:shd w:val="clear" w:color="auto" w:fill="FFFFFF" w:themeFill="background1"/>
        <w:spacing w:before="0" w:line="240" w:lineRule="auto"/>
        <w:rPr>
          <w:rFonts w:asciiTheme="majorHAnsi" w:hAnsiTheme="majorHAnsi" w:cs="Calibri Light"/>
          <w:bCs/>
          <w:i/>
          <w:szCs w:val="22"/>
          <w:lang w:val="sq-AL" w:eastAsia="en-GB"/>
        </w:rPr>
      </w:pPr>
      <w:r w:rsidRPr="00BD1FA0">
        <w:rPr>
          <w:rFonts w:asciiTheme="majorHAnsi" w:hAnsiTheme="majorHAnsi" w:cs="Calibri Light"/>
          <w:bCs/>
          <w:i/>
          <w:szCs w:val="22"/>
          <w:lang w:val="sq-AL" w:eastAsia="en-GB"/>
        </w:rPr>
        <w:t>Kanali i Ujitës Postribë - 51 milionë lekë;</w:t>
      </w:r>
    </w:p>
    <w:p w:rsidR="00BD1FA0" w:rsidRPr="00BD1FA0" w:rsidRDefault="00BD1FA0" w:rsidP="00842F80">
      <w:pPr>
        <w:pStyle w:val="ListParagraph"/>
        <w:numPr>
          <w:ilvl w:val="0"/>
          <w:numId w:val="25"/>
        </w:numPr>
        <w:shd w:val="clear" w:color="auto" w:fill="FFFFFF" w:themeFill="background1"/>
        <w:spacing w:before="0" w:line="240" w:lineRule="auto"/>
        <w:rPr>
          <w:rFonts w:asciiTheme="majorHAnsi" w:hAnsiTheme="majorHAnsi" w:cs="Calibri Light"/>
          <w:bCs/>
          <w:i/>
          <w:szCs w:val="22"/>
          <w:lang w:val="sq-AL" w:eastAsia="en-GB"/>
        </w:rPr>
      </w:pPr>
      <w:r w:rsidRPr="00BD1FA0">
        <w:rPr>
          <w:rFonts w:asciiTheme="majorHAnsi" w:hAnsiTheme="majorHAnsi" w:cs="Calibri Light"/>
          <w:bCs/>
          <w:i/>
          <w:szCs w:val="22"/>
          <w:lang w:val="sq-AL" w:eastAsia="en-GB"/>
        </w:rPr>
        <w:t>Argjinatura mbrojtëse Zalli Sinës - 47 milionë lekë;</w:t>
      </w:r>
    </w:p>
    <w:p w:rsidR="00BD1FA0" w:rsidRPr="00BD1FA0" w:rsidRDefault="00BD1FA0" w:rsidP="00842F80">
      <w:pPr>
        <w:pStyle w:val="ListParagraph"/>
        <w:numPr>
          <w:ilvl w:val="0"/>
          <w:numId w:val="25"/>
        </w:numPr>
        <w:shd w:val="clear" w:color="auto" w:fill="FFFFFF" w:themeFill="background1"/>
        <w:spacing w:before="0" w:line="240" w:lineRule="auto"/>
        <w:rPr>
          <w:rFonts w:asciiTheme="majorHAnsi" w:hAnsiTheme="majorHAnsi" w:cs="Calibri Light"/>
          <w:bCs/>
          <w:i/>
          <w:szCs w:val="22"/>
          <w:lang w:val="sq-AL" w:eastAsia="en-GB"/>
        </w:rPr>
      </w:pPr>
      <w:r w:rsidRPr="00BD1FA0">
        <w:rPr>
          <w:rFonts w:asciiTheme="majorHAnsi" w:hAnsiTheme="majorHAnsi" w:cs="Calibri Light"/>
          <w:bCs/>
          <w:i/>
          <w:szCs w:val="22"/>
          <w:lang w:val="sq-AL" w:eastAsia="en-GB"/>
        </w:rPr>
        <w:t>Kanali ujitës Kotërr- Rrabosht, segmenti Kotorr-Nënshat (L=1000m) dhe segmenti Pirraj Rrabosht (L=2150m) - 46 milionë lekë;</w:t>
      </w:r>
    </w:p>
    <w:p w:rsidR="00BD1FA0" w:rsidRPr="00BD1FA0" w:rsidRDefault="00BD1FA0" w:rsidP="00842F80">
      <w:pPr>
        <w:pStyle w:val="ListParagraph"/>
        <w:numPr>
          <w:ilvl w:val="0"/>
          <w:numId w:val="25"/>
        </w:numPr>
        <w:shd w:val="clear" w:color="auto" w:fill="FFFFFF" w:themeFill="background1"/>
        <w:spacing w:before="0" w:line="240" w:lineRule="auto"/>
        <w:rPr>
          <w:rFonts w:asciiTheme="majorHAnsi" w:hAnsiTheme="majorHAnsi" w:cs="Calibri Light"/>
          <w:bCs/>
          <w:i/>
          <w:szCs w:val="22"/>
          <w:lang w:val="sq-AL" w:eastAsia="en-GB"/>
        </w:rPr>
      </w:pPr>
      <w:r w:rsidRPr="00BD1FA0">
        <w:rPr>
          <w:rFonts w:asciiTheme="majorHAnsi" w:hAnsiTheme="majorHAnsi" w:cs="Calibri Light"/>
          <w:bCs/>
          <w:i/>
          <w:szCs w:val="22"/>
          <w:lang w:val="sq-AL" w:eastAsia="en-GB"/>
        </w:rPr>
        <w:t>Rehabilitimi i kanaleve  vaditës e kullues Bashkia Cërrik - 40 milionë lekë;</w:t>
      </w:r>
    </w:p>
    <w:p w:rsidR="00BD1FA0" w:rsidRPr="00BD1FA0" w:rsidRDefault="00BD1FA0" w:rsidP="00842F80">
      <w:pPr>
        <w:pStyle w:val="ListParagraph"/>
        <w:numPr>
          <w:ilvl w:val="0"/>
          <w:numId w:val="25"/>
        </w:numPr>
        <w:shd w:val="clear" w:color="auto" w:fill="FFFFFF" w:themeFill="background1"/>
        <w:spacing w:before="0" w:line="240" w:lineRule="auto"/>
        <w:rPr>
          <w:rFonts w:asciiTheme="majorHAnsi" w:hAnsiTheme="majorHAnsi" w:cs="Calibri Light"/>
          <w:bCs/>
          <w:i/>
          <w:szCs w:val="22"/>
          <w:lang w:val="sq-AL" w:eastAsia="en-GB"/>
        </w:rPr>
      </w:pPr>
      <w:r w:rsidRPr="00BD1FA0">
        <w:rPr>
          <w:rFonts w:asciiTheme="majorHAnsi" w:hAnsiTheme="majorHAnsi" w:cs="Calibri Light"/>
          <w:bCs/>
          <w:i/>
          <w:szCs w:val="22"/>
          <w:lang w:val="sq-AL" w:eastAsia="en-GB"/>
        </w:rPr>
        <w:t>Rezervuari Paskuqan - 39 milionë lekë;</w:t>
      </w:r>
    </w:p>
    <w:p w:rsidR="00BD1FA0" w:rsidRPr="00BD1FA0" w:rsidRDefault="00BD1FA0" w:rsidP="00842F80">
      <w:pPr>
        <w:pStyle w:val="ListParagraph"/>
        <w:numPr>
          <w:ilvl w:val="0"/>
          <w:numId w:val="25"/>
        </w:numPr>
        <w:shd w:val="clear" w:color="auto" w:fill="FFFFFF" w:themeFill="background1"/>
        <w:spacing w:before="0" w:line="240" w:lineRule="auto"/>
        <w:rPr>
          <w:rFonts w:asciiTheme="majorHAnsi" w:hAnsiTheme="majorHAnsi" w:cs="Calibri Light"/>
          <w:bCs/>
          <w:i/>
          <w:szCs w:val="22"/>
          <w:lang w:val="sq-AL" w:eastAsia="en-GB"/>
        </w:rPr>
      </w:pPr>
      <w:r w:rsidRPr="00BD1FA0">
        <w:rPr>
          <w:rFonts w:asciiTheme="majorHAnsi" w:hAnsiTheme="majorHAnsi" w:cs="Calibri Light"/>
          <w:bCs/>
          <w:i/>
          <w:szCs w:val="22"/>
          <w:lang w:val="sq-AL" w:eastAsia="en-GB"/>
        </w:rPr>
        <w:t>Rehabilitimi i hidrovorit Shllinxa, Kurbin - 39 milionë lekë;</w:t>
      </w:r>
    </w:p>
    <w:p w:rsidR="00BD1FA0" w:rsidRPr="00BD1FA0" w:rsidRDefault="00BD1FA0" w:rsidP="00842F80">
      <w:pPr>
        <w:pStyle w:val="ListParagraph"/>
        <w:numPr>
          <w:ilvl w:val="0"/>
          <w:numId w:val="25"/>
        </w:numPr>
        <w:shd w:val="clear" w:color="auto" w:fill="FFFFFF" w:themeFill="background1"/>
        <w:spacing w:before="0" w:line="240" w:lineRule="auto"/>
        <w:rPr>
          <w:rFonts w:asciiTheme="majorHAnsi" w:hAnsiTheme="majorHAnsi" w:cs="Calibri Light"/>
          <w:bCs/>
          <w:i/>
          <w:szCs w:val="22"/>
          <w:lang w:val="sq-AL" w:eastAsia="en-GB"/>
        </w:rPr>
      </w:pPr>
      <w:r w:rsidRPr="00BD1FA0">
        <w:rPr>
          <w:rFonts w:asciiTheme="majorHAnsi" w:hAnsiTheme="majorHAnsi" w:cs="Calibri Light"/>
          <w:bCs/>
          <w:i/>
          <w:szCs w:val="22"/>
          <w:lang w:val="sq-AL" w:eastAsia="en-GB"/>
        </w:rPr>
        <w:t>Rehabilitim i kanalit ujitës Berat - Ura e Kuçit - Berat - 38 milionë lekë;</w:t>
      </w:r>
    </w:p>
    <w:p w:rsidR="00BD1FA0" w:rsidRPr="00BD1FA0" w:rsidRDefault="00BD1FA0" w:rsidP="00842F80">
      <w:pPr>
        <w:pStyle w:val="ListParagraph"/>
        <w:numPr>
          <w:ilvl w:val="0"/>
          <w:numId w:val="25"/>
        </w:numPr>
        <w:shd w:val="clear" w:color="auto" w:fill="FFFFFF" w:themeFill="background1"/>
        <w:spacing w:before="0" w:line="240" w:lineRule="auto"/>
        <w:rPr>
          <w:rFonts w:asciiTheme="majorHAnsi" w:hAnsiTheme="majorHAnsi" w:cs="Calibri Light"/>
          <w:bCs/>
          <w:i/>
          <w:szCs w:val="22"/>
          <w:lang w:val="sq-AL" w:eastAsia="en-GB"/>
        </w:rPr>
      </w:pPr>
      <w:r w:rsidRPr="00BD1FA0">
        <w:rPr>
          <w:rFonts w:asciiTheme="majorHAnsi" w:hAnsiTheme="majorHAnsi" w:cs="Calibri Light"/>
          <w:bCs/>
          <w:i/>
          <w:szCs w:val="22"/>
          <w:lang w:val="sq-AL" w:eastAsia="en-GB"/>
        </w:rPr>
        <w:t>Dega e Martinës - 36 milionë lekë;</w:t>
      </w:r>
    </w:p>
    <w:p w:rsidR="00BD1FA0" w:rsidRPr="00BD1FA0" w:rsidRDefault="00BD1FA0" w:rsidP="00842F80">
      <w:pPr>
        <w:pStyle w:val="ListParagraph"/>
        <w:numPr>
          <w:ilvl w:val="0"/>
          <w:numId w:val="25"/>
        </w:numPr>
        <w:shd w:val="clear" w:color="auto" w:fill="FFFFFF" w:themeFill="background1"/>
        <w:spacing w:before="0" w:line="240" w:lineRule="auto"/>
        <w:rPr>
          <w:rFonts w:asciiTheme="majorHAnsi" w:hAnsiTheme="majorHAnsi" w:cs="Calibri Light"/>
          <w:bCs/>
          <w:i/>
          <w:szCs w:val="22"/>
          <w:lang w:val="sq-AL" w:eastAsia="en-GB"/>
        </w:rPr>
      </w:pPr>
      <w:r w:rsidRPr="00BD1FA0">
        <w:rPr>
          <w:rFonts w:asciiTheme="majorHAnsi" w:hAnsiTheme="majorHAnsi" w:cs="Calibri Light"/>
          <w:bCs/>
          <w:i/>
          <w:szCs w:val="22"/>
          <w:lang w:val="sq-AL" w:eastAsia="en-GB"/>
        </w:rPr>
        <w:t>Rehabilitimi i digave të ujëmbledhësve të bashkisë Dropull (Kakavijë, Likomil, Peshkopi dhe Bodrisht) dhe kanalit ujitës të rezervuarit të Peshkëpisë - 36 milionë lekë;</w:t>
      </w:r>
    </w:p>
    <w:p w:rsidR="00BD1FA0" w:rsidRPr="00BD1FA0" w:rsidRDefault="00BD1FA0" w:rsidP="00842F80">
      <w:pPr>
        <w:pStyle w:val="ListParagraph"/>
        <w:numPr>
          <w:ilvl w:val="0"/>
          <w:numId w:val="25"/>
        </w:numPr>
        <w:shd w:val="clear" w:color="auto" w:fill="FFFFFF" w:themeFill="background1"/>
        <w:spacing w:before="0" w:line="240" w:lineRule="auto"/>
        <w:rPr>
          <w:rFonts w:asciiTheme="majorHAnsi" w:hAnsiTheme="majorHAnsi" w:cs="Calibri Light"/>
          <w:bCs/>
          <w:i/>
          <w:szCs w:val="22"/>
          <w:lang w:val="sq-AL" w:eastAsia="en-GB"/>
        </w:rPr>
      </w:pPr>
      <w:r w:rsidRPr="00BD1FA0">
        <w:rPr>
          <w:rFonts w:asciiTheme="majorHAnsi" w:hAnsiTheme="majorHAnsi" w:cs="Calibri Light"/>
          <w:bCs/>
          <w:i/>
          <w:szCs w:val="22"/>
          <w:lang w:val="sq-AL" w:eastAsia="en-GB"/>
        </w:rPr>
        <w:t>Skema Ujitësë Armen (Peshkëpi-Armen), Selenice - 31 milionë lekë;</w:t>
      </w:r>
    </w:p>
    <w:p w:rsidR="00BD1FA0" w:rsidRPr="00BD1FA0" w:rsidRDefault="00BD1FA0" w:rsidP="00842F80">
      <w:pPr>
        <w:pStyle w:val="ListParagraph"/>
        <w:numPr>
          <w:ilvl w:val="0"/>
          <w:numId w:val="27"/>
        </w:numPr>
        <w:shd w:val="clear" w:color="auto" w:fill="FFFFFF" w:themeFill="background1"/>
        <w:spacing w:before="0" w:line="240" w:lineRule="auto"/>
        <w:rPr>
          <w:rFonts w:asciiTheme="majorHAnsi" w:hAnsiTheme="majorHAnsi" w:cs="Calibri Light"/>
          <w:bCs/>
          <w:szCs w:val="22"/>
          <w:lang w:val="sq-AL" w:eastAsia="en-GB"/>
        </w:rPr>
      </w:pPr>
      <w:r w:rsidRPr="00BD1FA0">
        <w:rPr>
          <w:rFonts w:asciiTheme="majorHAnsi" w:hAnsiTheme="majorHAnsi" w:cs="Calibri Light"/>
          <w:bCs/>
          <w:szCs w:val="22"/>
          <w:lang w:val="sq-AL" w:eastAsia="en-GB"/>
        </w:rPr>
        <w:t xml:space="preserve">Programi “ </w:t>
      </w:r>
      <w:r w:rsidRPr="00BD1FA0">
        <w:rPr>
          <w:rFonts w:asciiTheme="majorHAnsi" w:hAnsiTheme="majorHAnsi" w:cs="Calibri Light"/>
          <w:b/>
          <w:bCs/>
          <w:i/>
          <w:szCs w:val="22"/>
          <w:lang w:val="sq-AL" w:eastAsia="en-GB"/>
        </w:rPr>
        <w:t>Zhvillimi rural</w:t>
      </w:r>
      <w:r w:rsidRPr="00BD1FA0">
        <w:rPr>
          <w:rFonts w:asciiTheme="majorHAnsi" w:hAnsiTheme="majorHAnsi" w:cs="Calibri Light"/>
          <w:bCs/>
          <w:szCs w:val="22"/>
          <w:lang w:val="sq-AL" w:eastAsia="en-GB"/>
        </w:rPr>
        <w:t>” kanë përfunduar  2 kontrata me vlerë totale 133 milionë lekë konkretisht:</w:t>
      </w:r>
    </w:p>
    <w:p w:rsidR="00BD1FA0" w:rsidRPr="00BD1FA0" w:rsidRDefault="00BD1FA0" w:rsidP="00842F80">
      <w:pPr>
        <w:pStyle w:val="ListParagraph"/>
        <w:numPr>
          <w:ilvl w:val="0"/>
          <w:numId w:val="26"/>
        </w:numPr>
        <w:shd w:val="clear" w:color="auto" w:fill="FFFFFF" w:themeFill="background1"/>
        <w:spacing w:before="0" w:line="240" w:lineRule="auto"/>
        <w:rPr>
          <w:rFonts w:asciiTheme="majorHAnsi" w:hAnsiTheme="majorHAnsi" w:cs="Calibri Light"/>
          <w:bCs/>
          <w:i/>
          <w:szCs w:val="22"/>
          <w:lang w:val="sq-AL" w:eastAsia="en-GB"/>
        </w:rPr>
      </w:pPr>
      <w:r w:rsidRPr="00BD1FA0">
        <w:rPr>
          <w:rFonts w:asciiTheme="majorHAnsi" w:hAnsiTheme="majorHAnsi" w:cs="Calibri Light"/>
          <w:bCs/>
          <w:i/>
          <w:szCs w:val="22"/>
          <w:lang w:val="sq-AL" w:eastAsia="en-GB"/>
        </w:rPr>
        <w:t>Krijimi i sistemit për funksionimin e skemës së naftës pa taksa të fermerit, me pajisje me vlerë 74 milionë lekë.</w:t>
      </w:r>
    </w:p>
    <w:p w:rsidR="00BD1FA0" w:rsidRPr="00BD1FA0" w:rsidRDefault="00BD1FA0" w:rsidP="00842F80">
      <w:pPr>
        <w:pStyle w:val="ListParagraph"/>
        <w:numPr>
          <w:ilvl w:val="0"/>
          <w:numId w:val="26"/>
        </w:numPr>
        <w:shd w:val="clear" w:color="auto" w:fill="FFFFFF" w:themeFill="background1"/>
        <w:spacing w:before="0" w:line="240" w:lineRule="auto"/>
        <w:rPr>
          <w:rFonts w:asciiTheme="majorHAnsi" w:hAnsiTheme="majorHAnsi" w:cs="Calibri Light"/>
          <w:bCs/>
          <w:i/>
          <w:szCs w:val="22"/>
          <w:lang w:val="sq-AL" w:eastAsia="en-GB"/>
        </w:rPr>
      </w:pPr>
      <w:r w:rsidRPr="00BD1FA0">
        <w:rPr>
          <w:rFonts w:asciiTheme="majorHAnsi" w:hAnsiTheme="majorHAnsi" w:cs="Calibri Light"/>
          <w:bCs/>
          <w:i/>
          <w:szCs w:val="22"/>
          <w:lang w:val="sq-AL" w:eastAsia="en-GB"/>
        </w:rPr>
        <w:t>Shtesë zyrash dhe rikonstruksion - 59 milionë lekë.</w:t>
      </w:r>
    </w:p>
    <w:p w:rsidR="00BD1FA0" w:rsidRPr="00BD1FA0" w:rsidRDefault="00BD1FA0" w:rsidP="00842F80">
      <w:pPr>
        <w:pStyle w:val="ListParagraph"/>
        <w:numPr>
          <w:ilvl w:val="0"/>
          <w:numId w:val="18"/>
        </w:numPr>
        <w:shd w:val="clear" w:color="auto" w:fill="FFFFFF" w:themeFill="background1"/>
        <w:spacing w:before="0" w:line="240" w:lineRule="auto"/>
        <w:rPr>
          <w:rFonts w:asciiTheme="majorHAnsi" w:eastAsiaTheme="minorHAnsi" w:hAnsiTheme="majorHAnsi" w:cs="Calibri Light"/>
          <w:szCs w:val="22"/>
          <w:lang w:val="sq-AL"/>
        </w:rPr>
      </w:pPr>
      <w:r w:rsidRPr="00BD1FA0">
        <w:rPr>
          <w:rFonts w:asciiTheme="majorHAnsi" w:eastAsiaTheme="minorHAnsi" w:hAnsiTheme="majorHAnsi" w:cs="Calibri Light"/>
          <w:szCs w:val="22"/>
          <w:lang w:val="sq-AL"/>
        </w:rPr>
        <w:t xml:space="preserve">Programi </w:t>
      </w:r>
      <w:r w:rsidRPr="00BD1FA0">
        <w:rPr>
          <w:rFonts w:asciiTheme="majorHAnsi" w:eastAsiaTheme="minorHAnsi" w:hAnsiTheme="majorHAnsi" w:cs="Calibri Light"/>
          <w:b/>
          <w:i/>
          <w:szCs w:val="22"/>
          <w:lang w:val="sq-AL"/>
        </w:rPr>
        <w:t>“Mbështetja për peshkimin</w:t>
      </w:r>
      <w:r w:rsidRPr="00BD1FA0">
        <w:rPr>
          <w:rFonts w:asciiTheme="majorHAnsi" w:eastAsiaTheme="minorHAnsi" w:hAnsiTheme="majorHAnsi" w:cs="Calibri Light"/>
          <w:szCs w:val="22"/>
          <w:lang w:val="sq-AL"/>
        </w:rPr>
        <w:t>” ka përfunduar  kontrata “Përmirësimi i sistemit VMS” me vlerë  170 milionë lekë.</w:t>
      </w:r>
    </w:p>
    <w:p w:rsidR="00BD1FA0" w:rsidRPr="00BD1FA0" w:rsidRDefault="00BD1FA0" w:rsidP="00842F80">
      <w:pPr>
        <w:pStyle w:val="ListParagraph"/>
        <w:numPr>
          <w:ilvl w:val="0"/>
          <w:numId w:val="29"/>
        </w:numPr>
        <w:shd w:val="clear" w:color="auto" w:fill="FFFFFF" w:themeFill="background1"/>
        <w:spacing w:before="0" w:line="240" w:lineRule="auto"/>
        <w:ind w:left="630"/>
        <w:rPr>
          <w:rFonts w:asciiTheme="majorHAnsi" w:hAnsiTheme="majorHAnsi" w:cs="Calibri Light"/>
          <w:bCs/>
          <w:szCs w:val="22"/>
          <w:lang w:val="sq-AL" w:eastAsia="en-GB"/>
        </w:rPr>
      </w:pPr>
      <w:r w:rsidRPr="00BD1FA0">
        <w:rPr>
          <w:rFonts w:asciiTheme="majorHAnsi" w:hAnsiTheme="majorHAnsi" w:cs="Calibri Light"/>
          <w:b/>
          <w:bCs/>
          <w:szCs w:val="22"/>
          <w:lang w:val="sq-AL" w:eastAsia="en-GB"/>
        </w:rPr>
        <w:t>Për financimin e huaj kanë përfunduar kontratat</w:t>
      </w:r>
      <w:r w:rsidRPr="00BD1FA0">
        <w:rPr>
          <w:rFonts w:asciiTheme="majorHAnsi" w:hAnsiTheme="majorHAnsi" w:cs="Calibri Light"/>
          <w:bCs/>
          <w:szCs w:val="22"/>
          <w:lang w:val="sq-AL" w:eastAsia="en-GB"/>
        </w:rPr>
        <w:t>:</w:t>
      </w:r>
    </w:p>
    <w:p w:rsidR="00BD1FA0" w:rsidRPr="00BD1FA0" w:rsidRDefault="00BD1FA0" w:rsidP="00842F80">
      <w:pPr>
        <w:pStyle w:val="ListParagraph"/>
        <w:numPr>
          <w:ilvl w:val="0"/>
          <w:numId w:val="28"/>
        </w:numPr>
        <w:shd w:val="clear" w:color="auto" w:fill="FFFFFF" w:themeFill="background1"/>
        <w:spacing w:before="0" w:line="240" w:lineRule="auto"/>
        <w:rPr>
          <w:rFonts w:asciiTheme="majorHAnsi" w:hAnsiTheme="majorHAnsi" w:cs="Calibri Light"/>
          <w:bCs/>
          <w:i/>
          <w:szCs w:val="22"/>
          <w:lang w:val="sq-AL" w:eastAsia="en-GB"/>
        </w:rPr>
      </w:pPr>
      <w:r w:rsidRPr="00BD1FA0">
        <w:rPr>
          <w:rFonts w:asciiTheme="majorHAnsi" w:hAnsiTheme="majorHAnsi" w:cs="Calibri Light"/>
          <w:bCs/>
          <w:i/>
          <w:szCs w:val="22"/>
          <w:lang w:val="sq-AL" w:eastAsia="en-GB"/>
        </w:rPr>
        <w:t>Mbështetje për modernizimin e Sektorit te blegtorisë në Shqipëri, IPA 2013 -  241 milionë lekë;</w:t>
      </w:r>
    </w:p>
    <w:p w:rsidR="00BD1FA0" w:rsidRPr="00BD1FA0" w:rsidRDefault="00BD1FA0" w:rsidP="00842F80">
      <w:pPr>
        <w:pStyle w:val="ListParagraph"/>
        <w:numPr>
          <w:ilvl w:val="0"/>
          <w:numId w:val="28"/>
        </w:numPr>
        <w:shd w:val="clear" w:color="auto" w:fill="FFFFFF" w:themeFill="background1"/>
        <w:spacing w:before="0" w:line="240" w:lineRule="auto"/>
        <w:rPr>
          <w:rFonts w:asciiTheme="majorHAnsi" w:hAnsiTheme="majorHAnsi" w:cs="Calibri Light"/>
          <w:bCs/>
          <w:i/>
          <w:szCs w:val="22"/>
          <w:lang w:val="sq-AL" w:eastAsia="en-GB"/>
        </w:rPr>
      </w:pPr>
      <w:r w:rsidRPr="00BD1FA0">
        <w:rPr>
          <w:rFonts w:asciiTheme="majorHAnsi" w:hAnsiTheme="majorHAnsi" w:cs="Calibri Light"/>
          <w:bCs/>
          <w:i/>
          <w:szCs w:val="22"/>
          <w:lang w:val="sq-AL" w:eastAsia="en-GB"/>
        </w:rPr>
        <w:t xml:space="preserve">Projekti i Shërbimeve Mjedisore B </w:t>
      </w:r>
      <w:r>
        <w:rPr>
          <w:rFonts w:asciiTheme="majorHAnsi" w:hAnsiTheme="majorHAnsi" w:cs="Calibri Light"/>
          <w:bCs/>
          <w:i/>
          <w:szCs w:val="22"/>
          <w:lang w:val="sq-AL" w:eastAsia="en-GB"/>
        </w:rPr>
        <w:t xml:space="preserve">- </w:t>
      </w:r>
      <w:r w:rsidRPr="00BD1FA0">
        <w:rPr>
          <w:rFonts w:asciiTheme="majorHAnsi" w:hAnsiTheme="majorHAnsi" w:cs="Calibri Light"/>
          <w:bCs/>
          <w:i/>
          <w:szCs w:val="22"/>
          <w:lang w:val="sq-AL" w:eastAsia="en-GB"/>
        </w:rPr>
        <w:t>192 milionë lekë.</w:t>
      </w:r>
    </w:p>
    <w:p w:rsidR="00B7647A" w:rsidRDefault="00B7647A" w:rsidP="00BD1FA0">
      <w:pPr>
        <w:shd w:val="clear" w:color="auto" w:fill="FFFFFF" w:themeFill="background1"/>
        <w:rPr>
          <w:rFonts w:cs="Calibri"/>
          <w:bCs/>
          <w:lang w:val="sq-AL" w:eastAsia="en-GB"/>
        </w:rPr>
      </w:pPr>
    </w:p>
    <w:p w:rsidR="00A57647" w:rsidRDefault="00A57647" w:rsidP="00B7647A">
      <w:pPr>
        <w:shd w:val="clear" w:color="auto" w:fill="FFFFFF" w:themeFill="background1"/>
        <w:spacing w:before="0"/>
        <w:ind w:left="720"/>
        <w:rPr>
          <w:rFonts w:cs="Calibri"/>
          <w:bCs/>
          <w:lang w:val="sq-AL" w:eastAsia="en-GB"/>
        </w:rPr>
      </w:pPr>
    </w:p>
    <w:p w:rsidR="00A57647" w:rsidRDefault="00A57647" w:rsidP="00B7647A">
      <w:pPr>
        <w:shd w:val="clear" w:color="auto" w:fill="FFFFFF" w:themeFill="background1"/>
        <w:spacing w:before="0"/>
        <w:ind w:left="720"/>
        <w:rPr>
          <w:rFonts w:cs="Calibri"/>
          <w:bCs/>
          <w:lang w:val="sq-AL" w:eastAsia="en-GB"/>
        </w:rPr>
      </w:pPr>
    </w:p>
    <w:p w:rsidR="00A57647" w:rsidRDefault="00A57647" w:rsidP="00B7647A">
      <w:pPr>
        <w:shd w:val="clear" w:color="auto" w:fill="FFFFFF" w:themeFill="background1"/>
        <w:spacing w:before="0"/>
        <w:ind w:left="720"/>
        <w:rPr>
          <w:rFonts w:cs="Calibri"/>
          <w:bCs/>
          <w:lang w:val="sq-AL" w:eastAsia="en-GB"/>
        </w:rPr>
      </w:pPr>
    </w:p>
    <w:p w:rsidR="00A57647" w:rsidRDefault="00A57647" w:rsidP="00B7647A">
      <w:pPr>
        <w:shd w:val="clear" w:color="auto" w:fill="FFFFFF" w:themeFill="background1"/>
        <w:spacing w:before="0"/>
        <w:ind w:left="720"/>
        <w:rPr>
          <w:rFonts w:cs="Calibri"/>
          <w:bCs/>
          <w:lang w:val="sq-AL" w:eastAsia="en-GB"/>
        </w:rPr>
      </w:pPr>
    </w:p>
    <w:p w:rsidR="00A57647" w:rsidRDefault="00A57647" w:rsidP="00B7647A">
      <w:pPr>
        <w:shd w:val="clear" w:color="auto" w:fill="FFFFFF" w:themeFill="background1"/>
        <w:spacing w:before="0"/>
        <w:ind w:left="720"/>
        <w:rPr>
          <w:rFonts w:cs="Calibri"/>
          <w:bCs/>
          <w:lang w:val="sq-AL" w:eastAsia="en-GB"/>
        </w:rPr>
      </w:pPr>
    </w:p>
    <w:p w:rsidR="00A57647" w:rsidRDefault="00A57647" w:rsidP="00B7647A">
      <w:pPr>
        <w:shd w:val="clear" w:color="auto" w:fill="FFFFFF" w:themeFill="background1"/>
        <w:spacing w:before="0"/>
        <w:ind w:left="720"/>
        <w:rPr>
          <w:rFonts w:cs="Calibri"/>
          <w:bCs/>
          <w:lang w:val="sq-AL" w:eastAsia="en-GB"/>
        </w:rPr>
      </w:pPr>
    </w:p>
    <w:p w:rsidR="00A57647" w:rsidRDefault="00A57647" w:rsidP="00B7647A">
      <w:pPr>
        <w:shd w:val="clear" w:color="auto" w:fill="FFFFFF" w:themeFill="background1"/>
        <w:spacing w:before="0"/>
        <w:ind w:left="720"/>
        <w:rPr>
          <w:rFonts w:cs="Calibri"/>
          <w:bCs/>
          <w:lang w:val="sq-AL" w:eastAsia="en-GB"/>
        </w:rPr>
      </w:pPr>
    </w:p>
    <w:p w:rsidR="00A57647" w:rsidRPr="00476D2E" w:rsidRDefault="00A57647" w:rsidP="00B7647A">
      <w:pPr>
        <w:shd w:val="clear" w:color="auto" w:fill="FFFFFF" w:themeFill="background1"/>
        <w:spacing w:before="0"/>
        <w:ind w:left="720"/>
        <w:rPr>
          <w:rFonts w:cs="Calibri"/>
          <w:bCs/>
          <w:lang w:val="sq-AL" w:eastAsia="en-GB"/>
        </w:rPr>
      </w:pPr>
    </w:p>
    <w:p w:rsidR="007B7B50" w:rsidRPr="00476D2E" w:rsidRDefault="007B7B50" w:rsidP="007B7B50">
      <w:pPr>
        <w:pStyle w:val="fiskale3"/>
        <w:rPr>
          <w:rFonts w:ascii="Calibri" w:hAnsi="Calibri" w:cs="Calibri"/>
          <w:b/>
        </w:rPr>
      </w:pPr>
      <w:bookmarkStart w:id="245" w:name="_Toc10033297"/>
      <w:bookmarkStart w:id="246" w:name="_Toc10721433"/>
      <w:bookmarkStart w:id="247" w:name="_Toc104980363"/>
      <w:r w:rsidRPr="00476D2E">
        <w:rPr>
          <w:rFonts w:ascii="Calibri" w:hAnsi="Calibri" w:cs="Calibri"/>
          <w:b/>
        </w:rPr>
        <w:lastRenderedPageBreak/>
        <w:t>Infrastruktura dhe Energjia</w:t>
      </w:r>
      <w:bookmarkEnd w:id="245"/>
      <w:bookmarkEnd w:id="246"/>
      <w:bookmarkEnd w:id="247"/>
    </w:p>
    <w:p w:rsidR="007B7B50" w:rsidRPr="00476D2E" w:rsidRDefault="007B7B50" w:rsidP="007B7B50">
      <w:pPr>
        <w:rPr>
          <w:rFonts w:cs="Calibri"/>
          <w:color w:val="000000"/>
          <w:lang w:val="sq-AL"/>
        </w:rPr>
      </w:pPr>
      <w:r w:rsidRPr="00476D2E">
        <w:rPr>
          <w:rFonts w:cs="Calibri"/>
          <w:color w:val="000000"/>
          <w:lang w:val="sq-AL"/>
        </w:rPr>
        <w:t>Performanca e treguesve buxhetorë për programet kryesore të Ministrisë së Infrastrukturës dhe Energjisë, paraqitet si më poshtë:</w:t>
      </w:r>
    </w:p>
    <w:p w:rsidR="007B7B50" w:rsidRPr="00476D2E" w:rsidRDefault="007B7B50" w:rsidP="007B7B50">
      <w:pPr>
        <w:rPr>
          <w:rFonts w:cs="Calibri"/>
          <w:iCs/>
          <w:color w:val="000000"/>
          <w:sz w:val="20"/>
          <w:szCs w:val="18"/>
          <w:u w:val="single"/>
          <w:lang w:val="sq-AL"/>
        </w:rPr>
      </w:pPr>
      <w:bookmarkStart w:id="248" w:name="_Toc104984096"/>
      <w:r w:rsidRPr="00476D2E">
        <w:rPr>
          <w:rFonts w:cs="Calibri"/>
          <w:i/>
          <w:iCs/>
          <w:color w:val="1F497D"/>
          <w:sz w:val="18"/>
          <w:szCs w:val="18"/>
          <w:lang w:val="sq-AL"/>
        </w:rPr>
        <w:t xml:space="preserve">Tabela </w:t>
      </w:r>
      <w:r w:rsidRPr="00476D2E">
        <w:rPr>
          <w:rFonts w:cs="Calibri"/>
          <w:i/>
          <w:iCs/>
          <w:color w:val="1F497D"/>
          <w:sz w:val="18"/>
          <w:szCs w:val="18"/>
          <w:lang w:val="sq-AL"/>
        </w:rPr>
        <w:fldChar w:fldCharType="begin"/>
      </w:r>
      <w:r w:rsidRPr="00476D2E">
        <w:rPr>
          <w:rFonts w:cs="Calibri"/>
          <w:i/>
          <w:iCs/>
          <w:color w:val="1F497D"/>
          <w:sz w:val="18"/>
          <w:szCs w:val="18"/>
          <w:lang w:val="sq-AL"/>
        </w:rPr>
        <w:instrText xml:space="preserve"> SEQ Tabela \* ARABIC </w:instrText>
      </w:r>
      <w:r w:rsidRPr="00476D2E">
        <w:rPr>
          <w:rFonts w:cs="Calibri"/>
          <w:i/>
          <w:iCs/>
          <w:color w:val="1F497D"/>
          <w:sz w:val="18"/>
          <w:szCs w:val="18"/>
          <w:lang w:val="sq-AL"/>
        </w:rPr>
        <w:fldChar w:fldCharType="separate"/>
      </w:r>
      <w:r w:rsidR="00276062">
        <w:rPr>
          <w:rFonts w:cs="Calibri"/>
          <w:i/>
          <w:iCs/>
          <w:noProof/>
          <w:color w:val="1F497D"/>
          <w:sz w:val="18"/>
          <w:szCs w:val="18"/>
          <w:lang w:val="sq-AL"/>
        </w:rPr>
        <w:t>24</w:t>
      </w:r>
      <w:r w:rsidRPr="00476D2E">
        <w:rPr>
          <w:rFonts w:cs="Calibri"/>
          <w:i/>
          <w:iCs/>
          <w:noProof/>
          <w:color w:val="1F497D"/>
          <w:sz w:val="18"/>
          <w:szCs w:val="18"/>
          <w:lang w:val="sq-AL"/>
        </w:rPr>
        <w:fldChar w:fldCharType="end"/>
      </w:r>
      <w:r w:rsidRPr="00476D2E">
        <w:rPr>
          <w:rFonts w:cs="Calibri"/>
          <w:i/>
          <w:iCs/>
          <w:color w:val="1F497D"/>
          <w:sz w:val="18"/>
          <w:szCs w:val="18"/>
          <w:lang w:val="sq-AL"/>
        </w:rPr>
        <w:t xml:space="preserve"> Realizimi i buxhetit 202</w:t>
      </w:r>
      <w:r w:rsidR="009F2179">
        <w:rPr>
          <w:rFonts w:cs="Calibri"/>
          <w:i/>
          <w:iCs/>
          <w:color w:val="1F497D"/>
          <w:sz w:val="18"/>
          <w:szCs w:val="18"/>
          <w:lang w:val="sq-AL"/>
        </w:rPr>
        <w:t>1</w:t>
      </w:r>
      <w:r w:rsidRPr="00476D2E">
        <w:rPr>
          <w:rFonts w:cs="Calibri"/>
          <w:i/>
          <w:iCs/>
          <w:color w:val="1F497D"/>
          <w:sz w:val="18"/>
          <w:szCs w:val="18"/>
          <w:lang w:val="sq-AL"/>
        </w:rPr>
        <w:t xml:space="preserve"> për Ministrinë e Infrastrukturës dhe Energjisë (në mijë lekë)</w:t>
      </w:r>
      <w:bookmarkEnd w:id="248"/>
    </w:p>
    <w:tbl>
      <w:tblPr>
        <w:tblW w:w="5562"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78"/>
        <w:gridCol w:w="1323"/>
        <w:gridCol w:w="1326"/>
        <w:gridCol w:w="1339"/>
        <w:gridCol w:w="1368"/>
        <w:gridCol w:w="1341"/>
        <w:gridCol w:w="1578"/>
      </w:tblGrid>
      <w:tr w:rsidR="00A57647" w:rsidRPr="00804CD8" w:rsidTr="00A57647">
        <w:trPr>
          <w:trHeight w:val="210"/>
          <w:jc w:val="center"/>
        </w:trPr>
        <w:tc>
          <w:tcPr>
            <w:tcW w:w="1323" w:type="pct"/>
            <w:shd w:val="clear" w:color="auto" w:fill="0B5294" w:themeFill="accent1" w:themeFillShade="BF"/>
            <w:hideMark/>
          </w:tcPr>
          <w:p w:rsidR="00A57647" w:rsidRPr="00A57647" w:rsidRDefault="00A57647" w:rsidP="00A57647">
            <w:pPr>
              <w:spacing w:before="0" w:line="240" w:lineRule="auto"/>
              <w:jc w:val="center"/>
              <w:rPr>
                <w:rFonts w:cs="Calibri"/>
                <w:b/>
                <w:bCs/>
                <w:color w:val="000000"/>
                <w:sz w:val="18"/>
                <w:szCs w:val="18"/>
                <w:lang w:val="sq-AL" w:eastAsia="sq-AL"/>
              </w:rPr>
            </w:pPr>
            <w:r w:rsidRPr="00A57647">
              <w:rPr>
                <w:rFonts w:cs="Calibri"/>
                <w:b/>
                <w:color w:val="FFFFFF" w:themeColor="background1"/>
                <w:sz w:val="18"/>
                <w:szCs w:val="18"/>
              </w:rPr>
              <w:t>Programi buxhetor</w:t>
            </w:r>
          </w:p>
        </w:tc>
        <w:tc>
          <w:tcPr>
            <w:tcW w:w="588" w:type="pct"/>
            <w:shd w:val="clear" w:color="auto" w:fill="0B5294" w:themeFill="accent1" w:themeFillShade="BF"/>
          </w:tcPr>
          <w:p w:rsidR="00A57647" w:rsidRPr="00804CD8" w:rsidRDefault="00A57647" w:rsidP="00A57647">
            <w:pPr>
              <w:spacing w:before="0" w:line="240" w:lineRule="auto"/>
              <w:jc w:val="center"/>
              <w:rPr>
                <w:rFonts w:cs="Calibri"/>
                <w:b/>
                <w:bCs/>
                <w:color w:val="000000"/>
                <w:sz w:val="18"/>
                <w:szCs w:val="18"/>
                <w:lang w:val="sq-AL" w:eastAsia="sq-AL"/>
              </w:rPr>
            </w:pPr>
            <w:r w:rsidRPr="00804CD8">
              <w:rPr>
                <w:rFonts w:cs="Calibri"/>
                <w:b/>
                <w:bCs/>
                <w:color w:val="FFFFFF" w:themeColor="background1"/>
                <w:sz w:val="18"/>
                <w:szCs w:val="18"/>
              </w:rPr>
              <w:t>Fakti viti 2020</w:t>
            </w:r>
          </w:p>
        </w:tc>
        <w:tc>
          <w:tcPr>
            <w:tcW w:w="589" w:type="pct"/>
            <w:shd w:val="clear" w:color="auto" w:fill="0B5294" w:themeFill="accent1" w:themeFillShade="BF"/>
          </w:tcPr>
          <w:p w:rsidR="00A57647" w:rsidRPr="00804CD8" w:rsidRDefault="00A57647" w:rsidP="00A57647">
            <w:pPr>
              <w:spacing w:before="0" w:line="240" w:lineRule="auto"/>
              <w:jc w:val="center"/>
              <w:rPr>
                <w:rFonts w:cs="Calibri"/>
                <w:b/>
                <w:bCs/>
                <w:color w:val="FFFFFF" w:themeColor="background1"/>
                <w:sz w:val="18"/>
                <w:szCs w:val="18"/>
              </w:rPr>
            </w:pPr>
            <w:r w:rsidRPr="00804CD8">
              <w:rPr>
                <w:rFonts w:cs="Calibri"/>
                <w:b/>
                <w:bCs/>
                <w:color w:val="FFFFFF" w:themeColor="background1"/>
                <w:sz w:val="18"/>
                <w:szCs w:val="18"/>
              </w:rPr>
              <w:t>Buxheti vjetor</w:t>
            </w:r>
          </w:p>
          <w:p w:rsidR="00A57647" w:rsidRPr="00804CD8" w:rsidRDefault="00A57647" w:rsidP="00A57647">
            <w:pPr>
              <w:spacing w:before="0" w:line="240" w:lineRule="auto"/>
              <w:jc w:val="center"/>
              <w:rPr>
                <w:rFonts w:cs="Calibri"/>
                <w:b/>
                <w:bCs/>
                <w:color w:val="000000"/>
                <w:sz w:val="18"/>
                <w:szCs w:val="18"/>
                <w:lang w:val="sq-AL" w:eastAsia="sq-AL"/>
              </w:rPr>
            </w:pPr>
            <w:r w:rsidRPr="00804CD8">
              <w:rPr>
                <w:rFonts w:cs="Calibri"/>
                <w:b/>
                <w:bCs/>
                <w:color w:val="FFFFFF" w:themeColor="background1"/>
                <w:sz w:val="18"/>
                <w:szCs w:val="18"/>
              </w:rPr>
              <w:t>Plan fillestar 2021</w:t>
            </w:r>
          </w:p>
        </w:tc>
        <w:tc>
          <w:tcPr>
            <w:tcW w:w="595" w:type="pct"/>
            <w:shd w:val="clear" w:color="auto" w:fill="0B5294" w:themeFill="accent1" w:themeFillShade="BF"/>
            <w:hideMark/>
          </w:tcPr>
          <w:p w:rsidR="00A57647" w:rsidRPr="00804CD8" w:rsidRDefault="00A57647" w:rsidP="00A57647">
            <w:pPr>
              <w:spacing w:before="0" w:line="240" w:lineRule="auto"/>
              <w:jc w:val="center"/>
              <w:rPr>
                <w:rFonts w:cs="Calibri"/>
                <w:b/>
                <w:bCs/>
                <w:color w:val="FFFFFF" w:themeColor="background1"/>
                <w:sz w:val="18"/>
                <w:szCs w:val="18"/>
              </w:rPr>
            </w:pPr>
            <w:r w:rsidRPr="00804CD8">
              <w:rPr>
                <w:rFonts w:cs="Calibri"/>
                <w:b/>
                <w:bCs/>
                <w:color w:val="FFFFFF" w:themeColor="background1"/>
                <w:sz w:val="18"/>
                <w:szCs w:val="18"/>
              </w:rPr>
              <w:t>Buxheti vjetor</w:t>
            </w:r>
          </w:p>
          <w:p w:rsidR="00A57647" w:rsidRPr="00804CD8" w:rsidRDefault="00A57647" w:rsidP="00A57647">
            <w:pPr>
              <w:spacing w:before="0" w:line="240" w:lineRule="auto"/>
              <w:jc w:val="center"/>
              <w:rPr>
                <w:rFonts w:cs="Calibri"/>
                <w:b/>
                <w:bCs/>
                <w:color w:val="000000"/>
                <w:sz w:val="18"/>
                <w:szCs w:val="18"/>
                <w:lang w:val="sq-AL" w:eastAsia="sq-AL"/>
              </w:rPr>
            </w:pPr>
            <w:r w:rsidRPr="00804CD8">
              <w:rPr>
                <w:rFonts w:cs="Calibri"/>
                <w:b/>
                <w:bCs/>
                <w:color w:val="FFFFFF" w:themeColor="background1"/>
                <w:sz w:val="18"/>
                <w:szCs w:val="18"/>
              </w:rPr>
              <w:t>Plan i rishikuar 2021</w:t>
            </w:r>
          </w:p>
        </w:tc>
        <w:tc>
          <w:tcPr>
            <w:tcW w:w="608" w:type="pct"/>
            <w:shd w:val="clear" w:color="auto" w:fill="0B5294" w:themeFill="accent1" w:themeFillShade="BF"/>
            <w:hideMark/>
          </w:tcPr>
          <w:p w:rsidR="00A57647" w:rsidRPr="00804CD8" w:rsidRDefault="00A57647" w:rsidP="00A57647">
            <w:pPr>
              <w:spacing w:before="0" w:line="240" w:lineRule="auto"/>
              <w:jc w:val="center"/>
              <w:rPr>
                <w:rFonts w:cs="Calibri"/>
                <w:b/>
                <w:bCs/>
                <w:color w:val="000000"/>
                <w:sz w:val="18"/>
                <w:szCs w:val="18"/>
                <w:lang w:val="sq-AL" w:eastAsia="sq-AL"/>
              </w:rPr>
            </w:pPr>
            <w:r w:rsidRPr="00804CD8">
              <w:rPr>
                <w:rFonts w:cs="Calibri"/>
                <w:b/>
                <w:bCs/>
                <w:color w:val="FFFFFF" w:themeColor="background1"/>
                <w:sz w:val="18"/>
                <w:szCs w:val="18"/>
              </w:rPr>
              <w:t>Realizimi faktik 2021</w:t>
            </w:r>
          </w:p>
        </w:tc>
        <w:tc>
          <w:tcPr>
            <w:tcW w:w="596" w:type="pct"/>
            <w:shd w:val="clear" w:color="auto" w:fill="0B5294" w:themeFill="accent1" w:themeFillShade="BF"/>
            <w:hideMark/>
          </w:tcPr>
          <w:p w:rsidR="00A57647" w:rsidRPr="00804CD8" w:rsidRDefault="00A57647" w:rsidP="00A57647">
            <w:pPr>
              <w:spacing w:before="0" w:line="240" w:lineRule="auto"/>
              <w:jc w:val="center"/>
              <w:rPr>
                <w:rFonts w:cs="Calibri"/>
                <w:b/>
                <w:bCs/>
                <w:color w:val="000000"/>
                <w:sz w:val="18"/>
                <w:szCs w:val="18"/>
                <w:lang w:val="sq-AL" w:eastAsia="sq-AL"/>
              </w:rPr>
            </w:pPr>
            <w:r w:rsidRPr="00804CD8">
              <w:rPr>
                <w:rFonts w:cs="Calibri"/>
                <w:b/>
                <w:bCs/>
                <w:color w:val="FFFFFF" w:themeColor="background1"/>
                <w:sz w:val="18"/>
                <w:szCs w:val="18"/>
              </w:rPr>
              <w:t>Diferenca në % me planin fillestar</w:t>
            </w:r>
          </w:p>
        </w:tc>
        <w:tc>
          <w:tcPr>
            <w:tcW w:w="701" w:type="pct"/>
            <w:shd w:val="clear" w:color="auto" w:fill="0B5294" w:themeFill="accent1" w:themeFillShade="BF"/>
            <w:hideMark/>
          </w:tcPr>
          <w:p w:rsidR="00A57647" w:rsidRPr="00804CD8" w:rsidRDefault="00A57647" w:rsidP="00A57647">
            <w:pPr>
              <w:spacing w:before="0" w:line="240" w:lineRule="auto"/>
              <w:jc w:val="center"/>
              <w:rPr>
                <w:rFonts w:cs="Calibri"/>
                <w:b/>
                <w:bCs/>
                <w:color w:val="000000"/>
                <w:sz w:val="18"/>
                <w:szCs w:val="18"/>
                <w:lang w:val="sq-AL" w:eastAsia="sq-AL"/>
              </w:rPr>
            </w:pPr>
            <w:r w:rsidRPr="00804CD8">
              <w:rPr>
                <w:rFonts w:cs="Calibri"/>
                <w:color w:val="FFFFFF" w:themeColor="background1"/>
                <w:sz w:val="18"/>
                <w:szCs w:val="18"/>
              </w:rPr>
              <w:t>Diferenca në % me planin e rishikuar</w:t>
            </w:r>
          </w:p>
        </w:tc>
      </w:tr>
      <w:tr w:rsidR="00A57647" w:rsidRPr="004222F0" w:rsidTr="00A57647">
        <w:trPr>
          <w:trHeight w:val="331"/>
          <w:jc w:val="center"/>
        </w:trPr>
        <w:tc>
          <w:tcPr>
            <w:tcW w:w="1323" w:type="pct"/>
            <w:shd w:val="clear" w:color="auto" w:fill="auto"/>
            <w:hideMark/>
          </w:tcPr>
          <w:p w:rsidR="00A57647" w:rsidRPr="00804CD8" w:rsidRDefault="00A57647" w:rsidP="00A57647">
            <w:pPr>
              <w:spacing w:before="0" w:line="240" w:lineRule="auto"/>
              <w:jc w:val="center"/>
              <w:rPr>
                <w:rFonts w:cs="Calibri"/>
                <w:color w:val="000000"/>
                <w:sz w:val="18"/>
                <w:szCs w:val="18"/>
                <w:lang w:val="sq-AL" w:eastAsia="sq-AL"/>
              </w:rPr>
            </w:pPr>
            <w:r w:rsidRPr="00804CD8">
              <w:rPr>
                <w:rFonts w:cs="Calibri"/>
                <w:sz w:val="18"/>
                <w:szCs w:val="18"/>
              </w:rPr>
              <w:t>Planifikim Menaxhim Administrimi</w:t>
            </w:r>
          </w:p>
        </w:tc>
        <w:tc>
          <w:tcPr>
            <w:tcW w:w="588" w:type="pct"/>
          </w:tcPr>
          <w:p w:rsidR="00A57647" w:rsidRPr="004222F0" w:rsidRDefault="00A57647" w:rsidP="00A57647">
            <w:pPr>
              <w:spacing w:before="0" w:line="240" w:lineRule="auto"/>
              <w:jc w:val="center"/>
              <w:rPr>
                <w:rFonts w:cs="Calibri"/>
                <w:sz w:val="18"/>
                <w:szCs w:val="18"/>
                <w:lang w:val="sq-AL" w:eastAsia="sq-AL"/>
              </w:rPr>
            </w:pPr>
            <w:r w:rsidRPr="004222F0">
              <w:rPr>
                <w:rFonts w:cs="Calibri"/>
                <w:sz w:val="18"/>
                <w:szCs w:val="18"/>
              </w:rPr>
              <w:t>493 207</w:t>
            </w:r>
          </w:p>
        </w:tc>
        <w:tc>
          <w:tcPr>
            <w:tcW w:w="589" w:type="pct"/>
          </w:tcPr>
          <w:p w:rsidR="00A57647" w:rsidRPr="004222F0" w:rsidRDefault="00A57647" w:rsidP="00A57647">
            <w:pPr>
              <w:spacing w:before="0" w:line="240" w:lineRule="auto"/>
              <w:jc w:val="center"/>
              <w:rPr>
                <w:rFonts w:cs="Calibri"/>
                <w:sz w:val="18"/>
                <w:szCs w:val="18"/>
              </w:rPr>
            </w:pPr>
            <w:r w:rsidRPr="004222F0">
              <w:rPr>
                <w:rFonts w:cs="Calibri"/>
                <w:sz w:val="18"/>
                <w:szCs w:val="18"/>
              </w:rPr>
              <w:t>506,100</w:t>
            </w:r>
          </w:p>
        </w:tc>
        <w:tc>
          <w:tcPr>
            <w:tcW w:w="595"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540,648</w:t>
            </w:r>
          </w:p>
        </w:tc>
        <w:tc>
          <w:tcPr>
            <w:tcW w:w="608"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524,252</w:t>
            </w:r>
          </w:p>
        </w:tc>
        <w:tc>
          <w:tcPr>
            <w:tcW w:w="596"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103.6%</w:t>
            </w:r>
          </w:p>
        </w:tc>
        <w:tc>
          <w:tcPr>
            <w:tcW w:w="701"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96.97%</w:t>
            </w:r>
          </w:p>
        </w:tc>
      </w:tr>
      <w:tr w:rsidR="00A57647" w:rsidRPr="004222F0" w:rsidTr="00A57647">
        <w:trPr>
          <w:trHeight w:val="331"/>
          <w:jc w:val="center"/>
        </w:trPr>
        <w:tc>
          <w:tcPr>
            <w:tcW w:w="1323" w:type="pct"/>
            <w:shd w:val="clear" w:color="auto" w:fill="auto"/>
            <w:hideMark/>
          </w:tcPr>
          <w:p w:rsidR="00A57647" w:rsidRPr="00804CD8" w:rsidRDefault="00A57647" w:rsidP="00A57647">
            <w:pPr>
              <w:spacing w:before="0" w:line="240" w:lineRule="auto"/>
              <w:jc w:val="center"/>
              <w:rPr>
                <w:rFonts w:cs="Calibri"/>
                <w:color w:val="000000"/>
                <w:sz w:val="18"/>
                <w:szCs w:val="18"/>
                <w:lang w:val="sq-AL" w:eastAsia="sq-AL"/>
              </w:rPr>
            </w:pPr>
            <w:r w:rsidRPr="00804CD8">
              <w:rPr>
                <w:rFonts w:cs="Calibri"/>
                <w:sz w:val="18"/>
                <w:szCs w:val="18"/>
                <w:lang w:val="sq-AL"/>
              </w:rPr>
              <w:t>Transporti Rrugor</w:t>
            </w:r>
          </w:p>
        </w:tc>
        <w:tc>
          <w:tcPr>
            <w:tcW w:w="588" w:type="pct"/>
          </w:tcPr>
          <w:p w:rsidR="00A57647" w:rsidRPr="004222F0" w:rsidRDefault="00A57647" w:rsidP="00A57647">
            <w:pPr>
              <w:spacing w:before="0" w:line="240" w:lineRule="auto"/>
              <w:jc w:val="center"/>
              <w:rPr>
                <w:rFonts w:cs="Calibri"/>
                <w:sz w:val="18"/>
                <w:szCs w:val="18"/>
                <w:lang w:val="sq-AL" w:eastAsia="sq-AL"/>
              </w:rPr>
            </w:pPr>
            <w:r w:rsidRPr="004222F0">
              <w:rPr>
                <w:rFonts w:cs="Calibri"/>
                <w:sz w:val="18"/>
                <w:szCs w:val="18"/>
              </w:rPr>
              <w:t>28 930 649</w:t>
            </w:r>
          </w:p>
        </w:tc>
        <w:tc>
          <w:tcPr>
            <w:tcW w:w="589" w:type="pct"/>
          </w:tcPr>
          <w:p w:rsidR="00A57647" w:rsidRPr="004222F0" w:rsidRDefault="00A57647" w:rsidP="00A57647">
            <w:pPr>
              <w:spacing w:before="0" w:line="240" w:lineRule="auto"/>
              <w:jc w:val="center"/>
              <w:rPr>
                <w:rFonts w:cs="Calibri"/>
                <w:sz w:val="18"/>
                <w:szCs w:val="18"/>
              </w:rPr>
            </w:pPr>
            <w:r w:rsidRPr="004222F0">
              <w:rPr>
                <w:rFonts w:cs="Calibri"/>
                <w:sz w:val="18"/>
                <w:szCs w:val="18"/>
              </w:rPr>
              <w:t>26,221,055</w:t>
            </w:r>
          </w:p>
        </w:tc>
        <w:tc>
          <w:tcPr>
            <w:tcW w:w="595"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36,871,026</w:t>
            </w:r>
          </w:p>
        </w:tc>
        <w:tc>
          <w:tcPr>
            <w:tcW w:w="608"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35,192,930</w:t>
            </w:r>
          </w:p>
        </w:tc>
        <w:tc>
          <w:tcPr>
            <w:tcW w:w="596"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134.2%</w:t>
            </w:r>
          </w:p>
        </w:tc>
        <w:tc>
          <w:tcPr>
            <w:tcW w:w="701"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95.45%</w:t>
            </w:r>
          </w:p>
        </w:tc>
      </w:tr>
      <w:tr w:rsidR="00A57647" w:rsidRPr="004222F0" w:rsidTr="00A57647">
        <w:trPr>
          <w:trHeight w:val="331"/>
          <w:jc w:val="center"/>
        </w:trPr>
        <w:tc>
          <w:tcPr>
            <w:tcW w:w="1323" w:type="pct"/>
            <w:shd w:val="clear" w:color="auto" w:fill="auto"/>
            <w:hideMark/>
          </w:tcPr>
          <w:p w:rsidR="00A57647" w:rsidRPr="00804CD8" w:rsidRDefault="00A57647" w:rsidP="00A57647">
            <w:pPr>
              <w:spacing w:before="0" w:line="240" w:lineRule="auto"/>
              <w:jc w:val="center"/>
              <w:rPr>
                <w:rFonts w:cs="Calibri"/>
                <w:color w:val="000000"/>
                <w:sz w:val="18"/>
                <w:szCs w:val="18"/>
                <w:lang w:val="sq-AL" w:eastAsia="sq-AL"/>
              </w:rPr>
            </w:pPr>
            <w:r w:rsidRPr="00804CD8">
              <w:rPr>
                <w:rFonts w:cs="Calibri"/>
                <w:sz w:val="18"/>
                <w:szCs w:val="18"/>
                <w:lang w:val="sq-AL"/>
              </w:rPr>
              <w:t>Transporti Detar</w:t>
            </w:r>
          </w:p>
        </w:tc>
        <w:tc>
          <w:tcPr>
            <w:tcW w:w="588" w:type="pct"/>
          </w:tcPr>
          <w:p w:rsidR="00A57647" w:rsidRPr="004222F0" w:rsidRDefault="00A57647" w:rsidP="00A57647">
            <w:pPr>
              <w:spacing w:before="0" w:line="240" w:lineRule="auto"/>
              <w:jc w:val="center"/>
              <w:rPr>
                <w:rFonts w:cs="Calibri"/>
                <w:sz w:val="18"/>
                <w:szCs w:val="18"/>
                <w:lang w:val="sq-AL" w:eastAsia="sq-AL"/>
              </w:rPr>
            </w:pPr>
            <w:r w:rsidRPr="004222F0">
              <w:rPr>
                <w:rFonts w:cs="Calibri"/>
                <w:sz w:val="18"/>
                <w:szCs w:val="18"/>
              </w:rPr>
              <w:t>132 197</w:t>
            </w:r>
          </w:p>
        </w:tc>
        <w:tc>
          <w:tcPr>
            <w:tcW w:w="589" w:type="pct"/>
          </w:tcPr>
          <w:p w:rsidR="00A57647" w:rsidRPr="004222F0" w:rsidRDefault="00A57647" w:rsidP="00A57647">
            <w:pPr>
              <w:spacing w:before="0" w:line="240" w:lineRule="auto"/>
              <w:jc w:val="center"/>
              <w:rPr>
                <w:rFonts w:cs="Calibri"/>
                <w:sz w:val="18"/>
                <w:szCs w:val="18"/>
              </w:rPr>
            </w:pPr>
            <w:r w:rsidRPr="004222F0">
              <w:rPr>
                <w:rFonts w:cs="Calibri"/>
                <w:sz w:val="18"/>
                <w:szCs w:val="18"/>
              </w:rPr>
              <w:t>155,000</w:t>
            </w:r>
          </w:p>
        </w:tc>
        <w:tc>
          <w:tcPr>
            <w:tcW w:w="595" w:type="pct"/>
            <w:shd w:val="clear" w:color="auto" w:fill="auto"/>
          </w:tcPr>
          <w:p w:rsidR="00A57647" w:rsidRPr="004222F0" w:rsidRDefault="00A57647" w:rsidP="00A57647">
            <w:pPr>
              <w:spacing w:before="0" w:line="240" w:lineRule="auto"/>
              <w:jc w:val="center"/>
              <w:rPr>
                <w:rFonts w:cs="Calibri"/>
                <w:sz w:val="18"/>
                <w:szCs w:val="18"/>
              </w:rPr>
            </w:pPr>
            <w:r w:rsidRPr="004222F0">
              <w:rPr>
                <w:rFonts w:cs="Calibri"/>
                <w:sz w:val="18"/>
                <w:szCs w:val="18"/>
              </w:rPr>
              <w:t>152,728</w:t>
            </w:r>
          </w:p>
        </w:tc>
        <w:tc>
          <w:tcPr>
            <w:tcW w:w="608" w:type="pct"/>
            <w:shd w:val="clear" w:color="auto" w:fill="auto"/>
          </w:tcPr>
          <w:p w:rsidR="00A57647" w:rsidRPr="004222F0" w:rsidRDefault="00A57647" w:rsidP="00A57647">
            <w:pPr>
              <w:spacing w:before="0" w:line="240" w:lineRule="auto"/>
              <w:jc w:val="center"/>
              <w:rPr>
                <w:rFonts w:cs="Calibri"/>
                <w:sz w:val="18"/>
                <w:szCs w:val="18"/>
              </w:rPr>
            </w:pPr>
            <w:r w:rsidRPr="004222F0">
              <w:rPr>
                <w:rFonts w:cs="Calibri"/>
                <w:sz w:val="18"/>
                <w:szCs w:val="18"/>
              </w:rPr>
              <w:t>145,090</w:t>
            </w:r>
          </w:p>
        </w:tc>
        <w:tc>
          <w:tcPr>
            <w:tcW w:w="596"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93.6%</w:t>
            </w:r>
          </w:p>
        </w:tc>
        <w:tc>
          <w:tcPr>
            <w:tcW w:w="701"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95.00%</w:t>
            </w:r>
          </w:p>
        </w:tc>
      </w:tr>
      <w:tr w:rsidR="00A57647" w:rsidRPr="004222F0" w:rsidTr="00A57647">
        <w:trPr>
          <w:trHeight w:val="446"/>
          <w:jc w:val="center"/>
        </w:trPr>
        <w:tc>
          <w:tcPr>
            <w:tcW w:w="1323" w:type="pct"/>
            <w:shd w:val="clear" w:color="auto" w:fill="auto"/>
            <w:hideMark/>
          </w:tcPr>
          <w:p w:rsidR="00A57647" w:rsidRPr="00804CD8" w:rsidRDefault="00A57647" w:rsidP="00A57647">
            <w:pPr>
              <w:spacing w:before="0" w:line="240" w:lineRule="auto"/>
              <w:jc w:val="center"/>
              <w:rPr>
                <w:rFonts w:cs="Calibri"/>
                <w:color w:val="000000"/>
                <w:sz w:val="18"/>
                <w:szCs w:val="18"/>
                <w:lang w:val="sq-AL" w:eastAsia="sq-AL"/>
              </w:rPr>
            </w:pPr>
            <w:r w:rsidRPr="00804CD8">
              <w:rPr>
                <w:rFonts w:cs="Calibri"/>
                <w:sz w:val="18"/>
                <w:szCs w:val="18"/>
                <w:lang w:val="sq-AL"/>
              </w:rPr>
              <w:t>Transporti Hekurudhor</w:t>
            </w:r>
          </w:p>
        </w:tc>
        <w:tc>
          <w:tcPr>
            <w:tcW w:w="588" w:type="pct"/>
          </w:tcPr>
          <w:p w:rsidR="00A57647" w:rsidRPr="004222F0" w:rsidRDefault="00A57647" w:rsidP="00A57647">
            <w:pPr>
              <w:spacing w:before="0" w:line="240" w:lineRule="auto"/>
              <w:jc w:val="center"/>
              <w:rPr>
                <w:rFonts w:cs="Calibri"/>
                <w:sz w:val="18"/>
                <w:szCs w:val="18"/>
              </w:rPr>
            </w:pPr>
            <w:r w:rsidRPr="004222F0">
              <w:rPr>
                <w:rFonts w:cs="Calibri"/>
                <w:sz w:val="18"/>
                <w:szCs w:val="18"/>
              </w:rPr>
              <w:t>599 901</w:t>
            </w:r>
          </w:p>
        </w:tc>
        <w:tc>
          <w:tcPr>
            <w:tcW w:w="589" w:type="pct"/>
          </w:tcPr>
          <w:p w:rsidR="00A57647" w:rsidRPr="004222F0" w:rsidRDefault="00A57647" w:rsidP="00A57647">
            <w:pPr>
              <w:spacing w:before="0" w:line="240" w:lineRule="auto"/>
              <w:jc w:val="center"/>
              <w:rPr>
                <w:rFonts w:cs="Calibri"/>
                <w:sz w:val="18"/>
                <w:szCs w:val="18"/>
              </w:rPr>
            </w:pPr>
            <w:r w:rsidRPr="004222F0">
              <w:rPr>
                <w:rFonts w:cs="Calibri"/>
                <w:sz w:val="18"/>
                <w:szCs w:val="18"/>
              </w:rPr>
              <w:t>2,122,117</w:t>
            </w:r>
          </w:p>
        </w:tc>
        <w:tc>
          <w:tcPr>
            <w:tcW w:w="595"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1,514,247</w:t>
            </w:r>
          </w:p>
        </w:tc>
        <w:tc>
          <w:tcPr>
            <w:tcW w:w="608"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1,083,391</w:t>
            </w:r>
          </w:p>
        </w:tc>
        <w:tc>
          <w:tcPr>
            <w:tcW w:w="596"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51.1%</w:t>
            </w:r>
          </w:p>
        </w:tc>
        <w:tc>
          <w:tcPr>
            <w:tcW w:w="701"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71.55%</w:t>
            </w:r>
          </w:p>
        </w:tc>
      </w:tr>
      <w:tr w:rsidR="00A57647" w:rsidRPr="004222F0" w:rsidTr="00A57647">
        <w:trPr>
          <w:trHeight w:val="210"/>
          <w:jc w:val="center"/>
        </w:trPr>
        <w:tc>
          <w:tcPr>
            <w:tcW w:w="1323" w:type="pct"/>
            <w:shd w:val="clear" w:color="auto" w:fill="auto"/>
            <w:hideMark/>
          </w:tcPr>
          <w:p w:rsidR="00A57647" w:rsidRPr="00804CD8" w:rsidRDefault="00A57647" w:rsidP="00A57647">
            <w:pPr>
              <w:spacing w:before="0" w:line="240" w:lineRule="auto"/>
              <w:jc w:val="center"/>
              <w:rPr>
                <w:rFonts w:cs="Calibri"/>
                <w:color w:val="000000"/>
                <w:sz w:val="18"/>
                <w:szCs w:val="18"/>
                <w:lang w:val="sq-AL" w:eastAsia="sq-AL"/>
              </w:rPr>
            </w:pPr>
            <w:r w:rsidRPr="00804CD8">
              <w:rPr>
                <w:rFonts w:cs="Calibri"/>
                <w:sz w:val="18"/>
                <w:szCs w:val="18"/>
                <w:lang w:val="sq-AL"/>
              </w:rPr>
              <w:t>Transporti Ajror</w:t>
            </w:r>
          </w:p>
        </w:tc>
        <w:tc>
          <w:tcPr>
            <w:tcW w:w="588" w:type="pct"/>
          </w:tcPr>
          <w:p w:rsidR="00A57647" w:rsidRPr="004222F0" w:rsidRDefault="00A57647" w:rsidP="00A57647">
            <w:pPr>
              <w:spacing w:before="0" w:line="240" w:lineRule="auto"/>
              <w:jc w:val="center"/>
              <w:rPr>
                <w:rFonts w:cs="Calibri"/>
                <w:sz w:val="18"/>
                <w:szCs w:val="18"/>
                <w:lang w:val="sq-AL" w:eastAsia="sq-AL"/>
              </w:rPr>
            </w:pPr>
            <w:r w:rsidRPr="004222F0">
              <w:rPr>
                <w:rFonts w:cs="Calibri"/>
                <w:sz w:val="18"/>
                <w:szCs w:val="18"/>
              </w:rPr>
              <w:t>43 698</w:t>
            </w:r>
          </w:p>
        </w:tc>
        <w:tc>
          <w:tcPr>
            <w:tcW w:w="589" w:type="pct"/>
          </w:tcPr>
          <w:p w:rsidR="00A57647" w:rsidRPr="004222F0" w:rsidRDefault="00A57647" w:rsidP="00A57647">
            <w:pPr>
              <w:spacing w:before="0" w:line="240" w:lineRule="auto"/>
              <w:jc w:val="center"/>
              <w:rPr>
                <w:rFonts w:cs="Calibri"/>
                <w:sz w:val="18"/>
                <w:szCs w:val="18"/>
              </w:rPr>
            </w:pPr>
            <w:r w:rsidRPr="004222F0">
              <w:rPr>
                <w:rFonts w:cs="Calibri"/>
                <w:sz w:val="18"/>
                <w:szCs w:val="18"/>
              </w:rPr>
              <w:t>140,300</w:t>
            </w:r>
          </w:p>
        </w:tc>
        <w:tc>
          <w:tcPr>
            <w:tcW w:w="595"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103,640</w:t>
            </w:r>
          </w:p>
        </w:tc>
        <w:tc>
          <w:tcPr>
            <w:tcW w:w="608"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102,039</w:t>
            </w:r>
          </w:p>
        </w:tc>
        <w:tc>
          <w:tcPr>
            <w:tcW w:w="596"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72.7%</w:t>
            </w:r>
          </w:p>
        </w:tc>
        <w:tc>
          <w:tcPr>
            <w:tcW w:w="701"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98.46%</w:t>
            </w:r>
          </w:p>
        </w:tc>
      </w:tr>
      <w:tr w:rsidR="00A57647" w:rsidRPr="004222F0" w:rsidTr="00A57647">
        <w:trPr>
          <w:trHeight w:val="210"/>
          <w:jc w:val="center"/>
        </w:trPr>
        <w:tc>
          <w:tcPr>
            <w:tcW w:w="1323" w:type="pct"/>
            <w:shd w:val="clear" w:color="auto" w:fill="auto"/>
          </w:tcPr>
          <w:p w:rsidR="00A57647" w:rsidRPr="00804CD8" w:rsidRDefault="00A57647" w:rsidP="00A57647">
            <w:pPr>
              <w:spacing w:before="0" w:line="240" w:lineRule="auto"/>
              <w:jc w:val="center"/>
              <w:rPr>
                <w:rFonts w:cs="Calibri"/>
                <w:sz w:val="18"/>
                <w:szCs w:val="18"/>
                <w:lang w:val="sq-AL"/>
              </w:rPr>
            </w:pPr>
            <w:r w:rsidRPr="00804CD8">
              <w:rPr>
                <w:rFonts w:cs="Calibri"/>
                <w:sz w:val="18"/>
                <w:szCs w:val="18"/>
                <w:lang w:val="sq-AL"/>
              </w:rPr>
              <w:t>Mbështetje për rrjetet e komunikacionit</w:t>
            </w:r>
          </w:p>
        </w:tc>
        <w:tc>
          <w:tcPr>
            <w:tcW w:w="588" w:type="pct"/>
          </w:tcPr>
          <w:p w:rsidR="00A57647" w:rsidRPr="004222F0" w:rsidRDefault="00A57647" w:rsidP="00A57647">
            <w:pPr>
              <w:spacing w:before="0" w:line="240" w:lineRule="auto"/>
              <w:jc w:val="center"/>
              <w:rPr>
                <w:rFonts w:cs="Calibri"/>
                <w:sz w:val="18"/>
                <w:szCs w:val="18"/>
              </w:rPr>
            </w:pPr>
            <w:r w:rsidRPr="004222F0">
              <w:rPr>
                <w:rFonts w:cs="Calibri"/>
                <w:sz w:val="18"/>
                <w:szCs w:val="18"/>
              </w:rPr>
              <w:t>-</w:t>
            </w:r>
          </w:p>
        </w:tc>
        <w:tc>
          <w:tcPr>
            <w:tcW w:w="589" w:type="pct"/>
          </w:tcPr>
          <w:p w:rsidR="00A57647" w:rsidRPr="00A57647" w:rsidRDefault="00A57647" w:rsidP="00A57647">
            <w:pPr>
              <w:spacing w:before="0" w:line="240" w:lineRule="auto"/>
              <w:jc w:val="center"/>
              <w:rPr>
                <w:rFonts w:cs="Calibri"/>
                <w:sz w:val="8"/>
                <w:szCs w:val="18"/>
              </w:rPr>
            </w:pPr>
          </w:p>
          <w:p w:rsidR="00A57647" w:rsidRPr="004222F0" w:rsidRDefault="00A57647" w:rsidP="00A57647">
            <w:pPr>
              <w:spacing w:before="0" w:line="240" w:lineRule="auto"/>
              <w:jc w:val="center"/>
              <w:rPr>
                <w:rFonts w:cs="Calibri"/>
                <w:sz w:val="18"/>
                <w:szCs w:val="18"/>
              </w:rPr>
            </w:pPr>
            <w:r w:rsidRPr="004222F0">
              <w:rPr>
                <w:rFonts w:cs="Calibri"/>
                <w:sz w:val="18"/>
                <w:szCs w:val="18"/>
              </w:rPr>
              <w:t>20,000</w:t>
            </w:r>
          </w:p>
        </w:tc>
        <w:tc>
          <w:tcPr>
            <w:tcW w:w="595"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20,000</w:t>
            </w:r>
          </w:p>
        </w:tc>
        <w:tc>
          <w:tcPr>
            <w:tcW w:w="608"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0</w:t>
            </w:r>
          </w:p>
        </w:tc>
        <w:tc>
          <w:tcPr>
            <w:tcW w:w="596"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0.0%</w:t>
            </w:r>
          </w:p>
        </w:tc>
        <w:tc>
          <w:tcPr>
            <w:tcW w:w="701"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0.00%</w:t>
            </w:r>
          </w:p>
        </w:tc>
      </w:tr>
      <w:tr w:rsidR="00A57647" w:rsidRPr="004222F0" w:rsidTr="00A57647">
        <w:trPr>
          <w:trHeight w:val="210"/>
          <w:jc w:val="center"/>
        </w:trPr>
        <w:tc>
          <w:tcPr>
            <w:tcW w:w="1323" w:type="pct"/>
            <w:shd w:val="clear" w:color="auto" w:fill="auto"/>
            <w:hideMark/>
          </w:tcPr>
          <w:p w:rsidR="00A57647" w:rsidRPr="00804CD8" w:rsidRDefault="00A57647" w:rsidP="00A57647">
            <w:pPr>
              <w:spacing w:before="0" w:line="240" w:lineRule="auto"/>
              <w:jc w:val="center"/>
              <w:rPr>
                <w:rFonts w:cs="Calibri"/>
                <w:color w:val="000000"/>
                <w:sz w:val="18"/>
                <w:szCs w:val="18"/>
                <w:lang w:val="sq-AL" w:eastAsia="sq-AL"/>
              </w:rPr>
            </w:pPr>
            <w:r w:rsidRPr="00804CD8">
              <w:rPr>
                <w:rFonts w:cs="Calibri"/>
                <w:sz w:val="18"/>
                <w:szCs w:val="18"/>
                <w:lang w:val="sq-AL"/>
              </w:rPr>
              <w:t>Furnizimi me ujë dhe Kanalizime</w:t>
            </w:r>
          </w:p>
        </w:tc>
        <w:tc>
          <w:tcPr>
            <w:tcW w:w="588" w:type="pct"/>
          </w:tcPr>
          <w:p w:rsidR="00A57647" w:rsidRPr="004222F0" w:rsidRDefault="00A57647" w:rsidP="00A57647">
            <w:pPr>
              <w:spacing w:before="0" w:line="240" w:lineRule="auto"/>
              <w:jc w:val="center"/>
              <w:rPr>
                <w:rFonts w:cs="Calibri"/>
                <w:sz w:val="18"/>
                <w:szCs w:val="18"/>
                <w:lang w:val="sq-AL" w:eastAsia="sq-AL"/>
              </w:rPr>
            </w:pPr>
            <w:r w:rsidRPr="004222F0">
              <w:rPr>
                <w:rFonts w:cs="Calibri"/>
                <w:sz w:val="18"/>
                <w:szCs w:val="18"/>
              </w:rPr>
              <w:t>11 042 888</w:t>
            </w:r>
          </w:p>
        </w:tc>
        <w:tc>
          <w:tcPr>
            <w:tcW w:w="589" w:type="pct"/>
          </w:tcPr>
          <w:p w:rsidR="00A57647" w:rsidRPr="004222F0" w:rsidRDefault="00A57647" w:rsidP="00A57647">
            <w:pPr>
              <w:spacing w:before="0" w:line="240" w:lineRule="auto"/>
              <w:jc w:val="center"/>
              <w:rPr>
                <w:rFonts w:cs="Calibri"/>
                <w:sz w:val="18"/>
                <w:szCs w:val="18"/>
              </w:rPr>
            </w:pPr>
            <w:r w:rsidRPr="004222F0">
              <w:rPr>
                <w:rFonts w:cs="Calibri"/>
                <w:sz w:val="18"/>
                <w:szCs w:val="18"/>
              </w:rPr>
              <w:t>12,709,511</w:t>
            </w:r>
          </w:p>
        </w:tc>
        <w:tc>
          <w:tcPr>
            <w:tcW w:w="595"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16,942,036</w:t>
            </w:r>
          </w:p>
        </w:tc>
        <w:tc>
          <w:tcPr>
            <w:tcW w:w="608"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16,004,477</w:t>
            </w:r>
          </w:p>
        </w:tc>
        <w:tc>
          <w:tcPr>
            <w:tcW w:w="596"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125.9%</w:t>
            </w:r>
          </w:p>
        </w:tc>
        <w:tc>
          <w:tcPr>
            <w:tcW w:w="701"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94.47%</w:t>
            </w:r>
          </w:p>
        </w:tc>
      </w:tr>
      <w:tr w:rsidR="00A57647" w:rsidRPr="004222F0" w:rsidTr="00A57647">
        <w:trPr>
          <w:trHeight w:val="210"/>
          <w:jc w:val="center"/>
        </w:trPr>
        <w:tc>
          <w:tcPr>
            <w:tcW w:w="1323" w:type="pct"/>
            <w:shd w:val="clear" w:color="auto" w:fill="auto"/>
          </w:tcPr>
          <w:p w:rsidR="00A57647" w:rsidRPr="00804CD8" w:rsidRDefault="00A57647" w:rsidP="00A57647">
            <w:pPr>
              <w:spacing w:before="0" w:line="240" w:lineRule="auto"/>
              <w:jc w:val="center"/>
              <w:rPr>
                <w:rFonts w:cs="Calibri"/>
                <w:color w:val="000000"/>
                <w:sz w:val="18"/>
                <w:szCs w:val="18"/>
                <w:lang w:val="sq-AL" w:eastAsia="sq-AL"/>
              </w:rPr>
            </w:pPr>
            <w:r w:rsidRPr="00804CD8">
              <w:rPr>
                <w:rFonts w:cs="Calibri"/>
                <w:sz w:val="18"/>
                <w:szCs w:val="18"/>
                <w:lang w:val="sq-AL"/>
              </w:rPr>
              <w:t>Menaximi i Mbetjeve Urbane</w:t>
            </w:r>
          </w:p>
        </w:tc>
        <w:tc>
          <w:tcPr>
            <w:tcW w:w="588" w:type="pct"/>
          </w:tcPr>
          <w:p w:rsidR="00A57647" w:rsidRPr="004222F0" w:rsidRDefault="00A57647" w:rsidP="00A57647">
            <w:pPr>
              <w:spacing w:before="0" w:line="240" w:lineRule="auto"/>
              <w:jc w:val="center"/>
              <w:rPr>
                <w:rFonts w:cs="Calibri"/>
                <w:sz w:val="18"/>
                <w:szCs w:val="18"/>
              </w:rPr>
            </w:pPr>
            <w:r w:rsidRPr="004222F0">
              <w:rPr>
                <w:rFonts w:cs="Calibri"/>
                <w:sz w:val="18"/>
                <w:szCs w:val="18"/>
              </w:rPr>
              <w:t>3 494 979</w:t>
            </w:r>
          </w:p>
        </w:tc>
        <w:tc>
          <w:tcPr>
            <w:tcW w:w="589" w:type="pct"/>
          </w:tcPr>
          <w:p w:rsidR="00A57647" w:rsidRPr="004222F0" w:rsidRDefault="00A57647" w:rsidP="00A57647">
            <w:pPr>
              <w:spacing w:before="0" w:line="240" w:lineRule="auto"/>
              <w:jc w:val="center"/>
              <w:rPr>
                <w:rFonts w:cs="Calibri"/>
                <w:sz w:val="18"/>
                <w:szCs w:val="18"/>
              </w:rPr>
            </w:pPr>
            <w:r w:rsidRPr="004222F0">
              <w:rPr>
                <w:rFonts w:cs="Calibri"/>
                <w:sz w:val="18"/>
                <w:szCs w:val="18"/>
              </w:rPr>
              <w:t>3,714,272</w:t>
            </w:r>
          </w:p>
        </w:tc>
        <w:tc>
          <w:tcPr>
            <w:tcW w:w="595"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3,423,972</w:t>
            </w:r>
          </w:p>
        </w:tc>
        <w:tc>
          <w:tcPr>
            <w:tcW w:w="608"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2,872,883</w:t>
            </w:r>
          </w:p>
        </w:tc>
        <w:tc>
          <w:tcPr>
            <w:tcW w:w="596"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77.3%</w:t>
            </w:r>
          </w:p>
        </w:tc>
        <w:tc>
          <w:tcPr>
            <w:tcW w:w="701"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83.90%</w:t>
            </w:r>
          </w:p>
        </w:tc>
      </w:tr>
      <w:tr w:rsidR="00A57647" w:rsidRPr="004222F0" w:rsidTr="00A57647">
        <w:trPr>
          <w:trHeight w:val="210"/>
          <w:jc w:val="center"/>
        </w:trPr>
        <w:tc>
          <w:tcPr>
            <w:tcW w:w="1323" w:type="pct"/>
            <w:shd w:val="clear" w:color="auto" w:fill="auto"/>
          </w:tcPr>
          <w:p w:rsidR="00A57647" w:rsidRPr="00804CD8" w:rsidRDefault="00A57647" w:rsidP="00A57647">
            <w:pPr>
              <w:spacing w:before="0" w:line="240" w:lineRule="auto"/>
              <w:jc w:val="center"/>
              <w:rPr>
                <w:rFonts w:cs="Calibri"/>
                <w:sz w:val="18"/>
                <w:szCs w:val="18"/>
              </w:rPr>
            </w:pPr>
            <w:r w:rsidRPr="00804CD8">
              <w:rPr>
                <w:rFonts w:cs="Calibri"/>
                <w:sz w:val="18"/>
                <w:szCs w:val="18"/>
                <w:lang w:val="sq-AL"/>
              </w:rPr>
              <w:t>Mbështetje për Energjinë</w:t>
            </w:r>
          </w:p>
        </w:tc>
        <w:tc>
          <w:tcPr>
            <w:tcW w:w="588" w:type="pct"/>
          </w:tcPr>
          <w:p w:rsidR="00A57647" w:rsidRPr="004222F0" w:rsidRDefault="00A57647" w:rsidP="00A57647">
            <w:pPr>
              <w:spacing w:before="0" w:line="240" w:lineRule="auto"/>
              <w:jc w:val="center"/>
              <w:rPr>
                <w:rFonts w:cs="Calibri"/>
                <w:sz w:val="18"/>
                <w:szCs w:val="18"/>
              </w:rPr>
            </w:pPr>
            <w:r w:rsidRPr="004222F0">
              <w:rPr>
                <w:rFonts w:cs="Calibri"/>
                <w:bCs/>
                <w:sz w:val="18"/>
                <w:szCs w:val="18"/>
              </w:rPr>
              <w:t>1 945 578</w:t>
            </w:r>
          </w:p>
        </w:tc>
        <w:tc>
          <w:tcPr>
            <w:tcW w:w="589" w:type="pct"/>
          </w:tcPr>
          <w:p w:rsidR="00A57647" w:rsidRPr="004222F0" w:rsidRDefault="00A57647" w:rsidP="00A57647">
            <w:pPr>
              <w:spacing w:before="0" w:line="240" w:lineRule="auto"/>
              <w:jc w:val="center"/>
              <w:rPr>
                <w:rFonts w:cs="Calibri"/>
                <w:sz w:val="18"/>
                <w:szCs w:val="18"/>
              </w:rPr>
            </w:pPr>
            <w:r w:rsidRPr="004222F0">
              <w:rPr>
                <w:rFonts w:cs="Calibri"/>
                <w:sz w:val="18"/>
                <w:szCs w:val="18"/>
              </w:rPr>
              <w:t>3,246,000</w:t>
            </w:r>
          </w:p>
        </w:tc>
        <w:tc>
          <w:tcPr>
            <w:tcW w:w="595"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2,405,411</w:t>
            </w:r>
          </w:p>
        </w:tc>
        <w:tc>
          <w:tcPr>
            <w:tcW w:w="608"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2,090,002</w:t>
            </w:r>
          </w:p>
        </w:tc>
        <w:tc>
          <w:tcPr>
            <w:tcW w:w="596"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64.4%</w:t>
            </w:r>
          </w:p>
        </w:tc>
        <w:tc>
          <w:tcPr>
            <w:tcW w:w="701"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86.89%</w:t>
            </w:r>
          </w:p>
        </w:tc>
      </w:tr>
      <w:tr w:rsidR="00A57647" w:rsidRPr="004222F0" w:rsidTr="00A57647">
        <w:trPr>
          <w:trHeight w:val="210"/>
          <w:jc w:val="center"/>
        </w:trPr>
        <w:tc>
          <w:tcPr>
            <w:tcW w:w="1323" w:type="pct"/>
            <w:shd w:val="clear" w:color="auto" w:fill="auto"/>
          </w:tcPr>
          <w:p w:rsidR="00A57647" w:rsidRPr="00804CD8" w:rsidRDefault="00A57647" w:rsidP="00A57647">
            <w:pPr>
              <w:spacing w:before="0" w:line="240" w:lineRule="auto"/>
              <w:jc w:val="center"/>
              <w:rPr>
                <w:rFonts w:cs="Calibri"/>
                <w:sz w:val="18"/>
                <w:szCs w:val="18"/>
              </w:rPr>
            </w:pPr>
            <w:r w:rsidRPr="00804CD8">
              <w:rPr>
                <w:rFonts w:cs="Calibri"/>
                <w:sz w:val="18"/>
                <w:szCs w:val="18"/>
                <w:lang w:val="sq-AL"/>
              </w:rPr>
              <w:t>Mbështetje për Burimet Natyrore</w:t>
            </w:r>
          </w:p>
        </w:tc>
        <w:tc>
          <w:tcPr>
            <w:tcW w:w="588" w:type="pct"/>
          </w:tcPr>
          <w:p w:rsidR="00A57647" w:rsidRPr="004222F0" w:rsidRDefault="00A57647" w:rsidP="00A57647">
            <w:pPr>
              <w:spacing w:before="0" w:line="240" w:lineRule="auto"/>
              <w:jc w:val="center"/>
              <w:rPr>
                <w:rFonts w:cs="Calibri"/>
                <w:sz w:val="18"/>
                <w:szCs w:val="18"/>
              </w:rPr>
            </w:pPr>
            <w:r w:rsidRPr="004222F0">
              <w:rPr>
                <w:rFonts w:cs="Calibri"/>
                <w:sz w:val="18"/>
                <w:szCs w:val="18"/>
              </w:rPr>
              <w:t>256 262</w:t>
            </w:r>
          </w:p>
        </w:tc>
        <w:tc>
          <w:tcPr>
            <w:tcW w:w="589" w:type="pct"/>
          </w:tcPr>
          <w:p w:rsidR="00A57647" w:rsidRPr="004222F0" w:rsidRDefault="00A57647" w:rsidP="00A57647">
            <w:pPr>
              <w:spacing w:before="0" w:line="240" w:lineRule="auto"/>
              <w:jc w:val="center"/>
              <w:rPr>
                <w:rFonts w:cs="Calibri"/>
                <w:sz w:val="18"/>
                <w:szCs w:val="18"/>
              </w:rPr>
            </w:pPr>
            <w:r w:rsidRPr="004222F0">
              <w:rPr>
                <w:rFonts w:cs="Calibri"/>
                <w:sz w:val="18"/>
                <w:szCs w:val="18"/>
              </w:rPr>
              <w:t>282,000</w:t>
            </w:r>
          </w:p>
        </w:tc>
        <w:tc>
          <w:tcPr>
            <w:tcW w:w="595"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263,650</w:t>
            </w:r>
          </w:p>
        </w:tc>
        <w:tc>
          <w:tcPr>
            <w:tcW w:w="608"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256,057</w:t>
            </w:r>
          </w:p>
        </w:tc>
        <w:tc>
          <w:tcPr>
            <w:tcW w:w="596"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90.8%</w:t>
            </w:r>
          </w:p>
        </w:tc>
        <w:tc>
          <w:tcPr>
            <w:tcW w:w="701"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97.12%</w:t>
            </w:r>
          </w:p>
        </w:tc>
      </w:tr>
      <w:tr w:rsidR="00A57647" w:rsidRPr="004222F0" w:rsidTr="00A57647">
        <w:trPr>
          <w:trHeight w:val="210"/>
          <w:jc w:val="center"/>
        </w:trPr>
        <w:tc>
          <w:tcPr>
            <w:tcW w:w="1323" w:type="pct"/>
            <w:shd w:val="clear" w:color="auto" w:fill="auto"/>
          </w:tcPr>
          <w:p w:rsidR="00A57647" w:rsidRPr="00804CD8" w:rsidRDefault="00A57647" w:rsidP="00A57647">
            <w:pPr>
              <w:spacing w:before="0" w:line="240" w:lineRule="auto"/>
              <w:jc w:val="center"/>
              <w:rPr>
                <w:rFonts w:cs="Calibri"/>
                <w:color w:val="000000"/>
                <w:sz w:val="18"/>
                <w:szCs w:val="18"/>
                <w:lang w:val="sq-AL" w:eastAsia="sq-AL"/>
              </w:rPr>
            </w:pPr>
            <w:r w:rsidRPr="00804CD8">
              <w:rPr>
                <w:rFonts w:cs="Calibri"/>
                <w:sz w:val="18"/>
                <w:szCs w:val="18"/>
                <w:lang w:val="sq-AL"/>
              </w:rPr>
              <w:t>Mbështetje për Industrinë</w:t>
            </w:r>
          </w:p>
        </w:tc>
        <w:tc>
          <w:tcPr>
            <w:tcW w:w="588" w:type="pct"/>
          </w:tcPr>
          <w:p w:rsidR="00A57647" w:rsidRPr="004222F0" w:rsidRDefault="00A57647" w:rsidP="00A57647">
            <w:pPr>
              <w:spacing w:before="0" w:line="240" w:lineRule="auto"/>
              <w:jc w:val="center"/>
              <w:rPr>
                <w:rFonts w:cs="Calibri"/>
                <w:sz w:val="18"/>
                <w:szCs w:val="18"/>
              </w:rPr>
            </w:pPr>
            <w:r w:rsidRPr="004222F0">
              <w:rPr>
                <w:rFonts w:cs="Calibri"/>
                <w:sz w:val="18"/>
                <w:szCs w:val="18"/>
              </w:rPr>
              <w:t>357 575</w:t>
            </w:r>
          </w:p>
        </w:tc>
        <w:tc>
          <w:tcPr>
            <w:tcW w:w="589" w:type="pct"/>
          </w:tcPr>
          <w:p w:rsidR="00A57647" w:rsidRPr="004222F0" w:rsidRDefault="00A57647" w:rsidP="00A57647">
            <w:pPr>
              <w:spacing w:before="0" w:line="240" w:lineRule="auto"/>
              <w:jc w:val="center"/>
              <w:rPr>
                <w:rFonts w:cs="Calibri"/>
                <w:sz w:val="18"/>
                <w:szCs w:val="18"/>
              </w:rPr>
            </w:pPr>
            <w:r w:rsidRPr="004222F0">
              <w:rPr>
                <w:rFonts w:cs="Calibri"/>
                <w:sz w:val="18"/>
                <w:szCs w:val="18"/>
              </w:rPr>
              <w:t>406,000</w:t>
            </w:r>
          </w:p>
        </w:tc>
        <w:tc>
          <w:tcPr>
            <w:tcW w:w="595"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391,754</w:t>
            </w:r>
          </w:p>
        </w:tc>
        <w:tc>
          <w:tcPr>
            <w:tcW w:w="608"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372,146</w:t>
            </w:r>
          </w:p>
        </w:tc>
        <w:tc>
          <w:tcPr>
            <w:tcW w:w="596"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91.7%</w:t>
            </w:r>
          </w:p>
        </w:tc>
        <w:tc>
          <w:tcPr>
            <w:tcW w:w="701" w:type="pct"/>
            <w:shd w:val="clear" w:color="auto" w:fill="auto"/>
          </w:tcPr>
          <w:p w:rsidR="00A57647" w:rsidRPr="004222F0" w:rsidRDefault="00A57647" w:rsidP="00A57647">
            <w:pPr>
              <w:spacing w:line="240" w:lineRule="auto"/>
              <w:jc w:val="center"/>
              <w:rPr>
                <w:rFonts w:cs="Calibri"/>
                <w:sz w:val="18"/>
                <w:szCs w:val="18"/>
              </w:rPr>
            </w:pPr>
            <w:r w:rsidRPr="004222F0">
              <w:rPr>
                <w:rFonts w:cs="Calibri"/>
                <w:sz w:val="18"/>
                <w:szCs w:val="18"/>
              </w:rPr>
              <w:t>94.99%</w:t>
            </w:r>
          </w:p>
        </w:tc>
      </w:tr>
      <w:tr w:rsidR="00A57647" w:rsidRPr="004222F0" w:rsidTr="00A57647">
        <w:trPr>
          <w:trHeight w:val="210"/>
          <w:jc w:val="center"/>
        </w:trPr>
        <w:tc>
          <w:tcPr>
            <w:tcW w:w="1323" w:type="pct"/>
            <w:shd w:val="clear" w:color="auto" w:fill="auto"/>
          </w:tcPr>
          <w:p w:rsidR="00A57647" w:rsidRPr="00804CD8" w:rsidRDefault="00A57647" w:rsidP="00A57647">
            <w:pPr>
              <w:spacing w:before="0" w:line="240" w:lineRule="auto"/>
              <w:jc w:val="center"/>
              <w:rPr>
                <w:rFonts w:cs="Calibri"/>
                <w:color w:val="000000"/>
                <w:sz w:val="18"/>
                <w:szCs w:val="18"/>
                <w:lang w:val="sq-AL" w:eastAsia="sq-AL"/>
              </w:rPr>
            </w:pPr>
            <w:r w:rsidRPr="00804CD8">
              <w:rPr>
                <w:rFonts w:cs="Calibri"/>
                <w:sz w:val="18"/>
                <w:szCs w:val="18"/>
                <w:lang w:val="sq-AL"/>
              </w:rPr>
              <w:t>Planifikimi Urban</w:t>
            </w:r>
          </w:p>
        </w:tc>
        <w:tc>
          <w:tcPr>
            <w:tcW w:w="588" w:type="pct"/>
          </w:tcPr>
          <w:p w:rsidR="00A57647" w:rsidRPr="004222F0" w:rsidRDefault="00A57647" w:rsidP="00A57647">
            <w:pPr>
              <w:spacing w:before="0" w:line="240" w:lineRule="auto"/>
              <w:jc w:val="center"/>
              <w:rPr>
                <w:rFonts w:cs="Calibri"/>
                <w:sz w:val="18"/>
                <w:szCs w:val="18"/>
                <w:lang w:val="sq-AL" w:eastAsia="sq-AL"/>
              </w:rPr>
            </w:pPr>
            <w:r w:rsidRPr="004222F0">
              <w:rPr>
                <w:rFonts w:cs="Calibri"/>
                <w:sz w:val="18"/>
                <w:szCs w:val="18"/>
              </w:rPr>
              <w:t>260 491</w:t>
            </w:r>
          </w:p>
        </w:tc>
        <w:tc>
          <w:tcPr>
            <w:tcW w:w="589" w:type="pct"/>
          </w:tcPr>
          <w:p w:rsidR="00A57647" w:rsidRPr="004222F0" w:rsidRDefault="00A57647" w:rsidP="00A57647">
            <w:pPr>
              <w:spacing w:before="0" w:line="240" w:lineRule="auto"/>
              <w:jc w:val="center"/>
              <w:rPr>
                <w:rFonts w:cs="Calibri"/>
                <w:sz w:val="18"/>
                <w:szCs w:val="18"/>
              </w:rPr>
            </w:pPr>
            <w:r w:rsidRPr="004222F0">
              <w:rPr>
                <w:rFonts w:cs="Calibri"/>
                <w:sz w:val="18"/>
                <w:szCs w:val="18"/>
              </w:rPr>
              <w:t>353,100</w:t>
            </w:r>
          </w:p>
        </w:tc>
        <w:tc>
          <w:tcPr>
            <w:tcW w:w="595" w:type="pct"/>
            <w:shd w:val="clear" w:color="auto" w:fill="auto"/>
          </w:tcPr>
          <w:p w:rsidR="00A57647" w:rsidRPr="004222F0" w:rsidRDefault="00A57647" w:rsidP="00A57647">
            <w:pPr>
              <w:spacing w:before="0" w:line="240" w:lineRule="auto"/>
              <w:jc w:val="center"/>
              <w:rPr>
                <w:rFonts w:cs="Calibri"/>
                <w:sz w:val="18"/>
                <w:szCs w:val="18"/>
              </w:rPr>
            </w:pPr>
            <w:r w:rsidRPr="004222F0">
              <w:rPr>
                <w:rFonts w:cs="Calibri"/>
                <w:sz w:val="18"/>
                <w:szCs w:val="18"/>
              </w:rPr>
              <w:t>132,226</w:t>
            </w:r>
          </w:p>
        </w:tc>
        <w:tc>
          <w:tcPr>
            <w:tcW w:w="608" w:type="pct"/>
            <w:shd w:val="clear" w:color="auto" w:fill="auto"/>
          </w:tcPr>
          <w:p w:rsidR="00A57647" w:rsidRPr="004222F0" w:rsidRDefault="00A57647" w:rsidP="00A57647">
            <w:pPr>
              <w:spacing w:before="0" w:line="240" w:lineRule="auto"/>
              <w:jc w:val="center"/>
              <w:rPr>
                <w:rFonts w:cs="Calibri"/>
                <w:sz w:val="18"/>
                <w:szCs w:val="18"/>
              </w:rPr>
            </w:pPr>
            <w:r w:rsidRPr="004222F0">
              <w:rPr>
                <w:rFonts w:cs="Calibri"/>
                <w:sz w:val="18"/>
                <w:szCs w:val="18"/>
              </w:rPr>
              <w:t>113,311</w:t>
            </w:r>
          </w:p>
        </w:tc>
        <w:tc>
          <w:tcPr>
            <w:tcW w:w="596" w:type="pct"/>
            <w:shd w:val="clear" w:color="auto" w:fill="auto"/>
          </w:tcPr>
          <w:p w:rsidR="00A57647" w:rsidRPr="004222F0" w:rsidRDefault="00A57647" w:rsidP="00A57647">
            <w:pPr>
              <w:spacing w:before="0" w:line="240" w:lineRule="auto"/>
              <w:jc w:val="center"/>
              <w:rPr>
                <w:rFonts w:cs="Calibri"/>
                <w:sz w:val="18"/>
                <w:szCs w:val="18"/>
              </w:rPr>
            </w:pPr>
            <w:r w:rsidRPr="004222F0">
              <w:rPr>
                <w:rFonts w:cs="Calibri"/>
                <w:sz w:val="18"/>
                <w:szCs w:val="18"/>
              </w:rPr>
              <w:t>32.1%</w:t>
            </w:r>
          </w:p>
        </w:tc>
        <w:tc>
          <w:tcPr>
            <w:tcW w:w="701" w:type="pct"/>
            <w:shd w:val="clear" w:color="auto" w:fill="auto"/>
          </w:tcPr>
          <w:p w:rsidR="00A57647" w:rsidRPr="004222F0" w:rsidRDefault="00A57647" w:rsidP="00A57647">
            <w:pPr>
              <w:spacing w:before="0" w:line="240" w:lineRule="auto"/>
              <w:jc w:val="center"/>
              <w:rPr>
                <w:rFonts w:cs="Calibri"/>
                <w:sz w:val="18"/>
                <w:szCs w:val="18"/>
              </w:rPr>
            </w:pPr>
            <w:r w:rsidRPr="004222F0">
              <w:rPr>
                <w:rFonts w:cs="Calibri"/>
                <w:sz w:val="18"/>
                <w:szCs w:val="18"/>
              </w:rPr>
              <w:t>85.69%</w:t>
            </w:r>
          </w:p>
        </w:tc>
      </w:tr>
      <w:tr w:rsidR="00A57647" w:rsidRPr="004222F0" w:rsidTr="00A57647">
        <w:trPr>
          <w:trHeight w:val="210"/>
          <w:jc w:val="center"/>
        </w:trPr>
        <w:tc>
          <w:tcPr>
            <w:tcW w:w="1323" w:type="pct"/>
            <w:shd w:val="clear" w:color="auto" w:fill="auto"/>
          </w:tcPr>
          <w:p w:rsidR="00A57647" w:rsidRPr="00804CD8" w:rsidRDefault="00A57647" w:rsidP="00A57647">
            <w:pPr>
              <w:spacing w:before="0" w:line="240" w:lineRule="auto"/>
              <w:jc w:val="center"/>
              <w:rPr>
                <w:rFonts w:cs="Calibri"/>
                <w:b/>
                <w:color w:val="000000"/>
                <w:sz w:val="18"/>
                <w:szCs w:val="18"/>
                <w:lang w:val="sq-AL" w:eastAsia="sq-AL"/>
              </w:rPr>
            </w:pPr>
            <w:r w:rsidRPr="00804CD8">
              <w:rPr>
                <w:rFonts w:cs="Calibri"/>
                <w:b/>
                <w:color w:val="000000"/>
                <w:sz w:val="18"/>
                <w:szCs w:val="18"/>
                <w:lang w:val="sq-AL" w:eastAsia="sq-AL"/>
              </w:rPr>
              <w:t>Gjithsej</w:t>
            </w:r>
          </w:p>
        </w:tc>
        <w:tc>
          <w:tcPr>
            <w:tcW w:w="588" w:type="pct"/>
          </w:tcPr>
          <w:p w:rsidR="00A57647" w:rsidRPr="004222F0" w:rsidRDefault="00A57647" w:rsidP="00A57647">
            <w:pPr>
              <w:spacing w:before="0" w:line="240" w:lineRule="auto"/>
              <w:jc w:val="center"/>
              <w:rPr>
                <w:rFonts w:cs="Calibri"/>
                <w:b/>
                <w:sz w:val="18"/>
                <w:szCs w:val="18"/>
                <w:lang w:val="sq-AL" w:eastAsia="sq-AL"/>
              </w:rPr>
            </w:pPr>
            <w:r w:rsidRPr="004222F0">
              <w:rPr>
                <w:rFonts w:cs="Calibri"/>
                <w:b/>
                <w:sz w:val="18"/>
                <w:szCs w:val="18"/>
              </w:rPr>
              <w:t>47 557 425</w:t>
            </w:r>
          </w:p>
        </w:tc>
        <w:tc>
          <w:tcPr>
            <w:tcW w:w="589" w:type="pct"/>
          </w:tcPr>
          <w:p w:rsidR="00A57647" w:rsidRPr="004222F0" w:rsidRDefault="00A57647" w:rsidP="00A57647">
            <w:pPr>
              <w:spacing w:before="0" w:line="240" w:lineRule="auto"/>
              <w:jc w:val="center"/>
              <w:rPr>
                <w:rFonts w:cs="Calibri"/>
                <w:b/>
                <w:sz w:val="18"/>
                <w:szCs w:val="18"/>
              </w:rPr>
            </w:pPr>
            <w:r w:rsidRPr="004222F0">
              <w:rPr>
                <w:rFonts w:cs="Calibri"/>
                <w:b/>
                <w:sz w:val="18"/>
                <w:szCs w:val="18"/>
              </w:rPr>
              <w:t>49,875,455</w:t>
            </w:r>
          </w:p>
        </w:tc>
        <w:tc>
          <w:tcPr>
            <w:tcW w:w="595" w:type="pct"/>
            <w:shd w:val="clear" w:color="auto" w:fill="auto"/>
          </w:tcPr>
          <w:p w:rsidR="00A57647" w:rsidRPr="004222F0" w:rsidRDefault="00A57647" w:rsidP="00A57647">
            <w:pPr>
              <w:spacing w:before="0" w:line="240" w:lineRule="auto"/>
              <w:jc w:val="center"/>
              <w:rPr>
                <w:rFonts w:cs="Calibri"/>
                <w:b/>
                <w:sz w:val="18"/>
                <w:szCs w:val="18"/>
              </w:rPr>
            </w:pPr>
            <w:r w:rsidRPr="004222F0">
              <w:rPr>
                <w:rFonts w:cs="Calibri"/>
                <w:b/>
                <w:sz w:val="18"/>
                <w:szCs w:val="18"/>
              </w:rPr>
              <w:t>62,761,338</w:t>
            </w:r>
          </w:p>
        </w:tc>
        <w:tc>
          <w:tcPr>
            <w:tcW w:w="608" w:type="pct"/>
            <w:shd w:val="clear" w:color="auto" w:fill="auto"/>
          </w:tcPr>
          <w:p w:rsidR="00A57647" w:rsidRPr="004222F0" w:rsidRDefault="00A57647" w:rsidP="00A57647">
            <w:pPr>
              <w:spacing w:before="0" w:line="240" w:lineRule="auto"/>
              <w:jc w:val="center"/>
              <w:rPr>
                <w:rFonts w:cs="Calibri"/>
                <w:b/>
                <w:sz w:val="18"/>
                <w:szCs w:val="18"/>
              </w:rPr>
            </w:pPr>
            <w:r w:rsidRPr="004222F0">
              <w:rPr>
                <w:rFonts w:cs="Calibri"/>
                <w:b/>
                <w:sz w:val="18"/>
                <w:szCs w:val="18"/>
              </w:rPr>
              <w:t>58,756,578</w:t>
            </w:r>
          </w:p>
        </w:tc>
        <w:tc>
          <w:tcPr>
            <w:tcW w:w="596" w:type="pct"/>
            <w:shd w:val="clear" w:color="auto" w:fill="auto"/>
          </w:tcPr>
          <w:p w:rsidR="00A57647" w:rsidRPr="004222F0" w:rsidRDefault="00A57647" w:rsidP="00A57647">
            <w:pPr>
              <w:spacing w:before="0" w:line="240" w:lineRule="auto"/>
              <w:jc w:val="center"/>
              <w:rPr>
                <w:rFonts w:cs="Calibri"/>
                <w:b/>
                <w:sz w:val="18"/>
                <w:szCs w:val="18"/>
              </w:rPr>
            </w:pPr>
            <w:r w:rsidRPr="004222F0">
              <w:rPr>
                <w:rFonts w:cs="Calibri"/>
                <w:b/>
                <w:sz w:val="18"/>
                <w:szCs w:val="18"/>
              </w:rPr>
              <w:t>117.8%</w:t>
            </w:r>
          </w:p>
        </w:tc>
        <w:tc>
          <w:tcPr>
            <w:tcW w:w="701" w:type="pct"/>
            <w:shd w:val="clear" w:color="auto" w:fill="auto"/>
          </w:tcPr>
          <w:p w:rsidR="00A57647" w:rsidRPr="004222F0" w:rsidRDefault="00A57647" w:rsidP="00A57647">
            <w:pPr>
              <w:spacing w:before="0" w:line="240" w:lineRule="auto"/>
              <w:jc w:val="center"/>
              <w:rPr>
                <w:rFonts w:cs="Calibri"/>
                <w:b/>
                <w:sz w:val="18"/>
                <w:szCs w:val="18"/>
              </w:rPr>
            </w:pPr>
            <w:r w:rsidRPr="004222F0">
              <w:rPr>
                <w:rFonts w:cs="Calibri"/>
                <w:b/>
                <w:sz w:val="18"/>
                <w:szCs w:val="18"/>
              </w:rPr>
              <w:t>93.62%</w:t>
            </w:r>
          </w:p>
        </w:tc>
      </w:tr>
    </w:tbl>
    <w:p w:rsidR="007B7B50" w:rsidRPr="00476D2E" w:rsidRDefault="007B7B50" w:rsidP="00A57647">
      <w:pPr>
        <w:jc w:val="center"/>
        <w:rPr>
          <w:rFonts w:cs="Calibri"/>
          <w:b/>
          <w:bCs/>
          <w:i/>
          <w:iCs/>
          <w:sz w:val="2"/>
          <w:lang w:val="sq-AL"/>
        </w:rPr>
      </w:pPr>
    </w:p>
    <w:p w:rsidR="009F7E20" w:rsidRPr="0028257F" w:rsidRDefault="009F7E20" w:rsidP="009F7E20">
      <w:pPr>
        <w:rPr>
          <w:rFonts w:cs="Calibri"/>
          <w:color w:val="000000"/>
          <w:spacing w:val="11"/>
          <w:szCs w:val="22"/>
        </w:rPr>
      </w:pPr>
      <w:r w:rsidRPr="0028257F">
        <w:rPr>
          <w:rFonts w:cs="Calibri"/>
          <w:spacing w:val="-2"/>
          <w:szCs w:val="22"/>
        </w:rPr>
        <w:t>B</w:t>
      </w:r>
      <w:r w:rsidRPr="0028257F">
        <w:rPr>
          <w:rFonts w:cs="Calibri"/>
          <w:szCs w:val="22"/>
        </w:rPr>
        <w:t>u</w:t>
      </w:r>
      <w:r w:rsidRPr="0028257F">
        <w:rPr>
          <w:rFonts w:cs="Calibri"/>
          <w:spacing w:val="2"/>
          <w:szCs w:val="22"/>
        </w:rPr>
        <w:t>x</w:t>
      </w:r>
      <w:r w:rsidRPr="0028257F">
        <w:rPr>
          <w:rFonts w:cs="Calibri"/>
          <w:szCs w:val="22"/>
        </w:rPr>
        <w:t>h</w:t>
      </w:r>
      <w:r w:rsidRPr="0028257F">
        <w:rPr>
          <w:rFonts w:cs="Calibri"/>
          <w:spacing w:val="-1"/>
          <w:szCs w:val="22"/>
        </w:rPr>
        <w:t>e</w:t>
      </w:r>
      <w:r w:rsidRPr="0028257F">
        <w:rPr>
          <w:rFonts w:cs="Calibri"/>
          <w:szCs w:val="22"/>
        </w:rPr>
        <w:t>ti</w:t>
      </w:r>
      <w:r w:rsidRPr="0028257F">
        <w:rPr>
          <w:rFonts w:cs="Calibri"/>
          <w:spacing w:val="35"/>
          <w:szCs w:val="22"/>
        </w:rPr>
        <w:t xml:space="preserve"> </w:t>
      </w:r>
      <w:r w:rsidRPr="0028257F">
        <w:rPr>
          <w:rFonts w:cs="Calibri"/>
          <w:szCs w:val="22"/>
        </w:rPr>
        <w:t xml:space="preserve">vjetor fillestar i Ministrisë së Infrastrukturës dhe Energjisë fillestar u rishikua në rritje të ndjeshme (+26%) gjatë 2021 nëpërmjet akteve normative për rishikimin e buxhetit, për të akomoduar nevojat shtesë për shlyerjen e detyrimeve të prapambetura për kontratat e mirëmbajtjes së rrugëve ne programin e transportit rrugor. Realizimi faktik ishte </w:t>
      </w:r>
      <w:r w:rsidR="00AB7A9F">
        <w:rPr>
          <w:rFonts w:cs="Calibri"/>
          <w:color w:val="000000"/>
          <w:szCs w:val="22"/>
        </w:rPr>
        <w:t>58.8mld</w:t>
      </w:r>
      <w:r w:rsidRPr="0028257F">
        <w:rPr>
          <w:rFonts w:cs="Calibri"/>
          <w:szCs w:val="22"/>
        </w:rPr>
        <w:t xml:space="preserve"> lekë, ose 118% e buxhetit fillestar dhe 94% e buxhetit të rishikuar. </w:t>
      </w:r>
    </w:p>
    <w:p w:rsidR="009F7E20" w:rsidRPr="009F7E20" w:rsidRDefault="009F7E20" w:rsidP="009F7E20">
      <w:pPr>
        <w:rPr>
          <w:rFonts w:cs="Calibri"/>
          <w:lang w:val="sq-AL"/>
        </w:rPr>
      </w:pPr>
      <w:r w:rsidRPr="009F7E20">
        <w:rPr>
          <w:rFonts w:cs="Calibri"/>
          <w:b/>
          <w:lang w:val="sq-AL"/>
        </w:rPr>
        <w:t>Në programin “Transporti Rrugor”</w:t>
      </w:r>
      <w:r w:rsidRPr="009F7E20">
        <w:rPr>
          <w:rFonts w:cs="Calibri"/>
          <w:lang w:val="sq-AL"/>
        </w:rPr>
        <w:t xml:space="preserve"> ka vijuar puna për zhvillimin më tej të sistemit kombëtar të transportit, përmirësimin e ndjeshëm të qëndrueshmërisë, ndërlidhjes, ndërveprimit dhe integrimin e tij me gjerë, me sistemin ndërkombëtar dhe evropian të transportit dhe rajonin si dhe mbulimin me financim dhe zgjerimin, rritjen e standarteve dhe mirëmbajtjen e rrjetit kombëtar të rrugëve, me synim krijimin e një transporti të qëndrueshëm. </w:t>
      </w:r>
      <w:r w:rsidRPr="0028257F">
        <w:rPr>
          <w:lang w:val="sq-AL"/>
        </w:rPr>
        <w:t>Në këtë kuadër, janë realizuar objektivat dhe produktet si vijon:</w:t>
      </w:r>
    </w:p>
    <w:p w:rsidR="009F7E20" w:rsidRPr="0028257F" w:rsidRDefault="009F7E20" w:rsidP="009F7E20">
      <w:pPr>
        <w:rPr>
          <w:lang w:val="sq-AL"/>
        </w:rPr>
      </w:pPr>
      <w:r w:rsidRPr="009F7E20">
        <w:rPr>
          <w:lang w:val="sq-AL"/>
        </w:rPr>
        <w:t>Produkti “</w:t>
      </w:r>
      <w:r w:rsidRPr="009F7E20">
        <w:rPr>
          <w:i/>
          <w:lang w:val="sq-AL"/>
        </w:rPr>
        <w:t>Ndërtim dhe rehabilitim sipas standarteve të projektimit, rrugë të rrjetit kombëtar</w:t>
      </w:r>
      <w:r w:rsidRPr="009F7E20">
        <w:rPr>
          <w:lang w:val="sq-AL"/>
        </w:rPr>
        <w:t>”, janë realizuar</w:t>
      </w:r>
      <w:r w:rsidRPr="0028257F">
        <w:rPr>
          <w:lang w:val="sq-AL"/>
        </w:rPr>
        <w:t xml:space="preserve"> fondet në vlerën 16 miliard lekë apo 99.8% e planit të akorduar për vitin 2021. Disa nga produktet kryesore të realizuara përgjatë periudhës janë:   </w:t>
      </w:r>
    </w:p>
    <w:p w:rsidR="009F7E20" w:rsidRPr="009F7E20" w:rsidRDefault="009F7E20" w:rsidP="00842F80">
      <w:pPr>
        <w:pStyle w:val="ListParagraph"/>
        <w:numPr>
          <w:ilvl w:val="0"/>
          <w:numId w:val="27"/>
        </w:numPr>
        <w:shd w:val="clear" w:color="auto" w:fill="FFFFFF" w:themeFill="background1"/>
        <w:spacing w:before="0" w:line="240" w:lineRule="auto"/>
        <w:rPr>
          <w:rFonts w:asciiTheme="majorHAnsi" w:hAnsiTheme="majorHAnsi" w:cs="Calibri Light"/>
          <w:bCs/>
          <w:szCs w:val="22"/>
          <w:lang w:val="sq-AL" w:eastAsia="en-GB"/>
        </w:rPr>
      </w:pPr>
      <w:r w:rsidRPr="009F7E20">
        <w:rPr>
          <w:rFonts w:asciiTheme="majorHAnsi" w:hAnsiTheme="majorHAnsi" w:cs="Calibri Light"/>
          <w:bCs/>
          <w:szCs w:val="22"/>
          <w:lang w:val="sq-AL" w:eastAsia="en-GB"/>
        </w:rPr>
        <w:t>Tipi i rrugës A2’ 2x2 me trotuar dhe ndriçim, për të cilin fondet e planifikuara për vitin buxhetor paraqiten të realizuar në masën 2.7 miliard lekë apo 100% e fondeve të planifikuara për këtë qëllim. Disa nga objektet e rëndësishme, që janë në proces paraqiten si më poshtë:</w:t>
      </w:r>
    </w:p>
    <w:p w:rsidR="009F7E20" w:rsidRPr="009F7E20" w:rsidRDefault="009F7E20" w:rsidP="00842F80">
      <w:pPr>
        <w:pStyle w:val="ListParagraph"/>
        <w:numPr>
          <w:ilvl w:val="0"/>
          <w:numId w:val="26"/>
        </w:numPr>
        <w:shd w:val="clear" w:color="auto" w:fill="FFFFFF" w:themeFill="background1"/>
        <w:spacing w:before="0" w:line="240" w:lineRule="auto"/>
        <w:rPr>
          <w:rFonts w:asciiTheme="majorHAnsi" w:hAnsiTheme="majorHAnsi" w:cs="Calibri Light"/>
          <w:bCs/>
          <w:i/>
          <w:szCs w:val="22"/>
          <w:lang w:val="sq-AL" w:eastAsia="en-GB"/>
        </w:rPr>
      </w:pPr>
      <w:r w:rsidRPr="009F7E20">
        <w:rPr>
          <w:rFonts w:asciiTheme="majorHAnsi" w:hAnsiTheme="majorHAnsi" w:cs="Calibri Light"/>
          <w:bCs/>
          <w:i/>
          <w:szCs w:val="22"/>
          <w:lang w:val="sq-AL" w:eastAsia="en-GB"/>
        </w:rPr>
        <w:t>"Përfundim i punimeve të mbetura dhe plotësimi me rrugë dytësore nyja e Milotit";</w:t>
      </w:r>
    </w:p>
    <w:p w:rsidR="009F7E20" w:rsidRPr="009F7E20" w:rsidRDefault="009F7E20" w:rsidP="00842F80">
      <w:pPr>
        <w:pStyle w:val="ListParagraph"/>
        <w:numPr>
          <w:ilvl w:val="0"/>
          <w:numId w:val="26"/>
        </w:numPr>
        <w:shd w:val="clear" w:color="auto" w:fill="FFFFFF" w:themeFill="background1"/>
        <w:spacing w:before="0" w:line="240" w:lineRule="auto"/>
        <w:rPr>
          <w:rFonts w:asciiTheme="majorHAnsi" w:hAnsiTheme="majorHAnsi" w:cs="Calibri Light"/>
          <w:bCs/>
          <w:i/>
          <w:szCs w:val="22"/>
          <w:lang w:val="sq-AL" w:eastAsia="en-GB"/>
        </w:rPr>
      </w:pPr>
      <w:r w:rsidRPr="009F7E20">
        <w:rPr>
          <w:rFonts w:asciiTheme="majorHAnsi" w:hAnsiTheme="majorHAnsi" w:cs="Calibri Light"/>
          <w:bCs/>
          <w:i/>
          <w:szCs w:val="22"/>
          <w:lang w:val="sq-AL" w:eastAsia="en-GB"/>
        </w:rPr>
        <w:t>"Ndërtim i unazës së Jashtme Tiranë pjesa verilindore (seg Kth Saukut-Bregu i lumit) Loti 2, Loti 3";</w:t>
      </w:r>
    </w:p>
    <w:p w:rsidR="009F7E20" w:rsidRPr="009F7E20" w:rsidRDefault="009F7E20" w:rsidP="00842F80">
      <w:pPr>
        <w:pStyle w:val="ListParagraph"/>
        <w:numPr>
          <w:ilvl w:val="0"/>
          <w:numId w:val="26"/>
        </w:numPr>
        <w:shd w:val="clear" w:color="auto" w:fill="FFFFFF" w:themeFill="background1"/>
        <w:spacing w:before="0" w:line="240" w:lineRule="auto"/>
        <w:rPr>
          <w:rFonts w:asciiTheme="majorHAnsi" w:hAnsiTheme="majorHAnsi" w:cs="Calibri Light"/>
          <w:bCs/>
          <w:i/>
          <w:szCs w:val="22"/>
          <w:lang w:val="sq-AL" w:eastAsia="en-GB"/>
        </w:rPr>
      </w:pPr>
      <w:r w:rsidRPr="009F7E20">
        <w:rPr>
          <w:rFonts w:asciiTheme="majorHAnsi" w:hAnsiTheme="majorHAnsi" w:cs="Calibri Light"/>
          <w:bCs/>
          <w:i/>
          <w:szCs w:val="22"/>
          <w:lang w:val="sq-AL" w:eastAsia="en-GB"/>
        </w:rPr>
        <w:t>"Rikualifikim i akseve rrugore Unaza Lindore Loti 2 , Loti 3";</w:t>
      </w:r>
    </w:p>
    <w:p w:rsidR="009F7E20" w:rsidRPr="009F7E20" w:rsidRDefault="009F7E20" w:rsidP="00842F80">
      <w:pPr>
        <w:pStyle w:val="ListParagraph"/>
        <w:numPr>
          <w:ilvl w:val="0"/>
          <w:numId w:val="26"/>
        </w:numPr>
        <w:shd w:val="clear" w:color="auto" w:fill="FFFFFF" w:themeFill="background1"/>
        <w:spacing w:before="0" w:line="240" w:lineRule="auto"/>
        <w:rPr>
          <w:rFonts w:asciiTheme="majorHAnsi" w:hAnsiTheme="majorHAnsi" w:cs="Calibri Light"/>
          <w:bCs/>
          <w:i/>
          <w:szCs w:val="22"/>
          <w:lang w:val="sq-AL" w:eastAsia="en-GB"/>
        </w:rPr>
      </w:pPr>
      <w:r w:rsidRPr="009F7E20">
        <w:rPr>
          <w:rFonts w:asciiTheme="majorHAnsi" w:hAnsiTheme="majorHAnsi" w:cs="Calibri Light"/>
          <w:bCs/>
          <w:i/>
          <w:szCs w:val="22"/>
          <w:lang w:val="sq-AL" w:eastAsia="en-GB"/>
        </w:rPr>
        <w:t>"Ndërtim rruga By Pass Perëndimor Shkodër, Loti 1 + shtesë punimesh dhe Loti 2";</w:t>
      </w:r>
    </w:p>
    <w:p w:rsidR="009F7E20" w:rsidRPr="009F7E20" w:rsidRDefault="009F7E20" w:rsidP="00842F80">
      <w:pPr>
        <w:pStyle w:val="ListParagraph"/>
        <w:numPr>
          <w:ilvl w:val="0"/>
          <w:numId w:val="27"/>
        </w:numPr>
        <w:shd w:val="clear" w:color="auto" w:fill="FFFFFF" w:themeFill="background1"/>
        <w:spacing w:before="0" w:line="240" w:lineRule="auto"/>
        <w:rPr>
          <w:rFonts w:asciiTheme="majorHAnsi" w:hAnsiTheme="majorHAnsi" w:cs="Calibri Light"/>
          <w:bCs/>
          <w:szCs w:val="22"/>
          <w:lang w:val="sq-AL" w:eastAsia="en-GB"/>
        </w:rPr>
      </w:pPr>
      <w:r w:rsidRPr="009F7E20">
        <w:rPr>
          <w:rFonts w:asciiTheme="majorHAnsi" w:hAnsiTheme="majorHAnsi" w:cs="Calibri Light"/>
          <w:bCs/>
          <w:szCs w:val="22"/>
          <w:lang w:val="sq-AL" w:eastAsia="en-GB"/>
        </w:rPr>
        <w:t>Tipi i rrugës A me katër korsi sipas standarteve të reja, për të cilin fondet e planifikuara për vitin buxhetor 2021 paraqiten të realizuar në masën 4.5 miliard lekë, apo 100% e fondeve të planifikuara për vitin 2021. Disa nga objektet e rëndësishme, që përfshihen në këtë grup rruge, paraqiten si më poshtë:</w:t>
      </w:r>
    </w:p>
    <w:p w:rsidR="009F7E20" w:rsidRPr="009F7E20" w:rsidRDefault="009F7E20" w:rsidP="00842F80">
      <w:pPr>
        <w:pStyle w:val="ListParagraph"/>
        <w:numPr>
          <w:ilvl w:val="0"/>
          <w:numId w:val="26"/>
        </w:numPr>
        <w:shd w:val="clear" w:color="auto" w:fill="FFFFFF" w:themeFill="background1"/>
        <w:spacing w:before="0" w:line="240" w:lineRule="auto"/>
        <w:rPr>
          <w:rFonts w:asciiTheme="majorHAnsi" w:hAnsiTheme="majorHAnsi" w:cs="Calibri Light"/>
          <w:bCs/>
          <w:i/>
          <w:szCs w:val="22"/>
          <w:lang w:val="sq-AL" w:eastAsia="en-GB"/>
        </w:rPr>
      </w:pPr>
      <w:r w:rsidRPr="009F7E20">
        <w:rPr>
          <w:rFonts w:asciiTheme="majorHAnsi" w:hAnsiTheme="majorHAnsi" w:cs="Calibri Light"/>
          <w:bCs/>
          <w:i/>
          <w:szCs w:val="22"/>
          <w:lang w:val="sq-AL" w:eastAsia="en-GB"/>
        </w:rPr>
        <w:t>Rehabilitimi i segmentit rrugor mbikalimi pallati me shigjeta rrethrrotullimi Shqiponja, Loti 1, 2, 3;</w:t>
      </w:r>
    </w:p>
    <w:p w:rsidR="009F7E20" w:rsidRPr="009F7E20" w:rsidRDefault="009F7E20" w:rsidP="00842F80">
      <w:pPr>
        <w:pStyle w:val="ListParagraph"/>
        <w:numPr>
          <w:ilvl w:val="0"/>
          <w:numId w:val="26"/>
        </w:numPr>
        <w:shd w:val="clear" w:color="auto" w:fill="FFFFFF" w:themeFill="background1"/>
        <w:spacing w:before="0" w:line="240" w:lineRule="auto"/>
        <w:rPr>
          <w:rFonts w:asciiTheme="majorHAnsi" w:hAnsiTheme="majorHAnsi" w:cs="Calibri Light"/>
          <w:bCs/>
          <w:i/>
          <w:szCs w:val="22"/>
          <w:lang w:val="sq-AL" w:eastAsia="en-GB"/>
        </w:rPr>
      </w:pPr>
      <w:r w:rsidRPr="009F7E20">
        <w:rPr>
          <w:rFonts w:asciiTheme="majorHAnsi" w:hAnsiTheme="majorHAnsi" w:cs="Calibri Light"/>
          <w:bCs/>
          <w:i/>
          <w:szCs w:val="22"/>
          <w:lang w:val="sq-AL" w:eastAsia="en-GB"/>
        </w:rPr>
        <w:t>Ndërtim rruga mbikalimi TEG dhe rrugët lidhëse të tij;</w:t>
      </w:r>
    </w:p>
    <w:p w:rsidR="009F7E20" w:rsidRPr="009F7E20" w:rsidRDefault="009F7E20" w:rsidP="00842F80">
      <w:pPr>
        <w:pStyle w:val="ListParagraph"/>
        <w:numPr>
          <w:ilvl w:val="0"/>
          <w:numId w:val="26"/>
        </w:numPr>
        <w:shd w:val="clear" w:color="auto" w:fill="FFFFFF" w:themeFill="background1"/>
        <w:spacing w:before="0" w:line="240" w:lineRule="auto"/>
        <w:rPr>
          <w:rFonts w:asciiTheme="majorHAnsi" w:hAnsiTheme="majorHAnsi" w:cs="Calibri Light"/>
          <w:bCs/>
          <w:i/>
          <w:szCs w:val="22"/>
          <w:lang w:val="sq-AL" w:eastAsia="en-GB"/>
        </w:rPr>
      </w:pPr>
      <w:r w:rsidRPr="009F7E20">
        <w:rPr>
          <w:rFonts w:asciiTheme="majorHAnsi" w:hAnsiTheme="majorHAnsi" w:cs="Calibri Light"/>
          <w:bCs/>
          <w:i/>
          <w:szCs w:val="22"/>
          <w:lang w:val="sq-AL" w:eastAsia="en-GB"/>
        </w:rPr>
        <w:t>Studim projektim mbikalimi TEG</w:t>
      </w:r>
    </w:p>
    <w:p w:rsidR="009F7E20" w:rsidRPr="009F7E20" w:rsidRDefault="009F7E20" w:rsidP="00842F80">
      <w:pPr>
        <w:pStyle w:val="ListParagraph"/>
        <w:numPr>
          <w:ilvl w:val="0"/>
          <w:numId w:val="26"/>
        </w:numPr>
        <w:shd w:val="clear" w:color="auto" w:fill="FFFFFF" w:themeFill="background1"/>
        <w:spacing w:before="0" w:line="240" w:lineRule="auto"/>
        <w:rPr>
          <w:rFonts w:asciiTheme="majorHAnsi" w:hAnsiTheme="majorHAnsi" w:cs="Calibri Light"/>
          <w:bCs/>
          <w:i/>
          <w:szCs w:val="22"/>
          <w:lang w:val="sq-AL" w:eastAsia="en-GB"/>
        </w:rPr>
      </w:pPr>
      <w:r w:rsidRPr="009F7E20">
        <w:rPr>
          <w:rFonts w:asciiTheme="majorHAnsi" w:hAnsiTheme="majorHAnsi" w:cs="Calibri Light"/>
          <w:bCs/>
          <w:i/>
          <w:szCs w:val="22"/>
          <w:lang w:val="sq-AL" w:eastAsia="en-GB"/>
        </w:rPr>
        <w:lastRenderedPageBreak/>
        <w:t>Studim-Projektim, rrishikimi i projektit për segmentin rrugor të vazhdimit të unazës së madhe Tiranë nga Sheshi Shqiponja – Bulevardi i ri</w:t>
      </w:r>
    </w:p>
    <w:p w:rsidR="009F7E20" w:rsidRPr="009F7E20" w:rsidRDefault="009F7E20" w:rsidP="00842F80">
      <w:pPr>
        <w:pStyle w:val="ListParagraph"/>
        <w:numPr>
          <w:ilvl w:val="0"/>
          <w:numId w:val="26"/>
        </w:numPr>
        <w:shd w:val="clear" w:color="auto" w:fill="FFFFFF" w:themeFill="background1"/>
        <w:spacing w:before="0" w:line="240" w:lineRule="auto"/>
        <w:rPr>
          <w:rFonts w:asciiTheme="majorHAnsi" w:hAnsiTheme="majorHAnsi" w:cs="Calibri Light"/>
          <w:bCs/>
          <w:i/>
          <w:szCs w:val="22"/>
          <w:lang w:val="sq-AL" w:eastAsia="en-GB"/>
        </w:rPr>
      </w:pPr>
      <w:r w:rsidRPr="009F7E20">
        <w:rPr>
          <w:rFonts w:asciiTheme="majorHAnsi" w:hAnsiTheme="majorHAnsi" w:cs="Calibri Light"/>
          <w:bCs/>
          <w:i/>
          <w:szCs w:val="22"/>
          <w:lang w:val="sq-AL" w:eastAsia="en-GB"/>
        </w:rPr>
        <w:t>Ndërtimi i segmentit rrugor sheshi Shqiponja-Bulevardi i ri, Loti 2.</w:t>
      </w:r>
    </w:p>
    <w:p w:rsidR="009F7E20" w:rsidRPr="009F7E20" w:rsidRDefault="009F7E20" w:rsidP="00842F80">
      <w:pPr>
        <w:pStyle w:val="ListParagraph"/>
        <w:numPr>
          <w:ilvl w:val="0"/>
          <w:numId w:val="26"/>
        </w:numPr>
        <w:shd w:val="clear" w:color="auto" w:fill="FFFFFF" w:themeFill="background1"/>
        <w:spacing w:before="0" w:line="240" w:lineRule="auto"/>
        <w:rPr>
          <w:rFonts w:asciiTheme="majorHAnsi" w:hAnsiTheme="majorHAnsi" w:cs="Calibri Light"/>
          <w:bCs/>
          <w:i/>
          <w:szCs w:val="22"/>
          <w:lang w:val="sq-AL" w:eastAsia="en-GB"/>
        </w:rPr>
      </w:pPr>
      <w:r w:rsidRPr="009F7E20">
        <w:rPr>
          <w:rFonts w:asciiTheme="majorHAnsi" w:hAnsiTheme="majorHAnsi" w:cs="Calibri Light"/>
          <w:bCs/>
          <w:i/>
          <w:szCs w:val="22"/>
          <w:lang w:val="sq-AL" w:eastAsia="en-GB"/>
        </w:rPr>
        <w:t>Ndërtimi i unazës së jashtme Tiranë, Loti 4, Loti 5, Loti 6, Loti 7.</w:t>
      </w:r>
    </w:p>
    <w:p w:rsidR="009F7E20" w:rsidRPr="009F7E20" w:rsidRDefault="009F7E20" w:rsidP="00842F80">
      <w:pPr>
        <w:pStyle w:val="ListParagraph"/>
        <w:numPr>
          <w:ilvl w:val="0"/>
          <w:numId w:val="27"/>
        </w:numPr>
        <w:shd w:val="clear" w:color="auto" w:fill="FFFFFF" w:themeFill="background1"/>
        <w:spacing w:before="0" w:line="240" w:lineRule="auto"/>
        <w:rPr>
          <w:rFonts w:asciiTheme="majorHAnsi" w:hAnsiTheme="majorHAnsi" w:cs="Calibri Light"/>
          <w:bCs/>
          <w:szCs w:val="22"/>
          <w:lang w:val="sq-AL" w:eastAsia="en-GB"/>
        </w:rPr>
      </w:pPr>
      <w:r w:rsidRPr="009F7E20">
        <w:rPr>
          <w:rFonts w:asciiTheme="majorHAnsi" w:hAnsiTheme="majorHAnsi" w:cs="Calibri Light"/>
          <w:bCs/>
          <w:szCs w:val="22"/>
          <w:lang w:val="sq-AL" w:eastAsia="en-GB"/>
        </w:rPr>
        <w:t>Rruga tip B1’ me dy korsi, për të cilën janë realizuar fondet në masën prej 4.1 miliard lekë ose 100% ndaj totalit të planifikuar për vitin 2021.  Objekti, në të cilin punohet me ritme të parashikuara është:</w:t>
      </w:r>
    </w:p>
    <w:p w:rsidR="009F7E20" w:rsidRPr="009F7E20" w:rsidRDefault="009F7E20" w:rsidP="00842F80">
      <w:pPr>
        <w:pStyle w:val="ListParagraph"/>
        <w:numPr>
          <w:ilvl w:val="0"/>
          <w:numId w:val="26"/>
        </w:numPr>
        <w:shd w:val="clear" w:color="auto" w:fill="FFFFFF" w:themeFill="background1"/>
        <w:spacing w:before="0" w:line="240" w:lineRule="auto"/>
        <w:rPr>
          <w:rFonts w:asciiTheme="majorHAnsi" w:hAnsiTheme="majorHAnsi" w:cs="Calibri Light"/>
          <w:bCs/>
          <w:i/>
          <w:szCs w:val="22"/>
          <w:lang w:val="sq-AL" w:eastAsia="en-GB"/>
        </w:rPr>
      </w:pPr>
      <w:r w:rsidRPr="009F7E20">
        <w:rPr>
          <w:rFonts w:asciiTheme="majorHAnsi" w:hAnsiTheme="majorHAnsi" w:cs="Calibri Light"/>
          <w:bCs/>
          <w:i/>
          <w:szCs w:val="22"/>
          <w:lang w:val="sq-AL" w:eastAsia="en-GB"/>
        </w:rPr>
        <w:t>"Ndërtim Rruga Kardhiq-Delvinë Loti 4, Loti 5, Loti 6"</w:t>
      </w:r>
    </w:p>
    <w:p w:rsidR="009F7E20" w:rsidRPr="009F7E20" w:rsidRDefault="009F7E20" w:rsidP="00842F80">
      <w:pPr>
        <w:pStyle w:val="ListParagraph"/>
        <w:numPr>
          <w:ilvl w:val="0"/>
          <w:numId w:val="27"/>
        </w:numPr>
        <w:shd w:val="clear" w:color="auto" w:fill="FFFFFF" w:themeFill="background1"/>
        <w:spacing w:before="0" w:line="240" w:lineRule="auto"/>
        <w:rPr>
          <w:rFonts w:asciiTheme="majorHAnsi" w:hAnsiTheme="majorHAnsi" w:cs="Calibri Light"/>
          <w:bCs/>
          <w:szCs w:val="22"/>
          <w:lang w:val="sq-AL" w:eastAsia="en-GB"/>
        </w:rPr>
      </w:pPr>
      <w:r w:rsidRPr="009F7E20">
        <w:rPr>
          <w:rFonts w:asciiTheme="majorHAnsi" w:hAnsiTheme="majorHAnsi" w:cs="Calibri Light"/>
          <w:bCs/>
          <w:szCs w:val="22"/>
          <w:lang w:val="sq-AL" w:eastAsia="en-GB"/>
        </w:rPr>
        <w:t>Për rrugën tip C2 me dy korsi, janë realizuar fondet përgjatë vitit 2021 në masën 4 miliard lekë ose 99.4% e fondeve të planifikuara. Disa nga objektet e rëndësishme, në të cilat punohet normalisht dhe që janë në proces janë:</w:t>
      </w:r>
    </w:p>
    <w:p w:rsidR="009F7E20" w:rsidRPr="009F7E20" w:rsidRDefault="009F7E20" w:rsidP="00842F80">
      <w:pPr>
        <w:pStyle w:val="ListParagraph"/>
        <w:numPr>
          <w:ilvl w:val="0"/>
          <w:numId w:val="26"/>
        </w:numPr>
        <w:shd w:val="clear" w:color="auto" w:fill="FFFFFF" w:themeFill="background1"/>
        <w:spacing w:before="0" w:line="240" w:lineRule="auto"/>
        <w:rPr>
          <w:rFonts w:asciiTheme="majorHAnsi" w:hAnsiTheme="majorHAnsi" w:cs="Calibri Light"/>
          <w:bCs/>
          <w:i/>
          <w:szCs w:val="22"/>
          <w:lang w:val="sq-AL" w:eastAsia="en-GB"/>
        </w:rPr>
      </w:pPr>
      <w:r w:rsidRPr="009F7E20">
        <w:rPr>
          <w:rFonts w:asciiTheme="majorHAnsi" w:hAnsiTheme="majorHAnsi" w:cs="Calibri Light"/>
          <w:bCs/>
          <w:i/>
          <w:szCs w:val="22"/>
          <w:lang w:val="sq-AL" w:eastAsia="en-GB"/>
        </w:rPr>
        <w:t>Ndërtim By Pass Tepelenë Loti 1+shtesë punimesh;</w:t>
      </w:r>
    </w:p>
    <w:p w:rsidR="009F7E20" w:rsidRPr="009F7E20" w:rsidRDefault="009F7E20" w:rsidP="00842F80">
      <w:pPr>
        <w:pStyle w:val="ListParagraph"/>
        <w:numPr>
          <w:ilvl w:val="0"/>
          <w:numId w:val="26"/>
        </w:numPr>
        <w:shd w:val="clear" w:color="auto" w:fill="FFFFFF" w:themeFill="background1"/>
        <w:spacing w:before="0" w:line="240" w:lineRule="auto"/>
        <w:rPr>
          <w:rFonts w:asciiTheme="majorHAnsi" w:hAnsiTheme="majorHAnsi" w:cs="Calibri Light"/>
          <w:bCs/>
          <w:i/>
          <w:szCs w:val="22"/>
          <w:lang w:val="sq-AL" w:eastAsia="en-GB"/>
        </w:rPr>
      </w:pPr>
      <w:r w:rsidRPr="009F7E20">
        <w:rPr>
          <w:rFonts w:asciiTheme="majorHAnsi" w:hAnsiTheme="majorHAnsi" w:cs="Calibri Light"/>
          <w:bCs/>
          <w:i/>
          <w:szCs w:val="22"/>
          <w:lang w:val="sq-AL" w:eastAsia="en-GB"/>
        </w:rPr>
        <w:t>Ndërtim rruga Korcë – Ersekë, Loti 2 (pjesa e parë);</w:t>
      </w:r>
    </w:p>
    <w:p w:rsidR="009F7E20" w:rsidRPr="009F7E20" w:rsidRDefault="009F7E20" w:rsidP="00842F80">
      <w:pPr>
        <w:pStyle w:val="ListParagraph"/>
        <w:numPr>
          <w:ilvl w:val="0"/>
          <w:numId w:val="26"/>
        </w:numPr>
        <w:shd w:val="clear" w:color="auto" w:fill="FFFFFF" w:themeFill="background1"/>
        <w:spacing w:before="0" w:line="240" w:lineRule="auto"/>
        <w:rPr>
          <w:rFonts w:asciiTheme="majorHAnsi" w:hAnsiTheme="majorHAnsi" w:cs="Calibri Light"/>
          <w:bCs/>
          <w:i/>
          <w:szCs w:val="22"/>
          <w:lang w:val="sq-AL" w:eastAsia="en-GB"/>
        </w:rPr>
      </w:pPr>
      <w:r w:rsidRPr="009F7E20">
        <w:rPr>
          <w:rFonts w:asciiTheme="majorHAnsi" w:hAnsiTheme="majorHAnsi" w:cs="Calibri Light"/>
          <w:bCs/>
          <w:i/>
          <w:szCs w:val="22"/>
          <w:lang w:val="sq-AL" w:eastAsia="en-GB"/>
        </w:rPr>
        <w:t>Ndërtim rruga Palas – Dhërmi;</w:t>
      </w:r>
    </w:p>
    <w:p w:rsidR="009F7E20" w:rsidRPr="009F7E20" w:rsidRDefault="009F7E20" w:rsidP="00842F80">
      <w:pPr>
        <w:pStyle w:val="ListParagraph"/>
        <w:numPr>
          <w:ilvl w:val="0"/>
          <w:numId w:val="26"/>
        </w:numPr>
        <w:shd w:val="clear" w:color="auto" w:fill="FFFFFF" w:themeFill="background1"/>
        <w:spacing w:before="0" w:line="240" w:lineRule="auto"/>
        <w:rPr>
          <w:rFonts w:asciiTheme="majorHAnsi" w:hAnsiTheme="majorHAnsi" w:cs="Calibri Light"/>
          <w:bCs/>
          <w:i/>
          <w:szCs w:val="22"/>
          <w:lang w:val="sq-AL" w:eastAsia="en-GB"/>
        </w:rPr>
      </w:pPr>
      <w:r w:rsidRPr="009F7E20">
        <w:rPr>
          <w:rFonts w:asciiTheme="majorHAnsi" w:hAnsiTheme="majorHAnsi" w:cs="Calibri Light"/>
          <w:bCs/>
          <w:i/>
          <w:szCs w:val="22"/>
          <w:lang w:val="sq-AL" w:eastAsia="en-GB"/>
        </w:rPr>
        <w:t>Rikonstruksion i rrugës Dukaj - Sinanaj, Tepelenë;</w:t>
      </w:r>
    </w:p>
    <w:p w:rsidR="009F7E20" w:rsidRPr="009F7E20" w:rsidRDefault="009F7E20" w:rsidP="00842F80">
      <w:pPr>
        <w:pStyle w:val="ListParagraph"/>
        <w:numPr>
          <w:ilvl w:val="0"/>
          <w:numId w:val="26"/>
        </w:numPr>
        <w:shd w:val="clear" w:color="auto" w:fill="FFFFFF" w:themeFill="background1"/>
        <w:spacing w:before="0" w:line="240" w:lineRule="auto"/>
        <w:rPr>
          <w:rFonts w:asciiTheme="majorHAnsi" w:hAnsiTheme="majorHAnsi" w:cs="Calibri Light"/>
          <w:bCs/>
          <w:i/>
          <w:szCs w:val="22"/>
          <w:lang w:val="sq-AL" w:eastAsia="en-GB"/>
        </w:rPr>
      </w:pPr>
      <w:r w:rsidRPr="009F7E20">
        <w:rPr>
          <w:rFonts w:asciiTheme="majorHAnsi" w:hAnsiTheme="majorHAnsi" w:cs="Calibri Light"/>
          <w:bCs/>
          <w:i/>
          <w:szCs w:val="22"/>
          <w:lang w:val="sq-AL" w:eastAsia="en-GB"/>
        </w:rPr>
        <w:t>Ndërtim i rrugës, lidhja e Autostradës Milot - Morinë me Aeroportin e Kukësit;</w:t>
      </w:r>
    </w:p>
    <w:p w:rsidR="009F7E20" w:rsidRPr="009F7E20" w:rsidRDefault="009F7E20" w:rsidP="00842F80">
      <w:pPr>
        <w:pStyle w:val="ListParagraph"/>
        <w:numPr>
          <w:ilvl w:val="0"/>
          <w:numId w:val="26"/>
        </w:numPr>
        <w:shd w:val="clear" w:color="auto" w:fill="FFFFFF" w:themeFill="background1"/>
        <w:spacing w:before="0" w:line="240" w:lineRule="auto"/>
        <w:rPr>
          <w:rFonts w:asciiTheme="majorHAnsi" w:hAnsiTheme="majorHAnsi" w:cs="Calibri Light"/>
          <w:bCs/>
          <w:i/>
          <w:szCs w:val="22"/>
          <w:lang w:val="sq-AL" w:eastAsia="en-GB"/>
        </w:rPr>
      </w:pPr>
      <w:r w:rsidRPr="009F7E20">
        <w:rPr>
          <w:rFonts w:asciiTheme="majorHAnsi" w:hAnsiTheme="majorHAnsi" w:cs="Calibri Light"/>
          <w:bCs/>
          <w:i/>
          <w:szCs w:val="22"/>
          <w:lang w:val="sq-AL" w:eastAsia="en-GB"/>
        </w:rPr>
        <w:t>Ndërtim mure mbajtës dhe pritës në segmentin rrugor Kuben – Vasije;</w:t>
      </w:r>
    </w:p>
    <w:p w:rsidR="009F7E20" w:rsidRPr="009F7E20" w:rsidRDefault="009F7E20" w:rsidP="00842F80">
      <w:pPr>
        <w:pStyle w:val="ListParagraph"/>
        <w:numPr>
          <w:ilvl w:val="0"/>
          <w:numId w:val="26"/>
        </w:numPr>
        <w:shd w:val="clear" w:color="auto" w:fill="FFFFFF" w:themeFill="background1"/>
        <w:spacing w:before="0" w:line="240" w:lineRule="auto"/>
        <w:rPr>
          <w:rFonts w:asciiTheme="majorHAnsi" w:hAnsiTheme="majorHAnsi" w:cs="Calibri Light"/>
          <w:bCs/>
          <w:i/>
          <w:szCs w:val="22"/>
          <w:lang w:val="sq-AL" w:eastAsia="en-GB"/>
        </w:rPr>
      </w:pPr>
      <w:r w:rsidRPr="009F7E20">
        <w:rPr>
          <w:rFonts w:asciiTheme="majorHAnsi" w:hAnsiTheme="majorHAnsi" w:cs="Calibri Light"/>
          <w:bCs/>
          <w:i/>
          <w:szCs w:val="22"/>
          <w:lang w:val="sq-AL" w:eastAsia="en-GB"/>
        </w:rPr>
        <w:t>Stabilizim i rrëshqitjeve në segmentin rrugor Milot - Rrëshen, rruga e vjetër;</w:t>
      </w:r>
    </w:p>
    <w:p w:rsidR="009F7E20" w:rsidRPr="009F7E20" w:rsidRDefault="009F7E20" w:rsidP="00842F80">
      <w:pPr>
        <w:pStyle w:val="ListParagraph"/>
        <w:numPr>
          <w:ilvl w:val="0"/>
          <w:numId w:val="26"/>
        </w:numPr>
        <w:shd w:val="clear" w:color="auto" w:fill="FFFFFF" w:themeFill="background1"/>
        <w:spacing w:before="0" w:line="240" w:lineRule="auto"/>
        <w:rPr>
          <w:rFonts w:asciiTheme="majorHAnsi" w:hAnsiTheme="majorHAnsi" w:cs="Calibri Light"/>
          <w:bCs/>
          <w:i/>
          <w:szCs w:val="22"/>
          <w:lang w:val="sq-AL" w:eastAsia="en-GB"/>
        </w:rPr>
      </w:pPr>
      <w:r w:rsidRPr="009F7E20">
        <w:rPr>
          <w:rFonts w:asciiTheme="majorHAnsi" w:hAnsiTheme="majorHAnsi" w:cs="Calibri Light"/>
          <w:bCs/>
          <w:i/>
          <w:szCs w:val="22"/>
          <w:lang w:val="sq-AL" w:eastAsia="en-GB"/>
        </w:rPr>
        <w:t xml:space="preserve">Ndërtim  tombino dhe kanali në aksin rrugor Tiranë - Elbasan (aksi i vjetër) dhe ndërtim </w:t>
      </w:r>
      <w:r w:rsidRPr="009F7E20">
        <w:rPr>
          <w:lang w:val="sq-AL"/>
        </w:rPr>
        <w:t>tombino në aksin rrugor Uzina traktori - Lanabregas.</w:t>
      </w:r>
    </w:p>
    <w:p w:rsidR="009F7E20" w:rsidRPr="009F7E20" w:rsidRDefault="009F7E20" w:rsidP="00842F80">
      <w:pPr>
        <w:pStyle w:val="ListParagraph"/>
        <w:numPr>
          <w:ilvl w:val="0"/>
          <w:numId w:val="27"/>
        </w:numPr>
        <w:shd w:val="clear" w:color="auto" w:fill="FFFFFF" w:themeFill="background1"/>
        <w:spacing w:before="0" w:line="240" w:lineRule="auto"/>
        <w:rPr>
          <w:rFonts w:asciiTheme="majorHAnsi" w:hAnsiTheme="majorHAnsi" w:cs="Calibri Light"/>
          <w:bCs/>
          <w:szCs w:val="22"/>
          <w:lang w:val="sq-AL" w:eastAsia="en-GB"/>
        </w:rPr>
      </w:pPr>
      <w:r w:rsidRPr="009F7E20">
        <w:rPr>
          <w:rFonts w:asciiTheme="majorHAnsi" w:hAnsiTheme="majorHAnsi" w:cs="Calibri Light"/>
          <w:bCs/>
          <w:szCs w:val="22"/>
          <w:lang w:val="sq-AL" w:eastAsia="en-GB"/>
        </w:rPr>
        <w:t>Për rrugën Tip A e modifikuar, janë realizuar fondet në masën 653 milionë lekë ose 100 % e fondeve të planifikuara për këtë qëllim. Objekti që përfshihen në këtë kategori rruge është Ndërtim rruga Porto Romano Durrës.</w:t>
      </w:r>
    </w:p>
    <w:p w:rsidR="009F7E20" w:rsidRPr="0028257F" w:rsidRDefault="009F7E20" w:rsidP="009F7E20">
      <w:pPr>
        <w:rPr>
          <w:lang w:val="sq-AL"/>
        </w:rPr>
      </w:pPr>
      <w:r w:rsidRPr="009F7E20">
        <w:rPr>
          <w:lang w:val="sq-AL"/>
        </w:rPr>
        <w:t>Produkti “Sinjalistikë dhe siguri rrugore”, janë realizuar fonde në masën 670 milionë lekë përgjatë vitit 2021,</w:t>
      </w:r>
      <w:r w:rsidRPr="0028257F">
        <w:rPr>
          <w:lang w:val="sq-AL"/>
        </w:rPr>
        <w:t xml:space="preserve"> apo 100 % e fondeve vjetore të planifikuara.</w:t>
      </w:r>
    </w:p>
    <w:p w:rsidR="009F7E20" w:rsidRDefault="009F7E20" w:rsidP="009F7E20">
      <w:pPr>
        <w:rPr>
          <w:rFonts w:cs="Calibri"/>
          <w:lang w:val="sq-AL"/>
        </w:rPr>
      </w:pPr>
      <w:r w:rsidRPr="0028257F">
        <w:rPr>
          <w:rFonts w:cs="Calibri"/>
          <w:lang w:val="sq-AL"/>
        </w:rPr>
        <w:t xml:space="preserve">Programi </w:t>
      </w:r>
      <w:r w:rsidRPr="0028257F">
        <w:rPr>
          <w:rFonts w:cs="Calibri"/>
          <w:b/>
          <w:lang w:val="sq-AL"/>
        </w:rPr>
        <w:t>“Furnizimi me Ujë dhe Kanalizime”</w:t>
      </w:r>
      <w:r w:rsidRPr="0028257F">
        <w:rPr>
          <w:rFonts w:cs="Calibri"/>
          <w:lang w:val="sq-AL"/>
        </w:rPr>
        <w:t xml:space="preserve"> për të mundësuar ofrimin e shërbimit me furnizim me ujë dhe kanalizime për të gjithë popullsinë me cilësi dhe sipas standarteve ndërkombëtare u realizuan shpenzime në masën 16 miliardë lekë, ose 26% me shumë se buxheti fillestar dhe 6% më pak se buxheti i rishikuar. </w:t>
      </w:r>
    </w:p>
    <w:p w:rsidR="009F7E20" w:rsidRDefault="009F7E20" w:rsidP="00842F80">
      <w:pPr>
        <w:pStyle w:val="ListParagraph"/>
        <w:numPr>
          <w:ilvl w:val="0"/>
          <w:numId w:val="27"/>
        </w:numPr>
        <w:shd w:val="clear" w:color="auto" w:fill="FFFFFF" w:themeFill="background1"/>
        <w:spacing w:before="0" w:line="240" w:lineRule="auto"/>
        <w:rPr>
          <w:rFonts w:asciiTheme="majorHAnsi" w:hAnsiTheme="majorHAnsi" w:cs="Calibri Light"/>
          <w:bCs/>
          <w:i/>
          <w:szCs w:val="22"/>
          <w:lang w:val="sq-AL" w:eastAsia="en-GB"/>
        </w:rPr>
      </w:pPr>
      <w:r w:rsidRPr="009F7E20">
        <w:rPr>
          <w:rFonts w:asciiTheme="majorHAnsi" w:hAnsiTheme="majorHAnsi" w:cs="Calibri Light"/>
          <w:bCs/>
          <w:i/>
          <w:szCs w:val="22"/>
          <w:lang w:val="sq-AL" w:eastAsia="en-GB"/>
        </w:rPr>
        <w:t>U realizuan 859,036 ml linja të reja ujësjellësi për furnizimin me ujë, shoqëruar me një kosto prej 8.5 miliard lekë.</w:t>
      </w:r>
    </w:p>
    <w:p w:rsidR="009F7E20" w:rsidRDefault="009F7E20" w:rsidP="00842F80">
      <w:pPr>
        <w:pStyle w:val="ListParagraph"/>
        <w:numPr>
          <w:ilvl w:val="0"/>
          <w:numId w:val="27"/>
        </w:numPr>
        <w:shd w:val="clear" w:color="auto" w:fill="FFFFFF" w:themeFill="background1"/>
        <w:spacing w:before="0" w:line="240" w:lineRule="auto"/>
        <w:rPr>
          <w:rFonts w:asciiTheme="majorHAnsi" w:hAnsiTheme="majorHAnsi" w:cs="Calibri Light"/>
          <w:bCs/>
          <w:i/>
          <w:szCs w:val="22"/>
          <w:lang w:val="sq-AL" w:eastAsia="en-GB"/>
        </w:rPr>
      </w:pPr>
      <w:r w:rsidRPr="009F7E20">
        <w:rPr>
          <w:rFonts w:asciiTheme="majorHAnsi" w:hAnsiTheme="majorHAnsi" w:cs="Calibri Light"/>
          <w:bCs/>
          <w:i/>
          <w:szCs w:val="22"/>
          <w:lang w:val="sq-AL" w:eastAsia="en-GB"/>
        </w:rPr>
        <w:t xml:space="preserve">Gjithashtu, janë kryer rikonstruksione ujësjellësi për rreth 283,552  ml ose 97% e fondeve të planifikuara për produktin “Rikonstruksion Ujësjellësi”; </w:t>
      </w:r>
    </w:p>
    <w:p w:rsidR="009F7E20" w:rsidRPr="009F7E20" w:rsidRDefault="009F7E20" w:rsidP="00842F80">
      <w:pPr>
        <w:pStyle w:val="ListParagraph"/>
        <w:numPr>
          <w:ilvl w:val="0"/>
          <w:numId w:val="27"/>
        </w:numPr>
        <w:shd w:val="clear" w:color="auto" w:fill="FFFFFF" w:themeFill="background1"/>
        <w:spacing w:before="0" w:line="240" w:lineRule="auto"/>
        <w:rPr>
          <w:rFonts w:asciiTheme="majorHAnsi" w:hAnsiTheme="majorHAnsi" w:cs="Calibri Light"/>
          <w:bCs/>
          <w:i/>
          <w:szCs w:val="22"/>
          <w:lang w:val="sq-AL" w:eastAsia="en-GB"/>
        </w:rPr>
      </w:pPr>
      <w:r>
        <w:rPr>
          <w:rFonts w:asciiTheme="majorHAnsi" w:hAnsiTheme="majorHAnsi" w:cs="Calibri Light"/>
          <w:bCs/>
          <w:i/>
          <w:szCs w:val="22"/>
          <w:lang w:val="sq-AL" w:eastAsia="en-GB"/>
        </w:rPr>
        <w:t>S</w:t>
      </w:r>
      <w:r w:rsidRPr="009F7E20">
        <w:rPr>
          <w:rFonts w:asciiTheme="majorHAnsi" w:hAnsiTheme="majorHAnsi" w:cs="Calibri Light"/>
          <w:bCs/>
          <w:i/>
          <w:szCs w:val="22"/>
          <w:lang w:val="sq-AL" w:eastAsia="en-GB"/>
        </w:rPr>
        <w:t xml:space="preserve">i dhe ndërtime dhe rikonstruksione për rrjetet e kanalizimeve të ujërave të zeza. </w:t>
      </w:r>
    </w:p>
    <w:p w:rsidR="009F7E20" w:rsidRDefault="009F7E20" w:rsidP="009F7E20">
      <w:pPr>
        <w:rPr>
          <w:rFonts w:cs="Calibri"/>
          <w:lang w:val="sq-AL"/>
        </w:rPr>
      </w:pPr>
      <w:r w:rsidRPr="0028257F">
        <w:rPr>
          <w:rFonts w:cs="Calibri"/>
          <w:lang w:val="sq-AL"/>
        </w:rPr>
        <w:t xml:space="preserve">Në programin </w:t>
      </w:r>
      <w:r w:rsidRPr="0028257F">
        <w:rPr>
          <w:rFonts w:cs="Calibri"/>
          <w:b/>
          <w:lang w:val="sq-AL"/>
        </w:rPr>
        <w:t>“Mbështetje për Burimet Natyrore”</w:t>
      </w:r>
      <w:r w:rsidRPr="0028257F">
        <w:rPr>
          <w:rFonts w:cs="Calibri"/>
          <w:lang w:val="sq-AL"/>
        </w:rPr>
        <w:t xml:space="preserve"> është realizuar qëllimi i programit lidhur me realizimin e politikave të promovimit, mbikëqyrjes, monitorimit dhe transparencës në fushën e gjeologjisë, minierave, ambientit dhe ujërave. Në këtë kuadër</w:t>
      </w:r>
      <w:r>
        <w:rPr>
          <w:rFonts w:cs="Calibri"/>
          <w:lang w:val="sq-AL"/>
        </w:rPr>
        <w:t>:</w:t>
      </w:r>
    </w:p>
    <w:p w:rsidR="009F7E20" w:rsidRDefault="009F7E20" w:rsidP="00842F80">
      <w:pPr>
        <w:pStyle w:val="ListParagraph"/>
        <w:numPr>
          <w:ilvl w:val="0"/>
          <w:numId w:val="27"/>
        </w:numPr>
        <w:shd w:val="clear" w:color="auto" w:fill="FFFFFF" w:themeFill="background1"/>
        <w:spacing w:before="0" w:line="240" w:lineRule="auto"/>
        <w:rPr>
          <w:rFonts w:asciiTheme="majorHAnsi" w:hAnsiTheme="majorHAnsi" w:cs="Calibri Light"/>
          <w:bCs/>
          <w:i/>
          <w:szCs w:val="22"/>
          <w:lang w:val="sq-AL" w:eastAsia="en-GB"/>
        </w:rPr>
      </w:pPr>
      <w:r w:rsidRPr="009F7E20">
        <w:rPr>
          <w:rFonts w:asciiTheme="majorHAnsi" w:hAnsiTheme="majorHAnsi" w:cs="Calibri Light"/>
          <w:bCs/>
          <w:i/>
          <w:szCs w:val="22"/>
          <w:lang w:val="sq-AL" w:eastAsia="en-GB"/>
        </w:rPr>
        <w:t xml:space="preserve">Janë përditësuar 725 të dhëna të lejeve minerare gjeohapsinor, me kosto prej 15.2 milionë lekë; </w:t>
      </w:r>
    </w:p>
    <w:p w:rsidR="009F7E20" w:rsidRDefault="009F7E20" w:rsidP="00842F80">
      <w:pPr>
        <w:pStyle w:val="ListParagraph"/>
        <w:numPr>
          <w:ilvl w:val="0"/>
          <w:numId w:val="27"/>
        </w:numPr>
        <w:shd w:val="clear" w:color="auto" w:fill="FFFFFF" w:themeFill="background1"/>
        <w:spacing w:before="0" w:line="240" w:lineRule="auto"/>
        <w:rPr>
          <w:rFonts w:asciiTheme="majorHAnsi" w:hAnsiTheme="majorHAnsi" w:cs="Calibri Light"/>
          <w:bCs/>
          <w:i/>
          <w:szCs w:val="22"/>
          <w:lang w:val="sq-AL" w:eastAsia="en-GB"/>
        </w:rPr>
      </w:pPr>
      <w:r>
        <w:rPr>
          <w:rFonts w:asciiTheme="majorHAnsi" w:hAnsiTheme="majorHAnsi" w:cs="Calibri Light"/>
          <w:bCs/>
          <w:i/>
          <w:szCs w:val="22"/>
          <w:lang w:val="sq-AL" w:eastAsia="en-GB"/>
        </w:rPr>
        <w:t>U</w:t>
      </w:r>
      <w:r w:rsidRPr="009F7E20">
        <w:rPr>
          <w:rFonts w:asciiTheme="majorHAnsi" w:hAnsiTheme="majorHAnsi" w:cs="Calibri Light"/>
          <w:bCs/>
          <w:i/>
          <w:szCs w:val="22"/>
          <w:lang w:val="sq-AL" w:eastAsia="en-GB"/>
        </w:rPr>
        <w:t xml:space="preserve"> realizua mbikëqyrja e 390 burimeve të shfrytëzimit minerare, metalore dhe jo metalore, me kosto prej 15.2 milionë lekë; </w:t>
      </w:r>
    </w:p>
    <w:p w:rsidR="009F7E20" w:rsidRPr="009F7E20" w:rsidRDefault="009F7E20" w:rsidP="00842F80">
      <w:pPr>
        <w:pStyle w:val="ListParagraph"/>
        <w:numPr>
          <w:ilvl w:val="0"/>
          <w:numId w:val="27"/>
        </w:numPr>
        <w:shd w:val="clear" w:color="auto" w:fill="FFFFFF" w:themeFill="background1"/>
        <w:spacing w:before="0" w:line="240" w:lineRule="auto"/>
        <w:rPr>
          <w:rFonts w:asciiTheme="majorHAnsi" w:hAnsiTheme="majorHAnsi" w:cs="Calibri Light"/>
          <w:bCs/>
          <w:i/>
          <w:szCs w:val="22"/>
          <w:lang w:val="sq-AL" w:eastAsia="en-GB"/>
        </w:rPr>
      </w:pPr>
      <w:r>
        <w:rPr>
          <w:rFonts w:asciiTheme="majorHAnsi" w:hAnsiTheme="majorHAnsi" w:cs="Calibri Light"/>
          <w:bCs/>
          <w:i/>
          <w:szCs w:val="22"/>
          <w:lang w:val="sq-AL" w:eastAsia="en-GB"/>
        </w:rPr>
        <w:t>U</w:t>
      </w:r>
      <w:r w:rsidRPr="009F7E20">
        <w:rPr>
          <w:rFonts w:asciiTheme="majorHAnsi" w:hAnsiTheme="majorHAnsi" w:cs="Calibri Light"/>
          <w:bCs/>
          <w:i/>
          <w:szCs w:val="22"/>
          <w:lang w:val="sq-AL" w:eastAsia="en-GB"/>
        </w:rPr>
        <w:t xml:space="preserve"> krye studimi mbi zonimin minerar dhe hartimi i planit vjetor dhe 3-vjecar minerar dhe raporti vjetor i gjendjes mjedisore në industrinë minerare dhe metalurgji, u realizua promovimi i minerave të rinj dhe kërkimeve teknologjike e mjedisore me një kosto prej 3.5 milionë lekë.</w:t>
      </w:r>
    </w:p>
    <w:p w:rsidR="009F7E20" w:rsidRPr="0028257F" w:rsidRDefault="009F7E20" w:rsidP="009F7E20">
      <w:pPr>
        <w:shd w:val="clear" w:color="auto" w:fill="FFFFFF"/>
        <w:rPr>
          <w:rFonts w:cs="Calibri"/>
          <w:lang w:val="sq-AL"/>
        </w:rPr>
      </w:pPr>
      <w:r w:rsidRPr="0028257F">
        <w:rPr>
          <w:rFonts w:cs="Calibri"/>
          <w:lang w:val="sq-AL"/>
        </w:rPr>
        <w:t xml:space="preserve">Në programin </w:t>
      </w:r>
      <w:r w:rsidRPr="0028257F">
        <w:rPr>
          <w:rFonts w:cs="Calibri"/>
          <w:b/>
          <w:lang w:val="sq-AL"/>
        </w:rPr>
        <w:t>“Menaxhimi i Mbetjeve urbane</w:t>
      </w:r>
      <w:r>
        <w:rPr>
          <w:rFonts w:cs="Calibri"/>
          <w:b/>
          <w:lang w:val="sq-AL"/>
        </w:rPr>
        <w:t>”</w:t>
      </w:r>
      <w:r w:rsidRPr="0028257F">
        <w:rPr>
          <w:rFonts w:cs="Calibri"/>
          <w:b/>
          <w:lang w:val="sq-AL"/>
        </w:rPr>
        <w:t xml:space="preserve"> </w:t>
      </w:r>
      <w:r w:rsidRPr="009F7E20">
        <w:rPr>
          <w:rFonts w:cs="Calibri"/>
          <w:lang w:val="sq-AL"/>
        </w:rPr>
        <w:t>u realizuan fonde në masën 2.8 miliardë lekë, ose 77% e buxhetit fillestar dhe 84% e buxhetit të rishikuar. S</w:t>
      </w:r>
      <w:r w:rsidRPr="0028257F">
        <w:rPr>
          <w:rFonts w:cs="Calibri"/>
          <w:lang w:val="sq-AL"/>
        </w:rPr>
        <w:t>hpenzimet korrente (0.6 miliardë lekë) u realizuan në masën 100% të buxhetit  të rishikuar. Projektet kryesore të realizuara përfshijnë:</w:t>
      </w:r>
    </w:p>
    <w:p w:rsidR="009F7E20" w:rsidRPr="009F7E20" w:rsidRDefault="009F7E20" w:rsidP="00842F80">
      <w:pPr>
        <w:pStyle w:val="ListParagraph"/>
        <w:numPr>
          <w:ilvl w:val="0"/>
          <w:numId w:val="27"/>
        </w:numPr>
        <w:shd w:val="clear" w:color="auto" w:fill="FFFFFF" w:themeFill="background1"/>
        <w:spacing w:before="0" w:line="240" w:lineRule="auto"/>
        <w:rPr>
          <w:rFonts w:asciiTheme="majorHAnsi" w:hAnsiTheme="majorHAnsi" w:cs="Calibri Light"/>
          <w:bCs/>
          <w:i/>
          <w:szCs w:val="22"/>
          <w:lang w:val="sq-AL" w:eastAsia="en-GB"/>
        </w:rPr>
      </w:pPr>
      <w:r w:rsidRPr="009F7E20">
        <w:rPr>
          <w:rFonts w:asciiTheme="majorHAnsi" w:hAnsiTheme="majorHAnsi" w:cs="Calibri Light"/>
          <w:bCs/>
          <w:i/>
          <w:szCs w:val="22"/>
          <w:lang w:val="sq-AL" w:eastAsia="en-GB"/>
        </w:rPr>
        <w:t>Sipërfaqe landfilli  e ndërtuar në Rajonin e Korçës</w:t>
      </w:r>
    </w:p>
    <w:p w:rsidR="009F7E20" w:rsidRPr="009F7E20" w:rsidRDefault="009F7E20" w:rsidP="00842F80">
      <w:pPr>
        <w:pStyle w:val="ListParagraph"/>
        <w:numPr>
          <w:ilvl w:val="0"/>
          <w:numId w:val="27"/>
        </w:numPr>
        <w:shd w:val="clear" w:color="auto" w:fill="FFFFFF" w:themeFill="background1"/>
        <w:spacing w:before="0" w:line="240" w:lineRule="auto"/>
        <w:rPr>
          <w:rFonts w:asciiTheme="majorHAnsi" w:hAnsiTheme="majorHAnsi" w:cs="Calibri Light"/>
          <w:bCs/>
          <w:i/>
          <w:szCs w:val="22"/>
          <w:lang w:val="sq-AL" w:eastAsia="en-GB"/>
        </w:rPr>
      </w:pPr>
      <w:r w:rsidRPr="009F7E20">
        <w:rPr>
          <w:rFonts w:asciiTheme="majorHAnsi" w:hAnsiTheme="majorHAnsi" w:cs="Calibri Light"/>
          <w:bCs/>
          <w:i/>
          <w:szCs w:val="22"/>
          <w:lang w:val="sq-AL" w:eastAsia="en-GB"/>
        </w:rPr>
        <w:t>Venddepozitimi i Bushatit i ndertuar</w:t>
      </w:r>
    </w:p>
    <w:p w:rsidR="009F7E20" w:rsidRPr="009F7E20" w:rsidRDefault="009F7E20" w:rsidP="00842F80">
      <w:pPr>
        <w:pStyle w:val="ListParagraph"/>
        <w:numPr>
          <w:ilvl w:val="0"/>
          <w:numId w:val="27"/>
        </w:numPr>
        <w:shd w:val="clear" w:color="auto" w:fill="FFFFFF" w:themeFill="background1"/>
        <w:spacing w:before="0" w:line="240" w:lineRule="auto"/>
        <w:rPr>
          <w:rFonts w:asciiTheme="majorHAnsi" w:hAnsiTheme="majorHAnsi" w:cs="Calibri Light"/>
          <w:bCs/>
          <w:i/>
          <w:szCs w:val="22"/>
          <w:lang w:val="sq-AL" w:eastAsia="en-GB"/>
        </w:rPr>
      </w:pPr>
      <w:r w:rsidRPr="009F7E20">
        <w:rPr>
          <w:rFonts w:asciiTheme="majorHAnsi" w:hAnsiTheme="majorHAnsi" w:cs="Calibri Light"/>
          <w:bCs/>
          <w:i/>
          <w:szCs w:val="22"/>
          <w:lang w:val="sq-AL" w:eastAsia="en-GB"/>
        </w:rPr>
        <w:t>Sistemi i manxhimit të mbetjeve të ngurta në Qarkun e Beratit</w:t>
      </w:r>
    </w:p>
    <w:p w:rsidR="009F7E20" w:rsidRPr="009F7E20" w:rsidRDefault="009F7E20" w:rsidP="00842F80">
      <w:pPr>
        <w:pStyle w:val="ListParagraph"/>
        <w:numPr>
          <w:ilvl w:val="0"/>
          <w:numId w:val="27"/>
        </w:numPr>
        <w:shd w:val="clear" w:color="auto" w:fill="FFFFFF" w:themeFill="background1"/>
        <w:spacing w:before="0" w:line="240" w:lineRule="auto"/>
        <w:rPr>
          <w:rFonts w:asciiTheme="majorHAnsi" w:hAnsiTheme="majorHAnsi" w:cs="Calibri Light"/>
          <w:bCs/>
          <w:i/>
          <w:szCs w:val="22"/>
          <w:lang w:val="sq-AL" w:eastAsia="en-GB"/>
        </w:rPr>
      </w:pPr>
      <w:r w:rsidRPr="009F7E20">
        <w:rPr>
          <w:rFonts w:asciiTheme="majorHAnsi" w:hAnsiTheme="majorHAnsi" w:cs="Calibri Light"/>
          <w:bCs/>
          <w:i/>
          <w:szCs w:val="22"/>
          <w:lang w:val="sq-AL" w:eastAsia="en-GB"/>
        </w:rPr>
        <w:t>Sipërfaqe landfilli e ndërtuar në Qarkun e Vlorës</w:t>
      </w:r>
    </w:p>
    <w:p w:rsidR="009F7E20" w:rsidRPr="009F7E20" w:rsidRDefault="009F7E20" w:rsidP="00842F80">
      <w:pPr>
        <w:pStyle w:val="ListParagraph"/>
        <w:numPr>
          <w:ilvl w:val="0"/>
          <w:numId w:val="27"/>
        </w:numPr>
        <w:shd w:val="clear" w:color="auto" w:fill="FFFFFF" w:themeFill="background1"/>
        <w:spacing w:before="0" w:line="240" w:lineRule="auto"/>
        <w:rPr>
          <w:rFonts w:asciiTheme="majorHAnsi" w:hAnsiTheme="majorHAnsi" w:cs="Calibri Light"/>
          <w:bCs/>
          <w:i/>
          <w:szCs w:val="22"/>
          <w:lang w:val="sq-AL" w:eastAsia="en-GB"/>
        </w:rPr>
      </w:pPr>
      <w:r w:rsidRPr="009F7E20">
        <w:rPr>
          <w:rFonts w:asciiTheme="majorHAnsi" w:hAnsiTheme="majorHAnsi" w:cs="Calibri Light"/>
          <w:bCs/>
          <w:i/>
          <w:szCs w:val="22"/>
          <w:lang w:val="sq-AL" w:eastAsia="en-GB"/>
        </w:rPr>
        <w:t>Mbyllja dhe rehabilitimi i venddepozitimit ekzistues të mbetjeve të ngurta, EKO-Park Durrës.</w:t>
      </w:r>
    </w:p>
    <w:p w:rsidR="007B7B50" w:rsidRDefault="007B7B50" w:rsidP="007B7B50">
      <w:pPr>
        <w:shd w:val="clear" w:color="auto" w:fill="FFFFFF"/>
        <w:rPr>
          <w:rFonts w:cs="Calibri"/>
          <w:lang w:val="sq-AL"/>
        </w:rPr>
      </w:pPr>
    </w:p>
    <w:p w:rsidR="009F2179" w:rsidRDefault="003F3B2D" w:rsidP="009F2179">
      <w:pPr>
        <w:shd w:val="clear" w:color="auto" w:fill="FFFFFF" w:themeFill="background1"/>
        <w:rPr>
          <w:rFonts w:asciiTheme="majorHAnsi" w:eastAsiaTheme="minorHAnsi" w:hAnsiTheme="majorHAnsi" w:cs="Calibri Light"/>
          <w:szCs w:val="22"/>
          <w:lang w:val="sq-AL"/>
        </w:rPr>
      </w:pPr>
      <w:r w:rsidRPr="009F2179">
        <w:rPr>
          <w:rFonts w:asciiTheme="majorHAnsi" w:eastAsiaTheme="minorHAnsi" w:hAnsiTheme="majorHAnsi" w:cs="Calibri Light"/>
          <w:szCs w:val="22"/>
          <w:lang w:val="sq-AL"/>
        </w:rPr>
        <w:lastRenderedPageBreak/>
        <w:t xml:space="preserve">Për sa i përket </w:t>
      </w:r>
      <w:r w:rsidRPr="009F2179">
        <w:rPr>
          <w:rFonts w:asciiTheme="majorHAnsi" w:eastAsiaTheme="minorHAnsi" w:hAnsiTheme="majorHAnsi" w:cs="Calibri Light"/>
          <w:b/>
          <w:bCs/>
          <w:szCs w:val="22"/>
          <w:lang w:val="sq-AL"/>
        </w:rPr>
        <w:t>investimeve publike</w:t>
      </w:r>
      <w:r w:rsidR="007A5DCB" w:rsidRPr="009F2179">
        <w:rPr>
          <w:rFonts w:asciiTheme="majorHAnsi" w:eastAsiaTheme="minorHAnsi" w:hAnsiTheme="majorHAnsi" w:cs="Calibri Light"/>
          <w:b/>
          <w:bCs/>
          <w:szCs w:val="22"/>
          <w:lang w:val="sq-AL"/>
        </w:rPr>
        <w:t>,</w:t>
      </w:r>
      <w:r w:rsidRPr="009F2179">
        <w:rPr>
          <w:rFonts w:asciiTheme="majorHAnsi" w:eastAsiaTheme="minorHAnsi" w:hAnsiTheme="majorHAnsi" w:cs="Calibri Light"/>
          <w:szCs w:val="22"/>
          <w:lang w:val="sq-AL"/>
        </w:rPr>
        <w:t xml:space="preserve"> </w:t>
      </w:r>
      <w:r w:rsidR="009F2179" w:rsidRPr="009F2179">
        <w:rPr>
          <w:rFonts w:cs="Calibri"/>
          <w:lang w:val="sq-AL"/>
        </w:rPr>
        <w:t xml:space="preserve">realizimi në vitin 2021 ishte </w:t>
      </w:r>
      <w:r w:rsidR="001007C6">
        <w:rPr>
          <w:rFonts w:cs="Calibri"/>
          <w:lang w:val="sq-AL"/>
        </w:rPr>
        <w:t>150</w:t>
      </w:r>
      <w:r w:rsidR="009F2179" w:rsidRPr="009F2179">
        <w:rPr>
          <w:rFonts w:cs="Calibri"/>
          <w:lang w:val="sq-AL"/>
        </w:rPr>
        <w:t>% e buxhetit fillestar për projektet me financim të brendshëm (41 milard lekë)</w:t>
      </w:r>
      <w:r w:rsidR="009F2179" w:rsidRPr="009F2179">
        <w:rPr>
          <w:rFonts w:cs="Calibri"/>
          <w:bCs/>
          <w:iCs/>
          <w:lang w:val="sq-AL"/>
        </w:rPr>
        <w:t xml:space="preserve"> (97.7 % të planit vjetor të ndryshuar me AN nr.34)</w:t>
      </w:r>
      <w:r w:rsidR="009F2179" w:rsidRPr="009F2179">
        <w:rPr>
          <w:rFonts w:cs="Calibri"/>
          <w:lang w:val="sq-AL"/>
        </w:rPr>
        <w:t xml:space="preserve"> dhe </w:t>
      </w:r>
      <w:r w:rsidR="001007C6">
        <w:rPr>
          <w:rFonts w:cs="Calibri"/>
          <w:lang w:val="sq-AL"/>
        </w:rPr>
        <w:t>67</w:t>
      </w:r>
      <w:r w:rsidR="009F2179" w:rsidRPr="009F2179">
        <w:rPr>
          <w:rFonts w:cs="Calibri"/>
          <w:lang w:val="sq-AL"/>
        </w:rPr>
        <w:t xml:space="preserve">% e buxhetit fillestar për projektet me financim të huaj (12.2 miliardë lekë) </w:t>
      </w:r>
      <w:r w:rsidR="009F2179" w:rsidRPr="009F2179">
        <w:rPr>
          <w:rFonts w:cs="Calibri"/>
          <w:bCs/>
          <w:iCs/>
          <w:lang w:val="sq-AL"/>
        </w:rPr>
        <w:t>(81 % të planit vjetor të ndryshuar me AN nr.34).</w:t>
      </w:r>
      <w:r w:rsidR="009F2179" w:rsidRPr="009F2179">
        <w:rPr>
          <w:rFonts w:cs="Calibri"/>
          <w:lang w:val="sq-AL"/>
        </w:rPr>
        <w:t xml:space="preserve"> Buxheti i shpenzimeve kapitale pësoi shumë ndryshime gjatë vitit, duke shtuar fonde për projekte të cilat kishin ecuri të mirë fizike dhe për mbulimin e detyrimeve të prapambetura kryesisht në programin buxhetor “Furnizimi me ujë dhe kanalizime” dhe “Transporti rrugor”. </w:t>
      </w:r>
      <w:r w:rsidR="009F2179" w:rsidRPr="009F2179">
        <w:rPr>
          <w:rFonts w:asciiTheme="majorHAnsi" w:eastAsiaTheme="minorHAnsi" w:hAnsiTheme="majorHAnsi" w:cs="Calibri Light"/>
          <w:szCs w:val="22"/>
          <w:lang w:val="sq-AL"/>
        </w:rPr>
        <w:t>Janë mbyllur kontratat e investimit si më poshtë sipas programeve buxhetore, ku ndër më kryesoret veçojmë:</w:t>
      </w:r>
    </w:p>
    <w:p w:rsidR="009F2179" w:rsidRPr="009F2179" w:rsidRDefault="009F2179" w:rsidP="00842F80">
      <w:pPr>
        <w:pStyle w:val="ListParagraph"/>
        <w:numPr>
          <w:ilvl w:val="0"/>
          <w:numId w:val="18"/>
        </w:numPr>
        <w:spacing w:before="0" w:line="240" w:lineRule="auto"/>
        <w:rPr>
          <w:rFonts w:asciiTheme="majorHAnsi" w:hAnsiTheme="majorHAnsi" w:cs="Calibri Light"/>
          <w:color w:val="000000" w:themeColor="text1"/>
          <w:szCs w:val="22"/>
          <w:lang w:val="sq-AL"/>
        </w:rPr>
      </w:pPr>
      <w:r w:rsidRPr="009F2179">
        <w:rPr>
          <w:rFonts w:asciiTheme="majorHAnsi" w:hAnsiTheme="majorHAnsi" w:cs="Calibri Light"/>
          <w:b/>
          <w:i/>
          <w:color w:val="000000" w:themeColor="text1"/>
          <w:szCs w:val="22"/>
          <w:lang w:val="sq-AL"/>
        </w:rPr>
        <w:t>Transporti rrugor</w:t>
      </w:r>
      <w:r w:rsidRPr="009F2179">
        <w:rPr>
          <w:rFonts w:asciiTheme="majorHAnsi" w:hAnsiTheme="majorHAnsi" w:cs="Calibri Light"/>
          <w:color w:val="000000" w:themeColor="text1"/>
          <w:szCs w:val="22"/>
          <w:lang w:val="sq-AL"/>
        </w:rPr>
        <w:t xml:space="preserve"> janë financuar plotësisht 14 kontrata investimi me vlerë totale rreth 14.2 miliard lekë ku ndër më kryesoret përmendim: </w:t>
      </w:r>
    </w:p>
    <w:p w:rsidR="009F2179" w:rsidRPr="009F2179" w:rsidRDefault="009F2179" w:rsidP="00842F80">
      <w:pPr>
        <w:pStyle w:val="ListParagraph"/>
        <w:numPr>
          <w:ilvl w:val="0"/>
          <w:numId w:val="31"/>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t>Rruga Kardhiq –Delvinë përfunduar Lotet 4, 5 dhe 6 me vlerë të plotë 9345 milionë lekë.</w:t>
      </w:r>
    </w:p>
    <w:p w:rsidR="009F2179" w:rsidRPr="009F2179" w:rsidRDefault="009F2179" w:rsidP="00842F80">
      <w:pPr>
        <w:pStyle w:val="ListParagraph"/>
        <w:numPr>
          <w:ilvl w:val="0"/>
          <w:numId w:val="31"/>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t>Ndërtim i rrugës së Unazës së Jashtme Tiranë, pjesa verilindore(seg Kth Saukut-Bregu I lumit) loti 3 -2318</w:t>
      </w:r>
      <w:r w:rsidRPr="009F2179">
        <w:rPr>
          <w:rFonts w:asciiTheme="majorHAnsi" w:hAnsiTheme="majorHAnsi" w:cs="Calibri Light"/>
          <w:i/>
          <w:szCs w:val="22"/>
        </w:rPr>
        <w:t xml:space="preserve"> </w:t>
      </w:r>
      <w:r w:rsidRPr="009F2179">
        <w:rPr>
          <w:rFonts w:asciiTheme="majorHAnsi" w:eastAsia="Calibri" w:hAnsiTheme="majorHAnsi" w:cs="Calibri Light"/>
          <w:i/>
          <w:szCs w:val="22"/>
          <w:lang w:val="sq-AL"/>
        </w:rPr>
        <w:t>milionë lekë;</w:t>
      </w:r>
    </w:p>
    <w:p w:rsidR="009F2179" w:rsidRPr="009F2179" w:rsidRDefault="009F2179" w:rsidP="00842F80">
      <w:pPr>
        <w:pStyle w:val="ListParagraph"/>
        <w:numPr>
          <w:ilvl w:val="0"/>
          <w:numId w:val="31"/>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t>Ndërtim rruga Porto romano Durrës Loti 3 -771</w:t>
      </w:r>
      <w:r w:rsidRPr="009F2179">
        <w:rPr>
          <w:rFonts w:asciiTheme="majorHAnsi" w:hAnsiTheme="majorHAnsi" w:cs="Calibri Light"/>
          <w:i/>
          <w:szCs w:val="22"/>
        </w:rPr>
        <w:t xml:space="preserve"> </w:t>
      </w:r>
      <w:r w:rsidRPr="009F2179">
        <w:rPr>
          <w:rFonts w:asciiTheme="majorHAnsi" w:eastAsia="Calibri" w:hAnsiTheme="majorHAnsi" w:cs="Calibri Light"/>
          <w:i/>
          <w:szCs w:val="22"/>
          <w:lang w:val="sq-AL"/>
        </w:rPr>
        <w:t>milionë lekë;</w:t>
      </w:r>
    </w:p>
    <w:p w:rsidR="009F2179" w:rsidRPr="009F2179" w:rsidRDefault="009F2179" w:rsidP="00842F80">
      <w:pPr>
        <w:pStyle w:val="ListParagraph"/>
        <w:numPr>
          <w:ilvl w:val="0"/>
          <w:numId w:val="31"/>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t>Rishikimi i studimit të fizibilitetit dhe hartimi i projektit të detajuar inxhinierik "Ndërtimi i Tunelit të Llogarasë" - 742 milionë lekë;</w:t>
      </w:r>
    </w:p>
    <w:p w:rsidR="009F2179" w:rsidRPr="009F2179" w:rsidRDefault="009F2179" w:rsidP="00842F80">
      <w:pPr>
        <w:pStyle w:val="ListParagraph"/>
        <w:numPr>
          <w:ilvl w:val="0"/>
          <w:numId w:val="31"/>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t>Ndërtim rruga By Pass Perëndimor Shkodër, Loti 2 -236 milionë lekë;</w:t>
      </w:r>
    </w:p>
    <w:p w:rsidR="009F2179" w:rsidRPr="009F2179" w:rsidRDefault="009F2179" w:rsidP="00842F80">
      <w:pPr>
        <w:pStyle w:val="ListParagraph"/>
        <w:numPr>
          <w:ilvl w:val="0"/>
          <w:numId w:val="31"/>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t>Përmirësim i sinjalistikës horizontale në akset dhe segmentet rrugore të Rajonit Verior - 192</w:t>
      </w:r>
      <w:r w:rsidRPr="009F2179">
        <w:rPr>
          <w:rFonts w:asciiTheme="majorHAnsi" w:hAnsiTheme="majorHAnsi" w:cs="Calibri Light"/>
          <w:i/>
          <w:szCs w:val="22"/>
        </w:rPr>
        <w:t xml:space="preserve"> </w:t>
      </w:r>
      <w:r w:rsidRPr="009F2179">
        <w:rPr>
          <w:rFonts w:asciiTheme="majorHAnsi" w:eastAsia="Calibri" w:hAnsiTheme="majorHAnsi" w:cs="Calibri Light"/>
          <w:i/>
          <w:szCs w:val="22"/>
          <w:lang w:val="sq-AL"/>
        </w:rPr>
        <w:t>mln lekë;</w:t>
      </w:r>
    </w:p>
    <w:p w:rsidR="009F2179" w:rsidRPr="009F2179" w:rsidRDefault="009F2179" w:rsidP="00842F80">
      <w:pPr>
        <w:pStyle w:val="ListParagraph"/>
        <w:numPr>
          <w:ilvl w:val="0"/>
          <w:numId w:val="31"/>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t>Përmirësim i sinjalistikës horizontale në akset dhe segmentet rrugore të Rajonit Jugor - 192 mln lekë;</w:t>
      </w:r>
    </w:p>
    <w:p w:rsidR="009F2179" w:rsidRPr="009F2179" w:rsidRDefault="009F2179" w:rsidP="00842F80">
      <w:pPr>
        <w:pStyle w:val="ListParagraph"/>
        <w:numPr>
          <w:ilvl w:val="0"/>
          <w:numId w:val="31"/>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t>Përmirësimi rifreskimi sinjalistikës vertikale/horizontale në akset kombëtare dhe përmirësim të sigurisë rrugore në akset e Rajonit Jugor Loti 3 vazhdimi - 156</w:t>
      </w:r>
      <w:r w:rsidRPr="009F2179">
        <w:rPr>
          <w:rFonts w:asciiTheme="majorHAnsi" w:hAnsiTheme="majorHAnsi" w:cs="Calibri Light"/>
          <w:i/>
          <w:szCs w:val="22"/>
        </w:rPr>
        <w:t xml:space="preserve"> </w:t>
      </w:r>
      <w:r w:rsidRPr="009F2179">
        <w:rPr>
          <w:rFonts w:asciiTheme="majorHAnsi" w:eastAsia="Calibri" w:hAnsiTheme="majorHAnsi" w:cs="Calibri Light"/>
          <w:i/>
          <w:szCs w:val="22"/>
          <w:lang w:val="sq-AL"/>
        </w:rPr>
        <w:t>milionë lekë;</w:t>
      </w:r>
    </w:p>
    <w:p w:rsidR="009F2179" w:rsidRPr="009F2179" w:rsidRDefault="009F2179" w:rsidP="00842F80">
      <w:pPr>
        <w:pStyle w:val="ListParagraph"/>
        <w:numPr>
          <w:ilvl w:val="0"/>
          <w:numId w:val="31"/>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t>Stabilizim i rrëshqitjeve në segmentin rrugor Milot - Rrëshen, rruga e vjetër - 93</w:t>
      </w:r>
      <w:r w:rsidRPr="009F2179">
        <w:rPr>
          <w:rFonts w:asciiTheme="majorHAnsi" w:hAnsiTheme="majorHAnsi" w:cs="Calibri Light"/>
          <w:i/>
          <w:szCs w:val="22"/>
        </w:rPr>
        <w:t xml:space="preserve"> </w:t>
      </w:r>
      <w:r w:rsidRPr="009F2179">
        <w:rPr>
          <w:rFonts w:asciiTheme="majorHAnsi" w:eastAsia="Calibri" w:hAnsiTheme="majorHAnsi" w:cs="Calibri Light"/>
          <w:i/>
          <w:szCs w:val="22"/>
          <w:lang w:val="sq-AL"/>
        </w:rPr>
        <w:t>milionë lekë;</w:t>
      </w:r>
    </w:p>
    <w:p w:rsidR="009F2179" w:rsidRPr="009F2179" w:rsidRDefault="009F2179" w:rsidP="00842F80">
      <w:pPr>
        <w:pStyle w:val="ListParagraph"/>
        <w:numPr>
          <w:ilvl w:val="0"/>
          <w:numId w:val="31"/>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t>Stabilizimi i qëndrueshmërisë së trupit të rrugës në aksin rrugor Vlorë - Orikum - 86</w:t>
      </w:r>
      <w:r w:rsidRPr="009F2179">
        <w:rPr>
          <w:rFonts w:asciiTheme="majorHAnsi" w:hAnsiTheme="majorHAnsi" w:cs="Calibri Light"/>
          <w:i/>
          <w:szCs w:val="22"/>
        </w:rPr>
        <w:t xml:space="preserve"> </w:t>
      </w:r>
      <w:r w:rsidRPr="009F2179">
        <w:rPr>
          <w:rFonts w:asciiTheme="majorHAnsi" w:eastAsia="Calibri" w:hAnsiTheme="majorHAnsi" w:cs="Calibri Light"/>
          <w:i/>
          <w:szCs w:val="22"/>
          <w:lang w:val="sq-AL"/>
        </w:rPr>
        <w:t>milionë lekë;</w:t>
      </w:r>
    </w:p>
    <w:p w:rsidR="009F2179" w:rsidRDefault="009F2179" w:rsidP="009F2179">
      <w:pPr>
        <w:pStyle w:val="ListParagraph"/>
        <w:spacing w:line="240" w:lineRule="auto"/>
        <w:ind w:left="1440"/>
        <w:rPr>
          <w:rFonts w:asciiTheme="majorHAnsi" w:eastAsia="Calibri" w:hAnsiTheme="majorHAnsi" w:cs="Calibri Light"/>
          <w:i/>
          <w:szCs w:val="22"/>
          <w:lang w:val="sq-AL"/>
        </w:rPr>
      </w:pPr>
    </w:p>
    <w:p w:rsidR="009F2179" w:rsidRPr="009F2179" w:rsidRDefault="00F80DB6" w:rsidP="00842F80">
      <w:pPr>
        <w:pStyle w:val="ListParagraph"/>
        <w:numPr>
          <w:ilvl w:val="0"/>
          <w:numId w:val="18"/>
        </w:numPr>
        <w:spacing w:before="0"/>
        <w:rPr>
          <w:rFonts w:asciiTheme="majorHAnsi" w:eastAsia="Calibri" w:hAnsiTheme="majorHAnsi" w:cs="Calibri Light"/>
          <w:color w:val="000000" w:themeColor="text1"/>
          <w:szCs w:val="22"/>
          <w:lang w:val="sq-AL"/>
        </w:rPr>
      </w:pPr>
      <w:r>
        <w:rPr>
          <w:rFonts w:asciiTheme="majorHAnsi" w:eastAsia="Calibri" w:hAnsiTheme="majorHAnsi" w:cs="Calibri Light"/>
          <w:color w:val="000000" w:themeColor="text1"/>
          <w:szCs w:val="22"/>
          <w:lang w:val="sq-AL"/>
        </w:rPr>
        <w:t>P</w:t>
      </w:r>
      <w:r w:rsidR="009F2179" w:rsidRPr="009F2179">
        <w:rPr>
          <w:rFonts w:asciiTheme="majorHAnsi" w:eastAsia="Calibri" w:hAnsiTheme="majorHAnsi" w:cs="Calibri Light"/>
          <w:color w:val="000000" w:themeColor="text1"/>
          <w:szCs w:val="22"/>
          <w:lang w:val="sq-AL"/>
        </w:rPr>
        <w:t xml:space="preserve">rogrami </w:t>
      </w:r>
      <w:r w:rsidR="009F2179" w:rsidRPr="009F2179">
        <w:rPr>
          <w:rFonts w:asciiTheme="majorHAnsi" w:eastAsia="Calibri" w:hAnsiTheme="majorHAnsi" w:cs="Calibri Light"/>
          <w:b/>
          <w:color w:val="000000" w:themeColor="text1"/>
          <w:szCs w:val="22"/>
          <w:lang w:val="sq-AL"/>
        </w:rPr>
        <w:t>“</w:t>
      </w:r>
      <w:r w:rsidR="009F2179" w:rsidRPr="009F2179">
        <w:rPr>
          <w:rFonts w:asciiTheme="majorHAnsi" w:eastAsia="Calibri" w:hAnsiTheme="majorHAnsi" w:cs="Calibri Light"/>
          <w:b/>
          <w:i/>
          <w:color w:val="000000" w:themeColor="text1"/>
          <w:szCs w:val="22"/>
          <w:lang w:val="sq-AL"/>
        </w:rPr>
        <w:t>Ujësjellës kanalizime”</w:t>
      </w:r>
      <w:r w:rsidR="009F2179" w:rsidRPr="009F2179">
        <w:rPr>
          <w:rFonts w:asciiTheme="majorHAnsi" w:eastAsia="Calibri" w:hAnsiTheme="majorHAnsi" w:cs="Calibri Light"/>
          <w:color w:val="000000" w:themeColor="text1"/>
          <w:szCs w:val="22"/>
          <w:lang w:val="sq-AL"/>
        </w:rPr>
        <w:t xml:space="preserve"> janë financuar 23 kontrata investimi me vlerë 5300 milionë lekë, ku ndër më të rëndësishmet përmendim:</w:t>
      </w:r>
    </w:p>
    <w:p w:rsidR="009F2179" w:rsidRPr="009F2179" w:rsidRDefault="009F2179" w:rsidP="00842F80">
      <w:pPr>
        <w:pStyle w:val="ListParagraph"/>
        <w:numPr>
          <w:ilvl w:val="0"/>
          <w:numId w:val="30"/>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t>Ndërtim rrjeti i ujësjellsit &amp; Ndërtim KUN, Demokracia-Bashkim Gazidede-Frutikulturë, "Shkëndija -Shebeniku" 474 milionë lekë;</w:t>
      </w:r>
    </w:p>
    <w:p w:rsidR="009F2179" w:rsidRPr="009F2179" w:rsidRDefault="009F2179" w:rsidP="00842F80">
      <w:pPr>
        <w:pStyle w:val="ListParagraph"/>
        <w:numPr>
          <w:ilvl w:val="0"/>
          <w:numId w:val="30"/>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t xml:space="preserve">Ndërtim linjë transmetimi nga puseta Yzberisht deri në Depo Katund, Katund i Ri &amp;Ndërtim linjë transmetimi nga puseta Yzberisht deri në Depo Qytet Nxënësve, bashkia Tiranë 458 milionë lekë; </w:t>
      </w:r>
    </w:p>
    <w:p w:rsidR="009F2179" w:rsidRPr="009F2179" w:rsidRDefault="009F2179" w:rsidP="00842F80">
      <w:pPr>
        <w:pStyle w:val="ListParagraph"/>
        <w:numPr>
          <w:ilvl w:val="0"/>
          <w:numId w:val="30"/>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t>Furnizimi me ujë i qytetit Koplik 436 milionë lekë;</w:t>
      </w:r>
    </w:p>
    <w:p w:rsidR="009F2179" w:rsidRPr="009F2179" w:rsidRDefault="009F2179" w:rsidP="00842F80">
      <w:pPr>
        <w:pStyle w:val="ListParagraph"/>
        <w:numPr>
          <w:ilvl w:val="0"/>
          <w:numId w:val="30"/>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t>Mbështetje teknike në zbatim të reformës në sektorin e furnizimit me ujë dhe kanalizimeve (sipas performancës, per uljen e humbjeve  deri në nivelin teknik 20% dhe matjen e prodhimit të ujit) me vlerë 361 milionë lekë;</w:t>
      </w:r>
    </w:p>
    <w:p w:rsidR="009F2179" w:rsidRPr="009F2179" w:rsidRDefault="009F2179" w:rsidP="00842F80">
      <w:pPr>
        <w:pStyle w:val="ListParagraph"/>
        <w:numPr>
          <w:ilvl w:val="0"/>
          <w:numId w:val="30"/>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t>Rikonstruksion total i rrjetit të furnizmit me uje të qytetit Bulqizë dhe rrjeti shpërndarës i qytetit të ri Bulqizë 343 milionë lekë;</w:t>
      </w:r>
    </w:p>
    <w:p w:rsidR="009F2179" w:rsidRPr="009F2179" w:rsidRDefault="009F2179" w:rsidP="00842F80">
      <w:pPr>
        <w:pStyle w:val="ListParagraph"/>
        <w:numPr>
          <w:ilvl w:val="0"/>
          <w:numId w:val="30"/>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t>Linja Kryesore për furnizimin me ujë dhe rrjeti shpërndarës i ujësjellësit për  qytetin e Belshit 338 milionë lekë;</w:t>
      </w:r>
    </w:p>
    <w:p w:rsidR="009F2179" w:rsidRPr="009F2179" w:rsidRDefault="009F2179" w:rsidP="00842F80">
      <w:pPr>
        <w:pStyle w:val="ListParagraph"/>
        <w:numPr>
          <w:ilvl w:val="0"/>
          <w:numId w:val="30"/>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t>Linja e dërgimit të ujësjellësit Poliçan dhe rrjeti shpërndarës i fshatrave pronovik dhe Mbrakull, Bashkia Poliçan 299 milionë lekë;</w:t>
      </w:r>
    </w:p>
    <w:p w:rsidR="009F2179" w:rsidRPr="009F2179" w:rsidRDefault="009F2179" w:rsidP="00842F80">
      <w:pPr>
        <w:pStyle w:val="ListParagraph"/>
        <w:numPr>
          <w:ilvl w:val="0"/>
          <w:numId w:val="30"/>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t>Rikonstruksioni i rrjetit të brendshëm dhe të jashtëm të furnizimit me ujë të qytetit të Leskovikut 275 milionë lekë;</w:t>
      </w:r>
    </w:p>
    <w:p w:rsidR="009F2179" w:rsidRPr="009F2179" w:rsidRDefault="009F2179" w:rsidP="00842F80">
      <w:pPr>
        <w:pStyle w:val="ListParagraph"/>
        <w:numPr>
          <w:ilvl w:val="0"/>
          <w:numId w:val="30"/>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t>Rehabilitimi i linjes Kryesore së furnizimit me ujë nga Rrotondo e Grabianit deri në stacionin e pompave Virovë, Lushnjë 270</w:t>
      </w:r>
      <w:r w:rsidRPr="009F2179">
        <w:rPr>
          <w:rFonts w:asciiTheme="majorHAnsi" w:hAnsiTheme="majorHAnsi" w:cs="Calibri Light"/>
          <w:i/>
          <w:szCs w:val="22"/>
        </w:rPr>
        <w:t xml:space="preserve"> </w:t>
      </w:r>
      <w:r w:rsidRPr="009F2179">
        <w:rPr>
          <w:rFonts w:asciiTheme="majorHAnsi" w:eastAsia="Calibri" w:hAnsiTheme="majorHAnsi" w:cs="Calibri Light"/>
          <w:i/>
          <w:szCs w:val="22"/>
          <w:lang w:val="sq-AL"/>
        </w:rPr>
        <w:t>milionë lekë Ujësjellësi Lazarat 268 milionë lekë;</w:t>
      </w:r>
    </w:p>
    <w:p w:rsidR="009F2179" w:rsidRPr="009F2179" w:rsidRDefault="009F2179" w:rsidP="00842F80">
      <w:pPr>
        <w:pStyle w:val="ListParagraph"/>
        <w:numPr>
          <w:ilvl w:val="0"/>
          <w:numId w:val="30"/>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t>Rikonstruksion i rrjetit të brendshëm të ujësjellësit në qytetin e Gramshit 221 milionë lekë;</w:t>
      </w:r>
    </w:p>
    <w:p w:rsidR="009F2179" w:rsidRPr="009F2179" w:rsidRDefault="009F2179" w:rsidP="00842F80">
      <w:pPr>
        <w:pStyle w:val="ListParagraph"/>
        <w:numPr>
          <w:ilvl w:val="0"/>
          <w:numId w:val="30"/>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t xml:space="preserve">Rrjeti shpërndarës </w:t>
      </w:r>
      <w:r w:rsidR="00F80DB6">
        <w:rPr>
          <w:rFonts w:asciiTheme="majorHAnsi" w:eastAsia="Calibri" w:hAnsiTheme="majorHAnsi" w:cs="Calibri Light"/>
          <w:i/>
          <w:szCs w:val="22"/>
          <w:lang w:val="sq-AL"/>
        </w:rPr>
        <w:t>i</w:t>
      </w:r>
      <w:r w:rsidRPr="009F2179">
        <w:rPr>
          <w:rFonts w:asciiTheme="majorHAnsi" w:eastAsia="Calibri" w:hAnsiTheme="majorHAnsi" w:cs="Calibri Light"/>
          <w:i/>
          <w:szCs w:val="22"/>
          <w:lang w:val="sq-AL"/>
        </w:rPr>
        <w:t xml:space="preserve"> ujësjellësit Prrenjas 214 milionë lekë;</w:t>
      </w:r>
    </w:p>
    <w:p w:rsidR="009F2179" w:rsidRPr="009F2179" w:rsidRDefault="009F2179" w:rsidP="00842F80">
      <w:pPr>
        <w:pStyle w:val="ListParagraph"/>
        <w:numPr>
          <w:ilvl w:val="0"/>
          <w:numId w:val="30"/>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t>Ndërtimi i rrjetit të jashtëm  të ujësjellësit Këlcyrë 177 milionë lekë;</w:t>
      </w:r>
    </w:p>
    <w:p w:rsidR="009F2179" w:rsidRPr="009F2179" w:rsidRDefault="009F2179" w:rsidP="00842F80">
      <w:pPr>
        <w:pStyle w:val="ListParagraph"/>
        <w:numPr>
          <w:ilvl w:val="0"/>
          <w:numId w:val="30"/>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t>Ndërtim i ujësjellesit  të fshatrave Lalëz, Bizë, Daç dhe Shetë, Njësia adm</w:t>
      </w:r>
      <w:r w:rsidR="00AB7A9F">
        <w:rPr>
          <w:rFonts w:asciiTheme="majorHAnsi" w:eastAsia="Calibri" w:hAnsiTheme="majorHAnsi" w:cs="Calibri Light"/>
          <w:i/>
          <w:szCs w:val="22"/>
          <w:lang w:val="sq-AL"/>
        </w:rPr>
        <w:t>in.</w:t>
      </w:r>
      <w:r w:rsidRPr="009F2179">
        <w:rPr>
          <w:rFonts w:asciiTheme="majorHAnsi" w:eastAsia="Calibri" w:hAnsiTheme="majorHAnsi" w:cs="Calibri Light"/>
          <w:i/>
          <w:szCs w:val="22"/>
          <w:lang w:val="sq-AL"/>
        </w:rPr>
        <w:t xml:space="preserve"> Ishëm 173</w:t>
      </w:r>
      <w:r w:rsidR="00F80DB6">
        <w:rPr>
          <w:rFonts w:asciiTheme="majorHAnsi" w:eastAsia="Calibri" w:hAnsiTheme="majorHAnsi" w:cs="Calibri Light"/>
          <w:i/>
          <w:szCs w:val="22"/>
          <w:lang w:val="sq-AL"/>
        </w:rPr>
        <w:t>mln l</w:t>
      </w:r>
      <w:r w:rsidRPr="009F2179">
        <w:rPr>
          <w:rFonts w:asciiTheme="majorHAnsi" w:eastAsia="Calibri" w:hAnsiTheme="majorHAnsi" w:cs="Calibri Light"/>
          <w:i/>
          <w:szCs w:val="22"/>
          <w:lang w:val="sq-AL"/>
        </w:rPr>
        <w:t>ekë;</w:t>
      </w:r>
    </w:p>
    <w:p w:rsidR="009F2179" w:rsidRPr="009F2179" w:rsidRDefault="009F2179" w:rsidP="00842F80">
      <w:pPr>
        <w:pStyle w:val="ListParagraph"/>
        <w:numPr>
          <w:ilvl w:val="0"/>
          <w:numId w:val="30"/>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t>Ndërtimi i ujësjellësit në rrugën transballkanike Vlorë,Bashkia  Vlorë 167 milionë lekë;</w:t>
      </w:r>
    </w:p>
    <w:p w:rsidR="009F2179" w:rsidRPr="009F2179" w:rsidRDefault="009F2179" w:rsidP="00842F80">
      <w:pPr>
        <w:pStyle w:val="ListParagraph"/>
        <w:numPr>
          <w:ilvl w:val="0"/>
          <w:numId w:val="30"/>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t>Sistemimi i furnizimit me ujë të zonës turistike Hamallaj, faza e II, Sukth 156 milionë lekë;</w:t>
      </w:r>
    </w:p>
    <w:p w:rsidR="009F2179" w:rsidRPr="009F2179" w:rsidRDefault="009F2179" w:rsidP="00842F80">
      <w:pPr>
        <w:pStyle w:val="ListParagraph"/>
        <w:numPr>
          <w:ilvl w:val="0"/>
          <w:numId w:val="30"/>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t>Ndërtim i linjës kryesore dhe shpërndarëse të furnzimit me ujë të njësisë administrative Velabisht, bashkia Berat 155 milionë lekë;</w:t>
      </w:r>
    </w:p>
    <w:p w:rsidR="009F2179" w:rsidRPr="009F2179" w:rsidRDefault="009F2179" w:rsidP="00842F80">
      <w:pPr>
        <w:pStyle w:val="ListParagraph"/>
        <w:numPr>
          <w:ilvl w:val="0"/>
          <w:numId w:val="30"/>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lastRenderedPageBreak/>
        <w:t>Përmirësimi i furnizimit me ujë të lagjes Nr.1 Vadardh, njësia admistrative , Sukth 153 milionë lekë;</w:t>
      </w:r>
    </w:p>
    <w:p w:rsidR="009F2179" w:rsidRPr="009F2179" w:rsidRDefault="009F2179" w:rsidP="00842F80">
      <w:pPr>
        <w:pStyle w:val="ListParagraph"/>
        <w:numPr>
          <w:ilvl w:val="0"/>
          <w:numId w:val="30"/>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t>Rikonstruksion I ujësjellësit Klos dhe zonave përreth, Lugina e Klosit, Lagjia Dalti, Ura e Degës, Bashkia Klos 99 milionë lekë;</w:t>
      </w:r>
    </w:p>
    <w:p w:rsidR="009F2179" w:rsidRPr="009F2179" w:rsidRDefault="009F2179" w:rsidP="00842F80">
      <w:pPr>
        <w:pStyle w:val="ListParagraph"/>
        <w:numPr>
          <w:ilvl w:val="0"/>
          <w:numId w:val="30"/>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t>Sistemi i furnizimit me ujë të zonës turistike Hamallaj,Faza e I, Sukth 93 milionë lekë;</w:t>
      </w:r>
    </w:p>
    <w:p w:rsidR="009F2179" w:rsidRPr="009F2179" w:rsidRDefault="009F2179" w:rsidP="00842F80">
      <w:pPr>
        <w:pStyle w:val="ListParagraph"/>
        <w:numPr>
          <w:ilvl w:val="0"/>
          <w:numId w:val="30"/>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t>Ujesjellesi i fshatit Terbaç,Himarë 93 milionë lekë.</w:t>
      </w:r>
    </w:p>
    <w:p w:rsidR="009F2179" w:rsidRPr="009F2179" w:rsidRDefault="009F2179" w:rsidP="00842F80">
      <w:pPr>
        <w:pStyle w:val="ListParagraph"/>
        <w:numPr>
          <w:ilvl w:val="0"/>
          <w:numId w:val="30"/>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t>Furnizmi me ujë nga pus-shpimet i ujësjellësit rajonal Dropull i Poshtëm dhe rrjeti shpërndarës i ujësjellësit të fshatrave Goranxi dhe Derviçan,bashkia Dropull 93 milionë lekë;</w:t>
      </w:r>
    </w:p>
    <w:p w:rsidR="009F2179" w:rsidRPr="009F2179" w:rsidRDefault="009F2179" w:rsidP="00842F80">
      <w:pPr>
        <w:pStyle w:val="ListParagraph"/>
        <w:numPr>
          <w:ilvl w:val="0"/>
          <w:numId w:val="30"/>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t>Rikonstruksioni i rrjetit të jashtëm dhe të brendshëm të ujësjellësit në fshatin Vanë 75 milionë lekë;</w:t>
      </w:r>
    </w:p>
    <w:p w:rsidR="006D6D0A" w:rsidRPr="009F2179" w:rsidRDefault="006D6D0A" w:rsidP="009F2179">
      <w:pPr>
        <w:pStyle w:val="ListParagraph"/>
        <w:spacing w:before="0" w:line="240" w:lineRule="auto"/>
        <w:ind w:left="900"/>
        <w:rPr>
          <w:rFonts w:asciiTheme="majorHAnsi" w:eastAsia="Calibri" w:hAnsiTheme="majorHAnsi" w:cs="Calibri Light"/>
          <w:i/>
          <w:szCs w:val="22"/>
          <w:lang w:val="sq-AL"/>
        </w:rPr>
      </w:pPr>
    </w:p>
    <w:p w:rsidR="009F2179" w:rsidRPr="009F2179" w:rsidRDefault="009F2179" w:rsidP="00842F80">
      <w:pPr>
        <w:pStyle w:val="ListParagraph"/>
        <w:numPr>
          <w:ilvl w:val="0"/>
          <w:numId w:val="18"/>
        </w:numPr>
        <w:spacing w:before="0"/>
        <w:rPr>
          <w:rFonts w:asciiTheme="majorHAnsi" w:eastAsia="Calibri" w:hAnsiTheme="majorHAnsi" w:cs="Calibri Light"/>
          <w:color w:val="000000" w:themeColor="text1"/>
          <w:szCs w:val="22"/>
          <w:lang w:val="sq-AL"/>
        </w:rPr>
      </w:pPr>
      <w:r w:rsidRPr="009F2179">
        <w:rPr>
          <w:rFonts w:asciiTheme="majorHAnsi" w:eastAsia="Calibri" w:hAnsiTheme="majorHAnsi" w:cs="Calibri Light"/>
          <w:b/>
          <w:color w:val="000000" w:themeColor="text1"/>
          <w:szCs w:val="22"/>
          <w:lang w:val="sq-AL"/>
        </w:rPr>
        <w:t>Programi “</w:t>
      </w:r>
      <w:r w:rsidRPr="009F2179">
        <w:rPr>
          <w:rFonts w:asciiTheme="majorHAnsi" w:eastAsia="Calibri" w:hAnsiTheme="majorHAnsi" w:cs="Calibri Light"/>
          <w:b/>
          <w:i/>
          <w:color w:val="000000" w:themeColor="text1"/>
          <w:szCs w:val="22"/>
          <w:lang w:val="sq-AL"/>
        </w:rPr>
        <w:t>Mbështetje për energjinë</w:t>
      </w:r>
      <w:r w:rsidRPr="009F2179">
        <w:rPr>
          <w:rFonts w:asciiTheme="majorHAnsi" w:eastAsia="Calibri" w:hAnsiTheme="majorHAnsi" w:cs="Calibri Light"/>
          <w:color w:val="000000" w:themeColor="text1"/>
          <w:szCs w:val="22"/>
          <w:lang w:val="sq-AL"/>
        </w:rPr>
        <w:t>” kanë përfunduar 2 kontrata:</w:t>
      </w:r>
    </w:p>
    <w:p w:rsidR="009F2179" w:rsidRPr="009F2179" w:rsidRDefault="009F2179" w:rsidP="00842F80">
      <w:pPr>
        <w:pStyle w:val="ListParagraph"/>
        <w:numPr>
          <w:ilvl w:val="0"/>
          <w:numId w:val="32"/>
        </w:numPr>
        <w:spacing w:before="0" w:line="240" w:lineRule="auto"/>
        <w:rPr>
          <w:rFonts w:asciiTheme="majorHAnsi" w:eastAsia="Calibri" w:hAnsiTheme="majorHAnsi" w:cs="Calibri Light"/>
          <w:i/>
          <w:color w:val="000000" w:themeColor="text1"/>
          <w:szCs w:val="22"/>
          <w:lang w:val="sq-AL"/>
        </w:rPr>
      </w:pPr>
      <w:r w:rsidRPr="009F2179">
        <w:rPr>
          <w:rFonts w:asciiTheme="majorHAnsi" w:eastAsia="Calibri" w:hAnsiTheme="majorHAnsi" w:cs="Calibri Light"/>
          <w:i/>
          <w:szCs w:val="22"/>
          <w:lang w:val="sq-AL"/>
        </w:rPr>
        <w:t>Projekt pilot për përmirësimin e eficencës së energjisë në impiantet e trajtimit të ujërave të zeza  me vlerë rreth 62.4 milionë lekë;</w:t>
      </w:r>
    </w:p>
    <w:p w:rsidR="009F2179" w:rsidRDefault="009F2179" w:rsidP="00842F80">
      <w:pPr>
        <w:pStyle w:val="ListParagraph"/>
        <w:numPr>
          <w:ilvl w:val="0"/>
          <w:numId w:val="32"/>
        </w:numPr>
        <w:spacing w:before="0" w:line="240" w:lineRule="auto"/>
        <w:rPr>
          <w:rFonts w:asciiTheme="majorHAnsi" w:eastAsia="Calibri" w:hAnsiTheme="majorHAnsi" w:cs="Calibri Light"/>
          <w:i/>
          <w:color w:val="000000" w:themeColor="text1"/>
          <w:szCs w:val="22"/>
          <w:lang w:val="sq-AL"/>
        </w:rPr>
      </w:pPr>
      <w:r w:rsidRPr="009F2179">
        <w:rPr>
          <w:rFonts w:asciiTheme="majorHAnsi" w:eastAsia="Calibri" w:hAnsiTheme="majorHAnsi" w:cs="Calibri Light"/>
          <w:i/>
          <w:color w:val="000000" w:themeColor="text1"/>
          <w:szCs w:val="22"/>
          <w:lang w:val="sq-AL"/>
        </w:rPr>
        <w:t>Projekt pilot për përmirësimin e eficencës së energjisë në impiantet e furnizimit me ujë me vlerë 54.6 milionë lekë.</w:t>
      </w:r>
    </w:p>
    <w:p w:rsidR="006D6D0A" w:rsidRPr="009F2179" w:rsidRDefault="006D6D0A" w:rsidP="00F80DB6">
      <w:pPr>
        <w:pStyle w:val="ListParagraph"/>
        <w:spacing w:before="0"/>
        <w:ind w:left="900"/>
        <w:rPr>
          <w:rFonts w:asciiTheme="majorHAnsi" w:eastAsia="Calibri" w:hAnsiTheme="majorHAnsi" w:cs="Calibri Light"/>
          <w:i/>
          <w:color w:val="000000" w:themeColor="text1"/>
          <w:szCs w:val="22"/>
          <w:lang w:val="sq-AL"/>
        </w:rPr>
      </w:pPr>
    </w:p>
    <w:p w:rsidR="009F2179" w:rsidRDefault="009F2179" w:rsidP="00842F80">
      <w:pPr>
        <w:pStyle w:val="ListParagraph"/>
        <w:numPr>
          <w:ilvl w:val="0"/>
          <w:numId w:val="18"/>
        </w:numPr>
        <w:spacing w:before="0"/>
        <w:rPr>
          <w:rFonts w:asciiTheme="majorHAnsi" w:eastAsia="Calibri" w:hAnsiTheme="majorHAnsi" w:cs="Calibri Light"/>
          <w:color w:val="000000" w:themeColor="text1"/>
          <w:szCs w:val="22"/>
          <w:lang w:val="sq-AL"/>
        </w:rPr>
      </w:pPr>
      <w:r w:rsidRPr="009F2179">
        <w:rPr>
          <w:rFonts w:asciiTheme="majorHAnsi" w:eastAsia="Calibri" w:hAnsiTheme="majorHAnsi" w:cs="Calibri Light"/>
          <w:color w:val="000000" w:themeColor="text1"/>
          <w:szCs w:val="22"/>
          <w:lang w:val="sq-AL"/>
        </w:rPr>
        <w:t>Programi “</w:t>
      </w:r>
      <w:r w:rsidRPr="009F2179">
        <w:rPr>
          <w:rFonts w:asciiTheme="majorHAnsi" w:eastAsia="Calibri" w:hAnsiTheme="majorHAnsi" w:cs="Calibri Light"/>
          <w:b/>
          <w:i/>
          <w:color w:val="000000" w:themeColor="text1"/>
          <w:szCs w:val="22"/>
          <w:lang w:val="sq-AL"/>
        </w:rPr>
        <w:t>Menaxhimi i mbetjeve urbane</w:t>
      </w:r>
      <w:r w:rsidRPr="009F2179">
        <w:rPr>
          <w:rFonts w:asciiTheme="majorHAnsi" w:eastAsia="Calibri" w:hAnsiTheme="majorHAnsi" w:cs="Calibri Light"/>
          <w:color w:val="000000" w:themeColor="text1"/>
          <w:szCs w:val="22"/>
          <w:lang w:val="sq-AL"/>
        </w:rPr>
        <w:t>” përfunduar “Inceneratori i Elbasanit” me 2</w:t>
      </w:r>
      <w:r w:rsidR="00F80DB6">
        <w:rPr>
          <w:rFonts w:asciiTheme="majorHAnsi" w:eastAsia="Calibri" w:hAnsiTheme="majorHAnsi" w:cs="Calibri Light"/>
          <w:color w:val="000000" w:themeColor="text1"/>
          <w:szCs w:val="22"/>
          <w:lang w:val="sq-AL"/>
        </w:rPr>
        <w:t xml:space="preserve"> </w:t>
      </w:r>
      <w:r w:rsidRPr="009F2179">
        <w:rPr>
          <w:rFonts w:asciiTheme="majorHAnsi" w:eastAsia="Calibri" w:hAnsiTheme="majorHAnsi" w:cs="Calibri Light"/>
          <w:color w:val="000000" w:themeColor="text1"/>
          <w:szCs w:val="22"/>
          <w:lang w:val="sq-AL"/>
        </w:rPr>
        <w:t>894</w:t>
      </w:r>
      <w:r w:rsidR="00AB7A9F">
        <w:rPr>
          <w:rFonts w:asciiTheme="majorHAnsi" w:eastAsia="Calibri" w:hAnsiTheme="majorHAnsi" w:cs="Calibri Light"/>
          <w:color w:val="000000" w:themeColor="text1"/>
          <w:szCs w:val="22"/>
          <w:lang w:val="sq-AL"/>
        </w:rPr>
        <w:t xml:space="preserve"> </w:t>
      </w:r>
      <w:r w:rsidR="00F80DB6">
        <w:rPr>
          <w:rFonts w:asciiTheme="majorHAnsi" w:eastAsia="Calibri" w:hAnsiTheme="majorHAnsi" w:cs="Calibri Light"/>
          <w:color w:val="000000" w:themeColor="text1"/>
          <w:szCs w:val="22"/>
          <w:lang w:val="sq-AL"/>
        </w:rPr>
        <w:t>mln</w:t>
      </w:r>
      <w:r w:rsidRPr="009F2179">
        <w:rPr>
          <w:rFonts w:asciiTheme="majorHAnsi" w:eastAsia="Calibri" w:hAnsiTheme="majorHAnsi" w:cs="Calibri Light"/>
          <w:color w:val="000000" w:themeColor="text1"/>
          <w:szCs w:val="22"/>
          <w:lang w:val="sq-AL"/>
        </w:rPr>
        <w:t xml:space="preserve"> lekë.</w:t>
      </w:r>
    </w:p>
    <w:p w:rsidR="006D6D0A" w:rsidRPr="009F2179" w:rsidRDefault="006D6D0A" w:rsidP="00F80DB6">
      <w:pPr>
        <w:pStyle w:val="ListParagraph"/>
        <w:spacing w:before="0"/>
        <w:ind w:left="630"/>
        <w:rPr>
          <w:rFonts w:asciiTheme="majorHAnsi" w:eastAsia="Calibri" w:hAnsiTheme="majorHAnsi" w:cs="Calibri Light"/>
          <w:color w:val="000000" w:themeColor="text1"/>
          <w:szCs w:val="22"/>
          <w:lang w:val="sq-AL"/>
        </w:rPr>
      </w:pPr>
    </w:p>
    <w:p w:rsidR="009F2179" w:rsidRPr="009F2179" w:rsidRDefault="009F2179" w:rsidP="00842F80">
      <w:pPr>
        <w:pStyle w:val="ListParagraph"/>
        <w:numPr>
          <w:ilvl w:val="0"/>
          <w:numId w:val="18"/>
        </w:numPr>
        <w:spacing w:before="0"/>
        <w:rPr>
          <w:rFonts w:asciiTheme="majorHAnsi" w:eastAsia="Calibri" w:hAnsiTheme="majorHAnsi" w:cs="Calibri Light"/>
          <w:b/>
          <w:szCs w:val="22"/>
          <w:lang w:val="sq-AL"/>
        </w:rPr>
      </w:pPr>
      <w:r w:rsidRPr="009F2179">
        <w:rPr>
          <w:rFonts w:asciiTheme="majorHAnsi" w:eastAsia="Calibri" w:hAnsiTheme="majorHAnsi" w:cs="Calibri Light"/>
          <w:b/>
          <w:szCs w:val="22"/>
          <w:lang w:val="sq-AL"/>
        </w:rPr>
        <w:t>Përsa i perket financimit të huaj kanë perfunduar 7 projekte</w:t>
      </w:r>
      <w:r w:rsidRPr="009F2179">
        <w:rPr>
          <w:rFonts w:asciiTheme="majorHAnsi" w:eastAsia="Calibri" w:hAnsiTheme="majorHAnsi" w:cs="Calibri Light"/>
          <w:szCs w:val="22"/>
          <w:lang w:val="sq-AL"/>
        </w:rPr>
        <w:t>. Kontratat e përfundura janë:</w:t>
      </w:r>
    </w:p>
    <w:p w:rsidR="009F2179" w:rsidRPr="009F2179" w:rsidRDefault="009F2179" w:rsidP="00842F80">
      <w:pPr>
        <w:pStyle w:val="ListParagraph"/>
        <w:numPr>
          <w:ilvl w:val="0"/>
          <w:numId w:val="32"/>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t>Projekti për rimëkëmbjen e sektorit energjetik, komponenti 1(KESH)  me vlerë 2700 milionë lekë.</w:t>
      </w:r>
    </w:p>
    <w:p w:rsidR="009F2179" w:rsidRPr="009F2179" w:rsidRDefault="009F2179" w:rsidP="00842F80">
      <w:pPr>
        <w:pStyle w:val="ListParagraph"/>
        <w:numPr>
          <w:ilvl w:val="0"/>
          <w:numId w:val="32"/>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t>Projekti për Rimëkëmbjen e Energjisë, Komponenti 3 (OST) me vlerë 1554 milionë lekë.</w:t>
      </w:r>
    </w:p>
    <w:p w:rsidR="009F2179" w:rsidRPr="009F2179" w:rsidRDefault="009F2179" w:rsidP="00842F80">
      <w:pPr>
        <w:pStyle w:val="ListParagraph"/>
        <w:numPr>
          <w:ilvl w:val="0"/>
          <w:numId w:val="32"/>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t>Studim Fizibiliteti për projektin e zbatimit të By pass Tiranë me vlerë 210 milionë lekë;</w:t>
      </w:r>
    </w:p>
    <w:p w:rsidR="009F2179" w:rsidRPr="009F2179" w:rsidRDefault="009F2179" w:rsidP="00842F80">
      <w:pPr>
        <w:pStyle w:val="ListParagraph"/>
        <w:numPr>
          <w:ilvl w:val="0"/>
          <w:numId w:val="32"/>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t>Asistencë Teknike për Sigurinë Rrugore (Projekti i Bankës Botërore) me vlerë 431 milionë lekë;</w:t>
      </w:r>
    </w:p>
    <w:p w:rsidR="009F2179" w:rsidRPr="009F2179" w:rsidRDefault="009F2179" w:rsidP="00842F80">
      <w:pPr>
        <w:pStyle w:val="ListParagraph"/>
        <w:numPr>
          <w:ilvl w:val="0"/>
          <w:numId w:val="32"/>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t>Përfundimi i sistemit të KUZ dhe zgjerimi ITUP në Vlorë, IPA 2012 me vlerë 1846 milionë lekë;</w:t>
      </w:r>
    </w:p>
    <w:p w:rsidR="009F2179" w:rsidRPr="009F2179" w:rsidRDefault="009F2179" w:rsidP="00842F80">
      <w:pPr>
        <w:pStyle w:val="ListParagraph"/>
        <w:numPr>
          <w:ilvl w:val="0"/>
          <w:numId w:val="32"/>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t>Mbështetje për Rrjetin Hidrik të Tiranës (AT fin.për NUK Për ndërhyrjet e mëtejshme në rrjetin ujësjellës kanalizime 20.3 + 32.9 mid IT) me vlerë 1346 milionë lekë;</w:t>
      </w:r>
    </w:p>
    <w:p w:rsidR="009F2179" w:rsidRPr="009F2179" w:rsidRDefault="009F2179" w:rsidP="00842F80">
      <w:pPr>
        <w:pStyle w:val="ListParagraph"/>
        <w:numPr>
          <w:ilvl w:val="0"/>
          <w:numId w:val="32"/>
        </w:numPr>
        <w:spacing w:before="0" w:line="240" w:lineRule="auto"/>
        <w:rPr>
          <w:rFonts w:asciiTheme="majorHAnsi" w:eastAsia="Calibri" w:hAnsiTheme="majorHAnsi" w:cs="Calibri Light"/>
          <w:i/>
          <w:szCs w:val="22"/>
          <w:lang w:val="sq-AL"/>
        </w:rPr>
      </w:pPr>
      <w:r w:rsidRPr="009F2179">
        <w:rPr>
          <w:rFonts w:asciiTheme="majorHAnsi" w:eastAsia="Calibri" w:hAnsiTheme="majorHAnsi" w:cs="Calibri Light"/>
          <w:i/>
          <w:szCs w:val="22"/>
          <w:lang w:val="sq-AL"/>
        </w:rPr>
        <w:t>Periferitë urbanë të Tiranës, komponenti infrastrukturor (shtesë kontrate) 131 milionë lekë.</w:t>
      </w:r>
    </w:p>
    <w:p w:rsidR="007B7B50" w:rsidRDefault="007B7B50" w:rsidP="009F2179">
      <w:pPr>
        <w:shd w:val="clear" w:color="auto" w:fill="FFFFFF"/>
        <w:rPr>
          <w:rFonts w:eastAsia="Calibri" w:cs="Calibri"/>
          <w:lang w:val="sq-AL"/>
        </w:rPr>
      </w:pPr>
    </w:p>
    <w:p w:rsidR="00BC41C3" w:rsidRPr="00476D2E" w:rsidRDefault="00BC41C3" w:rsidP="007B7B50">
      <w:pPr>
        <w:rPr>
          <w:rFonts w:eastAsia="Calibri" w:cs="Calibri"/>
          <w:lang w:val="sq-AL"/>
        </w:rPr>
      </w:pPr>
    </w:p>
    <w:p w:rsidR="007B7B50" w:rsidRPr="00476D2E" w:rsidRDefault="007B7B50" w:rsidP="007B7B50">
      <w:pPr>
        <w:pStyle w:val="fiskale3"/>
        <w:rPr>
          <w:rFonts w:ascii="Calibri" w:hAnsi="Calibri" w:cs="Calibri"/>
          <w:b/>
        </w:rPr>
      </w:pPr>
      <w:bookmarkStart w:id="249" w:name="_Toc10033298"/>
      <w:bookmarkStart w:id="250" w:name="_Toc10721434"/>
      <w:bookmarkStart w:id="251" w:name="_Toc104980364"/>
      <w:r w:rsidRPr="00476D2E">
        <w:rPr>
          <w:rFonts w:ascii="Calibri" w:hAnsi="Calibri" w:cs="Calibri"/>
          <w:b/>
        </w:rPr>
        <w:t>Turizmi dhe Mjedisi</w:t>
      </w:r>
      <w:bookmarkEnd w:id="249"/>
      <w:bookmarkEnd w:id="250"/>
      <w:bookmarkEnd w:id="251"/>
    </w:p>
    <w:p w:rsidR="007B7B50" w:rsidRPr="00476D2E" w:rsidRDefault="007B7B50" w:rsidP="007B7B50">
      <w:pPr>
        <w:spacing w:before="240"/>
        <w:rPr>
          <w:rFonts w:cs="Calibri"/>
          <w:color w:val="000000"/>
          <w:lang w:val="sq-AL"/>
        </w:rPr>
      </w:pPr>
      <w:r w:rsidRPr="00476D2E">
        <w:rPr>
          <w:rFonts w:cs="Calibri"/>
          <w:color w:val="000000"/>
          <w:lang w:val="sq-AL"/>
        </w:rPr>
        <w:t>Performanca e treguesve buxhetorë për programet kryesore në Ministrinë e Mjedis</w:t>
      </w:r>
      <w:r w:rsidR="00AB7A9F">
        <w:rPr>
          <w:rFonts w:cs="Calibri"/>
          <w:color w:val="000000"/>
          <w:lang w:val="sq-AL"/>
        </w:rPr>
        <w:t>it dhe Turizmit paraqitet si më</w:t>
      </w:r>
      <w:r w:rsidRPr="00476D2E">
        <w:rPr>
          <w:rFonts w:cs="Calibri"/>
          <w:color w:val="000000"/>
          <w:lang w:val="sq-AL"/>
        </w:rPr>
        <w:t>poshtë:</w:t>
      </w:r>
    </w:p>
    <w:p w:rsidR="007B7B50" w:rsidRPr="00476D2E" w:rsidRDefault="007B7B50" w:rsidP="007B7B50">
      <w:pPr>
        <w:pStyle w:val="Caption"/>
        <w:spacing w:after="0"/>
        <w:rPr>
          <w:rFonts w:cs="Calibri"/>
          <w:lang w:val="sq-AL"/>
        </w:rPr>
      </w:pPr>
      <w:bookmarkStart w:id="252" w:name="_Toc104984097"/>
      <w:r w:rsidRPr="00476D2E">
        <w:rPr>
          <w:rFonts w:cs="Calibri"/>
          <w:lang w:val="sq-AL"/>
        </w:rPr>
        <w:t xml:space="preserve">Tabela </w:t>
      </w:r>
      <w:r w:rsidRPr="00476D2E">
        <w:rPr>
          <w:rFonts w:cs="Calibri"/>
          <w:lang w:val="sq-AL"/>
        </w:rPr>
        <w:fldChar w:fldCharType="begin"/>
      </w:r>
      <w:r w:rsidRPr="00476D2E">
        <w:rPr>
          <w:rFonts w:cs="Calibri"/>
          <w:lang w:val="sq-AL"/>
        </w:rPr>
        <w:instrText xml:space="preserve"> SEQ Tabela \* ARABIC </w:instrText>
      </w:r>
      <w:r w:rsidRPr="00476D2E">
        <w:rPr>
          <w:rFonts w:cs="Calibri"/>
          <w:lang w:val="sq-AL"/>
        </w:rPr>
        <w:fldChar w:fldCharType="separate"/>
      </w:r>
      <w:r w:rsidR="00276062">
        <w:rPr>
          <w:rFonts w:cs="Calibri"/>
          <w:noProof/>
          <w:lang w:val="sq-AL"/>
        </w:rPr>
        <w:t>25</w:t>
      </w:r>
      <w:r w:rsidRPr="00476D2E">
        <w:rPr>
          <w:rFonts w:cs="Calibri"/>
          <w:noProof/>
          <w:lang w:val="sq-AL"/>
        </w:rPr>
        <w:fldChar w:fldCharType="end"/>
      </w:r>
      <w:r w:rsidRPr="00476D2E">
        <w:rPr>
          <w:rFonts w:cs="Calibri"/>
          <w:lang w:val="sq-AL"/>
        </w:rPr>
        <w:t xml:space="preserve"> Realizimi i buxhetit 202</w:t>
      </w:r>
      <w:r w:rsidR="006D6D0A">
        <w:rPr>
          <w:rFonts w:cs="Calibri"/>
          <w:lang w:val="sq-AL"/>
        </w:rPr>
        <w:t>1</w:t>
      </w:r>
      <w:r w:rsidRPr="00476D2E">
        <w:rPr>
          <w:rFonts w:cs="Calibri"/>
          <w:lang w:val="sq-AL"/>
        </w:rPr>
        <w:t xml:space="preserve"> për Ministrinë e Turi</w:t>
      </w:r>
      <w:r w:rsidR="00746150" w:rsidRPr="00476D2E">
        <w:rPr>
          <w:rFonts w:cs="Calibri"/>
          <w:lang w:val="sq-AL"/>
        </w:rPr>
        <w:t>z</w:t>
      </w:r>
      <w:r w:rsidRPr="00476D2E">
        <w:rPr>
          <w:rFonts w:cs="Calibri"/>
          <w:lang w:val="sq-AL"/>
        </w:rPr>
        <w:t>mit dhe Mjedisit</w:t>
      </w:r>
      <w:bookmarkEnd w:id="252"/>
      <w:r w:rsidRPr="00476D2E">
        <w:rPr>
          <w:rFonts w:cs="Calibri"/>
          <w:lang w:val="sq-AL"/>
        </w:rPr>
        <w:t xml:space="preserve"> </w:t>
      </w:r>
    </w:p>
    <w:tbl>
      <w:tblPr>
        <w:tblW w:w="11160" w:type="dxa"/>
        <w:jc w:val="center"/>
        <w:tblLayout w:type="fixed"/>
        <w:tblLook w:val="04A0" w:firstRow="1" w:lastRow="0" w:firstColumn="1" w:lastColumn="0" w:noHBand="0" w:noVBand="1"/>
      </w:tblPr>
      <w:tblGrid>
        <w:gridCol w:w="1980"/>
        <w:gridCol w:w="990"/>
        <w:gridCol w:w="990"/>
        <w:gridCol w:w="990"/>
        <w:gridCol w:w="990"/>
        <w:gridCol w:w="990"/>
        <w:gridCol w:w="990"/>
        <w:gridCol w:w="810"/>
        <w:gridCol w:w="810"/>
        <w:gridCol w:w="720"/>
        <w:gridCol w:w="900"/>
      </w:tblGrid>
      <w:tr w:rsidR="00BC41C3" w:rsidRPr="00057C57" w:rsidTr="00BC41C3">
        <w:trPr>
          <w:trHeight w:val="20"/>
          <w:jc w:val="center"/>
        </w:trPr>
        <w:tc>
          <w:tcPr>
            <w:tcW w:w="1980" w:type="dxa"/>
            <w:tcBorders>
              <w:top w:val="single" w:sz="8" w:space="0" w:color="B8CCE4"/>
              <w:left w:val="single" w:sz="8" w:space="0" w:color="B8CCE4"/>
              <w:bottom w:val="single" w:sz="12" w:space="0" w:color="95B3D7"/>
              <w:right w:val="single" w:sz="8" w:space="0" w:color="B8CCE4"/>
            </w:tcBorders>
            <w:shd w:val="clear" w:color="000000" w:fill="365F91"/>
            <w:vAlign w:val="center"/>
            <w:hideMark/>
          </w:tcPr>
          <w:p w:rsidR="00BC41C3" w:rsidRPr="00057C57" w:rsidRDefault="00BC41C3" w:rsidP="00E841D1">
            <w:pPr>
              <w:spacing w:before="0" w:line="240" w:lineRule="auto"/>
              <w:jc w:val="center"/>
              <w:rPr>
                <w:b/>
                <w:bCs/>
                <w:color w:val="FFFFFF"/>
                <w:sz w:val="18"/>
                <w:szCs w:val="18"/>
              </w:rPr>
            </w:pPr>
            <w:r w:rsidRPr="00057C57">
              <w:rPr>
                <w:b/>
                <w:bCs/>
                <w:color w:val="FFFFFF"/>
                <w:sz w:val="18"/>
                <w:szCs w:val="18"/>
                <w:lang w:val="sq-AL"/>
              </w:rPr>
              <w:t>Programi buxhetor</w:t>
            </w:r>
          </w:p>
        </w:tc>
        <w:tc>
          <w:tcPr>
            <w:tcW w:w="1980" w:type="dxa"/>
            <w:gridSpan w:val="2"/>
            <w:tcBorders>
              <w:top w:val="single" w:sz="8" w:space="0" w:color="B8CCE4"/>
              <w:left w:val="nil"/>
              <w:bottom w:val="single" w:sz="12" w:space="0" w:color="95B3D7"/>
              <w:right w:val="single" w:sz="8" w:space="0" w:color="B8CCE4"/>
            </w:tcBorders>
            <w:shd w:val="clear" w:color="000000" w:fill="365F91"/>
            <w:vAlign w:val="center"/>
            <w:hideMark/>
          </w:tcPr>
          <w:p w:rsidR="00BC41C3" w:rsidRPr="00057C57" w:rsidRDefault="00BC41C3" w:rsidP="00E841D1">
            <w:pPr>
              <w:spacing w:before="0" w:line="240" w:lineRule="auto"/>
              <w:jc w:val="center"/>
              <w:rPr>
                <w:b/>
                <w:bCs/>
                <w:color w:val="FFFFFF"/>
                <w:sz w:val="18"/>
                <w:szCs w:val="18"/>
              </w:rPr>
            </w:pPr>
            <w:r w:rsidRPr="00057C57">
              <w:rPr>
                <w:b/>
                <w:bCs/>
                <w:color w:val="FFFFFF"/>
                <w:sz w:val="18"/>
                <w:szCs w:val="18"/>
                <w:lang w:val="sq-AL"/>
              </w:rPr>
              <w:t>Plani fillestar 2021</w:t>
            </w:r>
          </w:p>
        </w:tc>
        <w:tc>
          <w:tcPr>
            <w:tcW w:w="1980" w:type="dxa"/>
            <w:gridSpan w:val="2"/>
            <w:tcBorders>
              <w:top w:val="single" w:sz="8" w:space="0" w:color="B8CCE4"/>
              <w:left w:val="nil"/>
              <w:bottom w:val="single" w:sz="12" w:space="0" w:color="95B3D7"/>
              <w:right w:val="single" w:sz="8" w:space="0" w:color="B8CCE4"/>
            </w:tcBorders>
            <w:shd w:val="clear" w:color="000000" w:fill="365F91"/>
            <w:vAlign w:val="center"/>
            <w:hideMark/>
          </w:tcPr>
          <w:p w:rsidR="00BC41C3" w:rsidRPr="00057C57" w:rsidRDefault="00BC41C3" w:rsidP="00E841D1">
            <w:pPr>
              <w:spacing w:before="0" w:line="240" w:lineRule="auto"/>
              <w:jc w:val="center"/>
              <w:rPr>
                <w:b/>
                <w:bCs/>
                <w:color w:val="FFFFFF"/>
                <w:sz w:val="18"/>
                <w:szCs w:val="18"/>
              </w:rPr>
            </w:pPr>
            <w:r w:rsidRPr="00057C57">
              <w:rPr>
                <w:b/>
                <w:bCs/>
                <w:color w:val="FFFFFF"/>
                <w:sz w:val="18"/>
                <w:szCs w:val="18"/>
                <w:lang w:val="sq-AL"/>
              </w:rPr>
              <w:t>Plani i rishikuar 2021</w:t>
            </w:r>
          </w:p>
        </w:tc>
        <w:tc>
          <w:tcPr>
            <w:tcW w:w="1980" w:type="dxa"/>
            <w:gridSpan w:val="2"/>
            <w:tcBorders>
              <w:top w:val="single" w:sz="8" w:space="0" w:color="B8CCE4"/>
              <w:left w:val="nil"/>
              <w:bottom w:val="single" w:sz="12" w:space="0" w:color="95B3D7"/>
              <w:right w:val="single" w:sz="8" w:space="0" w:color="B8CCE4"/>
            </w:tcBorders>
            <w:shd w:val="clear" w:color="000000" w:fill="365F91"/>
            <w:vAlign w:val="center"/>
            <w:hideMark/>
          </w:tcPr>
          <w:p w:rsidR="00BC41C3" w:rsidRPr="00057C57" w:rsidRDefault="00BC41C3" w:rsidP="00E841D1">
            <w:pPr>
              <w:spacing w:before="0" w:line="240" w:lineRule="auto"/>
              <w:jc w:val="center"/>
              <w:rPr>
                <w:b/>
                <w:bCs/>
                <w:color w:val="FFFFFF"/>
                <w:sz w:val="18"/>
                <w:szCs w:val="18"/>
              </w:rPr>
            </w:pPr>
            <w:r w:rsidRPr="00057C57">
              <w:rPr>
                <w:b/>
                <w:bCs/>
                <w:color w:val="FFFFFF"/>
                <w:sz w:val="18"/>
                <w:szCs w:val="18"/>
                <w:lang w:val="sq-AL"/>
              </w:rPr>
              <w:t>Fakti 2021</w:t>
            </w:r>
          </w:p>
        </w:tc>
        <w:tc>
          <w:tcPr>
            <w:tcW w:w="1620" w:type="dxa"/>
            <w:gridSpan w:val="2"/>
            <w:tcBorders>
              <w:top w:val="single" w:sz="8" w:space="0" w:color="B8CCE4"/>
              <w:left w:val="nil"/>
              <w:bottom w:val="single" w:sz="12" w:space="0" w:color="95B3D7"/>
              <w:right w:val="single" w:sz="8" w:space="0" w:color="B8CCE4"/>
            </w:tcBorders>
            <w:shd w:val="clear" w:color="000000" w:fill="365F91"/>
            <w:vAlign w:val="center"/>
            <w:hideMark/>
          </w:tcPr>
          <w:p w:rsidR="00BC41C3" w:rsidRPr="00057C57" w:rsidRDefault="00BC41C3" w:rsidP="00E841D1">
            <w:pPr>
              <w:spacing w:before="0" w:line="240" w:lineRule="auto"/>
              <w:jc w:val="center"/>
              <w:rPr>
                <w:color w:val="FFFFFF"/>
                <w:sz w:val="18"/>
                <w:szCs w:val="18"/>
              </w:rPr>
            </w:pPr>
            <w:r w:rsidRPr="00057C57">
              <w:rPr>
                <w:rFonts w:cs="Calibri"/>
                <w:color w:val="FFFFFF" w:themeColor="background1"/>
                <w:sz w:val="18"/>
                <w:szCs w:val="18"/>
              </w:rPr>
              <w:t>Diferenca në % me planin fillestar</w:t>
            </w:r>
          </w:p>
        </w:tc>
        <w:tc>
          <w:tcPr>
            <w:tcW w:w="1620" w:type="dxa"/>
            <w:gridSpan w:val="2"/>
            <w:tcBorders>
              <w:top w:val="single" w:sz="8" w:space="0" w:color="B8CCE4"/>
              <w:left w:val="nil"/>
              <w:bottom w:val="single" w:sz="12" w:space="0" w:color="95B3D7"/>
              <w:right w:val="single" w:sz="8" w:space="0" w:color="B8CCE4"/>
            </w:tcBorders>
            <w:shd w:val="clear" w:color="000000" w:fill="365F91"/>
            <w:vAlign w:val="center"/>
            <w:hideMark/>
          </w:tcPr>
          <w:p w:rsidR="00BC41C3" w:rsidRPr="00057C57" w:rsidRDefault="00BC41C3" w:rsidP="00E841D1">
            <w:pPr>
              <w:spacing w:before="0" w:line="240" w:lineRule="auto"/>
              <w:jc w:val="center"/>
              <w:rPr>
                <w:color w:val="FFFFFF"/>
                <w:sz w:val="18"/>
                <w:szCs w:val="18"/>
              </w:rPr>
            </w:pPr>
            <w:r w:rsidRPr="00057C57">
              <w:rPr>
                <w:rFonts w:cs="Calibri"/>
                <w:color w:val="FFFFFF" w:themeColor="background1"/>
                <w:sz w:val="18"/>
                <w:szCs w:val="18"/>
              </w:rPr>
              <w:t>Diferenca në % me planin e rishikuar</w:t>
            </w:r>
          </w:p>
        </w:tc>
      </w:tr>
      <w:tr w:rsidR="00BC41C3" w:rsidRPr="00057C57" w:rsidTr="00BC41C3">
        <w:trPr>
          <w:trHeight w:val="20"/>
          <w:jc w:val="center"/>
        </w:trPr>
        <w:tc>
          <w:tcPr>
            <w:tcW w:w="1980" w:type="dxa"/>
            <w:tcBorders>
              <w:top w:val="nil"/>
              <w:left w:val="single" w:sz="8" w:space="0" w:color="B8CCE4"/>
              <w:bottom w:val="single" w:sz="8" w:space="0" w:color="B8CCE4"/>
              <w:right w:val="single" w:sz="8" w:space="0" w:color="B8CCE4"/>
            </w:tcBorders>
            <w:shd w:val="clear" w:color="000000" w:fill="365F91"/>
            <w:vAlign w:val="center"/>
            <w:hideMark/>
          </w:tcPr>
          <w:p w:rsidR="00BC41C3" w:rsidRPr="00057C57" w:rsidRDefault="00BC41C3" w:rsidP="00E841D1">
            <w:pPr>
              <w:spacing w:before="0" w:line="240" w:lineRule="auto"/>
              <w:jc w:val="center"/>
              <w:rPr>
                <w:b/>
                <w:bCs/>
                <w:i/>
                <w:iCs/>
                <w:color w:val="FFFFFF"/>
                <w:sz w:val="18"/>
                <w:szCs w:val="18"/>
              </w:rPr>
            </w:pPr>
            <w:r w:rsidRPr="00057C57">
              <w:rPr>
                <w:b/>
                <w:bCs/>
                <w:i/>
                <w:iCs/>
                <w:color w:val="FFFFFF"/>
                <w:sz w:val="18"/>
                <w:szCs w:val="18"/>
                <w:lang w:val="sq-AL"/>
              </w:rPr>
              <w:t>(në mijë lekë)</w:t>
            </w:r>
          </w:p>
        </w:tc>
        <w:tc>
          <w:tcPr>
            <w:tcW w:w="990" w:type="dxa"/>
            <w:tcBorders>
              <w:top w:val="nil"/>
              <w:left w:val="nil"/>
              <w:bottom w:val="single" w:sz="8" w:space="0" w:color="B8CCE4"/>
              <w:right w:val="single" w:sz="8" w:space="0" w:color="B8CCE4"/>
            </w:tcBorders>
            <w:shd w:val="clear" w:color="000000" w:fill="365F91"/>
            <w:vAlign w:val="center"/>
            <w:hideMark/>
          </w:tcPr>
          <w:p w:rsidR="00BC41C3" w:rsidRPr="00057C57" w:rsidRDefault="00BC41C3" w:rsidP="00E841D1">
            <w:pPr>
              <w:spacing w:before="0" w:line="240" w:lineRule="auto"/>
              <w:jc w:val="center"/>
              <w:rPr>
                <w:b/>
                <w:bCs/>
                <w:color w:val="FFFFFF"/>
                <w:sz w:val="18"/>
                <w:szCs w:val="18"/>
              </w:rPr>
            </w:pPr>
            <w:r w:rsidRPr="00057C57">
              <w:rPr>
                <w:b/>
                <w:bCs/>
                <w:color w:val="FFFFFF"/>
                <w:sz w:val="18"/>
                <w:szCs w:val="18"/>
                <w:lang w:val="sq-AL"/>
              </w:rPr>
              <w:t>Korrente</w:t>
            </w:r>
          </w:p>
        </w:tc>
        <w:tc>
          <w:tcPr>
            <w:tcW w:w="990" w:type="dxa"/>
            <w:tcBorders>
              <w:top w:val="nil"/>
              <w:left w:val="nil"/>
              <w:bottom w:val="single" w:sz="8" w:space="0" w:color="B8CCE4"/>
              <w:right w:val="single" w:sz="8" w:space="0" w:color="B8CCE4"/>
            </w:tcBorders>
            <w:shd w:val="clear" w:color="000000" w:fill="365F91"/>
            <w:vAlign w:val="center"/>
            <w:hideMark/>
          </w:tcPr>
          <w:p w:rsidR="00BC41C3" w:rsidRPr="00057C57" w:rsidRDefault="00BC41C3" w:rsidP="00E841D1">
            <w:pPr>
              <w:spacing w:before="0" w:line="240" w:lineRule="auto"/>
              <w:jc w:val="center"/>
              <w:rPr>
                <w:b/>
                <w:bCs/>
                <w:color w:val="FFFFFF"/>
                <w:sz w:val="18"/>
                <w:szCs w:val="18"/>
              </w:rPr>
            </w:pPr>
            <w:r w:rsidRPr="00057C57">
              <w:rPr>
                <w:b/>
                <w:bCs/>
                <w:color w:val="FFFFFF"/>
                <w:sz w:val="18"/>
                <w:szCs w:val="18"/>
                <w:lang w:val="sq-AL"/>
              </w:rPr>
              <w:t>Investime</w:t>
            </w:r>
          </w:p>
        </w:tc>
        <w:tc>
          <w:tcPr>
            <w:tcW w:w="990" w:type="dxa"/>
            <w:tcBorders>
              <w:top w:val="nil"/>
              <w:left w:val="nil"/>
              <w:bottom w:val="single" w:sz="8" w:space="0" w:color="B8CCE4"/>
              <w:right w:val="single" w:sz="8" w:space="0" w:color="B8CCE4"/>
            </w:tcBorders>
            <w:shd w:val="clear" w:color="000000" w:fill="365F91"/>
            <w:vAlign w:val="center"/>
            <w:hideMark/>
          </w:tcPr>
          <w:p w:rsidR="00BC41C3" w:rsidRPr="00057C57" w:rsidRDefault="00BC41C3" w:rsidP="00E841D1">
            <w:pPr>
              <w:spacing w:before="0" w:line="240" w:lineRule="auto"/>
              <w:jc w:val="center"/>
              <w:rPr>
                <w:b/>
                <w:bCs/>
                <w:color w:val="FFFFFF"/>
                <w:sz w:val="18"/>
                <w:szCs w:val="18"/>
              </w:rPr>
            </w:pPr>
            <w:r w:rsidRPr="00057C57">
              <w:rPr>
                <w:b/>
                <w:bCs/>
                <w:color w:val="FFFFFF"/>
                <w:sz w:val="18"/>
                <w:szCs w:val="18"/>
                <w:lang w:val="sq-AL"/>
              </w:rPr>
              <w:t>Korrente</w:t>
            </w:r>
          </w:p>
        </w:tc>
        <w:tc>
          <w:tcPr>
            <w:tcW w:w="990" w:type="dxa"/>
            <w:tcBorders>
              <w:top w:val="nil"/>
              <w:left w:val="nil"/>
              <w:bottom w:val="single" w:sz="8" w:space="0" w:color="B8CCE4"/>
              <w:right w:val="single" w:sz="8" w:space="0" w:color="B8CCE4"/>
            </w:tcBorders>
            <w:shd w:val="clear" w:color="000000" w:fill="365F91"/>
            <w:vAlign w:val="center"/>
            <w:hideMark/>
          </w:tcPr>
          <w:p w:rsidR="00BC41C3" w:rsidRPr="00057C57" w:rsidRDefault="00BC41C3" w:rsidP="00E841D1">
            <w:pPr>
              <w:spacing w:before="0" w:line="240" w:lineRule="auto"/>
              <w:jc w:val="center"/>
              <w:rPr>
                <w:b/>
                <w:bCs/>
                <w:color w:val="FFFFFF"/>
                <w:sz w:val="18"/>
                <w:szCs w:val="18"/>
              </w:rPr>
            </w:pPr>
            <w:r w:rsidRPr="00057C57">
              <w:rPr>
                <w:b/>
                <w:bCs/>
                <w:color w:val="FFFFFF"/>
                <w:sz w:val="18"/>
                <w:szCs w:val="18"/>
                <w:lang w:val="sq-AL"/>
              </w:rPr>
              <w:t>Investime</w:t>
            </w:r>
          </w:p>
        </w:tc>
        <w:tc>
          <w:tcPr>
            <w:tcW w:w="990" w:type="dxa"/>
            <w:tcBorders>
              <w:top w:val="nil"/>
              <w:left w:val="nil"/>
              <w:bottom w:val="single" w:sz="8" w:space="0" w:color="B8CCE4"/>
              <w:right w:val="single" w:sz="8" w:space="0" w:color="B8CCE4"/>
            </w:tcBorders>
            <w:shd w:val="clear" w:color="000000" w:fill="365F91"/>
            <w:vAlign w:val="center"/>
            <w:hideMark/>
          </w:tcPr>
          <w:p w:rsidR="00BC41C3" w:rsidRPr="00057C57" w:rsidRDefault="00BC41C3" w:rsidP="00E841D1">
            <w:pPr>
              <w:spacing w:before="0" w:line="240" w:lineRule="auto"/>
              <w:jc w:val="center"/>
              <w:rPr>
                <w:b/>
                <w:bCs/>
                <w:color w:val="FFFFFF"/>
                <w:sz w:val="18"/>
                <w:szCs w:val="18"/>
              </w:rPr>
            </w:pPr>
            <w:r w:rsidRPr="00057C57">
              <w:rPr>
                <w:b/>
                <w:bCs/>
                <w:color w:val="FFFFFF"/>
                <w:sz w:val="18"/>
                <w:szCs w:val="18"/>
                <w:lang w:val="sq-AL"/>
              </w:rPr>
              <w:t>Korrente</w:t>
            </w:r>
          </w:p>
        </w:tc>
        <w:tc>
          <w:tcPr>
            <w:tcW w:w="990" w:type="dxa"/>
            <w:tcBorders>
              <w:top w:val="nil"/>
              <w:left w:val="nil"/>
              <w:bottom w:val="single" w:sz="8" w:space="0" w:color="B8CCE4"/>
              <w:right w:val="single" w:sz="8" w:space="0" w:color="B8CCE4"/>
            </w:tcBorders>
            <w:shd w:val="clear" w:color="000000" w:fill="365F91"/>
            <w:vAlign w:val="center"/>
            <w:hideMark/>
          </w:tcPr>
          <w:p w:rsidR="00BC41C3" w:rsidRPr="00057C57" w:rsidRDefault="00BC41C3" w:rsidP="00E841D1">
            <w:pPr>
              <w:spacing w:before="0" w:line="240" w:lineRule="auto"/>
              <w:jc w:val="center"/>
              <w:rPr>
                <w:b/>
                <w:bCs/>
                <w:color w:val="FFFFFF"/>
                <w:sz w:val="18"/>
                <w:szCs w:val="18"/>
              </w:rPr>
            </w:pPr>
            <w:r w:rsidRPr="00057C57">
              <w:rPr>
                <w:b/>
                <w:bCs/>
                <w:color w:val="FFFFFF"/>
                <w:sz w:val="18"/>
                <w:szCs w:val="18"/>
                <w:lang w:val="sq-AL"/>
              </w:rPr>
              <w:t>Investime</w:t>
            </w:r>
          </w:p>
        </w:tc>
        <w:tc>
          <w:tcPr>
            <w:tcW w:w="810" w:type="dxa"/>
            <w:tcBorders>
              <w:top w:val="nil"/>
              <w:left w:val="nil"/>
              <w:bottom w:val="single" w:sz="8" w:space="0" w:color="B8CCE4"/>
              <w:right w:val="single" w:sz="8" w:space="0" w:color="B8CCE4"/>
            </w:tcBorders>
            <w:shd w:val="clear" w:color="000000" w:fill="365F91"/>
            <w:vAlign w:val="center"/>
            <w:hideMark/>
          </w:tcPr>
          <w:p w:rsidR="00BC41C3" w:rsidRPr="00057C57" w:rsidRDefault="00BC41C3" w:rsidP="00E841D1">
            <w:pPr>
              <w:spacing w:before="0" w:line="240" w:lineRule="auto"/>
              <w:jc w:val="center"/>
              <w:rPr>
                <w:b/>
                <w:bCs/>
                <w:color w:val="FFFFFF"/>
                <w:sz w:val="18"/>
                <w:szCs w:val="18"/>
              </w:rPr>
            </w:pPr>
            <w:r w:rsidRPr="00057C57">
              <w:rPr>
                <w:b/>
                <w:bCs/>
                <w:color w:val="FFFFFF"/>
                <w:sz w:val="18"/>
                <w:szCs w:val="18"/>
                <w:lang w:val="sq-AL"/>
              </w:rPr>
              <w:t>Korr.</w:t>
            </w:r>
          </w:p>
        </w:tc>
        <w:tc>
          <w:tcPr>
            <w:tcW w:w="810" w:type="dxa"/>
            <w:tcBorders>
              <w:top w:val="nil"/>
              <w:left w:val="nil"/>
              <w:bottom w:val="single" w:sz="8" w:space="0" w:color="B8CCE4"/>
              <w:right w:val="single" w:sz="8" w:space="0" w:color="B8CCE4"/>
            </w:tcBorders>
            <w:shd w:val="clear" w:color="000000" w:fill="365F91"/>
            <w:vAlign w:val="center"/>
            <w:hideMark/>
          </w:tcPr>
          <w:p w:rsidR="00BC41C3" w:rsidRPr="00057C57" w:rsidRDefault="00BC41C3" w:rsidP="00E841D1">
            <w:pPr>
              <w:spacing w:before="0" w:line="240" w:lineRule="auto"/>
              <w:jc w:val="center"/>
              <w:rPr>
                <w:color w:val="FFFFFF"/>
                <w:sz w:val="18"/>
                <w:szCs w:val="18"/>
              </w:rPr>
            </w:pPr>
            <w:r w:rsidRPr="00057C57">
              <w:rPr>
                <w:color w:val="FFFFFF"/>
                <w:sz w:val="18"/>
                <w:szCs w:val="18"/>
                <w:lang w:val="sq-AL"/>
              </w:rPr>
              <w:t>Inv.</w:t>
            </w:r>
          </w:p>
        </w:tc>
        <w:tc>
          <w:tcPr>
            <w:tcW w:w="720" w:type="dxa"/>
            <w:tcBorders>
              <w:top w:val="nil"/>
              <w:left w:val="nil"/>
              <w:bottom w:val="single" w:sz="8" w:space="0" w:color="B8CCE4"/>
              <w:right w:val="single" w:sz="8" w:space="0" w:color="B8CCE4"/>
            </w:tcBorders>
            <w:shd w:val="clear" w:color="000000" w:fill="365F91"/>
            <w:vAlign w:val="center"/>
            <w:hideMark/>
          </w:tcPr>
          <w:p w:rsidR="00BC41C3" w:rsidRPr="00057C57" w:rsidRDefault="00BC41C3" w:rsidP="00E841D1">
            <w:pPr>
              <w:spacing w:before="0" w:line="240" w:lineRule="auto"/>
              <w:jc w:val="center"/>
              <w:rPr>
                <w:b/>
                <w:bCs/>
                <w:color w:val="FFFFFF"/>
                <w:sz w:val="18"/>
                <w:szCs w:val="18"/>
              </w:rPr>
            </w:pPr>
            <w:r w:rsidRPr="00057C57">
              <w:rPr>
                <w:b/>
                <w:bCs/>
                <w:color w:val="FFFFFF"/>
                <w:sz w:val="18"/>
                <w:szCs w:val="18"/>
                <w:lang w:val="sq-AL"/>
              </w:rPr>
              <w:t>Korr.</w:t>
            </w:r>
          </w:p>
        </w:tc>
        <w:tc>
          <w:tcPr>
            <w:tcW w:w="900" w:type="dxa"/>
            <w:tcBorders>
              <w:top w:val="nil"/>
              <w:left w:val="nil"/>
              <w:bottom w:val="single" w:sz="8" w:space="0" w:color="B8CCE4"/>
              <w:right w:val="single" w:sz="8" w:space="0" w:color="B8CCE4"/>
            </w:tcBorders>
            <w:shd w:val="clear" w:color="000000" w:fill="365F91"/>
            <w:vAlign w:val="center"/>
            <w:hideMark/>
          </w:tcPr>
          <w:p w:rsidR="00BC41C3" w:rsidRPr="00057C57" w:rsidRDefault="00BC41C3" w:rsidP="00E841D1">
            <w:pPr>
              <w:spacing w:before="0" w:line="240" w:lineRule="auto"/>
              <w:jc w:val="center"/>
              <w:rPr>
                <w:b/>
                <w:bCs/>
                <w:color w:val="FFFFFF"/>
                <w:sz w:val="18"/>
                <w:szCs w:val="18"/>
              </w:rPr>
            </w:pPr>
            <w:r w:rsidRPr="00057C57">
              <w:rPr>
                <w:b/>
                <w:bCs/>
                <w:color w:val="FFFFFF"/>
                <w:sz w:val="18"/>
                <w:szCs w:val="18"/>
                <w:lang w:val="sq-AL"/>
              </w:rPr>
              <w:t>Inv.</w:t>
            </w:r>
          </w:p>
        </w:tc>
      </w:tr>
      <w:tr w:rsidR="00BC41C3" w:rsidRPr="00057C57" w:rsidTr="00BC41C3">
        <w:trPr>
          <w:trHeight w:val="20"/>
          <w:jc w:val="center"/>
        </w:trPr>
        <w:tc>
          <w:tcPr>
            <w:tcW w:w="1980" w:type="dxa"/>
            <w:tcBorders>
              <w:top w:val="nil"/>
              <w:left w:val="single" w:sz="8" w:space="0" w:color="B8CCE4"/>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b/>
                <w:bCs/>
                <w:color w:val="000000"/>
                <w:sz w:val="18"/>
                <w:szCs w:val="18"/>
              </w:rPr>
            </w:pPr>
            <w:r w:rsidRPr="00057C57">
              <w:rPr>
                <w:rFonts w:cs="Calibri"/>
                <w:b/>
                <w:bCs/>
                <w:color w:val="000000"/>
                <w:sz w:val="18"/>
                <w:lang w:val="sq-AL"/>
              </w:rPr>
              <w:t>Planifikim, Menaxhim, Administrim</w:t>
            </w: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color w:val="000000"/>
                <w:sz w:val="18"/>
                <w:szCs w:val="18"/>
              </w:rPr>
              <w:t>192,000</w:t>
            </w: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color w:val="000000"/>
                <w:sz w:val="18"/>
                <w:szCs w:val="18"/>
              </w:rPr>
              <w:t>6,000</w:t>
            </w: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color w:val="000000"/>
                <w:sz w:val="18"/>
                <w:szCs w:val="18"/>
              </w:rPr>
              <w:t>235,271</w:t>
            </w: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color w:val="000000"/>
                <w:sz w:val="18"/>
                <w:szCs w:val="18"/>
              </w:rPr>
              <w:t>6,000</w:t>
            </w: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color w:val="000000"/>
                <w:sz w:val="18"/>
                <w:szCs w:val="18"/>
              </w:rPr>
              <w:t>227,651</w:t>
            </w: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color w:val="000000"/>
                <w:sz w:val="18"/>
                <w:szCs w:val="18"/>
              </w:rPr>
              <w:t>4,992</w:t>
            </w:r>
          </w:p>
        </w:tc>
        <w:tc>
          <w:tcPr>
            <w:tcW w:w="81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rFonts w:cs="Calibri"/>
                <w:color w:val="000000"/>
                <w:sz w:val="18"/>
                <w:szCs w:val="18"/>
                <w:lang w:val="sq-AL"/>
              </w:rPr>
              <w:t>119%</w:t>
            </w:r>
          </w:p>
        </w:tc>
        <w:tc>
          <w:tcPr>
            <w:tcW w:w="81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rFonts w:cs="Calibri"/>
                <w:color w:val="000000"/>
                <w:sz w:val="18"/>
                <w:szCs w:val="18"/>
                <w:lang w:val="sq-AL"/>
              </w:rPr>
              <w:t>83%</w:t>
            </w:r>
          </w:p>
        </w:tc>
        <w:tc>
          <w:tcPr>
            <w:tcW w:w="72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rFonts w:cs="Calibri"/>
                <w:color w:val="000000"/>
                <w:sz w:val="18"/>
                <w:szCs w:val="18"/>
              </w:rPr>
              <w:t>97%</w:t>
            </w:r>
          </w:p>
        </w:tc>
        <w:tc>
          <w:tcPr>
            <w:tcW w:w="90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rFonts w:cs="Calibri"/>
                <w:bCs/>
                <w:color w:val="000000"/>
                <w:sz w:val="18"/>
                <w:szCs w:val="18"/>
              </w:rPr>
              <w:t>83%</w:t>
            </w:r>
          </w:p>
        </w:tc>
      </w:tr>
      <w:tr w:rsidR="00BC41C3" w:rsidRPr="00057C57" w:rsidTr="00BC41C3">
        <w:trPr>
          <w:trHeight w:val="286"/>
          <w:jc w:val="center"/>
        </w:trPr>
        <w:tc>
          <w:tcPr>
            <w:tcW w:w="1980" w:type="dxa"/>
            <w:tcBorders>
              <w:top w:val="nil"/>
              <w:left w:val="single" w:sz="8" w:space="0" w:color="B8CCE4"/>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b/>
                <w:bCs/>
                <w:color w:val="000000"/>
                <w:sz w:val="18"/>
                <w:szCs w:val="18"/>
              </w:rPr>
            </w:pPr>
            <w:r w:rsidRPr="00057C57">
              <w:rPr>
                <w:rFonts w:cs="Calibri"/>
                <w:b/>
                <w:bCs/>
                <w:color w:val="000000"/>
                <w:sz w:val="18"/>
                <w:lang w:val="sq-AL"/>
              </w:rPr>
              <w:t>Administrimi i Pyjeve</w:t>
            </w: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color w:val="000000"/>
                <w:sz w:val="18"/>
                <w:szCs w:val="18"/>
              </w:rPr>
              <w:t>323,000</w:t>
            </w: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color w:val="000000"/>
                <w:sz w:val="18"/>
                <w:szCs w:val="18"/>
              </w:rPr>
              <w:t>79,900</w:t>
            </w: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color w:val="000000"/>
                <w:sz w:val="18"/>
                <w:szCs w:val="18"/>
              </w:rPr>
              <w:t>323,900</w:t>
            </w: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color w:val="000000"/>
                <w:sz w:val="18"/>
                <w:szCs w:val="18"/>
              </w:rPr>
              <w:t>79,900</w:t>
            </w: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color w:val="000000"/>
                <w:sz w:val="18"/>
                <w:szCs w:val="18"/>
              </w:rPr>
              <w:t>319,169</w:t>
            </w: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color w:val="000000"/>
                <w:sz w:val="18"/>
                <w:szCs w:val="18"/>
              </w:rPr>
              <w:t>79,162</w:t>
            </w:r>
          </w:p>
        </w:tc>
        <w:tc>
          <w:tcPr>
            <w:tcW w:w="81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rFonts w:cs="Calibri"/>
                <w:color w:val="000000"/>
                <w:sz w:val="18"/>
                <w:szCs w:val="18"/>
                <w:lang w:val="sq-AL"/>
              </w:rPr>
              <w:t>99%</w:t>
            </w:r>
          </w:p>
        </w:tc>
        <w:tc>
          <w:tcPr>
            <w:tcW w:w="81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rFonts w:cs="Calibri"/>
                <w:color w:val="000000"/>
                <w:sz w:val="18"/>
                <w:szCs w:val="18"/>
                <w:lang w:val="sq-AL"/>
              </w:rPr>
              <w:t>99%</w:t>
            </w:r>
          </w:p>
        </w:tc>
        <w:tc>
          <w:tcPr>
            <w:tcW w:w="72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rFonts w:cs="Calibri"/>
                <w:color w:val="000000"/>
                <w:sz w:val="18"/>
                <w:szCs w:val="18"/>
              </w:rPr>
              <w:t>99%</w:t>
            </w:r>
          </w:p>
        </w:tc>
        <w:tc>
          <w:tcPr>
            <w:tcW w:w="90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rFonts w:cs="Calibri"/>
                <w:bCs/>
                <w:color w:val="000000"/>
                <w:sz w:val="18"/>
                <w:szCs w:val="18"/>
              </w:rPr>
              <w:t>99%</w:t>
            </w:r>
          </w:p>
        </w:tc>
      </w:tr>
      <w:tr w:rsidR="00BC41C3" w:rsidRPr="00057C57" w:rsidTr="00BC41C3">
        <w:trPr>
          <w:trHeight w:val="20"/>
          <w:jc w:val="center"/>
        </w:trPr>
        <w:tc>
          <w:tcPr>
            <w:tcW w:w="1980" w:type="dxa"/>
            <w:tcBorders>
              <w:top w:val="nil"/>
              <w:left w:val="single" w:sz="8" w:space="0" w:color="B8CCE4"/>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b/>
                <w:bCs/>
                <w:color w:val="000000"/>
                <w:sz w:val="18"/>
                <w:szCs w:val="18"/>
              </w:rPr>
            </w:pPr>
            <w:r w:rsidRPr="00057C57">
              <w:rPr>
                <w:rFonts w:cs="Calibri"/>
                <w:b/>
                <w:bCs/>
                <w:color w:val="000000"/>
                <w:sz w:val="18"/>
                <w:lang w:val="sq-AL"/>
              </w:rPr>
              <w:t>Financimi i huaj</w:t>
            </w: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color w:val="000000"/>
                <w:sz w:val="18"/>
                <w:szCs w:val="18"/>
              </w:rPr>
              <w:t>100,000</w:t>
            </w: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color w:val="000000"/>
                <w:sz w:val="18"/>
                <w:szCs w:val="18"/>
              </w:rPr>
              <w:t>355,500</w:t>
            </w: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color w:val="000000"/>
                <w:sz w:val="18"/>
                <w:szCs w:val="18"/>
              </w:rPr>
              <w:t>348,840</w:t>
            </w:r>
          </w:p>
        </w:tc>
        <w:tc>
          <w:tcPr>
            <w:tcW w:w="81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p>
        </w:tc>
        <w:tc>
          <w:tcPr>
            <w:tcW w:w="81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rFonts w:cs="Calibri"/>
                <w:color w:val="000000"/>
                <w:sz w:val="18"/>
                <w:szCs w:val="18"/>
              </w:rPr>
              <w:t>349%</w:t>
            </w:r>
          </w:p>
        </w:tc>
        <w:tc>
          <w:tcPr>
            <w:tcW w:w="72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p>
        </w:tc>
        <w:tc>
          <w:tcPr>
            <w:tcW w:w="90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rFonts w:cs="Calibri"/>
                <w:bCs/>
                <w:color w:val="000000"/>
                <w:sz w:val="18"/>
                <w:szCs w:val="18"/>
              </w:rPr>
              <w:t>98%</w:t>
            </w:r>
          </w:p>
        </w:tc>
      </w:tr>
      <w:tr w:rsidR="00BC41C3" w:rsidRPr="00057C57" w:rsidTr="00BC41C3">
        <w:trPr>
          <w:trHeight w:val="20"/>
          <w:jc w:val="center"/>
        </w:trPr>
        <w:tc>
          <w:tcPr>
            <w:tcW w:w="1980" w:type="dxa"/>
            <w:tcBorders>
              <w:top w:val="nil"/>
              <w:left w:val="single" w:sz="8" w:space="0" w:color="B8CCE4"/>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b/>
                <w:bCs/>
                <w:color w:val="000000"/>
                <w:sz w:val="18"/>
                <w:szCs w:val="18"/>
              </w:rPr>
            </w:pPr>
            <w:r w:rsidRPr="00057C57">
              <w:rPr>
                <w:rFonts w:cs="Calibri"/>
                <w:b/>
                <w:bCs/>
                <w:color w:val="000000"/>
                <w:sz w:val="18"/>
                <w:lang w:val="sq-AL"/>
              </w:rPr>
              <w:t>Zhvillimi i Turizmit</w:t>
            </w: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color w:val="000000"/>
                <w:sz w:val="18"/>
                <w:szCs w:val="18"/>
              </w:rPr>
              <w:t>170,630</w:t>
            </w: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color w:val="000000"/>
                <w:sz w:val="18"/>
                <w:szCs w:val="18"/>
              </w:rPr>
              <w:t>265,500</w:t>
            </w: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color w:val="000000"/>
                <w:sz w:val="18"/>
                <w:szCs w:val="18"/>
              </w:rPr>
              <w:t>271,923</w:t>
            </w: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color w:val="000000"/>
                <w:sz w:val="18"/>
                <w:szCs w:val="18"/>
              </w:rPr>
              <w:t>232,800</w:t>
            </w: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color w:val="000000"/>
                <w:sz w:val="18"/>
                <w:szCs w:val="18"/>
              </w:rPr>
              <w:t>254,461</w:t>
            </w: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color w:val="000000"/>
                <w:sz w:val="18"/>
                <w:szCs w:val="18"/>
              </w:rPr>
              <w:t>225,071</w:t>
            </w:r>
          </w:p>
        </w:tc>
        <w:tc>
          <w:tcPr>
            <w:tcW w:w="81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rFonts w:cs="Calibri"/>
                <w:color w:val="000000"/>
                <w:sz w:val="18"/>
                <w:szCs w:val="18"/>
                <w:lang w:val="sq-AL"/>
              </w:rPr>
              <w:t>149%</w:t>
            </w:r>
          </w:p>
        </w:tc>
        <w:tc>
          <w:tcPr>
            <w:tcW w:w="81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rFonts w:cs="Calibri"/>
                <w:color w:val="000000"/>
                <w:sz w:val="18"/>
                <w:szCs w:val="18"/>
              </w:rPr>
              <w:t>85%</w:t>
            </w:r>
          </w:p>
        </w:tc>
        <w:tc>
          <w:tcPr>
            <w:tcW w:w="72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rFonts w:cs="Calibri"/>
                <w:color w:val="000000"/>
                <w:sz w:val="18"/>
                <w:szCs w:val="18"/>
              </w:rPr>
              <w:t>94%</w:t>
            </w:r>
          </w:p>
        </w:tc>
        <w:tc>
          <w:tcPr>
            <w:tcW w:w="90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rFonts w:cs="Calibri"/>
                <w:bCs/>
                <w:color w:val="000000"/>
                <w:sz w:val="18"/>
                <w:szCs w:val="18"/>
              </w:rPr>
              <w:t>97%</w:t>
            </w:r>
          </w:p>
        </w:tc>
      </w:tr>
      <w:tr w:rsidR="00BC41C3" w:rsidRPr="00057C57" w:rsidTr="00BC41C3">
        <w:trPr>
          <w:trHeight w:val="20"/>
          <w:jc w:val="center"/>
        </w:trPr>
        <w:tc>
          <w:tcPr>
            <w:tcW w:w="1980" w:type="dxa"/>
            <w:tcBorders>
              <w:top w:val="nil"/>
              <w:left w:val="single" w:sz="8" w:space="0" w:color="B8CCE4"/>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b/>
                <w:bCs/>
                <w:color w:val="000000"/>
                <w:sz w:val="18"/>
                <w:szCs w:val="18"/>
              </w:rPr>
            </w:pPr>
            <w:r w:rsidRPr="00057C57">
              <w:rPr>
                <w:rFonts w:cs="Calibri"/>
                <w:b/>
                <w:bCs/>
                <w:color w:val="000000"/>
                <w:sz w:val="18"/>
                <w:lang w:val="sq-AL"/>
              </w:rPr>
              <w:t>Financimi i huaj</w:t>
            </w: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color w:val="000000"/>
                <w:sz w:val="18"/>
                <w:szCs w:val="18"/>
              </w:rPr>
              <w:t>100,000</w:t>
            </w: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color w:val="000000"/>
                <w:sz w:val="18"/>
                <w:szCs w:val="18"/>
              </w:rPr>
              <w:t>38,000</w:t>
            </w: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color w:val="000000"/>
                <w:sz w:val="18"/>
                <w:szCs w:val="18"/>
              </w:rPr>
              <w:t>17,984</w:t>
            </w:r>
          </w:p>
        </w:tc>
        <w:tc>
          <w:tcPr>
            <w:tcW w:w="81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p>
        </w:tc>
        <w:tc>
          <w:tcPr>
            <w:tcW w:w="81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rFonts w:cs="Calibri"/>
                <w:color w:val="000000"/>
                <w:sz w:val="18"/>
                <w:szCs w:val="18"/>
              </w:rPr>
              <w:t>18%</w:t>
            </w:r>
          </w:p>
        </w:tc>
        <w:tc>
          <w:tcPr>
            <w:tcW w:w="72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p>
        </w:tc>
        <w:tc>
          <w:tcPr>
            <w:tcW w:w="90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rFonts w:cs="Calibri"/>
                <w:bCs/>
                <w:color w:val="000000"/>
                <w:sz w:val="18"/>
                <w:szCs w:val="18"/>
              </w:rPr>
              <w:t>47%</w:t>
            </w:r>
          </w:p>
        </w:tc>
      </w:tr>
      <w:tr w:rsidR="00BC41C3" w:rsidRPr="00057C57" w:rsidTr="00BC41C3">
        <w:trPr>
          <w:trHeight w:val="20"/>
          <w:jc w:val="center"/>
        </w:trPr>
        <w:tc>
          <w:tcPr>
            <w:tcW w:w="1980" w:type="dxa"/>
            <w:tcBorders>
              <w:top w:val="nil"/>
              <w:left w:val="single" w:sz="8" w:space="0" w:color="B8CCE4"/>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b/>
                <w:bCs/>
                <w:color w:val="000000"/>
                <w:sz w:val="18"/>
                <w:szCs w:val="18"/>
              </w:rPr>
            </w:pPr>
            <w:r w:rsidRPr="00057C57">
              <w:rPr>
                <w:rFonts w:cs="Calibri"/>
                <w:b/>
                <w:bCs/>
                <w:color w:val="000000"/>
                <w:sz w:val="18"/>
                <w:lang w:val="sq-AL"/>
              </w:rPr>
              <w:t>Mbrojtja e Mjedisit</w:t>
            </w: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color w:val="000000"/>
                <w:sz w:val="18"/>
                <w:szCs w:val="18"/>
              </w:rPr>
              <w:t>458,000</w:t>
            </w: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color w:val="000000"/>
                <w:sz w:val="18"/>
                <w:szCs w:val="18"/>
              </w:rPr>
              <w:t>183,000</w:t>
            </w: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color w:val="000000"/>
                <w:sz w:val="18"/>
                <w:szCs w:val="18"/>
              </w:rPr>
              <w:t>381,036</w:t>
            </w: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color w:val="000000"/>
                <w:sz w:val="18"/>
                <w:szCs w:val="18"/>
              </w:rPr>
              <w:t>152,800</w:t>
            </w: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color w:val="000000"/>
                <w:sz w:val="18"/>
                <w:szCs w:val="18"/>
              </w:rPr>
              <w:t>345,506</w:t>
            </w: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color w:val="000000"/>
                <w:sz w:val="18"/>
                <w:szCs w:val="18"/>
              </w:rPr>
              <w:t>145,471</w:t>
            </w:r>
          </w:p>
        </w:tc>
        <w:tc>
          <w:tcPr>
            <w:tcW w:w="81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rFonts w:cs="Calibri"/>
                <w:color w:val="000000"/>
                <w:sz w:val="18"/>
                <w:szCs w:val="18"/>
                <w:lang w:val="sq-AL"/>
              </w:rPr>
              <w:t>75%</w:t>
            </w:r>
          </w:p>
        </w:tc>
        <w:tc>
          <w:tcPr>
            <w:tcW w:w="81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rFonts w:cs="Calibri"/>
                <w:color w:val="000000"/>
                <w:sz w:val="18"/>
                <w:szCs w:val="18"/>
              </w:rPr>
              <w:t>79%</w:t>
            </w:r>
          </w:p>
        </w:tc>
        <w:tc>
          <w:tcPr>
            <w:tcW w:w="72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rFonts w:cs="Calibri"/>
                <w:color w:val="000000"/>
                <w:sz w:val="18"/>
                <w:szCs w:val="18"/>
              </w:rPr>
              <w:t>91%</w:t>
            </w:r>
          </w:p>
        </w:tc>
        <w:tc>
          <w:tcPr>
            <w:tcW w:w="90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rFonts w:cs="Calibri"/>
                <w:bCs/>
                <w:color w:val="000000"/>
                <w:sz w:val="18"/>
                <w:szCs w:val="18"/>
              </w:rPr>
              <w:t>95%</w:t>
            </w:r>
          </w:p>
        </w:tc>
      </w:tr>
      <w:tr w:rsidR="00BC41C3" w:rsidRPr="00057C57" w:rsidTr="00BC41C3">
        <w:trPr>
          <w:trHeight w:val="20"/>
          <w:jc w:val="center"/>
        </w:trPr>
        <w:tc>
          <w:tcPr>
            <w:tcW w:w="1980" w:type="dxa"/>
            <w:tcBorders>
              <w:top w:val="nil"/>
              <w:left w:val="single" w:sz="8" w:space="0" w:color="B8CCE4"/>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b/>
                <w:bCs/>
                <w:color w:val="000000"/>
                <w:sz w:val="18"/>
                <w:szCs w:val="18"/>
              </w:rPr>
            </w:pPr>
            <w:r w:rsidRPr="00057C57">
              <w:rPr>
                <w:rFonts w:cs="Calibri"/>
                <w:b/>
                <w:bCs/>
                <w:color w:val="000000"/>
                <w:sz w:val="18"/>
                <w:lang w:val="sq-AL"/>
              </w:rPr>
              <w:t>Financimi i huaj</w:t>
            </w: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color w:val="000000"/>
                <w:sz w:val="18"/>
                <w:szCs w:val="18"/>
              </w:rPr>
              <w:t>390,000</w:t>
            </w: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color w:val="000000"/>
                <w:sz w:val="18"/>
                <w:szCs w:val="18"/>
              </w:rPr>
              <w:t>475,000</w:t>
            </w: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p>
        </w:tc>
        <w:tc>
          <w:tcPr>
            <w:tcW w:w="99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color w:val="000000"/>
                <w:sz w:val="18"/>
                <w:szCs w:val="18"/>
              </w:rPr>
              <w:t>548,034</w:t>
            </w:r>
          </w:p>
        </w:tc>
        <w:tc>
          <w:tcPr>
            <w:tcW w:w="81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p>
        </w:tc>
        <w:tc>
          <w:tcPr>
            <w:tcW w:w="81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rFonts w:cs="Calibri"/>
                <w:color w:val="000000"/>
                <w:sz w:val="18"/>
                <w:szCs w:val="18"/>
              </w:rPr>
              <w:t>141%</w:t>
            </w:r>
          </w:p>
        </w:tc>
        <w:tc>
          <w:tcPr>
            <w:tcW w:w="72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p>
        </w:tc>
        <w:tc>
          <w:tcPr>
            <w:tcW w:w="900" w:type="dxa"/>
            <w:tcBorders>
              <w:top w:val="nil"/>
              <w:left w:val="nil"/>
              <w:bottom w:val="single" w:sz="8" w:space="0" w:color="B8CCE4"/>
              <w:right w:val="single" w:sz="8" w:space="0" w:color="B8CCE4"/>
            </w:tcBorders>
            <w:shd w:val="clear" w:color="auto" w:fill="auto"/>
            <w:vAlign w:val="center"/>
            <w:hideMark/>
          </w:tcPr>
          <w:p w:rsidR="00BC41C3" w:rsidRPr="00057C57" w:rsidRDefault="00BC41C3" w:rsidP="00E841D1">
            <w:pPr>
              <w:spacing w:before="0" w:line="240" w:lineRule="auto"/>
              <w:jc w:val="center"/>
              <w:rPr>
                <w:color w:val="000000"/>
                <w:sz w:val="18"/>
                <w:szCs w:val="18"/>
              </w:rPr>
            </w:pPr>
            <w:r w:rsidRPr="00057C57">
              <w:rPr>
                <w:rFonts w:cs="Calibri"/>
                <w:bCs/>
                <w:color w:val="000000"/>
                <w:sz w:val="18"/>
                <w:szCs w:val="18"/>
              </w:rPr>
              <w:t>115%</w:t>
            </w:r>
          </w:p>
        </w:tc>
      </w:tr>
      <w:tr w:rsidR="00BC41C3" w:rsidRPr="00BC41C3" w:rsidTr="00BC41C3">
        <w:trPr>
          <w:trHeight w:val="20"/>
          <w:jc w:val="center"/>
        </w:trPr>
        <w:tc>
          <w:tcPr>
            <w:tcW w:w="1980" w:type="dxa"/>
            <w:tcBorders>
              <w:top w:val="nil"/>
              <w:left w:val="single" w:sz="8" w:space="0" w:color="B8CCE4"/>
              <w:bottom w:val="double" w:sz="6" w:space="0" w:color="95B3D7"/>
              <w:right w:val="single" w:sz="8" w:space="0" w:color="B8CCE4"/>
            </w:tcBorders>
            <w:shd w:val="clear" w:color="auto" w:fill="auto"/>
            <w:vAlign w:val="center"/>
            <w:hideMark/>
          </w:tcPr>
          <w:p w:rsidR="00BC41C3" w:rsidRPr="00BC41C3" w:rsidRDefault="00BC41C3" w:rsidP="00E841D1">
            <w:pPr>
              <w:spacing w:before="0" w:line="240" w:lineRule="auto"/>
              <w:jc w:val="center"/>
              <w:rPr>
                <w:b/>
                <w:i/>
                <w:iCs/>
                <w:color w:val="000000"/>
                <w:sz w:val="18"/>
                <w:szCs w:val="18"/>
              </w:rPr>
            </w:pPr>
            <w:r w:rsidRPr="00BC41C3">
              <w:rPr>
                <w:b/>
                <w:i/>
                <w:iCs/>
                <w:color w:val="000000"/>
                <w:sz w:val="18"/>
                <w:szCs w:val="18"/>
                <w:lang w:val="sq-AL"/>
              </w:rPr>
              <w:t>Gjithsej sipas natyrës</w:t>
            </w:r>
          </w:p>
        </w:tc>
        <w:tc>
          <w:tcPr>
            <w:tcW w:w="990" w:type="dxa"/>
            <w:tcBorders>
              <w:top w:val="nil"/>
              <w:left w:val="nil"/>
              <w:bottom w:val="double" w:sz="6" w:space="0" w:color="95B3D7"/>
              <w:right w:val="single" w:sz="8" w:space="0" w:color="B8CCE4"/>
            </w:tcBorders>
            <w:shd w:val="clear" w:color="auto" w:fill="auto"/>
            <w:vAlign w:val="center"/>
            <w:hideMark/>
          </w:tcPr>
          <w:p w:rsidR="00BC41C3" w:rsidRPr="00BC41C3" w:rsidRDefault="00BC41C3" w:rsidP="00E841D1">
            <w:pPr>
              <w:spacing w:before="0" w:line="240" w:lineRule="auto"/>
              <w:jc w:val="center"/>
              <w:rPr>
                <w:b/>
                <w:bCs/>
                <w:i/>
                <w:iCs/>
                <w:color w:val="000000"/>
                <w:sz w:val="18"/>
                <w:szCs w:val="18"/>
              </w:rPr>
            </w:pPr>
            <w:r w:rsidRPr="00BC41C3">
              <w:rPr>
                <w:rFonts w:cs="Calibri"/>
                <w:b/>
                <w:bCs/>
                <w:i/>
                <w:iCs/>
                <w:color w:val="000000"/>
                <w:sz w:val="18"/>
                <w:szCs w:val="18"/>
              </w:rPr>
              <w:t>1,143,630</w:t>
            </w:r>
          </w:p>
        </w:tc>
        <w:tc>
          <w:tcPr>
            <w:tcW w:w="990" w:type="dxa"/>
            <w:tcBorders>
              <w:top w:val="nil"/>
              <w:left w:val="nil"/>
              <w:bottom w:val="double" w:sz="6" w:space="0" w:color="95B3D7"/>
              <w:right w:val="single" w:sz="8" w:space="0" w:color="B8CCE4"/>
            </w:tcBorders>
            <w:shd w:val="clear" w:color="auto" w:fill="auto"/>
            <w:vAlign w:val="center"/>
            <w:hideMark/>
          </w:tcPr>
          <w:p w:rsidR="00BC41C3" w:rsidRPr="00BC41C3" w:rsidRDefault="00BC41C3" w:rsidP="00E841D1">
            <w:pPr>
              <w:spacing w:before="0" w:line="240" w:lineRule="auto"/>
              <w:jc w:val="center"/>
              <w:rPr>
                <w:b/>
                <w:bCs/>
                <w:i/>
                <w:iCs/>
                <w:color w:val="000000"/>
                <w:sz w:val="18"/>
                <w:szCs w:val="18"/>
              </w:rPr>
            </w:pPr>
            <w:r w:rsidRPr="00BC41C3">
              <w:rPr>
                <w:rFonts w:cs="Calibri"/>
                <w:b/>
                <w:bCs/>
                <w:i/>
                <w:iCs/>
                <w:color w:val="000000"/>
                <w:sz w:val="18"/>
                <w:szCs w:val="18"/>
              </w:rPr>
              <w:t>1,124,400</w:t>
            </w:r>
          </w:p>
        </w:tc>
        <w:tc>
          <w:tcPr>
            <w:tcW w:w="990" w:type="dxa"/>
            <w:tcBorders>
              <w:top w:val="nil"/>
              <w:left w:val="nil"/>
              <w:bottom w:val="double" w:sz="6" w:space="0" w:color="95B3D7"/>
              <w:right w:val="single" w:sz="8" w:space="0" w:color="B8CCE4"/>
            </w:tcBorders>
            <w:shd w:val="clear" w:color="auto" w:fill="auto"/>
            <w:vAlign w:val="center"/>
            <w:hideMark/>
          </w:tcPr>
          <w:p w:rsidR="00BC41C3" w:rsidRPr="00BC41C3" w:rsidRDefault="00BC41C3" w:rsidP="00E841D1">
            <w:pPr>
              <w:spacing w:before="0" w:line="240" w:lineRule="auto"/>
              <w:jc w:val="center"/>
              <w:rPr>
                <w:b/>
                <w:bCs/>
                <w:i/>
                <w:iCs/>
                <w:color w:val="000000"/>
                <w:sz w:val="18"/>
                <w:szCs w:val="18"/>
              </w:rPr>
            </w:pPr>
            <w:r w:rsidRPr="00BC41C3">
              <w:rPr>
                <w:rFonts w:cs="Calibri"/>
                <w:b/>
                <w:bCs/>
                <w:i/>
                <w:iCs/>
                <w:color w:val="000000"/>
                <w:sz w:val="18"/>
                <w:szCs w:val="18"/>
              </w:rPr>
              <w:t>1,212,130</w:t>
            </w:r>
          </w:p>
        </w:tc>
        <w:tc>
          <w:tcPr>
            <w:tcW w:w="990" w:type="dxa"/>
            <w:tcBorders>
              <w:top w:val="nil"/>
              <w:left w:val="nil"/>
              <w:bottom w:val="double" w:sz="6" w:space="0" w:color="95B3D7"/>
              <w:right w:val="single" w:sz="8" w:space="0" w:color="B8CCE4"/>
            </w:tcBorders>
            <w:shd w:val="clear" w:color="auto" w:fill="auto"/>
            <w:vAlign w:val="center"/>
            <w:hideMark/>
          </w:tcPr>
          <w:p w:rsidR="00BC41C3" w:rsidRPr="00BC41C3" w:rsidRDefault="00BC41C3" w:rsidP="00E841D1">
            <w:pPr>
              <w:spacing w:before="0" w:line="240" w:lineRule="auto"/>
              <w:jc w:val="center"/>
              <w:rPr>
                <w:b/>
                <w:bCs/>
                <w:i/>
                <w:iCs/>
                <w:color w:val="000000"/>
                <w:sz w:val="18"/>
                <w:szCs w:val="18"/>
              </w:rPr>
            </w:pPr>
            <w:r w:rsidRPr="00BC41C3">
              <w:rPr>
                <w:rFonts w:cs="Calibri"/>
                <w:b/>
                <w:bCs/>
                <w:i/>
                <w:iCs/>
                <w:color w:val="000000"/>
                <w:sz w:val="18"/>
                <w:szCs w:val="18"/>
              </w:rPr>
              <w:t>1,340,000</w:t>
            </w:r>
          </w:p>
        </w:tc>
        <w:tc>
          <w:tcPr>
            <w:tcW w:w="990" w:type="dxa"/>
            <w:tcBorders>
              <w:top w:val="nil"/>
              <w:left w:val="nil"/>
              <w:bottom w:val="double" w:sz="6" w:space="0" w:color="95B3D7"/>
              <w:right w:val="single" w:sz="8" w:space="0" w:color="B8CCE4"/>
            </w:tcBorders>
            <w:shd w:val="clear" w:color="auto" w:fill="auto"/>
            <w:vAlign w:val="center"/>
            <w:hideMark/>
          </w:tcPr>
          <w:p w:rsidR="00BC41C3" w:rsidRPr="00BC41C3" w:rsidRDefault="00BC41C3" w:rsidP="00E841D1">
            <w:pPr>
              <w:spacing w:before="0" w:line="240" w:lineRule="auto"/>
              <w:jc w:val="center"/>
              <w:rPr>
                <w:b/>
                <w:bCs/>
                <w:i/>
                <w:iCs/>
                <w:color w:val="000000"/>
                <w:sz w:val="18"/>
                <w:szCs w:val="18"/>
              </w:rPr>
            </w:pPr>
            <w:r w:rsidRPr="00BC41C3">
              <w:rPr>
                <w:rFonts w:cs="Calibri"/>
                <w:b/>
                <w:bCs/>
                <w:i/>
                <w:iCs/>
                <w:color w:val="000000"/>
                <w:sz w:val="18"/>
                <w:szCs w:val="18"/>
              </w:rPr>
              <w:t>1,146,787</w:t>
            </w:r>
          </w:p>
        </w:tc>
        <w:tc>
          <w:tcPr>
            <w:tcW w:w="990" w:type="dxa"/>
            <w:tcBorders>
              <w:top w:val="nil"/>
              <w:left w:val="nil"/>
              <w:bottom w:val="double" w:sz="6" w:space="0" w:color="95B3D7"/>
              <w:right w:val="single" w:sz="8" w:space="0" w:color="B8CCE4"/>
            </w:tcBorders>
            <w:shd w:val="clear" w:color="auto" w:fill="auto"/>
            <w:vAlign w:val="center"/>
            <w:hideMark/>
          </w:tcPr>
          <w:p w:rsidR="00BC41C3" w:rsidRPr="00BC41C3" w:rsidRDefault="00BC41C3" w:rsidP="00E841D1">
            <w:pPr>
              <w:spacing w:before="0" w:line="240" w:lineRule="auto"/>
              <w:jc w:val="center"/>
              <w:rPr>
                <w:b/>
                <w:bCs/>
                <w:i/>
                <w:iCs/>
                <w:color w:val="000000"/>
                <w:sz w:val="18"/>
                <w:szCs w:val="18"/>
              </w:rPr>
            </w:pPr>
            <w:r w:rsidRPr="00BC41C3">
              <w:rPr>
                <w:rFonts w:cs="Calibri"/>
                <w:b/>
                <w:bCs/>
                <w:i/>
                <w:iCs/>
                <w:color w:val="000000"/>
                <w:sz w:val="18"/>
                <w:szCs w:val="18"/>
              </w:rPr>
              <w:t>1,369,555</w:t>
            </w:r>
          </w:p>
        </w:tc>
        <w:tc>
          <w:tcPr>
            <w:tcW w:w="810" w:type="dxa"/>
            <w:tcBorders>
              <w:top w:val="nil"/>
              <w:left w:val="nil"/>
              <w:bottom w:val="double" w:sz="6" w:space="0" w:color="95B3D7"/>
              <w:right w:val="single" w:sz="8" w:space="0" w:color="B8CCE4"/>
            </w:tcBorders>
            <w:shd w:val="clear" w:color="auto" w:fill="auto"/>
            <w:vAlign w:val="center"/>
            <w:hideMark/>
          </w:tcPr>
          <w:p w:rsidR="00BC41C3" w:rsidRPr="00BC41C3" w:rsidRDefault="00BC41C3" w:rsidP="00E841D1">
            <w:pPr>
              <w:spacing w:before="0" w:line="240" w:lineRule="auto"/>
              <w:jc w:val="center"/>
              <w:rPr>
                <w:b/>
                <w:bCs/>
                <w:i/>
                <w:iCs/>
                <w:color w:val="000000"/>
                <w:sz w:val="18"/>
                <w:szCs w:val="18"/>
              </w:rPr>
            </w:pPr>
            <w:r w:rsidRPr="00BC41C3">
              <w:rPr>
                <w:rFonts w:cs="Calibri"/>
                <w:b/>
                <w:bCs/>
                <w:i/>
                <w:iCs/>
                <w:color w:val="000000"/>
                <w:sz w:val="18"/>
                <w:szCs w:val="18"/>
                <w:lang w:val="sq-AL"/>
              </w:rPr>
              <w:t>100%</w:t>
            </w:r>
          </w:p>
        </w:tc>
        <w:tc>
          <w:tcPr>
            <w:tcW w:w="810" w:type="dxa"/>
            <w:tcBorders>
              <w:top w:val="nil"/>
              <w:left w:val="nil"/>
              <w:bottom w:val="double" w:sz="6" w:space="0" w:color="95B3D7"/>
              <w:right w:val="single" w:sz="8" w:space="0" w:color="B8CCE4"/>
            </w:tcBorders>
            <w:shd w:val="clear" w:color="auto" w:fill="auto"/>
            <w:vAlign w:val="center"/>
            <w:hideMark/>
          </w:tcPr>
          <w:p w:rsidR="00BC41C3" w:rsidRPr="00BC41C3" w:rsidRDefault="00BC41C3" w:rsidP="00E841D1">
            <w:pPr>
              <w:spacing w:before="0" w:line="240" w:lineRule="auto"/>
              <w:jc w:val="center"/>
              <w:rPr>
                <w:b/>
                <w:bCs/>
                <w:i/>
                <w:iCs/>
                <w:color w:val="000000"/>
                <w:sz w:val="18"/>
                <w:szCs w:val="18"/>
              </w:rPr>
            </w:pPr>
            <w:r w:rsidRPr="00BC41C3">
              <w:rPr>
                <w:rFonts w:cs="Calibri"/>
                <w:b/>
                <w:bCs/>
                <w:i/>
                <w:iCs/>
                <w:color w:val="000000"/>
                <w:sz w:val="18"/>
                <w:szCs w:val="18"/>
              </w:rPr>
              <w:t>122%</w:t>
            </w:r>
          </w:p>
        </w:tc>
        <w:tc>
          <w:tcPr>
            <w:tcW w:w="720" w:type="dxa"/>
            <w:tcBorders>
              <w:top w:val="nil"/>
              <w:left w:val="nil"/>
              <w:bottom w:val="double" w:sz="6" w:space="0" w:color="95B3D7"/>
              <w:right w:val="single" w:sz="8" w:space="0" w:color="B8CCE4"/>
            </w:tcBorders>
            <w:shd w:val="clear" w:color="auto" w:fill="auto"/>
            <w:vAlign w:val="center"/>
            <w:hideMark/>
          </w:tcPr>
          <w:p w:rsidR="00BC41C3" w:rsidRPr="00BC41C3" w:rsidRDefault="00BC41C3" w:rsidP="00E841D1">
            <w:pPr>
              <w:spacing w:before="0" w:line="240" w:lineRule="auto"/>
              <w:jc w:val="center"/>
              <w:rPr>
                <w:b/>
                <w:bCs/>
                <w:i/>
                <w:iCs/>
                <w:color w:val="000000"/>
                <w:sz w:val="18"/>
                <w:szCs w:val="18"/>
              </w:rPr>
            </w:pPr>
            <w:r w:rsidRPr="00BC41C3">
              <w:rPr>
                <w:rFonts w:cs="Calibri"/>
                <w:b/>
                <w:bCs/>
                <w:i/>
                <w:iCs/>
                <w:color w:val="000000"/>
                <w:sz w:val="18"/>
                <w:szCs w:val="18"/>
              </w:rPr>
              <w:t>95%</w:t>
            </w:r>
          </w:p>
        </w:tc>
        <w:tc>
          <w:tcPr>
            <w:tcW w:w="900" w:type="dxa"/>
            <w:tcBorders>
              <w:top w:val="nil"/>
              <w:left w:val="nil"/>
              <w:bottom w:val="double" w:sz="6" w:space="0" w:color="95B3D7"/>
              <w:right w:val="single" w:sz="8" w:space="0" w:color="B8CCE4"/>
            </w:tcBorders>
            <w:shd w:val="clear" w:color="auto" w:fill="auto"/>
            <w:vAlign w:val="center"/>
            <w:hideMark/>
          </w:tcPr>
          <w:p w:rsidR="00BC41C3" w:rsidRPr="00BC41C3" w:rsidRDefault="00BC41C3" w:rsidP="00E841D1">
            <w:pPr>
              <w:spacing w:before="0" w:line="240" w:lineRule="auto"/>
              <w:jc w:val="center"/>
              <w:rPr>
                <w:b/>
                <w:bCs/>
                <w:i/>
                <w:iCs/>
                <w:color w:val="000000"/>
                <w:sz w:val="18"/>
                <w:szCs w:val="18"/>
              </w:rPr>
            </w:pPr>
            <w:r w:rsidRPr="00BC41C3">
              <w:rPr>
                <w:rFonts w:cs="Calibri"/>
                <w:b/>
                <w:bCs/>
                <w:i/>
                <w:iCs/>
                <w:color w:val="000000"/>
                <w:sz w:val="18"/>
                <w:szCs w:val="18"/>
              </w:rPr>
              <w:t>102%</w:t>
            </w:r>
          </w:p>
        </w:tc>
      </w:tr>
      <w:tr w:rsidR="00BC41C3" w:rsidRPr="00057C57" w:rsidTr="00BC41C3">
        <w:trPr>
          <w:trHeight w:val="20"/>
          <w:jc w:val="center"/>
        </w:trPr>
        <w:tc>
          <w:tcPr>
            <w:tcW w:w="1980" w:type="dxa"/>
            <w:tcBorders>
              <w:top w:val="nil"/>
              <w:left w:val="single" w:sz="8" w:space="0" w:color="B8CCE4"/>
              <w:bottom w:val="single" w:sz="8" w:space="0" w:color="B8CCE4"/>
              <w:right w:val="single" w:sz="8" w:space="0" w:color="B8CCE4"/>
            </w:tcBorders>
            <w:shd w:val="clear" w:color="000000" w:fill="365F91"/>
            <w:vAlign w:val="center"/>
            <w:hideMark/>
          </w:tcPr>
          <w:p w:rsidR="00BC41C3" w:rsidRPr="00057C57" w:rsidRDefault="00BC41C3" w:rsidP="00E841D1">
            <w:pPr>
              <w:spacing w:before="0" w:line="240" w:lineRule="auto"/>
              <w:jc w:val="center"/>
              <w:rPr>
                <w:b/>
                <w:bCs/>
                <w:color w:val="FFFFFF"/>
                <w:sz w:val="18"/>
                <w:szCs w:val="18"/>
              </w:rPr>
            </w:pPr>
            <w:r w:rsidRPr="00057C57">
              <w:rPr>
                <w:b/>
                <w:bCs/>
                <w:color w:val="FFFFFF"/>
                <w:sz w:val="18"/>
                <w:szCs w:val="18"/>
                <w:lang w:val="sq-AL"/>
              </w:rPr>
              <w:t>Gjithsej</w:t>
            </w:r>
          </w:p>
        </w:tc>
        <w:tc>
          <w:tcPr>
            <w:tcW w:w="1980" w:type="dxa"/>
            <w:gridSpan w:val="2"/>
            <w:tcBorders>
              <w:top w:val="double" w:sz="6" w:space="0" w:color="95B3D7"/>
              <w:left w:val="nil"/>
              <w:bottom w:val="single" w:sz="8" w:space="0" w:color="B8CCE4"/>
              <w:right w:val="single" w:sz="8" w:space="0" w:color="B8CCE4"/>
            </w:tcBorders>
            <w:shd w:val="clear" w:color="000000" w:fill="365F91"/>
            <w:vAlign w:val="center"/>
            <w:hideMark/>
          </w:tcPr>
          <w:p w:rsidR="00BC41C3" w:rsidRPr="00057C57" w:rsidRDefault="00BC41C3" w:rsidP="00E841D1">
            <w:pPr>
              <w:spacing w:before="0" w:line="240" w:lineRule="auto"/>
              <w:jc w:val="center"/>
              <w:rPr>
                <w:b/>
                <w:bCs/>
                <w:color w:val="FFFFFF"/>
                <w:sz w:val="18"/>
                <w:szCs w:val="18"/>
              </w:rPr>
            </w:pPr>
            <w:r w:rsidRPr="00057C57">
              <w:rPr>
                <w:rFonts w:cs="Calibri"/>
                <w:b/>
                <w:bCs/>
                <w:color w:val="FFFFFF" w:themeColor="background1"/>
                <w:sz w:val="18"/>
                <w:szCs w:val="18"/>
              </w:rPr>
              <w:t>2,268,030</w:t>
            </w:r>
          </w:p>
        </w:tc>
        <w:tc>
          <w:tcPr>
            <w:tcW w:w="1980" w:type="dxa"/>
            <w:gridSpan w:val="2"/>
            <w:tcBorders>
              <w:top w:val="double" w:sz="6" w:space="0" w:color="95B3D7"/>
              <w:left w:val="nil"/>
              <w:bottom w:val="single" w:sz="8" w:space="0" w:color="B8CCE4"/>
              <w:right w:val="single" w:sz="8" w:space="0" w:color="B8CCE4"/>
            </w:tcBorders>
            <w:shd w:val="clear" w:color="000000" w:fill="365F91"/>
            <w:vAlign w:val="center"/>
            <w:hideMark/>
          </w:tcPr>
          <w:p w:rsidR="00BC41C3" w:rsidRPr="00057C57" w:rsidRDefault="00BC41C3" w:rsidP="00E841D1">
            <w:pPr>
              <w:spacing w:before="0" w:line="240" w:lineRule="auto"/>
              <w:jc w:val="center"/>
              <w:rPr>
                <w:b/>
                <w:bCs/>
                <w:color w:val="FFFFFF"/>
                <w:sz w:val="18"/>
                <w:szCs w:val="18"/>
              </w:rPr>
            </w:pPr>
            <w:r w:rsidRPr="00057C57">
              <w:rPr>
                <w:rFonts w:cs="Calibri"/>
                <w:b/>
                <w:bCs/>
                <w:color w:val="FFFFFF" w:themeColor="background1"/>
                <w:sz w:val="18"/>
                <w:szCs w:val="18"/>
              </w:rPr>
              <w:t>2,552,130</w:t>
            </w:r>
          </w:p>
        </w:tc>
        <w:tc>
          <w:tcPr>
            <w:tcW w:w="1980" w:type="dxa"/>
            <w:gridSpan w:val="2"/>
            <w:tcBorders>
              <w:top w:val="double" w:sz="6" w:space="0" w:color="95B3D7"/>
              <w:left w:val="nil"/>
              <w:bottom w:val="single" w:sz="8" w:space="0" w:color="B8CCE4"/>
              <w:right w:val="single" w:sz="8" w:space="0" w:color="B8CCE4"/>
            </w:tcBorders>
            <w:shd w:val="clear" w:color="000000" w:fill="365F91"/>
            <w:vAlign w:val="center"/>
            <w:hideMark/>
          </w:tcPr>
          <w:p w:rsidR="00BC41C3" w:rsidRPr="00057C57" w:rsidRDefault="00BC41C3" w:rsidP="00E841D1">
            <w:pPr>
              <w:spacing w:before="0" w:line="240" w:lineRule="auto"/>
              <w:jc w:val="center"/>
              <w:rPr>
                <w:b/>
                <w:bCs/>
                <w:color w:val="FFFFFF"/>
                <w:sz w:val="18"/>
                <w:szCs w:val="18"/>
              </w:rPr>
            </w:pPr>
            <w:r w:rsidRPr="00057C57">
              <w:rPr>
                <w:rFonts w:cs="Calibri"/>
                <w:b/>
                <w:bCs/>
                <w:color w:val="FFFFFF" w:themeColor="background1"/>
                <w:sz w:val="18"/>
                <w:szCs w:val="18"/>
              </w:rPr>
              <w:t>2,516,342</w:t>
            </w:r>
          </w:p>
        </w:tc>
        <w:tc>
          <w:tcPr>
            <w:tcW w:w="1620" w:type="dxa"/>
            <w:gridSpan w:val="2"/>
            <w:tcBorders>
              <w:top w:val="double" w:sz="6" w:space="0" w:color="95B3D7"/>
              <w:left w:val="nil"/>
              <w:bottom w:val="single" w:sz="8" w:space="0" w:color="B8CCE4"/>
              <w:right w:val="single" w:sz="8" w:space="0" w:color="B8CCE4"/>
            </w:tcBorders>
            <w:shd w:val="clear" w:color="000000" w:fill="365F91"/>
            <w:vAlign w:val="center"/>
            <w:hideMark/>
          </w:tcPr>
          <w:p w:rsidR="00BC41C3" w:rsidRPr="00057C57" w:rsidRDefault="00BC41C3" w:rsidP="00E841D1">
            <w:pPr>
              <w:spacing w:before="0" w:line="240" w:lineRule="auto"/>
              <w:jc w:val="center"/>
              <w:rPr>
                <w:b/>
                <w:bCs/>
                <w:color w:val="FFFFFF"/>
                <w:sz w:val="18"/>
                <w:szCs w:val="18"/>
              </w:rPr>
            </w:pPr>
            <w:r w:rsidRPr="00057C57">
              <w:rPr>
                <w:b/>
                <w:bCs/>
                <w:color w:val="FFFFFF"/>
                <w:sz w:val="18"/>
                <w:szCs w:val="18"/>
                <w:lang w:val="sq-AL"/>
              </w:rPr>
              <w:t>111%</w:t>
            </w:r>
          </w:p>
        </w:tc>
        <w:tc>
          <w:tcPr>
            <w:tcW w:w="1620" w:type="dxa"/>
            <w:gridSpan w:val="2"/>
            <w:tcBorders>
              <w:top w:val="double" w:sz="6" w:space="0" w:color="95B3D7"/>
              <w:left w:val="nil"/>
              <w:bottom w:val="single" w:sz="8" w:space="0" w:color="B8CCE4"/>
              <w:right w:val="single" w:sz="8" w:space="0" w:color="B8CCE4"/>
            </w:tcBorders>
            <w:shd w:val="clear" w:color="000000" w:fill="365F91"/>
            <w:vAlign w:val="center"/>
            <w:hideMark/>
          </w:tcPr>
          <w:p w:rsidR="00BC41C3" w:rsidRPr="00057C57" w:rsidRDefault="00BC41C3" w:rsidP="00E841D1">
            <w:pPr>
              <w:spacing w:before="0" w:line="240" w:lineRule="auto"/>
              <w:jc w:val="center"/>
              <w:rPr>
                <w:b/>
                <w:bCs/>
                <w:color w:val="FFFFFF"/>
                <w:sz w:val="18"/>
                <w:szCs w:val="18"/>
              </w:rPr>
            </w:pPr>
            <w:r w:rsidRPr="00057C57">
              <w:rPr>
                <w:rFonts w:cs="Calibri"/>
                <w:b/>
                <w:bCs/>
                <w:color w:val="FFFFFF" w:themeColor="background1"/>
                <w:sz w:val="18"/>
                <w:szCs w:val="18"/>
              </w:rPr>
              <w:t>99%</w:t>
            </w:r>
          </w:p>
        </w:tc>
      </w:tr>
    </w:tbl>
    <w:p w:rsidR="00BC41C3" w:rsidRPr="00476D2E" w:rsidRDefault="00BC41C3" w:rsidP="00BC41C3">
      <w:pPr>
        <w:rPr>
          <w:rFonts w:cs="Calibri"/>
          <w:color w:val="000000"/>
          <w:spacing w:val="11"/>
          <w:szCs w:val="22"/>
        </w:rPr>
      </w:pPr>
      <w:r w:rsidRPr="00476D2E">
        <w:rPr>
          <w:rFonts w:cs="Calibri"/>
          <w:spacing w:val="-2"/>
          <w:szCs w:val="22"/>
        </w:rPr>
        <w:t>B</w:t>
      </w:r>
      <w:r w:rsidRPr="00476D2E">
        <w:rPr>
          <w:rFonts w:cs="Calibri"/>
          <w:szCs w:val="22"/>
        </w:rPr>
        <w:t>u</w:t>
      </w:r>
      <w:r w:rsidRPr="00476D2E">
        <w:rPr>
          <w:rFonts w:cs="Calibri"/>
          <w:spacing w:val="2"/>
          <w:szCs w:val="22"/>
        </w:rPr>
        <w:t>x</w:t>
      </w:r>
      <w:r w:rsidRPr="00476D2E">
        <w:rPr>
          <w:rFonts w:cs="Calibri"/>
          <w:szCs w:val="22"/>
        </w:rPr>
        <w:t>h</w:t>
      </w:r>
      <w:r w:rsidRPr="00476D2E">
        <w:rPr>
          <w:rFonts w:cs="Calibri"/>
          <w:spacing w:val="-1"/>
          <w:szCs w:val="22"/>
        </w:rPr>
        <w:t>e</w:t>
      </w:r>
      <w:r w:rsidRPr="00476D2E">
        <w:rPr>
          <w:rFonts w:cs="Calibri"/>
          <w:szCs w:val="22"/>
        </w:rPr>
        <w:t>ti</w:t>
      </w:r>
      <w:r w:rsidRPr="00476D2E">
        <w:rPr>
          <w:rFonts w:cs="Calibri"/>
          <w:spacing w:val="35"/>
          <w:szCs w:val="22"/>
        </w:rPr>
        <w:t xml:space="preserve"> </w:t>
      </w:r>
      <w:r w:rsidRPr="00476D2E">
        <w:rPr>
          <w:rFonts w:cs="Calibri"/>
          <w:szCs w:val="22"/>
        </w:rPr>
        <w:t>vjetor fillestar i Ministrisë së Turizmit dhe Mjedisit u rishik</w:t>
      </w:r>
      <w:r>
        <w:rPr>
          <w:rFonts w:cs="Calibri"/>
          <w:szCs w:val="22"/>
        </w:rPr>
        <w:t>ua në rritje +13</w:t>
      </w:r>
      <w:r w:rsidRPr="00476D2E">
        <w:rPr>
          <w:rFonts w:cs="Calibri"/>
          <w:szCs w:val="22"/>
        </w:rPr>
        <w:t xml:space="preserve">%, ose </w:t>
      </w:r>
      <w:r>
        <w:rPr>
          <w:rFonts w:cs="Calibri"/>
          <w:szCs w:val="22"/>
        </w:rPr>
        <w:t xml:space="preserve">284 milionë lekë shtesë. </w:t>
      </w:r>
      <w:r w:rsidRPr="00476D2E">
        <w:rPr>
          <w:rFonts w:cs="Calibri"/>
          <w:szCs w:val="22"/>
        </w:rPr>
        <w:t xml:space="preserve">Realizimi faktik ishte </w:t>
      </w:r>
      <w:r>
        <w:rPr>
          <w:rFonts w:cs="Calibri"/>
          <w:color w:val="000000"/>
          <w:szCs w:val="22"/>
        </w:rPr>
        <w:t>2.51</w:t>
      </w:r>
      <w:r w:rsidRPr="00476D2E">
        <w:rPr>
          <w:rFonts w:cs="Calibri"/>
          <w:color w:val="000000"/>
          <w:szCs w:val="22"/>
        </w:rPr>
        <w:t xml:space="preserve"> miliardë</w:t>
      </w:r>
      <w:r>
        <w:rPr>
          <w:rFonts w:cs="Calibri"/>
          <w:szCs w:val="22"/>
        </w:rPr>
        <w:t xml:space="preserve"> lekë, ose 111</w:t>
      </w:r>
      <w:r w:rsidRPr="00476D2E">
        <w:rPr>
          <w:rFonts w:cs="Calibri"/>
          <w:szCs w:val="22"/>
        </w:rPr>
        <w:t xml:space="preserve">% e buxhetit fillestar dhe </w:t>
      </w:r>
      <w:r>
        <w:rPr>
          <w:rFonts w:cs="Calibri"/>
          <w:szCs w:val="22"/>
        </w:rPr>
        <w:t>99% e</w:t>
      </w:r>
      <w:r w:rsidRPr="00476D2E">
        <w:rPr>
          <w:rFonts w:cs="Calibri"/>
          <w:szCs w:val="22"/>
        </w:rPr>
        <w:t xml:space="preserve"> buxhetit të rishikuar. </w:t>
      </w:r>
      <w:r w:rsidRPr="00476D2E">
        <w:rPr>
          <w:rFonts w:cs="Calibri"/>
          <w:spacing w:val="-2"/>
          <w:szCs w:val="22"/>
        </w:rPr>
        <w:t>Real</w:t>
      </w:r>
      <w:r w:rsidRPr="00476D2E">
        <w:rPr>
          <w:rFonts w:cs="Calibri"/>
          <w:spacing w:val="1"/>
          <w:szCs w:val="22"/>
        </w:rPr>
        <w:t>iz</w:t>
      </w:r>
      <w:r w:rsidRPr="00476D2E">
        <w:rPr>
          <w:rFonts w:cs="Calibri"/>
          <w:szCs w:val="22"/>
        </w:rPr>
        <w:t>i</w:t>
      </w:r>
      <w:r w:rsidRPr="00476D2E">
        <w:rPr>
          <w:rFonts w:cs="Calibri"/>
          <w:spacing w:val="1"/>
          <w:szCs w:val="22"/>
        </w:rPr>
        <w:t>m</w:t>
      </w:r>
      <w:r w:rsidRPr="00476D2E">
        <w:rPr>
          <w:rFonts w:cs="Calibri"/>
          <w:spacing w:val="-1"/>
          <w:szCs w:val="22"/>
        </w:rPr>
        <w:t>i</w:t>
      </w:r>
      <w:r w:rsidRPr="00476D2E">
        <w:rPr>
          <w:rFonts w:cs="Calibri"/>
          <w:spacing w:val="10"/>
          <w:szCs w:val="22"/>
        </w:rPr>
        <w:t xml:space="preserve"> </w:t>
      </w:r>
      <w:r w:rsidRPr="00476D2E">
        <w:rPr>
          <w:rFonts w:cs="Calibri"/>
          <w:spacing w:val="2"/>
          <w:szCs w:val="22"/>
        </w:rPr>
        <w:t>i</w:t>
      </w:r>
      <w:r w:rsidRPr="00476D2E">
        <w:rPr>
          <w:rFonts w:cs="Calibri"/>
          <w:spacing w:val="11"/>
          <w:szCs w:val="22"/>
        </w:rPr>
        <w:t xml:space="preserve"> </w:t>
      </w:r>
      <w:r w:rsidRPr="00476D2E">
        <w:rPr>
          <w:rFonts w:cs="Calibri"/>
          <w:szCs w:val="22"/>
        </w:rPr>
        <w:t>shpe</w:t>
      </w:r>
      <w:r w:rsidRPr="00476D2E">
        <w:rPr>
          <w:rFonts w:cs="Calibri"/>
          <w:spacing w:val="-1"/>
          <w:szCs w:val="22"/>
        </w:rPr>
        <w:t>n</w:t>
      </w:r>
      <w:r w:rsidRPr="00476D2E">
        <w:rPr>
          <w:rFonts w:cs="Calibri"/>
          <w:spacing w:val="1"/>
          <w:szCs w:val="22"/>
        </w:rPr>
        <w:t>z</w:t>
      </w:r>
      <w:r w:rsidRPr="00476D2E">
        <w:rPr>
          <w:rFonts w:cs="Calibri"/>
          <w:szCs w:val="22"/>
        </w:rPr>
        <w:t>i</w:t>
      </w:r>
      <w:r w:rsidRPr="00476D2E">
        <w:rPr>
          <w:rFonts w:cs="Calibri"/>
          <w:spacing w:val="1"/>
          <w:szCs w:val="22"/>
        </w:rPr>
        <w:t>m</w:t>
      </w:r>
      <w:r w:rsidRPr="00476D2E">
        <w:rPr>
          <w:rFonts w:cs="Calibri"/>
          <w:szCs w:val="22"/>
        </w:rPr>
        <w:t>eve</w:t>
      </w:r>
      <w:r w:rsidRPr="00476D2E">
        <w:rPr>
          <w:rFonts w:cs="Calibri"/>
          <w:spacing w:val="12"/>
          <w:szCs w:val="22"/>
        </w:rPr>
        <w:t xml:space="preserve"> </w:t>
      </w:r>
      <w:r w:rsidRPr="00476D2E">
        <w:rPr>
          <w:rFonts w:cs="Calibri"/>
          <w:szCs w:val="22"/>
        </w:rPr>
        <w:t>kor</w:t>
      </w:r>
      <w:r w:rsidRPr="00476D2E">
        <w:rPr>
          <w:rFonts w:cs="Calibri"/>
          <w:spacing w:val="-1"/>
          <w:szCs w:val="22"/>
        </w:rPr>
        <w:t>re</w:t>
      </w:r>
      <w:r w:rsidRPr="00476D2E">
        <w:rPr>
          <w:rFonts w:cs="Calibri"/>
          <w:szCs w:val="22"/>
        </w:rPr>
        <w:t>nte</w:t>
      </w:r>
      <w:r w:rsidRPr="00476D2E">
        <w:rPr>
          <w:rFonts w:cs="Calibri"/>
          <w:spacing w:val="12"/>
          <w:szCs w:val="22"/>
        </w:rPr>
        <w:t xml:space="preserve"> </w:t>
      </w:r>
      <w:r w:rsidRPr="00476D2E">
        <w:rPr>
          <w:rFonts w:cs="Calibri"/>
          <w:szCs w:val="22"/>
        </w:rPr>
        <w:t xml:space="preserve">ishte </w:t>
      </w:r>
      <w:r>
        <w:rPr>
          <w:rFonts w:cs="Calibri"/>
          <w:spacing w:val="11"/>
          <w:szCs w:val="22"/>
        </w:rPr>
        <w:t>100</w:t>
      </w:r>
      <w:r w:rsidRPr="00476D2E">
        <w:rPr>
          <w:rFonts w:cs="Calibri"/>
          <w:color w:val="000000"/>
          <w:spacing w:val="-1"/>
          <w:szCs w:val="22"/>
        </w:rPr>
        <w:t>%</w:t>
      </w:r>
      <w:r w:rsidRPr="00476D2E">
        <w:rPr>
          <w:rFonts w:cs="Calibri"/>
          <w:color w:val="000000"/>
          <w:szCs w:val="22"/>
        </w:rPr>
        <w:t xml:space="preserve"> e planit fillestar dhe i</w:t>
      </w:r>
      <w:r w:rsidRPr="00476D2E">
        <w:rPr>
          <w:rFonts w:cs="Calibri"/>
          <w:color w:val="000000"/>
          <w:spacing w:val="12"/>
          <w:szCs w:val="22"/>
        </w:rPr>
        <w:t xml:space="preserve"> </w:t>
      </w:r>
      <w:r w:rsidRPr="00476D2E">
        <w:rPr>
          <w:rFonts w:cs="Calibri"/>
          <w:color w:val="000000"/>
          <w:szCs w:val="22"/>
        </w:rPr>
        <w:t>investim</w:t>
      </w:r>
      <w:r w:rsidRPr="00476D2E">
        <w:rPr>
          <w:rFonts w:cs="Calibri"/>
          <w:color w:val="000000"/>
          <w:spacing w:val="-3"/>
          <w:szCs w:val="22"/>
        </w:rPr>
        <w:t>e</w:t>
      </w:r>
      <w:r w:rsidRPr="00476D2E">
        <w:rPr>
          <w:rFonts w:cs="Calibri"/>
          <w:color w:val="000000"/>
          <w:szCs w:val="22"/>
        </w:rPr>
        <w:t xml:space="preserve">ve </w:t>
      </w:r>
      <w:r>
        <w:rPr>
          <w:rFonts w:cs="Calibri"/>
          <w:color w:val="000000"/>
          <w:spacing w:val="1"/>
          <w:szCs w:val="22"/>
        </w:rPr>
        <w:t>22</w:t>
      </w:r>
      <w:r w:rsidRPr="00476D2E">
        <w:rPr>
          <w:rFonts w:cs="Calibri"/>
          <w:color w:val="000000"/>
          <w:spacing w:val="1"/>
          <w:szCs w:val="22"/>
        </w:rPr>
        <w:t xml:space="preserve">% më </w:t>
      </w:r>
      <w:r>
        <w:rPr>
          <w:rFonts w:cs="Calibri"/>
          <w:color w:val="000000"/>
          <w:spacing w:val="1"/>
          <w:szCs w:val="22"/>
        </w:rPr>
        <w:t>shumë se plani fillestar, por 2</w:t>
      </w:r>
      <w:r w:rsidRPr="00476D2E">
        <w:rPr>
          <w:rFonts w:cs="Calibri"/>
          <w:color w:val="000000"/>
          <w:spacing w:val="1"/>
          <w:szCs w:val="22"/>
        </w:rPr>
        <w:t xml:space="preserve">% më shumë se i rishikuari. </w:t>
      </w:r>
      <w:r w:rsidRPr="00AF5A57">
        <w:rPr>
          <w:rFonts w:cs="Calibri"/>
          <w:spacing w:val="1"/>
          <w:szCs w:val="22"/>
        </w:rPr>
        <w:t xml:space="preserve">Mbirealizimi erdhi si pasojë e ecurisë më të mirë se parashikimet me projektet me financim të huaj në fushën e mbrojtjes së mjedisit dhe administrimit të pyjeve. </w:t>
      </w:r>
    </w:p>
    <w:p w:rsidR="00BC41C3" w:rsidRDefault="00BC41C3" w:rsidP="00BC41C3">
      <w:pPr>
        <w:rPr>
          <w:rFonts w:cs="Calibri"/>
          <w:lang w:val="sq-AL"/>
        </w:rPr>
      </w:pPr>
      <w:r w:rsidRPr="00476D2E">
        <w:rPr>
          <w:rFonts w:cs="Calibri"/>
          <w:lang w:val="sq-AL"/>
        </w:rPr>
        <w:lastRenderedPageBreak/>
        <w:t xml:space="preserve">Në programin </w:t>
      </w:r>
      <w:r w:rsidRPr="00476D2E">
        <w:rPr>
          <w:rFonts w:cs="Calibri"/>
          <w:b/>
          <w:lang w:val="sq-AL"/>
        </w:rPr>
        <w:t>“Mbrojtja e Mjedisit”</w:t>
      </w:r>
      <w:r>
        <w:rPr>
          <w:rFonts w:cs="Calibri"/>
          <w:lang w:val="sq-AL"/>
        </w:rPr>
        <w:t xml:space="preserve"> </w:t>
      </w:r>
      <w:r w:rsidRPr="006E0CF7">
        <w:rPr>
          <w:rFonts w:cs="Calibri"/>
          <w:lang w:val="sq-AL"/>
        </w:rPr>
        <w:t xml:space="preserve">për vitin 2021, fondet e akorduara nga buxheti i shtetit  janë realizuar në masën 92% kundrejt fondeve vjetore te planifikuara. </w:t>
      </w:r>
      <w:r w:rsidRPr="00476D2E">
        <w:rPr>
          <w:rFonts w:cs="Calibri"/>
          <w:lang w:val="sq-AL"/>
        </w:rPr>
        <w:t xml:space="preserve"> </w:t>
      </w:r>
    </w:p>
    <w:p w:rsidR="00BC41C3" w:rsidRDefault="00BC41C3" w:rsidP="00842F80">
      <w:pPr>
        <w:pStyle w:val="ListParagraph"/>
        <w:numPr>
          <w:ilvl w:val="0"/>
          <w:numId w:val="27"/>
        </w:numPr>
        <w:shd w:val="clear" w:color="auto" w:fill="FFFFFF" w:themeFill="background1"/>
        <w:spacing w:before="0" w:line="240" w:lineRule="auto"/>
        <w:rPr>
          <w:rFonts w:asciiTheme="majorHAnsi" w:hAnsiTheme="majorHAnsi" w:cs="Calibri Light"/>
          <w:bCs/>
          <w:i/>
          <w:szCs w:val="22"/>
          <w:lang w:val="sq-AL" w:eastAsia="en-GB"/>
        </w:rPr>
      </w:pPr>
      <w:r w:rsidRPr="00BC41C3">
        <w:rPr>
          <w:rFonts w:asciiTheme="majorHAnsi" w:hAnsiTheme="majorHAnsi" w:cs="Calibri Light"/>
          <w:bCs/>
          <w:i/>
          <w:szCs w:val="22"/>
          <w:lang w:val="sq-AL" w:eastAsia="en-GB"/>
        </w:rPr>
        <w:t xml:space="preserve">Përmirësimi i cilësisë së mjedisit, ajrit, mbrojtja e natyrës dhe biodiversitetit janë ndjekur nëpërmjet realizimit të 1340 inspektimeve dhe 354 raporteve të monitorimit për parandalimin e përkeqësimit të shfrytëzimit pa kriter të burimeve ujore, të ndotjes se ujit, ajrit dhe tokës. </w:t>
      </w:r>
    </w:p>
    <w:p w:rsidR="00BC41C3" w:rsidRPr="00BC41C3" w:rsidRDefault="00BC41C3" w:rsidP="00842F80">
      <w:pPr>
        <w:pStyle w:val="ListParagraph"/>
        <w:numPr>
          <w:ilvl w:val="0"/>
          <w:numId w:val="27"/>
        </w:numPr>
        <w:shd w:val="clear" w:color="auto" w:fill="FFFFFF" w:themeFill="background1"/>
        <w:spacing w:before="0" w:line="240" w:lineRule="auto"/>
        <w:rPr>
          <w:rFonts w:asciiTheme="majorHAnsi" w:hAnsiTheme="majorHAnsi" w:cs="Calibri Light"/>
          <w:bCs/>
          <w:i/>
          <w:szCs w:val="22"/>
          <w:lang w:val="sq-AL" w:eastAsia="en-GB"/>
        </w:rPr>
      </w:pPr>
      <w:r w:rsidRPr="00BC41C3">
        <w:rPr>
          <w:rFonts w:asciiTheme="majorHAnsi" w:hAnsiTheme="majorHAnsi" w:cs="Calibri Light"/>
          <w:bCs/>
          <w:i/>
          <w:szCs w:val="22"/>
          <w:lang w:val="sq-AL" w:eastAsia="en-GB"/>
        </w:rPr>
        <w:t xml:space="preserve">Në këtë program janë shqyrtuar aplikime për leje mjedisore në masën 91% përkundrejt parashikimit. </w:t>
      </w:r>
    </w:p>
    <w:p w:rsidR="00BC41C3" w:rsidRPr="00476D2E" w:rsidRDefault="00C52DFD" w:rsidP="00BC41C3">
      <w:pPr>
        <w:rPr>
          <w:rFonts w:cs="Calibri"/>
          <w:lang w:val="sq-AL"/>
        </w:rPr>
      </w:pPr>
      <w:r>
        <w:rPr>
          <w:lang w:val="sq-AL"/>
        </w:rPr>
        <w:t>Në programin</w:t>
      </w:r>
      <w:r>
        <w:rPr>
          <w:b/>
          <w:bCs/>
          <w:lang w:val="sq-AL"/>
        </w:rPr>
        <w:t xml:space="preserve"> “Administrimi i Pyjeve”</w:t>
      </w:r>
      <w:r>
        <w:rPr>
          <w:lang w:val="sq-AL"/>
        </w:rPr>
        <w:t xml:space="preserve"> me fondet e akorduara nga buxheti i shtetit gjatë vitit 2021, është realizuar objektivi i politikës së këtij programi nëpërmjet hartimit të planeve të menaxhimit për 90% të zonave të mbrojtura dhe 100% të planeve të mbarështrimit për sipërfaqet e fondit pyjor dhe kullosor. Gjatë vitit 2021 kanë hyrë 4.29 milionë turistë në zonat e mbrojtura dhe janë regjistruar 1,083,871 ha pyje dhe kullota</w:t>
      </w:r>
      <w:r w:rsidR="00BC41C3" w:rsidRPr="00476D2E">
        <w:rPr>
          <w:rFonts w:cs="Calibri"/>
          <w:lang w:val="sq-AL"/>
        </w:rPr>
        <w:t>.</w:t>
      </w:r>
    </w:p>
    <w:p w:rsidR="007B7B50" w:rsidRPr="00476D2E" w:rsidRDefault="00641747" w:rsidP="007B7B50">
      <w:pPr>
        <w:shd w:val="clear" w:color="auto" w:fill="FFFFFF" w:themeFill="background1"/>
        <w:rPr>
          <w:rFonts w:cs="Calibri"/>
          <w:lang w:val="sq-AL"/>
        </w:rPr>
      </w:pPr>
      <w:r>
        <w:rPr>
          <w:lang w:val="sq-AL"/>
        </w:rPr>
        <w:t xml:space="preserve">Në programin </w:t>
      </w:r>
      <w:r>
        <w:rPr>
          <w:b/>
          <w:bCs/>
          <w:lang w:val="sq-AL"/>
        </w:rPr>
        <w:t xml:space="preserve">“Zhvillimi i Turizmit” </w:t>
      </w:r>
      <w:r>
        <w:rPr>
          <w:lang w:val="sq-AL"/>
        </w:rPr>
        <w:t>është realizuar objektivi i kthimit të Shqipërisë në një destinacion tërheqës turistik, cilësor dhe të qëndrueshëm, duke shfrytëzuar potencialet dhe burimet lokale. Pavarësisht goditjes nga pandemia, gjatë vitit 2021 kanë hyrë 5.68 milionë shtetas të huaj në Shqipëri, nga të cilët janë 3.3 milionë turistë brenda sezonit veror dhe 2.38 jashtë sezonit veror dhe 243 struktura akomoduese kanë marrë certifikatën e kategorizimit</w:t>
      </w:r>
      <w:r w:rsidR="00BC41C3" w:rsidRPr="00476D2E">
        <w:rPr>
          <w:rFonts w:cs="Calibri"/>
          <w:lang w:val="sq-AL"/>
        </w:rPr>
        <w:t>.</w:t>
      </w:r>
    </w:p>
    <w:p w:rsidR="006D6D0A" w:rsidRPr="006D6D0A" w:rsidRDefault="00516438" w:rsidP="006D6D0A">
      <w:pPr>
        <w:shd w:val="clear" w:color="auto" w:fill="FFFFFF" w:themeFill="background1"/>
        <w:rPr>
          <w:rFonts w:asciiTheme="majorHAnsi" w:eastAsiaTheme="minorHAnsi" w:hAnsiTheme="majorHAnsi" w:cs="Calibri Light"/>
          <w:szCs w:val="22"/>
          <w:lang w:val="sq-AL"/>
        </w:rPr>
      </w:pPr>
      <w:r w:rsidRPr="006D6D0A">
        <w:rPr>
          <w:rFonts w:asciiTheme="majorHAnsi" w:eastAsiaTheme="minorHAnsi" w:hAnsiTheme="majorHAnsi" w:cs="Calibri Light"/>
          <w:szCs w:val="22"/>
          <w:lang w:val="sq-AL"/>
        </w:rPr>
        <w:t xml:space="preserve">Për sa i përket </w:t>
      </w:r>
      <w:r w:rsidRPr="006D6D0A">
        <w:rPr>
          <w:rFonts w:asciiTheme="majorHAnsi" w:eastAsiaTheme="minorHAnsi" w:hAnsiTheme="majorHAnsi" w:cs="Calibri Light"/>
          <w:b/>
          <w:bCs/>
          <w:szCs w:val="22"/>
          <w:lang w:val="sq-AL"/>
        </w:rPr>
        <w:t>investimeve publike,</w:t>
      </w:r>
      <w:r w:rsidRPr="006D6D0A">
        <w:rPr>
          <w:rFonts w:asciiTheme="majorHAnsi" w:eastAsiaTheme="minorHAnsi" w:hAnsiTheme="majorHAnsi" w:cs="Calibri Light"/>
          <w:szCs w:val="22"/>
          <w:lang w:val="sq-AL"/>
        </w:rPr>
        <w:t xml:space="preserve"> </w:t>
      </w:r>
      <w:r w:rsidR="006D6D0A" w:rsidRPr="006D6D0A">
        <w:rPr>
          <w:rFonts w:cs="Calibri"/>
          <w:lang w:val="sq-AL"/>
        </w:rPr>
        <w:t xml:space="preserve">realizimi në vitin 2021 ishte </w:t>
      </w:r>
      <w:r w:rsidR="001007C6">
        <w:rPr>
          <w:rFonts w:cs="Calibri"/>
          <w:lang w:val="sq-AL"/>
        </w:rPr>
        <w:t>85.1</w:t>
      </w:r>
      <w:r w:rsidR="006D6D0A" w:rsidRPr="006D6D0A">
        <w:rPr>
          <w:rFonts w:cs="Calibri"/>
          <w:lang w:val="sq-AL"/>
        </w:rPr>
        <w:t>% e buxhetit fillestar për projektet me financim të brendshëm (0.45 milard lekë)</w:t>
      </w:r>
      <w:r w:rsidR="006D6D0A" w:rsidRPr="006D6D0A">
        <w:rPr>
          <w:rFonts w:cs="Calibri"/>
          <w:bCs/>
          <w:iCs/>
          <w:lang w:val="sq-AL"/>
        </w:rPr>
        <w:t xml:space="preserve"> (96.4 % të planit vjetor të ndryshuar me AN nr.34)</w:t>
      </w:r>
      <w:r w:rsidR="006D6D0A" w:rsidRPr="006D6D0A">
        <w:rPr>
          <w:rFonts w:cs="Calibri"/>
          <w:lang w:val="sq-AL"/>
        </w:rPr>
        <w:t xml:space="preserve"> dhe </w:t>
      </w:r>
      <w:r w:rsidR="001007C6">
        <w:rPr>
          <w:rFonts w:cs="Calibri"/>
          <w:lang w:val="sq-AL"/>
        </w:rPr>
        <w:t>155.1</w:t>
      </w:r>
      <w:r w:rsidR="006D6D0A" w:rsidRPr="006D6D0A">
        <w:rPr>
          <w:rFonts w:cs="Calibri"/>
          <w:lang w:val="sq-AL"/>
        </w:rPr>
        <w:t xml:space="preserve">% e buxhetit fillestar për projektet me financim të huaj (0.9 miliardë lekë) </w:t>
      </w:r>
      <w:r w:rsidR="006D6D0A" w:rsidRPr="006D6D0A">
        <w:rPr>
          <w:rFonts w:cs="Calibri"/>
          <w:bCs/>
          <w:iCs/>
          <w:lang w:val="sq-AL"/>
        </w:rPr>
        <w:t>(105.3 % të planit vjetor të ndryshuar me AN nr.34).</w:t>
      </w:r>
      <w:r w:rsidR="006D6D0A" w:rsidRPr="006D6D0A">
        <w:rPr>
          <w:rFonts w:cs="Calibri"/>
          <w:lang w:val="sq-AL"/>
        </w:rPr>
        <w:t xml:space="preserve"> Buxheti i shpenzimeve kapitale pësoi disa ndryshime gjatë vitit, duke pakësuar shpenzimet me financim të brendshëm dhe duke rritur ato me financim të huaj. </w:t>
      </w:r>
      <w:r w:rsidR="006D6D0A" w:rsidRPr="006D6D0A">
        <w:rPr>
          <w:rFonts w:asciiTheme="majorHAnsi" w:eastAsiaTheme="minorHAnsi" w:hAnsiTheme="majorHAnsi" w:cs="Calibri Light"/>
          <w:szCs w:val="22"/>
          <w:lang w:val="sq-AL"/>
        </w:rPr>
        <w:t>Janë mbyllur kontratat e investimit si më poshtë, ku ndër më kryesoret veçojmë:</w:t>
      </w:r>
    </w:p>
    <w:p w:rsidR="006D6D0A" w:rsidRPr="006D6D0A" w:rsidRDefault="006D6D0A" w:rsidP="00842F80">
      <w:pPr>
        <w:pStyle w:val="ListParagraph"/>
        <w:numPr>
          <w:ilvl w:val="0"/>
          <w:numId w:val="33"/>
        </w:numPr>
        <w:spacing w:before="0" w:line="240" w:lineRule="auto"/>
        <w:rPr>
          <w:rFonts w:asciiTheme="majorHAnsi" w:eastAsiaTheme="minorHAnsi" w:hAnsiTheme="majorHAnsi" w:cs="Calibri Light"/>
          <w:i/>
          <w:szCs w:val="22"/>
          <w:lang w:val="sq-AL"/>
        </w:rPr>
      </w:pPr>
      <w:r w:rsidRPr="006D6D0A">
        <w:rPr>
          <w:rFonts w:asciiTheme="majorHAnsi" w:eastAsiaTheme="minorHAnsi" w:hAnsiTheme="majorHAnsi" w:cs="Calibri Light"/>
          <w:i/>
          <w:szCs w:val="22"/>
          <w:lang w:val="sq-AL"/>
        </w:rPr>
        <w:t xml:space="preserve">Përmirësimi i situatës mjedisore në zonën e peligrinazhit në parkun kombëtar të Tomorrit </w:t>
      </w:r>
      <w:r w:rsidRPr="006D6D0A">
        <w:rPr>
          <w:rFonts w:asciiTheme="majorHAnsi" w:hAnsiTheme="majorHAnsi" w:cs="Calibri Light"/>
          <w:i/>
          <w:color w:val="000000"/>
          <w:szCs w:val="22"/>
        </w:rPr>
        <w:t>53 milionë lekë;</w:t>
      </w:r>
    </w:p>
    <w:p w:rsidR="006D6D0A" w:rsidRPr="006D6D0A" w:rsidRDefault="006D6D0A" w:rsidP="00842F80">
      <w:pPr>
        <w:pStyle w:val="ListParagraph"/>
        <w:numPr>
          <w:ilvl w:val="0"/>
          <w:numId w:val="33"/>
        </w:numPr>
        <w:spacing w:before="0" w:line="240" w:lineRule="auto"/>
        <w:rPr>
          <w:rFonts w:asciiTheme="majorHAnsi" w:eastAsiaTheme="minorHAnsi" w:hAnsiTheme="majorHAnsi" w:cs="Calibri Light"/>
          <w:i/>
          <w:szCs w:val="22"/>
          <w:lang w:val="sq-AL"/>
        </w:rPr>
      </w:pPr>
      <w:r w:rsidRPr="006D6D0A">
        <w:rPr>
          <w:rFonts w:asciiTheme="majorHAnsi" w:eastAsiaTheme="minorHAnsi" w:hAnsiTheme="majorHAnsi" w:cs="Calibri Light"/>
          <w:i/>
          <w:szCs w:val="22"/>
          <w:lang w:val="sq-AL"/>
        </w:rPr>
        <w:t>Bova ankoruese të vendosura në gjatësinë e bregdetit Vlorë – Sarandë me vlerë 43 milionë lekë;</w:t>
      </w:r>
    </w:p>
    <w:p w:rsidR="006D6D0A" w:rsidRPr="006D6D0A" w:rsidRDefault="006D6D0A" w:rsidP="00842F80">
      <w:pPr>
        <w:pStyle w:val="ListParagraph"/>
        <w:numPr>
          <w:ilvl w:val="0"/>
          <w:numId w:val="33"/>
        </w:numPr>
        <w:spacing w:before="0" w:line="240" w:lineRule="auto"/>
        <w:rPr>
          <w:rFonts w:asciiTheme="majorHAnsi" w:eastAsiaTheme="minorHAnsi" w:hAnsiTheme="majorHAnsi" w:cs="Calibri Light"/>
          <w:i/>
          <w:szCs w:val="22"/>
          <w:lang w:val="sq-AL"/>
        </w:rPr>
      </w:pPr>
      <w:r w:rsidRPr="006D6D0A">
        <w:rPr>
          <w:rFonts w:asciiTheme="majorHAnsi" w:eastAsiaTheme="minorHAnsi" w:hAnsiTheme="majorHAnsi" w:cs="Calibri Light"/>
          <w:i/>
          <w:szCs w:val="22"/>
          <w:lang w:val="sq-AL"/>
        </w:rPr>
        <w:t>Rehabilitimi dhe pyllëzimi i objektit Makaresh-Zidoll në Zonën e Mbrojtur "Krastë Vrion", Krujë 35 milionë lekë.</w:t>
      </w:r>
    </w:p>
    <w:p w:rsidR="006D6D0A" w:rsidRPr="006D6D0A" w:rsidRDefault="006D6D0A" w:rsidP="006D6D0A">
      <w:pPr>
        <w:rPr>
          <w:rFonts w:asciiTheme="majorHAnsi" w:eastAsiaTheme="minorHAnsi" w:hAnsiTheme="majorHAnsi" w:cs="Calibri Light"/>
          <w:szCs w:val="22"/>
          <w:lang w:val="sq-AL"/>
        </w:rPr>
      </w:pPr>
      <w:r w:rsidRPr="006D6D0A">
        <w:rPr>
          <w:rFonts w:asciiTheme="majorHAnsi" w:hAnsiTheme="majorHAnsi" w:cs="Calibri Light"/>
          <w:color w:val="000000"/>
          <w:szCs w:val="22"/>
        </w:rPr>
        <w:t>Gjithashtu, janë mbyllur disa kontrata me Financim të Huaj si më poshtë:</w:t>
      </w:r>
    </w:p>
    <w:p w:rsidR="006D6D0A" w:rsidRPr="006D6D0A" w:rsidRDefault="006D6D0A" w:rsidP="00842F80">
      <w:pPr>
        <w:pStyle w:val="ListParagraph"/>
        <w:numPr>
          <w:ilvl w:val="0"/>
          <w:numId w:val="33"/>
        </w:numPr>
        <w:spacing w:before="0" w:line="240" w:lineRule="auto"/>
        <w:rPr>
          <w:rFonts w:asciiTheme="majorHAnsi" w:eastAsiaTheme="minorHAnsi" w:hAnsiTheme="majorHAnsi" w:cs="Calibri Light"/>
          <w:i/>
          <w:szCs w:val="22"/>
          <w:lang w:val="sq-AL"/>
        </w:rPr>
      </w:pPr>
      <w:r w:rsidRPr="006D6D0A">
        <w:rPr>
          <w:rFonts w:asciiTheme="majorHAnsi" w:eastAsiaTheme="minorHAnsi" w:hAnsiTheme="majorHAnsi" w:cs="Calibri Light"/>
          <w:i/>
          <w:szCs w:val="22"/>
          <w:lang w:val="sq-AL"/>
        </w:rPr>
        <w:t>Projekti i Shërbimeve Mjedisore - KREDI IBRD me vlerë 1200 milionë lekë;</w:t>
      </w:r>
    </w:p>
    <w:p w:rsidR="006D6D0A" w:rsidRPr="006D6D0A" w:rsidRDefault="006D6D0A" w:rsidP="00842F80">
      <w:pPr>
        <w:pStyle w:val="ListParagraph"/>
        <w:numPr>
          <w:ilvl w:val="0"/>
          <w:numId w:val="33"/>
        </w:numPr>
        <w:spacing w:before="0" w:line="240" w:lineRule="auto"/>
        <w:rPr>
          <w:rFonts w:asciiTheme="majorHAnsi" w:eastAsiaTheme="minorHAnsi" w:hAnsiTheme="majorHAnsi" w:cs="Calibri Light"/>
          <w:i/>
          <w:szCs w:val="22"/>
          <w:lang w:val="sq-AL"/>
        </w:rPr>
      </w:pPr>
      <w:r w:rsidRPr="006D6D0A">
        <w:rPr>
          <w:rFonts w:asciiTheme="majorHAnsi" w:eastAsiaTheme="minorHAnsi" w:hAnsiTheme="majorHAnsi" w:cs="Calibri Light"/>
          <w:i/>
          <w:szCs w:val="22"/>
          <w:lang w:val="sq-AL"/>
        </w:rPr>
        <w:t>Projekti i Shërbimeve Mjedisore - GRANDI SIDA me vlerë 1116 milionë lekë;</w:t>
      </w:r>
      <w:r w:rsidRPr="006D6D0A">
        <w:rPr>
          <w:rFonts w:asciiTheme="majorHAnsi" w:eastAsiaTheme="minorHAnsi" w:hAnsiTheme="majorHAnsi" w:cs="Calibri Light"/>
          <w:i/>
          <w:szCs w:val="22"/>
          <w:lang w:val="sq-AL"/>
        </w:rPr>
        <w:tab/>
      </w:r>
    </w:p>
    <w:p w:rsidR="006D6D0A" w:rsidRPr="006D6D0A" w:rsidRDefault="006D6D0A" w:rsidP="00842F80">
      <w:pPr>
        <w:pStyle w:val="ListParagraph"/>
        <w:numPr>
          <w:ilvl w:val="0"/>
          <w:numId w:val="33"/>
        </w:numPr>
        <w:spacing w:before="0" w:line="240" w:lineRule="auto"/>
        <w:rPr>
          <w:rFonts w:asciiTheme="majorHAnsi" w:eastAsiaTheme="minorHAnsi" w:hAnsiTheme="majorHAnsi" w:cs="Calibri Light"/>
          <w:i/>
          <w:szCs w:val="22"/>
          <w:lang w:val="sq-AL"/>
        </w:rPr>
      </w:pPr>
      <w:r w:rsidRPr="006D6D0A">
        <w:rPr>
          <w:rFonts w:asciiTheme="majorHAnsi" w:eastAsiaTheme="minorHAnsi" w:hAnsiTheme="majorHAnsi" w:cs="Calibri Light"/>
          <w:i/>
          <w:szCs w:val="22"/>
          <w:lang w:val="sq-AL"/>
        </w:rPr>
        <w:t>Projekti i Shërbimeve Mjedisore - GRANDI GEF me vlerë 348 milionë lekë;</w:t>
      </w:r>
      <w:r w:rsidRPr="006D6D0A">
        <w:rPr>
          <w:rFonts w:asciiTheme="majorHAnsi" w:eastAsiaTheme="minorHAnsi" w:hAnsiTheme="majorHAnsi" w:cs="Calibri Light"/>
          <w:i/>
          <w:szCs w:val="22"/>
          <w:lang w:val="sq-AL"/>
        </w:rPr>
        <w:tab/>
      </w:r>
    </w:p>
    <w:p w:rsidR="006D6D0A" w:rsidRPr="006D6D0A" w:rsidRDefault="006D6D0A" w:rsidP="00842F80">
      <w:pPr>
        <w:pStyle w:val="ListParagraph"/>
        <w:numPr>
          <w:ilvl w:val="0"/>
          <w:numId w:val="33"/>
        </w:numPr>
        <w:spacing w:before="0" w:line="240" w:lineRule="auto"/>
        <w:rPr>
          <w:rFonts w:asciiTheme="majorHAnsi" w:eastAsiaTheme="minorHAnsi" w:hAnsiTheme="majorHAnsi" w:cs="Calibri Light"/>
          <w:i/>
          <w:szCs w:val="22"/>
          <w:lang w:val="sq-AL"/>
        </w:rPr>
      </w:pPr>
      <w:r w:rsidRPr="006D6D0A">
        <w:rPr>
          <w:rFonts w:asciiTheme="majorHAnsi" w:eastAsiaTheme="minorHAnsi" w:hAnsiTheme="majorHAnsi" w:cs="Calibri Light"/>
          <w:i/>
          <w:szCs w:val="22"/>
          <w:lang w:val="sq-AL"/>
        </w:rPr>
        <w:t>Kune-Vain – Grant me vlerë 248 milionë lekë.</w:t>
      </w:r>
      <w:r w:rsidRPr="006D6D0A">
        <w:rPr>
          <w:rFonts w:asciiTheme="majorHAnsi" w:eastAsiaTheme="minorHAnsi" w:hAnsiTheme="majorHAnsi" w:cs="Calibri Light"/>
          <w:i/>
          <w:szCs w:val="22"/>
          <w:lang w:val="sq-AL"/>
        </w:rPr>
        <w:tab/>
      </w:r>
    </w:p>
    <w:p w:rsidR="006D6D0A" w:rsidRPr="006D6D0A" w:rsidRDefault="006D6D0A" w:rsidP="00842F80">
      <w:pPr>
        <w:pStyle w:val="ListParagraph"/>
        <w:numPr>
          <w:ilvl w:val="0"/>
          <w:numId w:val="33"/>
        </w:numPr>
        <w:spacing w:before="0" w:line="240" w:lineRule="auto"/>
        <w:rPr>
          <w:rFonts w:asciiTheme="majorHAnsi" w:eastAsiaTheme="minorHAnsi" w:hAnsiTheme="majorHAnsi" w:cs="Calibri Light"/>
          <w:i/>
          <w:szCs w:val="22"/>
          <w:lang w:val="sq-AL"/>
        </w:rPr>
      </w:pPr>
      <w:r w:rsidRPr="006D6D0A">
        <w:rPr>
          <w:rFonts w:asciiTheme="majorHAnsi" w:eastAsiaTheme="minorHAnsi" w:hAnsiTheme="majorHAnsi" w:cs="Calibri Light"/>
          <w:i/>
          <w:szCs w:val="22"/>
          <w:lang w:val="sq-AL"/>
        </w:rPr>
        <w:t>ALL TOUR- Paketa turistike të zhvilluara për turizmin kulturor dhe natyror me vlerë 18 milionë lekë;</w:t>
      </w:r>
    </w:p>
    <w:p w:rsidR="007B7B50" w:rsidRDefault="007B7B50" w:rsidP="006D6D0A">
      <w:pPr>
        <w:shd w:val="clear" w:color="auto" w:fill="FFFFFF" w:themeFill="background1"/>
        <w:rPr>
          <w:rFonts w:cs="Calibri"/>
          <w:lang w:val="sq-AL"/>
        </w:rPr>
      </w:pPr>
    </w:p>
    <w:p w:rsidR="006D6D0A" w:rsidRDefault="006D6D0A" w:rsidP="006D6D0A">
      <w:pPr>
        <w:shd w:val="clear" w:color="auto" w:fill="FFFFFF" w:themeFill="background1"/>
        <w:rPr>
          <w:rFonts w:cs="Calibri"/>
          <w:lang w:val="sq-AL"/>
        </w:rPr>
      </w:pPr>
    </w:p>
    <w:p w:rsidR="00AB7A9F" w:rsidRDefault="00AB7A9F" w:rsidP="006D6D0A">
      <w:pPr>
        <w:shd w:val="clear" w:color="auto" w:fill="FFFFFF" w:themeFill="background1"/>
        <w:rPr>
          <w:rFonts w:cs="Calibri"/>
          <w:lang w:val="sq-AL"/>
        </w:rPr>
      </w:pPr>
    </w:p>
    <w:p w:rsidR="00AB7A9F" w:rsidRDefault="00AB7A9F" w:rsidP="006D6D0A">
      <w:pPr>
        <w:shd w:val="clear" w:color="auto" w:fill="FFFFFF" w:themeFill="background1"/>
        <w:rPr>
          <w:rFonts w:cs="Calibri"/>
          <w:lang w:val="sq-AL"/>
        </w:rPr>
      </w:pPr>
    </w:p>
    <w:p w:rsidR="00AB7A9F" w:rsidRDefault="00AB7A9F" w:rsidP="006D6D0A">
      <w:pPr>
        <w:shd w:val="clear" w:color="auto" w:fill="FFFFFF" w:themeFill="background1"/>
        <w:rPr>
          <w:rFonts w:cs="Calibri"/>
          <w:lang w:val="sq-AL"/>
        </w:rPr>
      </w:pPr>
    </w:p>
    <w:p w:rsidR="00AB7A9F" w:rsidRDefault="00AB7A9F" w:rsidP="006D6D0A">
      <w:pPr>
        <w:shd w:val="clear" w:color="auto" w:fill="FFFFFF" w:themeFill="background1"/>
        <w:rPr>
          <w:rFonts w:cs="Calibri"/>
          <w:lang w:val="sq-AL"/>
        </w:rPr>
      </w:pPr>
    </w:p>
    <w:p w:rsidR="00AB7A9F" w:rsidRDefault="00AB7A9F" w:rsidP="006D6D0A">
      <w:pPr>
        <w:shd w:val="clear" w:color="auto" w:fill="FFFFFF" w:themeFill="background1"/>
        <w:rPr>
          <w:rFonts w:cs="Calibri"/>
          <w:lang w:val="sq-AL"/>
        </w:rPr>
      </w:pPr>
    </w:p>
    <w:p w:rsidR="00AB7A9F" w:rsidRDefault="00AB7A9F" w:rsidP="006D6D0A">
      <w:pPr>
        <w:shd w:val="clear" w:color="auto" w:fill="FFFFFF" w:themeFill="background1"/>
        <w:rPr>
          <w:rFonts w:cs="Calibri"/>
          <w:lang w:val="sq-AL"/>
        </w:rPr>
      </w:pPr>
    </w:p>
    <w:p w:rsidR="00AB7A9F" w:rsidRDefault="00AB7A9F" w:rsidP="006D6D0A">
      <w:pPr>
        <w:shd w:val="clear" w:color="auto" w:fill="FFFFFF" w:themeFill="background1"/>
        <w:rPr>
          <w:rFonts w:cs="Calibri"/>
          <w:lang w:val="sq-AL"/>
        </w:rPr>
      </w:pPr>
    </w:p>
    <w:p w:rsidR="006D6D0A" w:rsidRDefault="006D6D0A" w:rsidP="006D6D0A">
      <w:pPr>
        <w:shd w:val="clear" w:color="auto" w:fill="FFFFFF" w:themeFill="background1"/>
        <w:rPr>
          <w:rFonts w:cs="Calibri"/>
          <w:lang w:val="sq-AL"/>
        </w:rPr>
      </w:pPr>
    </w:p>
    <w:p w:rsidR="007B7B50" w:rsidRPr="00476D2E" w:rsidRDefault="007B7B50" w:rsidP="007B7B50">
      <w:pPr>
        <w:pStyle w:val="fiskale3"/>
        <w:rPr>
          <w:rFonts w:ascii="Calibri" w:hAnsi="Calibri" w:cs="Calibri"/>
          <w:b/>
        </w:rPr>
      </w:pPr>
      <w:bookmarkStart w:id="253" w:name="_Toc10033302"/>
      <w:bookmarkStart w:id="254" w:name="_Toc10721438"/>
      <w:bookmarkStart w:id="255" w:name="_Toc104980365"/>
      <w:r w:rsidRPr="00476D2E">
        <w:rPr>
          <w:rFonts w:ascii="Calibri" w:hAnsi="Calibri" w:cs="Calibri"/>
          <w:b/>
        </w:rPr>
        <w:lastRenderedPageBreak/>
        <w:t>Drejtësia</w:t>
      </w:r>
      <w:bookmarkEnd w:id="253"/>
      <w:bookmarkEnd w:id="254"/>
      <w:bookmarkEnd w:id="255"/>
    </w:p>
    <w:p w:rsidR="007B7B50" w:rsidRPr="00476D2E" w:rsidRDefault="007B7B50" w:rsidP="007B7B50">
      <w:pPr>
        <w:rPr>
          <w:rFonts w:cs="Calibri"/>
          <w:lang w:val="sq-AL"/>
        </w:rPr>
      </w:pPr>
      <w:r w:rsidRPr="00476D2E">
        <w:rPr>
          <w:rFonts w:cs="Calibri"/>
          <w:lang w:val="sq-AL"/>
        </w:rPr>
        <w:t xml:space="preserve">Performanca e treguesve buxhetorë për nëntë programet kryesore në Ministrinë </w:t>
      </w:r>
      <w:r w:rsidR="00F61F6A">
        <w:rPr>
          <w:rFonts w:cs="Calibri"/>
          <w:lang w:val="sq-AL"/>
        </w:rPr>
        <w:t xml:space="preserve">e </w:t>
      </w:r>
      <w:r w:rsidRPr="00476D2E">
        <w:rPr>
          <w:rFonts w:cs="Calibri"/>
          <w:lang w:val="sq-AL"/>
        </w:rPr>
        <w:t>Drejtësisë, paraqitet si mëposhtë:</w:t>
      </w:r>
    </w:p>
    <w:p w:rsidR="007B7B50" w:rsidRPr="00476D2E" w:rsidRDefault="007B7B50" w:rsidP="007B7B50">
      <w:pPr>
        <w:rPr>
          <w:rFonts w:cs="Calibri"/>
          <w:iCs/>
          <w:sz w:val="20"/>
          <w:szCs w:val="18"/>
          <w:u w:val="single"/>
          <w:lang w:val="sq-AL"/>
        </w:rPr>
      </w:pPr>
      <w:bookmarkStart w:id="256" w:name="_Toc104984098"/>
      <w:r w:rsidRPr="00476D2E">
        <w:rPr>
          <w:rFonts w:cs="Calibri"/>
          <w:i/>
          <w:iCs/>
          <w:sz w:val="18"/>
          <w:szCs w:val="18"/>
          <w:lang w:val="sq-AL"/>
        </w:rPr>
        <w:t xml:space="preserve">Tabela </w:t>
      </w:r>
      <w:r w:rsidRPr="00476D2E">
        <w:rPr>
          <w:rFonts w:cs="Calibri"/>
          <w:i/>
          <w:iCs/>
          <w:sz w:val="18"/>
          <w:szCs w:val="18"/>
          <w:lang w:val="sq-AL"/>
        </w:rPr>
        <w:fldChar w:fldCharType="begin"/>
      </w:r>
      <w:r w:rsidRPr="00476D2E">
        <w:rPr>
          <w:rFonts w:cs="Calibri"/>
          <w:i/>
          <w:iCs/>
          <w:sz w:val="18"/>
          <w:szCs w:val="18"/>
          <w:lang w:val="sq-AL"/>
        </w:rPr>
        <w:instrText xml:space="preserve"> SEQ Tabela \* ARABIC </w:instrText>
      </w:r>
      <w:r w:rsidRPr="00476D2E">
        <w:rPr>
          <w:rFonts w:cs="Calibri"/>
          <w:i/>
          <w:iCs/>
          <w:sz w:val="18"/>
          <w:szCs w:val="18"/>
          <w:lang w:val="sq-AL"/>
        </w:rPr>
        <w:fldChar w:fldCharType="separate"/>
      </w:r>
      <w:r w:rsidR="00276062">
        <w:rPr>
          <w:rFonts w:cs="Calibri"/>
          <w:i/>
          <w:iCs/>
          <w:noProof/>
          <w:sz w:val="18"/>
          <w:szCs w:val="18"/>
          <w:lang w:val="sq-AL"/>
        </w:rPr>
        <w:t>26</w:t>
      </w:r>
      <w:r w:rsidRPr="00476D2E">
        <w:rPr>
          <w:rFonts w:cs="Calibri"/>
          <w:i/>
          <w:iCs/>
          <w:noProof/>
          <w:sz w:val="18"/>
          <w:szCs w:val="18"/>
          <w:lang w:val="sq-AL"/>
        </w:rPr>
        <w:fldChar w:fldCharType="end"/>
      </w:r>
      <w:r w:rsidRPr="00476D2E">
        <w:rPr>
          <w:rFonts w:cs="Calibri"/>
          <w:i/>
          <w:iCs/>
          <w:sz w:val="18"/>
          <w:szCs w:val="18"/>
          <w:lang w:val="sq-AL"/>
        </w:rPr>
        <w:t xml:space="preserve"> Realizimi i buxhetit 202</w:t>
      </w:r>
      <w:r w:rsidR="006D6D0A">
        <w:rPr>
          <w:rFonts w:cs="Calibri"/>
          <w:i/>
          <w:iCs/>
          <w:sz w:val="18"/>
          <w:szCs w:val="18"/>
          <w:lang w:val="sq-AL"/>
        </w:rPr>
        <w:t>1</w:t>
      </w:r>
      <w:r w:rsidRPr="00476D2E">
        <w:rPr>
          <w:rFonts w:cs="Calibri"/>
          <w:i/>
          <w:iCs/>
          <w:sz w:val="18"/>
          <w:szCs w:val="18"/>
          <w:lang w:val="sq-AL"/>
        </w:rPr>
        <w:t xml:space="preserve"> për Ministrinë e Drejtësisë</w:t>
      </w:r>
      <w:bookmarkEnd w:id="256"/>
      <w:r w:rsidRPr="00476D2E">
        <w:rPr>
          <w:rFonts w:cs="Calibri"/>
          <w:i/>
          <w:iCs/>
          <w:sz w:val="20"/>
          <w:szCs w:val="18"/>
          <w:u w:val="single"/>
          <w:lang w:val="sq-AL"/>
        </w:rPr>
        <w:t xml:space="preserve"> </w:t>
      </w:r>
    </w:p>
    <w:tbl>
      <w:tblPr>
        <w:tblStyle w:val="GridTable1Light-Accent11"/>
        <w:tblW w:w="5715" w:type="pct"/>
        <w:jc w:val="center"/>
        <w:tblLook w:val="01E0" w:firstRow="1" w:lastRow="1" w:firstColumn="1" w:lastColumn="1" w:noHBand="0" w:noVBand="0"/>
      </w:tblPr>
      <w:tblGrid>
        <w:gridCol w:w="2629"/>
        <w:gridCol w:w="1089"/>
        <w:gridCol w:w="990"/>
        <w:gridCol w:w="1041"/>
        <w:gridCol w:w="990"/>
        <w:gridCol w:w="1038"/>
        <w:gridCol w:w="990"/>
        <w:gridCol w:w="798"/>
        <w:gridCol w:w="740"/>
        <w:gridCol w:w="666"/>
        <w:gridCol w:w="592"/>
      </w:tblGrid>
      <w:tr w:rsidR="009C50AD" w:rsidRPr="009C50AD" w:rsidTr="009C50AD">
        <w:trPr>
          <w:cnfStyle w:val="100000000000" w:firstRow="1" w:lastRow="0" w:firstColumn="0" w:lastColumn="0" w:oddVBand="0" w:evenVBand="0" w:oddHBand="0" w:evenHBand="0" w:firstRowFirstColumn="0" w:firstRowLastColumn="0" w:lastRowFirstColumn="0" w:lastRowLastColumn="0"/>
          <w:trHeight w:val="175"/>
          <w:jc w:val="center"/>
        </w:trPr>
        <w:tc>
          <w:tcPr>
            <w:cnfStyle w:val="001000000000" w:firstRow="0" w:lastRow="0" w:firstColumn="1" w:lastColumn="0" w:oddVBand="0" w:evenVBand="0" w:oddHBand="0" w:evenHBand="0" w:firstRowFirstColumn="0" w:firstRowLastColumn="0" w:lastRowFirstColumn="0" w:lastRowLastColumn="0"/>
            <w:tcW w:w="1137" w:type="pct"/>
            <w:shd w:val="clear" w:color="auto" w:fill="0B5294" w:themeFill="accent1" w:themeFillShade="BF"/>
          </w:tcPr>
          <w:p w:rsidR="009C50AD" w:rsidRDefault="009C50AD" w:rsidP="009C50AD">
            <w:pPr>
              <w:spacing w:before="0" w:line="240" w:lineRule="auto"/>
              <w:jc w:val="center"/>
              <w:rPr>
                <w:rFonts w:asciiTheme="majorHAnsi" w:hAnsiTheme="majorHAnsi"/>
                <w:color w:val="FFFFFF" w:themeColor="background1"/>
                <w:sz w:val="16"/>
                <w:szCs w:val="18"/>
                <w:lang w:val="sq-AL"/>
              </w:rPr>
            </w:pPr>
          </w:p>
          <w:p w:rsidR="009C50AD" w:rsidRPr="009C50AD" w:rsidRDefault="009C50AD" w:rsidP="009C50AD">
            <w:pPr>
              <w:spacing w:before="0" w:line="240" w:lineRule="auto"/>
              <w:jc w:val="center"/>
              <w:rPr>
                <w:rFonts w:asciiTheme="majorHAnsi" w:hAnsiTheme="majorHAnsi"/>
                <w:color w:val="FFFFFF" w:themeColor="background1"/>
                <w:sz w:val="16"/>
                <w:szCs w:val="18"/>
                <w:lang w:val="sq-AL"/>
              </w:rPr>
            </w:pPr>
            <w:r w:rsidRPr="009C50AD">
              <w:rPr>
                <w:rFonts w:asciiTheme="majorHAnsi" w:hAnsiTheme="majorHAnsi"/>
                <w:color w:val="FFFFFF" w:themeColor="background1"/>
                <w:sz w:val="16"/>
                <w:szCs w:val="18"/>
                <w:lang w:val="sq-AL"/>
              </w:rPr>
              <w:t>Programi buxhetor</w:t>
            </w:r>
          </w:p>
        </w:tc>
        <w:tc>
          <w:tcPr>
            <w:tcW w:w="899" w:type="pct"/>
            <w:gridSpan w:val="2"/>
            <w:shd w:val="clear" w:color="auto" w:fill="0B5294" w:themeFill="accent1" w:themeFillShade="BF"/>
          </w:tcPr>
          <w:p w:rsidR="009C50AD" w:rsidRDefault="009C50AD" w:rsidP="009C50A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16"/>
                <w:szCs w:val="18"/>
                <w:lang w:val="sq-AL"/>
              </w:rPr>
            </w:pPr>
          </w:p>
          <w:p w:rsidR="009C50AD" w:rsidRPr="009C50AD" w:rsidRDefault="009C50AD" w:rsidP="009C50A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16"/>
                <w:szCs w:val="18"/>
                <w:lang w:val="sq-AL"/>
              </w:rPr>
            </w:pPr>
            <w:r w:rsidRPr="009C50AD">
              <w:rPr>
                <w:rFonts w:asciiTheme="majorHAnsi" w:hAnsiTheme="majorHAnsi"/>
                <w:color w:val="FFFFFF" w:themeColor="background1"/>
                <w:sz w:val="16"/>
                <w:szCs w:val="18"/>
                <w:lang w:val="sq-AL"/>
              </w:rPr>
              <w:t>Plani fillestar 2021</w:t>
            </w:r>
          </w:p>
        </w:tc>
        <w:tc>
          <w:tcPr>
            <w:tcW w:w="878" w:type="pct"/>
            <w:gridSpan w:val="2"/>
            <w:shd w:val="clear" w:color="auto" w:fill="0B5294" w:themeFill="accent1" w:themeFillShade="BF"/>
          </w:tcPr>
          <w:p w:rsidR="009C50AD" w:rsidRDefault="009C50AD" w:rsidP="009C50A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16"/>
                <w:szCs w:val="18"/>
                <w:lang w:val="sq-AL"/>
              </w:rPr>
            </w:pPr>
          </w:p>
          <w:p w:rsidR="009C50AD" w:rsidRPr="009C50AD" w:rsidRDefault="009C50AD" w:rsidP="009C50A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16"/>
                <w:szCs w:val="18"/>
                <w:lang w:val="sq-AL"/>
              </w:rPr>
            </w:pPr>
            <w:r w:rsidRPr="009C50AD">
              <w:rPr>
                <w:rFonts w:asciiTheme="majorHAnsi" w:hAnsiTheme="majorHAnsi"/>
                <w:color w:val="FFFFFF" w:themeColor="background1"/>
                <w:sz w:val="16"/>
                <w:szCs w:val="18"/>
                <w:lang w:val="sq-AL"/>
              </w:rPr>
              <w:t>Plani i rishikuar 2021</w:t>
            </w:r>
          </w:p>
        </w:tc>
        <w:tc>
          <w:tcPr>
            <w:tcW w:w="877" w:type="pct"/>
            <w:gridSpan w:val="2"/>
            <w:shd w:val="clear" w:color="auto" w:fill="0B5294" w:themeFill="accent1" w:themeFillShade="BF"/>
          </w:tcPr>
          <w:p w:rsidR="009C50AD" w:rsidRDefault="009C50AD" w:rsidP="009C50A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16"/>
                <w:szCs w:val="18"/>
                <w:lang w:val="sq-AL"/>
              </w:rPr>
            </w:pPr>
          </w:p>
          <w:p w:rsidR="009C50AD" w:rsidRPr="009C50AD" w:rsidRDefault="009C50AD" w:rsidP="009C50A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16"/>
                <w:szCs w:val="18"/>
                <w:lang w:val="sq-AL"/>
              </w:rPr>
            </w:pPr>
            <w:r w:rsidRPr="009C50AD">
              <w:rPr>
                <w:rFonts w:asciiTheme="majorHAnsi" w:hAnsiTheme="majorHAnsi"/>
                <w:color w:val="FFFFFF" w:themeColor="background1"/>
                <w:sz w:val="16"/>
                <w:szCs w:val="18"/>
                <w:lang w:val="sq-AL"/>
              </w:rPr>
              <w:t>Fakti 2021</w:t>
            </w:r>
          </w:p>
        </w:tc>
        <w:tc>
          <w:tcPr>
            <w:tcW w:w="665" w:type="pct"/>
            <w:gridSpan w:val="2"/>
            <w:shd w:val="clear" w:color="auto" w:fill="0B5294" w:themeFill="accent1" w:themeFillShade="BF"/>
          </w:tcPr>
          <w:p w:rsidR="009C50AD" w:rsidRPr="009C50AD" w:rsidRDefault="009C50AD" w:rsidP="009C50A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sz w:val="16"/>
                <w:szCs w:val="18"/>
                <w:lang w:val="sq-AL"/>
              </w:rPr>
            </w:pPr>
            <w:r w:rsidRPr="009C50AD">
              <w:rPr>
                <w:rFonts w:asciiTheme="majorHAnsi" w:hAnsiTheme="majorHAnsi"/>
                <w:bCs w:val="0"/>
                <w:color w:val="FFFFFF" w:themeColor="background1"/>
                <w:sz w:val="16"/>
                <w:szCs w:val="18"/>
              </w:rPr>
              <w:t>Diferenca në % me planin fillestar</w:t>
            </w:r>
          </w:p>
        </w:tc>
        <w:tc>
          <w:tcPr>
            <w:cnfStyle w:val="000100000000" w:firstRow="0" w:lastRow="0" w:firstColumn="0" w:lastColumn="1" w:oddVBand="0" w:evenVBand="0" w:oddHBand="0" w:evenHBand="0" w:firstRowFirstColumn="0" w:firstRowLastColumn="0" w:lastRowFirstColumn="0" w:lastRowLastColumn="0"/>
            <w:tcW w:w="544" w:type="pct"/>
            <w:gridSpan w:val="2"/>
            <w:shd w:val="clear" w:color="auto" w:fill="0B5294" w:themeFill="accent1" w:themeFillShade="BF"/>
          </w:tcPr>
          <w:p w:rsidR="009C50AD" w:rsidRPr="009C50AD" w:rsidRDefault="009C50AD" w:rsidP="009C50AD">
            <w:pPr>
              <w:spacing w:before="0" w:line="240" w:lineRule="auto"/>
              <w:jc w:val="center"/>
              <w:rPr>
                <w:rFonts w:asciiTheme="majorHAnsi" w:hAnsiTheme="majorHAnsi"/>
                <w:bCs w:val="0"/>
                <w:color w:val="FFFFFF" w:themeColor="background1"/>
                <w:sz w:val="16"/>
                <w:szCs w:val="18"/>
                <w:lang w:val="sq-AL"/>
              </w:rPr>
            </w:pPr>
            <w:r w:rsidRPr="009C50AD">
              <w:rPr>
                <w:rFonts w:asciiTheme="majorHAnsi" w:hAnsiTheme="majorHAnsi"/>
                <w:bCs w:val="0"/>
                <w:color w:val="FFFFFF" w:themeColor="background1"/>
                <w:sz w:val="16"/>
                <w:szCs w:val="18"/>
              </w:rPr>
              <w:t>Diferenca në % me planin e rishikuar</w:t>
            </w:r>
          </w:p>
        </w:tc>
      </w:tr>
      <w:tr w:rsidR="009C50AD" w:rsidRPr="009C50AD" w:rsidTr="009C50AD">
        <w:trPr>
          <w:trHeight w:val="175"/>
          <w:jc w:val="center"/>
        </w:trPr>
        <w:tc>
          <w:tcPr>
            <w:cnfStyle w:val="001000000000" w:firstRow="0" w:lastRow="0" w:firstColumn="1" w:lastColumn="0" w:oddVBand="0" w:evenVBand="0" w:oddHBand="0" w:evenHBand="0" w:firstRowFirstColumn="0" w:firstRowLastColumn="0" w:lastRowFirstColumn="0" w:lastRowLastColumn="0"/>
            <w:tcW w:w="1137" w:type="pct"/>
            <w:shd w:val="clear" w:color="auto" w:fill="0B5294" w:themeFill="accent1" w:themeFillShade="BF"/>
          </w:tcPr>
          <w:p w:rsidR="009C50AD" w:rsidRPr="009C50AD" w:rsidRDefault="009C50AD" w:rsidP="009C50AD">
            <w:pPr>
              <w:spacing w:before="0" w:line="240" w:lineRule="auto"/>
              <w:jc w:val="center"/>
              <w:rPr>
                <w:rFonts w:asciiTheme="majorHAnsi" w:hAnsiTheme="majorHAnsi"/>
                <w:color w:val="FFFFFF" w:themeColor="background1"/>
                <w:sz w:val="16"/>
                <w:szCs w:val="18"/>
                <w:lang w:val="sq-AL"/>
              </w:rPr>
            </w:pPr>
          </w:p>
        </w:tc>
        <w:tc>
          <w:tcPr>
            <w:tcW w:w="471" w:type="pct"/>
            <w:shd w:val="clear" w:color="auto" w:fill="0B5294" w:themeFill="accent1" w:themeFillShade="BF"/>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themeColor="background1"/>
                <w:sz w:val="16"/>
                <w:szCs w:val="18"/>
                <w:lang w:val="sq-AL"/>
              </w:rPr>
            </w:pPr>
            <w:r w:rsidRPr="009C50AD">
              <w:rPr>
                <w:rFonts w:asciiTheme="majorHAnsi" w:hAnsiTheme="majorHAnsi"/>
                <w:b/>
                <w:color w:val="FFFFFF" w:themeColor="background1"/>
                <w:sz w:val="16"/>
                <w:szCs w:val="18"/>
                <w:lang w:val="sq-AL"/>
              </w:rPr>
              <w:t>Korrente</w:t>
            </w:r>
          </w:p>
        </w:tc>
        <w:tc>
          <w:tcPr>
            <w:tcW w:w="428" w:type="pct"/>
            <w:shd w:val="clear" w:color="auto" w:fill="0B5294" w:themeFill="accent1" w:themeFillShade="BF"/>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themeColor="background1"/>
                <w:sz w:val="16"/>
                <w:szCs w:val="18"/>
                <w:lang w:val="sq-AL"/>
              </w:rPr>
            </w:pPr>
            <w:r w:rsidRPr="009C50AD">
              <w:rPr>
                <w:rFonts w:asciiTheme="majorHAnsi" w:hAnsiTheme="majorHAnsi"/>
                <w:b/>
                <w:color w:val="FFFFFF" w:themeColor="background1"/>
                <w:sz w:val="16"/>
                <w:szCs w:val="18"/>
                <w:lang w:val="sq-AL"/>
              </w:rPr>
              <w:t>Investime</w:t>
            </w:r>
          </w:p>
        </w:tc>
        <w:tc>
          <w:tcPr>
            <w:tcW w:w="450" w:type="pct"/>
            <w:shd w:val="clear" w:color="auto" w:fill="0B5294" w:themeFill="accent1" w:themeFillShade="BF"/>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themeColor="background1"/>
                <w:sz w:val="16"/>
                <w:szCs w:val="18"/>
                <w:lang w:val="sq-AL"/>
              </w:rPr>
            </w:pPr>
            <w:r w:rsidRPr="009C50AD">
              <w:rPr>
                <w:rFonts w:asciiTheme="majorHAnsi" w:hAnsiTheme="majorHAnsi"/>
                <w:b/>
                <w:color w:val="FFFFFF" w:themeColor="background1"/>
                <w:sz w:val="16"/>
                <w:szCs w:val="18"/>
                <w:lang w:val="sq-AL"/>
              </w:rPr>
              <w:t>Korrente</w:t>
            </w:r>
          </w:p>
        </w:tc>
        <w:tc>
          <w:tcPr>
            <w:tcW w:w="428" w:type="pct"/>
            <w:shd w:val="clear" w:color="auto" w:fill="0B5294" w:themeFill="accent1" w:themeFillShade="BF"/>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themeColor="background1"/>
                <w:sz w:val="16"/>
                <w:szCs w:val="18"/>
                <w:lang w:val="sq-AL"/>
              </w:rPr>
            </w:pPr>
            <w:r w:rsidRPr="009C50AD">
              <w:rPr>
                <w:rFonts w:asciiTheme="majorHAnsi" w:hAnsiTheme="majorHAnsi"/>
                <w:b/>
                <w:color w:val="FFFFFF" w:themeColor="background1"/>
                <w:sz w:val="16"/>
                <w:szCs w:val="18"/>
                <w:lang w:val="sq-AL"/>
              </w:rPr>
              <w:t>Investime</w:t>
            </w:r>
          </w:p>
        </w:tc>
        <w:tc>
          <w:tcPr>
            <w:tcW w:w="449" w:type="pct"/>
            <w:shd w:val="clear" w:color="auto" w:fill="0B5294" w:themeFill="accent1" w:themeFillShade="BF"/>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themeColor="background1"/>
                <w:sz w:val="16"/>
                <w:szCs w:val="18"/>
                <w:lang w:val="sq-AL"/>
              </w:rPr>
            </w:pPr>
            <w:r w:rsidRPr="009C50AD">
              <w:rPr>
                <w:rFonts w:asciiTheme="majorHAnsi" w:hAnsiTheme="majorHAnsi"/>
                <w:b/>
                <w:color w:val="FFFFFF" w:themeColor="background1"/>
                <w:sz w:val="16"/>
                <w:szCs w:val="18"/>
                <w:lang w:val="sq-AL"/>
              </w:rPr>
              <w:t>Korrente</w:t>
            </w:r>
          </w:p>
        </w:tc>
        <w:tc>
          <w:tcPr>
            <w:tcW w:w="428" w:type="pct"/>
            <w:shd w:val="clear" w:color="auto" w:fill="0B5294" w:themeFill="accent1" w:themeFillShade="BF"/>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themeColor="background1"/>
                <w:sz w:val="16"/>
                <w:szCs w:val="18"/>
                <w:lang w:val="sq-AL"/>
              </w:rPr>
            </w:pPr>
            <w:r w:rsidRPr="009C50AD">
              <w:rPr>
                <w:rFonts w:asciiTheme="majorHAnsi" w:hAnsiTheme="majorHAnsi"/>
                <w:b/>
                <w:color w:val="FFFFFF" w:themeColor="background1"/>
                <w:sz w:val="16"/>
                <w:szCs w:val="18"/>
                <w:lang w:val="sq-AL"/>
              </w:rPr>
              <w:t>Investime</w:t>
            </w:r>
          </w:p>
        </w:tc>
        <w:tc>
          <w:tcPr>
            <w:tcW w:w="345" w:type="pct"/>
            <w:shd w:val="clear" w:color="auto" w:fill="0B5294" w:themeFill="accent1" w:themeFillShade="BF"/>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themeColor="background1"/>
                <w:sz w:val="16"/>
                <w:szCs w:val="18"/>
                <w:lang w:val="sq-AL"/>
              </w:rPr>
            </w:pPr>
            <w:r w:rsidRPr="009C50AD">
              <w:rPr>
                <w:rFonts w:asciiTheme="majorHAnsi" w:hAnsiTheme="majorHAnsi"/>
                <w:b/>
                <w:color w:val="FFFFFF" w:themeColor="background1"/>
                <w:sz w:val="16"/>
                <w:szCs w:val="18"/>
                <w:lang w:val="sq-AL"/>
              </w:rPr>
              <w:t>Korr.</w:t>
            </w:r>
          </w:p>
        </w:tc>
        <w:tc>
          <w:tcPr>
            <w:tcW w:w="320" w:type="pct"/>
            <w:shd w:val="clear" w:color="auto" w:fill="0B5294" w:themeFill="accent1" w:themeFillShade="BF"/>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FFFFFF" w:themeColor="background1"/>
                <w:sz w:val="16"/>
                <w:szCs w:val="18"/>
                <w:lang w:val="sq-AL"/>
              </w:rPr>
            </w:pPr>
            <w:r w:rsidRPr="009C50AD">
              <w:rPr>
                <w:rFonts w:asciiTheme="majorHAnsi" w:hAnsiTheme="majorHAnsi"/>
                <w:b/>
                <w:bCs/>
                <w:color w:val="FFFFFF" w:themeColor="background1"/>
                <w:sz w:val="16"/>
                <w:szCs w:val="18"/>
                <w:lang w:val="sq-AL"/>
              </w:rPr>
              <w:t>Inv.</w:t>
            </w:r>
          </w:p>
        </w:tc>
        <w:tc>
          <w:tcPr>
            <w:tcW w:w="288" w:type="pct"/>
            <w:shd w:val="clear" w:color="auto" w:fill="0B5294" w:themeFill="accent1" w:themeFillShade="BF"/>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FFFFFF" w:themeColor="background1"/>
                <w:sz w:val="16"/>
                <w:szCs w:val="18"/>
                <w:lang w:val="sq-AL"/>
              </w:rPr>
            </w:pPr>
            <w:r w:rsidRPr="009C50AD">
              <w:rPr>
                <w:rFonts w:asciiTheme="majorHAnsi" w:hAnsiTheme="majorHAnsi"/>
                <w:b/>
                <w:color w:val="FFFFFF" w:themeColor="background1"/>
                <w:sz w:val="16"/>
                <w:szCs w:val="18"/>
                <w:lang w:val="sq-AL"/>
              </w:rPr>
              <w:t>Korr.</w:t>
            </w:r>
          </w:p>
        </w:tc>
        <w:tc>
          <w:tcPr>
            <w:cnfStyle w:val="000100000000" w:firstRow="0" w:lastRow="0" w:firstColumn="0" w:lastColumn="1" w:oddVBand="0" w:evenVBand="0" w:oddHBand="0" w:evenHBand="0" w:firstRowFirstColumn="0" w:firstRowLastColumn="0" w:lastRowFirstColumn="0" w:lastRowLastColumn="0"/>
            <w:tcW w:w="256" w:type="pct"/>
            <w:shd w:val="clear" w:color="auto" w:fill="0B5294" w:themeFill="accent1" w:themeFillShade="BF"/>
          </w:tcPr>
          <w:p w:rsidR="009C50AD" w:rsidRPr="009C50AD" w:rsidRDefault="009C50AD" w:rsidP="009C50AD">
            <w:pPr>
              <w:spacing w:before="0" w:line="240" w:lineRule="auto"/>
              <w:jc w:val="center"/>
              <w:rPr>
                <w:rFonts w:asciiTheme="majorHAnsi" w:hAnsiTheme="majorHAnsi"/>
                <w:bCs w:val="0"/>
                <w:color w:val="FFFFFF" w:themeColor="background1"/>
                <w:sz w:val="16"/>
                <w:szCs w:val="18"/>
                <w:lang w:val="sq-AL"/>
              </w:rPr>
            </w:pPr>
            <w:r w:rsidRPr="009C50AD">
              <w:rPr>
                <w:rFonts w:asciiTheme="majorHAnsi" w:hAnsiTheme="majorHAnsi"/>
                <w:bCs w:val="0"/>
                <w:color w:val="FFFFFF" w:themeColor="background1"/>
                <w:sz w:val="16"/>
                <w:szCs w:val="18"/>
                <w:lang w:val="sq-AL"/>
              </w:rPr>
              <w:t>Inv.</w:t>
            </w:r>
          </w:p>
        </w:tc>
      </w:tr>
      <w:tr w:rsidR="009C50AD" w:rsidRPr="009C50AD" w:rsidTr="009C50AD">
        <w:trPr>
          <w:trHeight w:val="175"/>
          <w:jc w:val="center"/>
        </w:trPr>
        <w:tc>
          <w:tcPr>
            <w:cnfStyle w:val="001000000000" w:firstRow="0" w:lastRow="0" w:firstColumn="1" w:lastColumn="0" w:oddVBand="0" w:evenVBand="0" w:oddHBand="0" w:evenHBand="0" w:firstRowFirstColumn="0" w:firstRowLastColumn="0" w:lastRowFirstColumn="0" w:lastRowLastColumn="0"/>
            <w:tcW w:w="1137" w:type="pct"/>
            <w:shd w:val="clear" w:color="auto" w:fill="auto"/>
          </w:tcPr>
          <w:p w:rsidR="009C50AD" w:rsidRPr="009C50AD" w:rsidRDefault="009C50AD" w:rsidP="009C50AD">
            <w:pPr>
              <w:spacing w:line="240" w:lineRule="auto"/>
              <w:jc w:val="center"/>
              <w:rPr>
                <w:rFonts w:asciiTheme="majorHAnsi" w:hAnsiTheme="majorHAnsi"/>
                <w:sz w:val="16"/>
                <w:szCs w:val="18"/>
              </w:rPr>
            </w:pPr>
            <w:r w:rsidRPr="009C50AD">
              <w:rPr>
                <w:rFonts w:asciiTheme="majorHAnsi" w:hAnsiTheme="majorHAnsi"/>
                <w:sz w:val="16"/>
                <w:szCs w:val="18"/>
              </w:rPr>
              <w:t>Planifikimi, Menaxhimi dhe Administrimi</w:t>
            </w:r>
          </w:p>
        </w:tc>
        <w:tc>
          <w:tcPr>
            <w:tcW w:w="471" w:type="pct"/>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352,000</w:t>
            </w:r>
          </w:p>
        </w:tc>
        <w:tc>
          <w:tcPr>
            <w:tcW w:w="428" w:type="pct"/>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221,800</w:t>
            </w:r>
          </w:p>
        </w:tc>
        <w:tc>
          <w:tcPr>
            <w:tcW w:w="450"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372,385</w:t>
            </w:r>
          </w:p>
        </w:tc>
        <w:tc>
          <w:tcPr>
            <w:tcW w:w="428"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206,510</w:t>
            </w:r>
          </w:p>
        </w:tc>
        <w:tc>
          <w:tcPr>
            <w:tcW w:w="449"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294,888</w:t>
            </w:r>
          </w:p>
        </w:tc>
        <w:tc>
          <w:tcPr>
            <w:tcW w:w="428"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198,262</w:t>
            </w:r>
          </w:p>
        </w:tc>
        <w:tc>
          <w:tcPr>
            <w:tcW w:w="345"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83.77</w:t>
            </w:r>
          </w:p>
        </w:tc>
        <w:tc>
          <w:tcPr>
            <w:tcW w:w="320"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89.39</w:t>
            </w:r>
          </w:p>
        </w:tc>
        <w:tc>
          <w:tcPr>
            <w:tcW w:w="288" w:type="pct"/>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79.2</w:t>
            </w:r>
          </w:p>
        </w:tc>
        <w:tc>
          <w:tcPr>
            <w:cnfStyle w:val="000100000000" w:firstRow="0" w:lastRow="0" w:firstColumn="0" w:lastColumn="1" w:oddVBand="0" w:evenVBand="0" w:oddHBand="0" w:evenHBand="0" w:firstRowFirstColumn="0" w:firstRowLastColumn="0" w:lastRowFirstColumn="0" w:lastRowLastColumn="0"/>
            <w:tcW w:w="256" w:type="pct"/>
          </w:tcPr>
          <w:p w:rsidR="009C50AD" w:rsidRPr="009C50AD" w:rsidRDefault="009C50AD" w:rsidP="009C50AD">
            <w:pPr>
              <w:spacing w:line="240" w:lineRule="auto"/>
              <w:jc w:val="center"/>
              <w:rPr>
                <w:rFonts w:asciiTheme="majorHAnsi" w:hAnsiTheme="majorHAnsi"/>
                <w:b w:val="0"/>
                <w:bCs w:val="0"/>
                <w:sz w:val="16"/>
                <w:szCs w:val="18"/>
              </w:rPr>
            </w:pPr>
            <w:r w:rsidRPr="009C50AD">
              <w:rPr>
                <w:rFonts w:asciiTheme="majorHAnsi" w:hAnsiTheme="majorHAnsi"/>
                <w:b w:val="0"/>
                <w:bCs w:val="0"/>
                <w:sz w:val="16"/>
                <w:szCs w:val="18"/>
              </w:rPr>
              <w:t>96.0</w:t>
            </w:r>
          </w:p>
        </w:tc>
      </w:tr>
      <w:tr w:rsidR="009C50AD" w:rsidRPr="009C50AD" w:rsidTr="009C50AD">
        <w:trPr>
          <w:trHeight w:val="156"/>
          <w:jc w:val="center"/>
        </w:trPr>
        <w:tc>
          <w:tcPr>
            <w:cnfStyle w:val="001000000000" w:firstRow="0" w:lastRow="0" w:firstColumn="1" w:lastColumn="0" w:oddVBand="0" w:evenVBand="0" w:oddHBand="0" w:evenHBand="0" w:firstRowFirstColumn="0" w:firstRowLastColumn="0" w:lastRowFirstColumn="0" w:lastRowLastColumn="0"/>
            <w:tcW w:w="1137" w:type="pct"/>
            <w:shd w:val="clear" w:color="auto" w:fill="auto"/>
          </w:tcPr>
          <w:p w:rsidR="009C50AD" w:rsidRPr="009C50AD" w:rsidRDefault="009C50AD" w:rsidP="009C50AD">
            <w:pPr>
              <w:spacing w:line="240" w:lineRule="auto"/>
              <w:jc w:val="center"/>
              <w:rPr>
                <w:rFonts w:asciiTheme="majorHAnsi" w:hAnsiTheme="majorHAnsi"/>
                <w:sz w:val="16"/>
                <w:szCs w:val="18"/>
              </w:rPr>
            </w:pPr>
            <w:r w:rsidRPr="009C50AD">
              <w:rPr>
                <w:rFonts w:asciiTheme="majorHAnsi" w:hAnsiTheme="majorHAnsi"/>
                <w:sz w:val="16"/>
                <w:szCs w:val="18"/>
              </w:rPr>
              <w:t>Publikimet Zyrtare</w:t>
            </w:r>
          </w:p>
        </w:tc>
        <w:tc>
          <w:tcPr>
            <w:tcW w:w="471" w:type="pct"/>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56,000</w:t>
            </w:r>
          </w:p>
        </w:tc>
        <w:tc>
          <w:tcPr>
            <w:tcW w:w="428" w:type="pct"/>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10,000</w:t>
            </w:r>
          </w:p>
        </w:tc>
        <w:tc>
          <w:tcPr>
            <w:tcW w:w="450"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40,778</w:t>
            </w:r>
          </w:p>
        </w:tc>
        <w:tc>
          <w:tcPr>
            <w:tcW w:w="428"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10,000</w:t>
            </w:r>
          </w:p>
        </w:tc>
        <w:tc>
          <w:tcPr>
            <w:tcW w:w="449"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39,903</w:t>
            </w:r>
          </w:p>
        </w:tc>
        <w:tc>
          <w:tcPr>
            <w:tcW w:w="428"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0</w:t>
            </w:r>
          </w:p>
        </w:tc>
        <w:tc>
          <w:tcPr>
            <w:tcW w:w="345"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71.25</w:t>
            </w:r>
          </w:p>
        </w:tc>
        <w:tc>
          <w:tcPr>
            <w:tcW w:w="320"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0</w:t>
            </w:r>
          </w:p>
        </w:tc>
        <w:tc>
          <w:tcPr>
            <w:tcW w:w="288" w:type="pct"/>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97.9</w:t>
            </w:r>
          </w:p>
        </w:tc>
        <w:tc>
          <w:tcPr>
            <w:cnfStyle w:val="000100000000" w:firstRow="0" w:lastRow="0" w:firstColumn="0" w:lastColumn="1" w:oddVBand="0" w:evenVBand="0" w:oddHBand="0" w:evenHBand="0" w:firstRowFirstColumn="0" w:firstRowLastColumn="0" w:lastRowFirstColumn="0" w:lastRowLastColumn="0"/>
            <w:tcW w:w="256" w:type="pct"/>
          </w:tcPr>
          <w:p w:rsidR="009C50AD" w:rsidRPr="009C50AD" w:rsidRDefault="009C50AD" w:rsidP="009C50AD">
            <w:pPr>
              <w:spacing w:line="240" w:lineRule="auto"/>
              <w:jc w:val="center"/>
              <w:rPr>
                <w:rFonts w:asciiTheme="majorHAnsi" w:hAnsiTheme="majorHAnsi"/>
                <w:b w:val="0"/>
                <w:bCs w:val="0"/>
                <w:sz w:val="16"/>
                <w:szCs w:val="18"/>
              </w:rPr>
            </w:pPr>
            <w:r w:rsidRPr="009C50AD">
              <w:rPr>
                <w:rFonts w:asciiTheme="majorHAnsi" w:hAnsiTheme="majorHAnsi"/>
                <w:b w:val="0"/>
                <w:bCs w:val="0"/>
                <w:sz w:val="16"/>
                <w:szCs w:val="18"/>
              </w:rPr>
              <w:t>0.0</w:t>
            </w:r>
          </w:p>
        </w:tc>
      </w:tr>
      <w:tr w:rsidR="009C50AD" w:rsidRPr="009C50AD" w:rsidTr="009C50AD">
        <w:trPr>
          <w:trHeight w:val="156"/>
          <w:jc w:val="center"/>
        </w:trPr>
        <w:tc>
          <w:tcPr>
            <w:cnfStyle w:val="001000000000" w:firstRow="0" w:lastRow="0" w:firstColumn="1" w:lastColumn="0" w:oddVBand="0" w:evenVBand="0" w:oddHBand="0" w:evenHBand="0" w:firstRowFirstColumn="0" w:firstRowLastColumn="0" w:lastRowFirstColumn="0" w:lastRowLastColumn="0"/>
            <w:tcW w:w="1137" w:type="pct"/>
            <w:shd w:val="clear" w:color="auto" w:fill="auto"/>
          </w:tcPr>
          <w:p w:rsidR="009C50AD" w:rsidRPr="009C50AD" w:rsidRDefault="009C50AD" w:rsidP="009C50AD">
            <w:pPr>
              <w:spacing w:line="240" w:lineRule="auto"/>
              <w:jc w:val="center"/>
              <w:rPr>
                <w:rFonts w:asciiTheme="majorHAnsi" w:hAnsiTheme="majorHAnsi"/>
                <w:sz w:val="16"/>
                <w:szCs w:val="18"/>
              </w:rPr>
            </w:pPr>
            <w:r w:rsidRPr="009C50AD">
              <w:rPr>
                <w:rFonts w:asciiTheme="majorHAnsi" w:hAnsiTheme="majorHAnsi"/>
                <w:sz w:val="16"/>
                <w:szCs w:val="18"/>
              </w:rPr>
              <w:t>Mjekësia Ligjore</w:t>
            </w:r>
          </w:p>
        </w:tc>
        <w:tc>
          <w:tcPr>
            <w:tcW w:w="471" w:type="pct"/>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80,000</w:t>
            </w:r>
          </w:p>
        </w:tc>
        <w:tc>
          <w:tcPr>
            <w:tcW w:w="428" w:type="pct"/>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1,000</w:t>
            </w:r>
          </w:p>
        </w:tc>
        <w:tc>
          <w:tcPr>
            <w:tcW w:w="450"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80,200</w:t>
            </w:r>
          </w:p>
        </w:tc>
        <w:tc>
          <w:tcPr>
            <w:tcW w:w="428"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1,000</w:t>
            </w:r>
          </w:p>
        </w:tc>
        <w:tc>
          <w:tcPr>
            <w:tcW w:w="449"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71,756</w:t>
            </w:r>
          </w:p>
        </w:tc>
        <w:tc>
          <w:tcPr>
            <w:tcW w:w="428"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999</w:t>
            </w:r>
          </w:p>
        </w:tc>
        <w:tc>
          <w:tcPr>
            <w:tcW w:w="345"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89.69</w:t>
            </w:r>
          </w:p>
        </w:tc>
        <w:tc>
          <w:tcPr>
            <w:tcW w:w="320"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99.95</w:t>
            </w:r>
          </w:p>
        </w:tc>
        <w:tc>
          <w:tcPr>
            <w:tcW w:w="288" w:type="pct"/>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89.5</w:t>
            </w:r>
          </w:p>
        </w:tc>
        <w:tc>
          <w:tcPr>
            <w:cnfStyle w:val="000100000000" w:firstRow="0" w:lastRow="0" w:firstColumn="0" w:lastColumn="1" w:oddVBand="0" w:evenVBand="0" w:oddHBand="0" w:evenHBand="0" w:firstRowFirstColumn="0" w:firstRowLastColumn="0" w:lastRowFirstColumn="0" w:lastRowLastColumn="0"/>
            <w:tcW w:w="256" w:type="pct"/>
          </w:tcPr>
          <w:p w:rsidR="009C50AD" w:rsidRPr="009C50AD" w:rsidRDefault="009C50AD" w:rsidP="009C50AD">
            <w:pPr>
              <w:spacing w:line="240" w:lineRule="auto"/>
              <w:jc w:val="center"/>
              <w:rPr>
                <w:rFonts w:asciiTheme="majorHAnsi" w:hAnsiTheme="majorHAnsi"/>
                <w:b w:val="0"/>
                <w:bCs w:val="0"/>
                <w:sz w:val="16"/>
                <w:szCs w:val="18"/>
              </w:rPr>
            </w:pPr>
            <w:r w:rsidRPr="009C50AD">
              <w:rPr>
                <w:rFonts w:asciiTheme="majorHAnsi" w:hAnsiTheme="majorHAnsi"/>
                <w:b w:val="0"/>
                <w:bCs w:val="0"/>
                <w:sz w:val="16"/>
                <w:szCs w:val="18"/>
              </w:rPr>
              <w:t>99.9</w:t>
            </w:r>
          </w:p>
        </w:tc>
      </w:tr>
      <w:tr w:rsidR="009C50AD" w:rsidRPr="009C50AD" w:rsidTr="009C50AD">
        <w:trPr>
          <w:trHeight w:val="80"/>
          <w:jc w:val="center"/>
        </w:trPr>
        <w:tc>
          <w:tcPr>
            <w:cnfStyle w:val="001000000000" w:firstRow="0" w:lastRow="0" w:firstColumn="1" w:lastColumn="0" w:oddVBand="0" w:evenVBand="0" w:oddHBand="0" w:evenHBand="0" w:firstRowFirstColumn="0" w:firstRowLastColumn="0" w:lastRowFirstColumn="0" w:lastRowLastColumn="0"/>
            <w:tcW w:w="1137" w:type="pct"/>
            <w:shd w:val="clear" w:color="auto" w:fill="auto"/>
          </w:tcPr>
          <w:p w:rsidR="009C50AD" w:rsidRPr="009C50AD" w:rsidRDefault="009C50AD" w:rsidP="009C50AD">
            <w:pPr>
              <w:spacing w:line="240" w:lineRule="auto"/>
              <w:jc w:val="center"/>
              <w:rPr>
                <w:rFonts w:asciiTheme="majorHAnsi" w:hAnsiTheme="majorHAnsi"/>
                <w:sz w:val="16"/>
                <w:szCs w:val="18"/>
              </w:rPr>
            </w:pPr>
            <w:r w:rsidRPr="009C50AD">
              <w:rPr>
                <w:rFonts w:asciiTheme="majorHAnsi" w:hAnsiTheme="majorHAnsi"/>
                <w:sz w:val="16"/>
                <w:szCs w:val="18"/>
              </w:rPr>
              <w:t>Shërbimi për Çështjet e Birësimit</w:t>
            </w:r>
          </w:p>
        </w:tc>
        <w:tc>
          <w:tcPr>
            <w:tcW w:w="471" w:type="pct"/>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15,000</w:t>
            </w:r>
          </w:p>
        </w:tc>
        <w:tc>
          <w:tcPr>
            <w:tcW w:w="428" w:type="pct"/>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200</w:t>
            </w:r>
          </w:p>
        </w:tc>
        <w:tc>
          <w:tcPr>
            <w:tcW w:w="450"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10,550</w:t>
            </w:r>
          </w:p>
        </w:tc>
        <w:tc>
          <w:tcPr>
            <w:tcW w:w="428"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200</w:t>
            </w:r>
          </w:p>
        </w:tc>
        <w:tc>
          <w:tcPr>
            <w:tcW w:w="449"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9,394</w:t>
            </w:r>
          </w:p>
        </w:tc>
        <w:tc>
          <w:tcPr>
            <w:tcW w:w="428"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196</w:t>
            </w:r>
          </w:p>
        </w:tc>
        <w:tc>
          <w:tcPr>
            <w:tcW w:w="345"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62.63</w:t>
            </w:r>
          </w:p>
        </w:tc>
        <w:tc>
          <w:tcPr>
            <w:tcW w:w="320"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97.90</w:t>
            </w:r>
          </w:p>
        </w:tc>
        <w:tc>
          <w:tcPr>
            <w:tcW w:w="288" w:type="pct"/>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89.0</w:t>
            </w:r>
          </w:p>
        </w:tc>
        <w:tc>
          <w:tcPr>
            <w:cnfStyle w:val="000100000000" w:firstRow="0" w:lastRow="0" w:firstColumn="0" w:lastColumn="1" w:oddVBand="0" w:evenVBand="0" w:oddHBand="0" w:evenHBand="0" w:firstRowFirstColumn="0" w:firstRowLastColumn="0" w:lastRowFirstColumn="0" w:lastRowLastColumn="0"/>
            <w:tcW w:w="256" w:type="pct"/>
          </w:tcPr>
          <w:p w:rsidR="009C50AD" w:rsidRPr="009C50AD" w:rsidRDefault="009C50AD" w:rsidP="009C50AD">
            <w:pPr>
              <w:spacing w:line="240" w:lineRule="auto"/>
              <w:jc w:val="center"/>
              <w:rPr>
                <w:rFonts w:asciiTheme="majorHAnsi" w:hAnsiTheme="majorHAnsi"/>
                <w:b w:val="0"/>
                <w:bCs w:val="0"/>
                <w:sz w:val="16"/>
                <w:szCs w:val="18"/>
              </w:rPr>
            </w:pPr>
            <w:r w:rsidRPr="009C50AD">
              <w:rPr>
                <w:rFonts w:asciiTheme="majorHAnsi" w:hAnsiTheme="majorHAnsi"/>
                <w:b w:val="0"/>
                <w:bCs w:val="0"/>
                <w:sz w:val="16"/>
                <w:szCs w:val="18"/>
              </w:rPr>
              <w:t>97.9</w:t>
            </w:r>
          </w:p>
        </w:tc>
      </w:tr>
      <w:tr w:rsidR="009C50AD" w:rsidRPr="009C50AD" w:rsidTr="009C50AD">
        <w:trPr>
          <w:trHeight w:val="255"/>
          <w:jc w:val="center"/>
        </w:trPr>
        <w:tc>
          <w:tcPr>
            <w:cnfStyle w:val="001000000000" w:firstRow="0" w:lastRow="0" w:firstColumn="1" w:lastColumn="0" w:oddVBand="0" w:evenVBand="0" w:oddHBand="0" w:evenHBand="0" w:firstRowFirstColumn="0" w:firstRowLastColumn="0" w:lastRowFirstColumn="0" w:lastRowLastColumn="0"/>
            <w:tcW w:w="1137" w:type="pct"/>
            <w:shd w:val="clear" w:color="auto" w:fill="auto"/>
          </w:tcPr>
          <w:p w:rsidR="009C50AD" w:rsidRPr="009C50AD" w:rsidRDefault="009C50AD" w:rsidP="009C50AD">
            <w:pPr>
              <w:spacing w:line="240" w:lineRule="auto"/>
              <w:jc w:val="center"/>
              <w:rPr>
                <w:rFonts w:asciiTheme="majorHAnsi" w:hAnsiTheme="majorHAnsi"/>
                <w:sz w:val="16"/>
                <w:szCs w:val="18"/>
              </w:rPr>
            </w:pPr>
            <w:r w:rsidRPr="009C50AD">
              <w:rPr>
                <w:rFonts w:asciiTheme="majorHAnsi" w:hAnsiTheme="majorHAnsi"/>
                <w:sz w:val="16"/>
                <w:szCs w:val="18"/>
              </w:rPr>
              <w:t>Agjencia e trajtimit të pronave ALUIZNI</w:t>
            </w:r>
          </w:p>
        </w:tc>
        <w:tc>
          <w:tcPr>
            <w:tcW w:w="471" w:type="pct"/>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2,244,000</w:t>
            </w:r>
          </w:p>
        </w:tc>
        <w:tc>
          <w:tcPr>
            <w:tcW w:w="428" w:type="pct"/>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6,000</w:t>
            </w:r>
          </w:p>
        </w:tc>
        <w:tc>
          <w:tcPr>
            <w:tcW w:w="450"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1,224,700</w:t>
            </w:r>
          </w:p>
        </w:tc>
        <w:tc>
          <w:tcPr>
            <w:tcW w:w="428"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6,000</w:t>
            </w:r>
          </w:p>
        </w:tc>
        <w:tc>
          <w:tcPr>
            <w:tcW w:w="449"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1,170,079</w:t>
            </w:r>
          </w:p>
        </w:tc>
        <w:tc>
          <w:tcPr>
            <w:tcW w:w="428"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4,336</w:t>
            </w:r>
          </w:p>
        </w:tc>
        <w:tc>
          <w:tcPr>
            <w:tcW w:w="345"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52.14</w:t>
            </w:r>
          </w:p>
        </w:tc>
        <w:tc>
          <w:tcPr>
            <w:tcW w:w="320"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72.26</w:t>
            </w:r>
          </w:p>
        </w:tc>
        <w:tc>
          <w:tcPr>
            <w:tcW w:w="288" w:type="pct"/>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95.5</w:t>
            </w:r>
          </w:p>
        </w:tc>
        <w:tc>
          <w:tcPr>
            <w:cnfStyle w:val="000100000000" w:firstRow="0" w:lastRow="0" w:firstColumn="0" w:lastColumn="1" w:oddVBand="0" w:evenVBand="0" w:oddHBand="0" w:evenHBand="0" w:firstRowFirstColumn="0" w:firstRowLastColumn="0" w:lastRowFirstColumn="0" w:lastRowLastColumn="0"/>
            <w:tcW w:w="256" w:type="pct"/>
          </w:tcPr>
          <w:p w:rsidR="009C50AD" w:rsidRPr="009C50AD" w:rsidRDefault="009C50AD" w:rsidP="009C50AD">
            <w:pPr>
              <w:spacing w:line="240" w:lineRule="auto"/>
              <w:jc w:val="center"/>
              <w:rPr>
                <w:rFonts w:asciiTheme="majorHAnsi" w:hAnsiTheme="majorHAnsi"/>
                <w:b w:val="0"/>
                <w:bCs w:val="0"/>
                <w:sz w:val="16"/>
                <w:szCs w:val="18"/>
              </w:rPr>
            </w:pPr>
            <w:r w:rsidRPr="009C50AD">
              <w:rPr>
                <w:rFonts w:asciiTheme="majorHAnsi" w:hAnsiTheme="majorHAnsi"/>
                <w:b w:val="0"/>
                <w:bCs w:val="0"/>
                <w:sz w:val="16"/>
                <w:szCs w:val="18"/>
              </w:rPr>
              <w:t>72.3</w:t>
            </w:r>
          </w:p>
        </w:tc>
      </w:tr>
      <w:tr w:rsidR="009C50AD" w:rsidRPr="009C50AD" w:rsidTr="009C50AD">
        <w:trPr>
          <w:trHeight w:val="155"/>
          <w:jc w:val="center"/>
        </w:trPr>
        <w:tc>
          <w:tcPr>
            <w:cnfStyle w:val="001000000000" w:firstRow="0" w:lastRow="0" w:firstColumn="1" w:lastColumn="0" w:oddVBand="0" w:evenVBand="0" w:oddHBand="0" w:evenHBand="0" w:firstRowFirstColumn="0" w:firstRowLastColumn="0" w:lastRowFirstColumn="0" w:lastRowLastColumn="0"/>
            <w:tcW w:w="1137" w:type="pct"/>
            <w:shd w:val="clear" w:color="auto" w:fill="auto"/>
          </w:tcPr>
          <w:p w:rsidR="009C50AD" w:rsidRPr="009C50AD" w:rsidRDefault="009C50AD" w:rsidP="009C50AD">
            <w:pPr>
              <w:spacing w:line="240" w:lineRule="auto"/>
              <w:jc w:val="center"/>
              <w:rPr>
                <w:rFonts w:asciiTheme="majorHAnsi" w:hAnsiTheme="majorHAnsi"/>
                <w:sz w:val="16"/>
                <w:szCs w:val="18"/>
              </w:rPr>
            </w:pPr>
            <w:r w:rsidRPr="009C50AD">
              <w:rPr>
                <w:rFonts w:asciiTheme="majorHAnsi" w:hAnsiTheme="majorHAnsi"/>
                <w:sz w:val="16"/>
                <w:szCs w:val="18"/>
              </w:rPr>
              <w:t>Ndihma juridike</w:t>
            </w:r>
          </w:p>
        </w:tc>
        <w:tc>
          <w:tcPr>
            <w:tcW w:w="471" w:type="pct"/>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73,000</w:t>
            </w:r>
          </w:p>
        </w:tc>
        <w:tc>
          <w:tcPr>
            <w:tcW w:w="428" w:type="pct"/>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2,000</w:t>
            </w:r>
          </w:p>
        </w:tc>
        <w:tc>
          <w:tcPr>
            <w:tcW w:w="450"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65,200</w:t>
            </w:r>
          </w:p>
        </w:tc>
        <w:tc>
          <w:tcPr>
            <w:tcW w:w="428"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1,000</w:t>
            </w:r>
          </w:p>
        </w:tc>
        <w:tc>
          <w:tcPr>
            <w:tcW w:w="449"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28,806</w:t>
            </w:r>
          </w:p>
        </w:tc>
        <w:tc>
          <w:tcPr>
            <w:tcW w:w="428"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897</w:t>
            </w:r>
          </w:p>
        </w:tc>
        <w:tc>
          <w:tcPr>
            <w:tcW w:w="345"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39.46</w:t>
            </w:r>
          </w:p>
        </w:tc>
        <w:tc>
          <w:tcPr>
            <w:tcW w:w="320"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44.84</w:t>
            </w:r>
          </w:p>
        </w:tc>
        <w:tc>
          <w:tcPr>
            <w:tcW w:w="288" w:type="pct"/>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44.2</w:t>
            </w:r>
          </w:p>
        </w:tc>
        <w:tc>
          <w:tcPr>
            <w:cnfStyle w:val="000100000000" w:firstRow="0" w:lastRow="0" w:firstColumn="0" w:lastColumn="1" w:oddVBand="0" w:evenVBand="0" w:oddHBand="0" w:evenHBand="0" w:firstRowFirstColumn="0" w:firstRowLastColumn="0" w:lastRowFirstColumn="0" w:lastRowLastColumn="0"/>
            <w:tcW w:w="256" w:type="pct"/>
          </w:tcPr>
          <w:p w:rsidR="009C50AD" w:rsidRPr="009C50AD" w:rsidRDefault="009C50AD" w:rsidP="009C50AD">
            <w:pPr>
              <w:spacing w:line="240" w:lineRule="auto"/>
              <w:jc w:val="center"/>
              <w:rPr>
                <w:rFonts w:asciiTheme="majorHAnsi" w:hAnsiTheme="majorHAnsi"/>
                <w:b w:val="0"/>
                <w:bCs w:val="0"/>
                <w:sz w:val="16"/>
                <w:szCs w:val="18"/>
              </w:rPr>
            </w:pPr>
            <w:r w:rsidRPr="009C50AD">
              <w:rPr>
                <w:rFonts w:asciiTheme="majorHAnsi" w:hAnsiTheme="majorHAnsi"/>
                <w:b w:val="0"/>
                <w:bCs w:val="0"/>
                <w:sz w:val="16"/>
                <w:szCs w:val="18"/>
              </w:rPr>
              <w:t>89.7</w:t>
            </w:r>
          </w:p>
        </w:tc>
      </w:tr>
      <w:tr w:rsidR="009C50AD" w:rsidRPr="009C50AD" w:rsidTr="009C50AD">
        <w:trPr>
          <w:trHeight w:val="101"/>
          <w:jc w:val="center"/>
        </w:trPr>
        <w:tc>
          <w:tcPr>
            <w:cnfStyle w:val="001000000000" w:firstRow="0" w:lastRow="0" w:firstColumn="1" w:lastColumn="0" w:oddVBand="0" w:evenVBand="0" w:oddHBand="0" w:evenHBand="0" w:firstRowFirstColumn="0" w:firstRowLastColumn="0" w:lastRowFirstColumn="0" w:lastRowLastColumn="0"/>
            <w:tcW w:w="1137" w:type="pct"/>
            <w:shd w:val="clear" w:color="auto" w:fill="auto"/>
          </w:tcPr>
          <w:p w:rsidR="009C50AD" w:rsidRPr="009C50AD" w:rsidRDefault="009C50AD" w:rsidP="009C50AD">
            <w:pPr>
              <w:spacing w:line="240" w:lineRule="auto"/>
              <w:jc w:val="center"/>
              <w:rPr>
                <w:rFonts w:asciiTheme="majorHAnsi" w:hAnsiTheme="majorHAnsi"/>
                <w:sz w:val="16"/>
                <w:szCs w:val="18"/>
              </w:rPr>
            </w:pPr>
            <w:r w:rsidRPr="009C50AD">
              <w:rPr>
                <w:rFonts w:asciiTheme="majorHAnsi" w:hAnsiTheme="majorHAnsi"/>
                <w:sz w:val="16"/>
                <w:szCs w:val="18"/>
              </w:rPr>
              <w:t>Shërbimi i Përmbarimit gjyqësor</w:t>
            </w:r>
          </w:p>
        </w:tc>
        <w:tc>
          <w:tcPr>
            <w:tcW w:w="471" w:type="pct"/>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163,000</w:t>
            </w:r>
          </w:p>
        </w:tc>
        <w:tc>
          <w:tcPr>
            <w:tcW w:w="428" w:type="pct"/>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10,000</w:t>
            </w:r>
          </w:p>
        </w:tc>
        <w:tc>
          <w:tcPr>
            <w:tcW w:w="450"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136,100</w:t>
            </w:r>
          </w:p>
        </w:tc>
        <w:tc>
          <w:tcPr>
            <w:tcW w:w="428"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10,000</w:t>
            </w:r>
          </w:p>
        </w:tc>
        <w:tc>
          <w:tcPr>
            <w:tcW w:w="449"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126,418</w:t>
            </w:r>
          </w:p>
        </w:tc>
        <w:tc>
          <w:tcPr>
            <w:tcW w:w="428"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2,231</w:t>
            </w:r>
          </w:p>
        </w:tc>
        <w:tc>
          <w:tcPr>
            <w:tcW w:w="345"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77.56</w:t>
            </w:r>
          </w:p>
        </w:tc>
        <w:tc>
          <w:tcPr>
            <w:tcW w:w="320"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22.31</w:t>
            </w:r>
          </w:p>
        </w:tc>
        <w:tc>
          <w:tcPr>
            <w:tcW w:w="288" w:type="pct"/>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92.9</w:t>
            </w:r>
          </w:p>
        </w:tc>
        <w:tc>
          <w:tcPr>
            <w:cnfStyle w:val="000100000000" w:firstRow="0" w:lastRow="0" w:firstColumn="0" w:lastColumn="1" w:oddVBand="0" w:evenVBand="0" w:oddHBand="0" w:evenHBand="0" w:firstRowFirstColumn="0" w:firstRowLastColumn="0" w:lastRowFirstColumn="0" w:lastRowLastColumn="0"/>
            <w:tcW w:w="256" w:type="pct"/>
          </w:tcPr>
          <w:p w:rsidR="009C50AD" w:rsidRPr="009C50AD" w:rsidRDefault="009C50AD" w:rsidP="009C50AD">
            <w:pPr>
              <w:spacing w:line="240" w:lineRule="auto"/>
              <w:jc w:val="center"/>
              <w:rPr>
                <w:rFonts w:asciiTheme="majorHAnsi" w:hAnsiTheme="majorHAnsi"/>
                <w:b w:val="0"/>
                <w:bCs w:val="0"/>
                <w:sz w:val="16"/>
                <w:szCs w:val="18"/>
              </w:rPr>
            </w:pPr>
            <w:r w:rsidRPr="009C50AD">
              <w:rPr>
                <w:rFonts w:asciiTheme="majorHAnsi" w:hAnsiTheme="majorHAnsi"/>
                <w:b w:val="0"/>
                <w:bCs w:val="0"/>
                <w:sz w:val="16"/>
                <w:szCs w:val="18"/>
              </w:rPr>
              <w:t>22.3</w:t>
            </w:r>
          </w:p>
        </w:tc>
      </w:tr>
      <w:tr w:rsidR="009C50AD" w:rsidRPr="009C50AD" w:rsidTr="009C50AD">
        <w:trPr>
          <w:trHeight w:val="101"/>
          <w:jc w:val="center"/>
        </w:trPr>
        <w:tc>
          <w:tcPr>
            <w:cnfStyle w:val="001000000000" w:firstRow="0" w:lastRow="0" w:firstColumn="1" w:lastColumn="0" w:oddVBand="0" w:evenVBand="0" w:oddHBand="0" w:evenHBand="0" w:firstRowFirstColumn="0" w:firstRowLastColumn="0" w:lastRowFirstColumn="0" w:lastRowLastColumn="0"/>
            <w:tcW w:w="1137" w:type="pct"/>
            <w:shd w:val="clear" w:color="auto" w:fill="auto"/>
          </w:tcPr>
          <w:p w:rsidR="009C50AD" w:rsidRPr="009C50AD" w:rsidRDefault="009C50AD" w:rsidP="009C50AD">
            <w:pPr>
              <w:spacing w:line="240" w:lineRule="auto"/>
              <w:jc w:val="center"/>
              <w:rPr>
                <w:rFonts w:asciiTheme="majorHAnsi" w:hAnsiTheme="majorHAnsi"/>
                <w:sz w:val="16"/>
                <w:szCs w:val="18"/>
              </w:rPr>
            </w:pPr>
            <w:r w:rsidRPr="009C50AD">
              <w:rPr>
                <w:rFonts w:asciiTheme="majorHAnsi" w:hAnsiTheme="majorHAnsi"/>
                <w:sz w:val="16"/>
                <w:szCs w:val="18"/>
              </w:rPr>
              <w:t>Sistemi i Burgjeve</w:t>
            </w:r>
          </w:p>
        </w:tc>
        <w:tc>
          <w:tcPr>
            <w:tcW w:w="471" w:type="pct"/>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5,418,000</w:t>
            </w:r>
          </w:p>
        </w:tc>
        <w:tc>
          <w:tcPr>
            <w:tcW w:w="428" w:type="pct"/>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400,900</w:t>
            </w:r>
          </w:p>
        </w:tc>
        <w:tc>
          <w:tcPr>
            <w:tcW w:w="450"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5,693,500</w:t>
            </w:r>
          </w:p>
        </w:tc>
        <w:tc>
          <w:tcPr>
            <w:tcW w:w="428"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400,900</w:t>
            </w:r>
          </w:p>
        </w:tc>
        <w:tc>
          <w:tcPr>
            <w:tcW w:w="449"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5,570,380</w:t>
            </w:r>
          </w:p>
        </w:tc>
        <w:tc>
          <w:tcPr>
            <w:tcW w:w="428"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307,329</w:t>
            </w:r>
          </w:p>
        </w:tc>
        <w:tc>
          <w:tcPr>
            <w:tcW w:w="345"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102.81</w:t>
            </w:r>
          </w:p>
        </w:tc>
        <w:tc>
          <w:tcPr>
            <w:tcW w:w="320"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76.66</w:t>
            </w:r>
          </w:p>
        </w:tc>
        <w:tc>
          <w:tcPr>
            <w:tcW w:w="288" w:type="pct"/>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97.8</w:t>
            </w:r>
          </w:p>
        </w:tc>
        <w:tc>
          <w:tcPr>
            <w:cnfStyle w:val="000100000000" w:firstRow="0" w:lastRow="0" w:firstColumn="0" w:lastColumn="1" w:oddVBand="0" w:evenVBand="0" w:oddHBand="0" w:evenHBand="0" w:firstRowFirstColumn="0" w:firstRowLastColumn="0" w:lastRowFirstColumn="0" w:lastRowLastColumn="0"/>
            <w:tcW w:w="256" w:type="pct"/>
          </w:tcPr>
          <w:p w:rsidR="009C50AD" w:rsidRPr="009C50AD" w:rsidRDefault="009C50AD" w:rsidP="009C50AD">
            <w:pPr>
              <w:spacing w:line="240" w:lineRule="auto"/>
              <w:jc w:val="center"/>
              <w:rPr>
                <w:rFonts w:asciiTheme="majorHAnsi" w:hAnsiTheme="majorHAnsi"/>
                <w:b w:val="0"/>
                <w:bCs w:val="0"/>
                <w:sz w:val="16"/>
                <w:szCs w:val="18"/>
              </w:rPr>
            </w:pPr>
            <w:r w:rsidRPr="009C50AD">
              <w:rPr>
                <w:rFonts w:asciiTheme="majorHAnsi" w:hAnsiTheme="majorHAnsi"/>
                <w:b w:val="0"/>
                <w:bCs w:val="0"/>
                <w:sz w:val="16"/>
                <w:szCs w:val="18"/>
              </w:rPr>
              <w:t>76.7</w:t>
            </w:r>
          </w:p>
        </w:tc>
      </w:tr>
      <w:tr w:rsidR="009C50AD" w:rsidRPr="009C50AD" w:rsidTr="009C50AD">
        <w:trPr>
          <w:trHeight w:val="101"/>
          <w:jc w:val="center"/>
        </w:trPr>
        <w:tc>
          <w:tcPr>
            <w:cnfStyle w:val="001000000000" w:firstRow="0" w:lastRow="0" w:firstColumn="1" w:lastColumn="0" w:oddVBand="0" w:evenVBand="0" w:oddHBand="0" w:evenHBand="0" w:firstRowFirstColumn="0" w:firstRowLastColumn="0" w:lastRowFirstColumn="0" w:lastRowLastColumn="0"/>
            <w:tcW w:w="1137" w:type="pct"/>
            <w:shd w:val="clear" w:color="auto" w:fill="auto"/>
          </w:tcPr>
          <w:p w:rsidR="009C50AD" w:rsidRPr="009C50AD" w:rsidRDefault="009C50AD" w:rsidP="009C50AD">
            <w:pPr>
              <w:spacing w:line="240" w:lineRule="auto"/>
              <w:jc w:val="center"/>
              <w:rPr>
                <w:rFonts w:asciiTheme="majorHAnsi" w:hAnsiTheme="majorHAnsi"/>
                <w:sz w:val="16"/>
                <w:szCs w:val="18"/>
              </w:rPr>
            </w:pPr>
            <w:r w:rsidRPr="009C50AD">
              <w:rPr>
                <w:rFonts w:asciiTheme="majorHAnsi" w:hAnsiTheme="majorHAnsi"/>
                <w:sz w:val="16"/>
                <w:szCs w:val="18"/>
              </w:rPr>
              <w:t>Shërbimi i Provës</w:t>
            </w:r>
          </w:p>
        </w:tc>
        <w:tc>
          <w:tcPr>
            <w:tcW w:w="471" w:type="pct"/>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153,800</w:t>
            </w:r>
          </w:p>
        </w:tc>
        <w:tc>
          <w:tcPr>
            <w:tcW w:w="428" w:type="pct"/>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2,000</w:t>
            </w:r>
          </w:p>
        </w:tc>
        <w:tc>
          <w:tcPr>
            <w:tcW w:w="450"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143,700</w:t>
            </w:r>
          </w:p>
        </w:tc>
        <w:tc>
          <w:tcPr>
            <w:tcW w:w="428"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2,000</w:t>
            </w:r>
          </w:p>
        </w:tc>
        <w:tc>
          <w:tcPr>
            <w:tcW w:w="449"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124,334</w:t>
            </w:r>
          </w:p>
        </w:tc>
        <w:tc>
          <w:tcPr>
            <w:tcW w:w="428"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1,681</w:t>
            </w:r>
          </w:p>
        </w:tc>
        <w:tc>
          <w:tcPr>
            <w:tcW w:w="345"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80.84</w:t>
            </w:r>
          </w:p>
        </w:tc>
        <w:tc>
          <w:tcPr>
            <w:tcW w:w="320" w:type="pct"/>
            <w:shd w:val="clear" w:color="auto" w:fill="auto"/>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84.06</w:t>
            </w:r>
          </w:p>
        </w:tc>
        <w:tc>
          <w:tcPr>
            <w:tcW w:w="288" w:type="pct"/>
          </w:tcPr>
          <w:p w:rsidR="009C50AD" w:rsidRPr="009C50AD"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86.5</w:t>
            </w:r>
          </w:p>
        </w:tc>
        <w:tc>
          <w:tcPr>
            <w:cnfStyle w:val="000100000000" w:firstRow="0" w:lastRow="0" w:firstColumn="0" w:lastColumn="1" w:oddVBand="0" w:evenVBand="0" w:oddHBand="0" w:evenHBand="0" w:firstRowFirstColumn="0" w:firstRowLastColumn="0" w:lastRowFirstColumn="0" w:lastRowLastColumn="0"/>
            <w:tcW w:w="256" w:type="pct"/>
          </w:tcPr>
          <w:p w:rsidR="009C50AD" w:rsidRPr="009C50AD" w:rsidRDefault="009C50AD" w:rsidP="009C50AD">
            <w:pPr>
              <w:spacing w:line="240" w:lineRule="auto"/>
              <w:jc w:val="center"/>
              <w:rPr>
                <w:rFonts w:asciiTheme="majorHAnsi" w:hAnsiTheme="majorHAnsi"/>
                <w:b w:val="0"/>
                <w:bCs w:val="0"/>
                <w:sz w:val="16"/>
                <w:szCs w:val="18"/>
              </w:rPr>
            </w:pPr>
            <w:r w:rsidRPr="009C50AD">
              <w:rPr>
                <w:rFonts w:asciiTheme="majorHAnsi" w:hAnsiTheme="majorHAnsi"/>
                <w:b w:val="0"/>
                <w:bCs w:val="0"/>
                <w:sz w:val="16"/>
                <w:szCs w:val="18"/>
              </w:rPr>
              <w:t>84.1</w:t>
            </w:r>
          </w:p>
        </w:tc>
      </w:tr>
      <w:tr w:rsidR="009C50AD" w:rsidRPr="009C50AD" w:rsidTr="009C50AD">
        <w:trPr>
          <w:cnfStyle w:val="010000000000" w:firstRow="0" w:lastRow="1"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1137" w:type="pct"/>
            <w:tcBorders>
              <w:bottom w:val="double" w:sz="2" w:space="0" w:color="59A9F2" w:themeColor="accent1" w:themeTint="99"/>
            </w:tcBorders>
            <w:shd w:val="clear" w:color="auto" w:fill="auto"/>
          </w:tcPr>
          <w:p w:rsidR="009C50AD" w:rsidRPr="009C50AD" w:rsidRDefault="009C50AD" w:rsidP="009C50AD">
            <w:pPr>
              <w:spacing w:line="240" w:lineRule="auto"/>
              <w:jc w:val="center"/>
              <w:rPr>
                <w:rFonts w:asciiTheme="majorHAnsi" w:hAnsiTheme="majorHAnsi"/>
                <w:sz w:val="16"/>
                <w:szCs w:val="18"/>
              </w:rPr>
            </w:pPr>
            <w:r>
              <w:rPr>
                <w:rFonts w:asciiTheme="majorHAnsi" w:hAnsiTheme="majorHAnsi"/>
                <w:sz w:val="16"/>
                <w:szCs w:val="18"/>
              </w:rPr>
              <w:t>T</w:t>
            </w:r>
            <w:r w:rsidRPr="009C50AD">
              <w:rPr>
                <w:rFonts w:asciiTheme="majorHAnsi" w:hAnsiTheme="majorHAnsi"/>
                <w:sz w:val="16"/>
                <w:szCs w:val="18"/>
              </w:rPr>
              <w:t>otali</w:t>
            </w:r>
          </w:p>
        </w:tc>
        <w:tc>
          <w:tcPr>
            <w:tcW w:w="471" w:type="pct"/>
            <w:tcBorders>
              <w:bottom w:val="double" w:sz="2" w:space="0" w:color="59A9F2" w:themeColor="accent1" w:themeTint="99"/>
            </w:tcBorders>
          </w:tcPr>
          <w:p w:rsidR="009C50AD" w:rsidRPr="009C50AD" w:rsidRDefault="009C50AD" w:rsidP="009C50AD">
            <w:pPr>
              <w:spacing w:line="240" w:lineRule="auto"/>
              <w:jc w:val="center"/>
              <w:cnfStyle w:val="010000000000" w:firstRow="0" w:lastRow="1"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8,554,800</w:t>
            </w:r>
          </w:p>
        </w:tc>
        <w:tc>
          <w:tcPr>
            <w:tcW w:w="428" w:type="pct"/>
            <w:tcBorders>
              <w:bottom w:val="double" w:sz="2" w:space="0" w:color="59A9F2" w:themeColor="accent1" w:themeTint="99"/>
            </w:tcBorders>
          </w:tcPr>
          <w:p w:rsidR="009C50AD" w:rsidRPr="009C50AD" w:rsidRDefault="009C50AD" w:rsidP="009C50AD">
            <w:pPr>
              <w:spacing w:line="240" w:lineRule="auto"/>
              <w:jc w:val="center"/>
              <w:cnfStyle w:val="010000000000" w:firstRow="0" w:lastRow="1"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653,900</w:t>
            </w:r>
          </w:p>
        </w:tc>
        <w:tc>
          <w:tcPr>
            <w:tcW w:w="450" w:type="pct"/>
            <w:tcBorders>
              <w:bottom w:val="double" w:sz="2" w:space="0" w:color="59A9F2" w:themeColor="accent1" w:themeTint="99"/>
            </w:tcBorders>
            <w:shd w:val="clear" w:color="auto" w:fill="auto"/>
          </w:tcPr>
          <w:p w:rsidR="009C50AD" w:rsidRPr="009C50AD" w:rsidRDefault="009C50AD" w:rsidP="009C50AD">
            <w:pPr>
              <w:spacing w:line="240" w:lineRule="auto"/>
              <w:jc w:val="center"/>
              <w:cnfStyle w:val="010000000000" w:firstRow="0" w:lastRow="1"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7,767,113</w:t>
            </w:r>
          </w:p>
        </w:tc>
        <w:tc>
          <w:tcPr>
            <w:tcW w:w="428" w:type="pct"/>
            <w:tcBorders>
              <w:bottom w:val="double" w:sz="2" w:space="0" w:color="59A9F2" w:themeColor="accent1" w:themeTint="99"/>
            </w:tcBorders>
            <w:shd w:val="clear" w:color="auto" w:fill="auto"/>
          </w:tcPr>
          <w:p w:rsidR="009C50AD" w:rsidRPr="009C50AD" w:rsidRDefault="009C50AD" w:rsidP="009C50AD">
            <w:pPr>
              <w:spacing w:line="240" w:lineRule="auto"/>
              <w:jc w:val="center"/>
              <w:cnfStyle w:val="010000000000" w:firstRow="0" w:lastRow="1"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637,610</w:t>
            </w:r>
          </w:p>
        </w:tc>
        <w:tc>
          <w:tcPr>
            <w:tcW w:w="449" w:type="pct"/>
            <w:tcBorders>
              <w:bottom w:val="double" w:sz="2" w:space="0" w:color="59A9F2" w:themeColor="accent1" w:themeTint="99"/>
            </w:tcBorders>
            <w:shd w:val="clear" w:color="auto" w:fill="auto"/>
          </w:tcPr>
          <w:p w:rsidR="009C50AD" w:rsidRPr="009C50AD" w:rsidRDefault="009C50AD" w:rsidP="009C50AD">
            <w:pPr>
              <w:spacing w:line="240" w:lineRule="auto"/>
              <w:jc w:val="center"/>
              <w:cnfStyle w:val="010000000000" w:firstRow="0" w:lastRow="1"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7,435,957</w:t>
            </w:r>
          </w:p>
        </w:tc>
        <w:tc>
          <w:tcPr>
            <w:tcW w:w="428" w:type="pct"/>
            <w:tcBorders>
              <w:bottom w:val="double" w:sz="2" w:space="0" w:color="59A9F2" w:themeColor="accent1" w:themeTint="99"/>
            </w:tcBorders>
            <w:shd w:val="clear" w:color="auto" w:fill="auto"/>
          </w:tcPr>
          <w:p w:rsidR="009C50AD" w:rsidRPr="009C50AD" w:rsidRDefault="009C50AD" w:rsidP="009C50AD">
            <w:pPr>
              <w:spacing w:line="240" w:lineRule="auto"/>
              <w:jc w:val="center"/>
              <w:cnfStyle w:val="010000000000" w:firstRow="0" w:lastRow="1"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515,930</w:t>
            </w:r>
          </w:p>
        </w:tc>
        <w:tc>
          <w:tcPr>
            <w:tcW w:w="345" w:type="pct"/>
            <w:tcBorders>
              <w:bottom w:val="double" w:sz="2" w:space="0" w:color="59A9F2" w:themeColor="accent1" w:themeTint="99"/>
            </w:tcBorders>
            <w:shd w:val="clear" w:color="auto" w:fill="auto"/>
          </w:tcPr>
          <w:p w:rsidR="009C50AD" w:rsidRPr="009C50AD" w:rsidRDefault="009C50AD" w:rsidP="009C50AD">
            <w:pPr>
              <w:spacing w:line="240" w:lineRule="auto"/>
              <w:jc w:val="center"/>
              <w:cnfStyle w:val="010000000000" w:firstRow="0" w:lastRow="1"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86.92</w:t>
            </w:r>
          </w:p>
        </w:tc>
        <w:tc>
          <w:tcPr>
            <w:tcW w:w="320" w:type="pct"/>
            <w:tcBorders>
              <w:bottom w:val="double" w:sz="2" w:space="0" w:color="59A9F2" w:themeColor="accent1" w:themeTint="99"/>
            </w:tcBorders>
            <w:shd w:val="clear" w:color="auto" w:fill="auto"/>
          </w:tcPr>
          <w:p w:rsidR="009C50AD" w:rsidRPr="009C50AD" w:rsidRDefault="009C50AD" w:rsidP="009C50AD">
            <w:pPr>
              <w:spacing w:line="240" w:lineRule="auto"/>
              <w:jc w:val="center"/>
              <w:cnfStyle w:val="010000000000" w:firstRow="0" w:lastRow="1"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78.90</w:t>
            </w:r>
          </w:p>
        </w:tc>
        <w:tc>
          <w:tcPr>
            <w:tcW w:w="288" w:type="pct"/>
            <w:tcBorders>
              <w:bottom w:val="double" w:sz="2" w:space="0" w:color="59A9F2" w:themeColor="accent1" w:themeTint="99"/>
            </w:tcBorders>
          </w:tcPr>
          <w:p w:rsidR="009C50AD" w:rsidRPr="009C50AD" w:rsidRDefault="009C50AD" w:rsidP="009C50AD">
            <w:pPr>
              <w:spacing w:line="240" w:lineRule="auto"/>
              <w:jc w:val="center"/>
              <w:cnfStyle w:val="010000000000" w:firstRow="0" w:lastRow="1" w:firstColumn="0" w:lastColumn="0" w:oddVBand="0" w:evenVBand="0" w:oddHBand="0" w:evenHBand="0" w:firstRowFirstColumn="0" w:firstRowLastColumn="0" w:lastRowFirstColumn="0" w:lastRowLastColumn="0"/>
              <w:rPr>
                <w:rFonts w:asciiTheme="majorHAnsi" w:hAnsiTheme="majorHAnsi"/>
                <w:sz w:val="16"/>
                <w:szCs w:val="18"/>
              </w:rPr>
            </w:pPr>
            <w:r w:rsidRPr="009C50AD">
              <w:rPr>
                <w:rFonts w:asciiTheme="majorHAnsi" w:hAnsiTheme="majorHAnsi"/>
                <w:sz w:val="16"/>
                <w:szCs w:val="18"/>
              </w:rPr>
              <w:t>95.7</w:t>
            </w:r>
          </w:p>
        </w:tc>
        <w:tc>
          <w:tcPr>
            <w:cnfStyle w:val="000100000000" w:firstRow="0" w:lastRow="0" w:firstColumn="0" w:lastColumn="1" w:oddVBand="0" w:evenVBand="0" w:oddHBand="0" w:evenHBand="0" w:firstRowFirstColumn="0" w:firstRowLastColumn="0" w:lastRowFirstColumn="0" w:lastRowLastColumn="0"/>
            <w:tcW w:w="256" w:type="pct"/>
            <w:tcBorders>
              <w:bottom w:val="double" w:sz="2" w:space="0" w:color="59A9F2" w:themeColor="accent1" w:themeTint="99"/>
            </w:tcBorders>
          </w:tcPr>
          <w:p w:rsidR="009C50AD" w:rsidRPr="009C50AD" w:rsidRDefault="009C50AD" w:rsidP="009C50AD">
            <w:pPr>
              <w:spacing w:line="240" w:lineRule="auto"/>
              <w:jc w:val="center"/>
              <w:rPr>
                <w:rFonts w:asciiTheme="majorHAnsi" w:hAnsiTheme="majorHAnsi"/>
                <w:bCs w:val="0"/>
                <w:sz w:val="16"/>
                <w:szCs w:val="18"/>
              </w:rPr>
            </w:pPr>
            <w:r w:rsidRPr="009C50AD">
              <w:rPr>
                <w:rFonts w:asciiTheme="majorHAnsi" w:hAnsiTheme="majorHAnsi"/>
                <w:bCs w:val="0"/>
                <w:sz w:val="16"/>
                <w:szCs w:val="18"/>
              </w:rPr>
              <w:t>80.9</w:t>
            </w:r>
          </w:p>
        </w:tc>
      </w:tr>
    </w:tbl>
    <w:p w:rsidR="009C50AD" w:rsidRPr="00BD6C06" w:rsidRDefault="009C50AD" w:rsidP="009C50AD">
      <w:pPr>
        <w:rPr>
          <w:rFonts w:asciiTheme="majorHAnsi" w:hAnsiTheme="majorHAnsi"/>
          <w:color w:val="000000"/>
          <w:spacing w:val="11"/>
        </w:rPr>
      </w:pPr>
      <w:r w:rsidRPr="00BD6C06">
        <w:rPr>
          <w:rFonts w:asciiTheme="majorHAnsi" w:hAnsiTheme="majorHAnsi"/>
          <w:spacing w:val="-2"/>
        </w:rPr>
        <w:t>B</w:t>
      </w:r>
      <w:r w:rsidRPr="00BD6C06">
        <w:rPr>
          <w:rFonts w:asciiTheme="majorHAnsi" w:hAnsiTheme="majorHAnsi"/>
        </w:rPr>
        <w:t>u</w:t>
      </w:r>
      <w:r w:rsidRPr="00BD6C06">
        <w:rPr>
          <w:rFonts w:asciiTheme="majorHAnsi" w:hAnsiTheme="majorHAnsi"/>
          <w:spacing w:val="2"/>
        </w:rPr>
        <w:t>x</w:t>
      </w:r>
      <w:r w:rsidRPr="00BD6C06">
        <w:rPr>
          <w:rFonts w:asciiTheme="majorHAnsi" w:hAnsiTheme="majorHAnsi"/>
        </w:rPr>
        <w:t>h</w:t>
      </w:r>
      <w:r w:rsidRPr="00BD6C06">
        <w:rPr>
          <w:rFonts w:asciiTheme="majorHAnsi" w:hAnsiTheme="majorHAnsi"/>
          <w:spacing w:val="-1"/>
        </w:rPr>
        <w:t>e</w:t>
      </w:r>
      <w:r w:rsidRPr="00BD6C06">
        <w:rPr>
          <w:rFonts w:asciiTheme="majorHAnsi" w:hAnsiTheme="majorHAnsi"/>
        </w:rPr>
        <w:t>ti</w:t>
      </w:r>
      <w:r w:rsidRPr="00BD6C06">
        <w:rPr>
          <w:rFonts w:asciiTheme="majorHAnsi" w:hAnsiTheme="majorHAnsi"/>
          <w:spacing w:val="35"/>
        </w:rPr>
        <w:t xml:space="preserve"> </w:t>
      </w:r>
      <w:r w:rsidRPr="00BD6C06">
        <w:rPr>
          <w:rFonts w:asciiTheme="majorHAnsi" w:hAnsiTheme="majorHAnsi"/>
        </w:rPr>
        <w:t xml:space="preserve">vjetor fillestar i Ministrisë së Drejtësisë u rishikua në ulje gjatë vitit 2021 (-8.7% më pak se buxheti fillestar ose 1.7% më pak se fakti  vitit paraardhës). Realizimi faktik ishte </w:t>
      </w:r>
      <w:r w:rsidRPr="00BD6C06">
        <w:rPr>
          <w:rFonts w:asciiTheme="majorHAnsi" w:hAnsiTheme="majorHAnsi"/>
          <w:color w:val="000000"/>
        </w:rPr>
        <w:t>7.9 miliardë</w:t>
      </w:r>
      <w:r w:rsidRPr="00BD6C06">
        <w:rPr>
          <w:rFonts w:asciiTheme="majorHAnsi" w:hAnsiTheme="majorHAnsi"/>
        </w:rPr>
        <w:t xml:space="preserve"> lekë, ose 86% e buxhetit fillestar dhe 94% e buxhetit të rishikuar. Realizimi i shpenzimeve përkundrejt planit fillestar ishte 86.9% për shpenzimet korrente dhe 78% për shpenzimet kapitale. Në krahasim me buxhetin e rishikuar, realizimi ishte disi më i lartë, rreth 95.7% për shpenzimet korente dhe 80.9% për investimet.</w:t>
      </w:r>
    </w:p>
    <w:p w:rsidR="007B7B50" w:rsidRPr="009C50AD" w:rsidRDefault="009C50AD" w:rsidP="009C50AD">
      <w:pPr>
        <w:rPr>
          <w:rFonts w:asciiTheme="majorHAnsi" w:eastAsia="Calibri" w:hAnsiTheme="majorHAnsi"/>
          <w:lang w:val="sq-AL"/>
        </w:rPr>
      </w:pPr>
      <w:r w:rsidRPr="00BD6C06">
        <w:rPr>
          <w:rFonts w:asciiTheme="majorHAnsi" w:eastAsia="Calibri" w:hAnsiTheme="majorHAnsi"/>
          <w:lang w:val="sq-AL"/>
        </w:rPr>
        <w:t>Në programin “</w:t>
      </w:r>
      <w:r w:rsidRPr="00BD6C06">
        <w:rPr>
          <w:rFonts w:asciiTheme="majorHAnsi" w:eastAsia="Calibri" w:hAnsiTheme="majorHAnsi"/>
          <w:b/>
          <w:lang w:val="sq-AL"/>
        </w:rPr>
        <w:t>Agjencia e Trajtimit të Pronave</w:t>
      </w:r>
      <w:r w:rsidRPr="00BD6C06">
        <w:rPr>
          <w:rFonts w:asciiTheme="majorHAnsi" w:eastAsia="Calibri" w:hAnsiTheme="majorHAnsi"/>
          <w:lang w:val="sq-AL"/>
        </w:rPr>
        <w:t xml:space="preserve">” janë realizuar produkte me kosto faktike prej 1,1 miliard lekë, ndër të cilat kanë përfituar kompensim financiar 25 subjekte me vlerë 49.1 milionë lekë, sipërfaqja e kompensuar fizikisht është 1,009,645 m2, vlera e të cilës është 196.4 milionë lekë si dhe janë regjistruar pranë sporteleve 67 aplikime të reja </w:t>
      </w:r>
      <w:r>
        <w:rPr>
          <w:rFonts w:asciiTheme="majorHAnsi" w:eastAsia="Calibri" w:hAnsiTheme="majorHAnsi"/>
          <w:lang w:val="sq-AL"/>
        </w:rPr>
        <w:t xml:space="preserve">për kompensim financiar/fizik. </w:t>
      </w:r>
      <w:r w:rsidR="00F61F6A">
        <w:rPr>
          <w:rFonts w:asciiTheme="majorHAnsi" w:eastAsia="Calibri" w:hAnsiTheme="majorHAnsi"/>
          <w:lang w:val="sq-AL"/>
        </w:rPr>
        <w:t>Për produktin ‘</w:t>
      </w:r>
      <w:r w:rsidRPr="00BD6C06">
        <w:rPr>
          <w:rFonts w:asciiTheme="majorHAnsi" w:eastAsia="Calibri" w:hAnsiTheme="majorHAnsi"/>
          <w:lang w:val="sq-AL"/>
        </w:rPr>
        <w:t>Kompensim me raste të vecant</w:t>
      </w:r>
      <w:r w:rsidR="00F61F6A">
        <w:rPr>
          <w:rFonts w:asciiTheme="majorHAnsi" w:eastAsia="Calibri" w:hAnsiTheme="majorHAnsi"/>
          <w:lang w:val="sq-AL"/>
        </w:rPr>
        <w:t>a’</w:t>
      </w:r>
      <w:r w:rsidRPr="00BD6C06">
        <w:rPr>
          <w:rFonts w:asciiTheme="majorHAnsi" w:eastAsia="Calibri" w:hAnsiTheme="majorHAnsi"/>
          <w:lang w:val="sq-AL"/>
        </w:rPr>
        <w:t xml:space="preserve"> gjatë vitit 2021 janë kompensuar 75 subjekte me vlerë 175.4 milionë lekë dhe 148 subjekte që kanë përfituar këstin e radhës me vlerë 481.2 milionë lekë</w:t>
      </w:r>
      <w:r w:rsidR="007B7B50" w:rsidRPr="00476D2E">
        <w:rPr>
          <w:rFonts w:eastAsia="Calibri"/>
          <w:lang w:val="sq-AL"/>
        </w:rPr>
        <w:t>.</w:t>
      </w:r>
    </w:p>
    <w:p w:rsidR="007B3DF7" w:rsidRPr="007B3DF7" w:rsidRDefault="007B7B50" w:rsidP="007B3DF7">
      <w:pPr>
        <w:shd w:val="clear" w:color="auto" w:fill="FFFFFF" w:themeFill="background1"/>
        <w:rPr>
          <w:rFonts w:asciiTheme="majorHAnsi" w:eastAsiaTheme="minorHAnsi" w:hAnsiTheme="majorHAnsi" w:cs="Calibri Light"/>
          <w:szCs w:val="22"/>
          <w:lang w:val="sq-AL"/>
        </w:rPr>
      </w:pPr>
      <w:r w:rsidRPr="007B3DF7">
        <w:rPr>
          <w:rFonts w:eastAsiaTheme="minorHAnsi"/>
          <w:lang w:val="sq-AL"/>
        </w:rPr>
        <w:t xml:space="preserve">Për sa u përket </w:t>
      </w:r>
      <w:r w:rsidRPr="007B3DF7">
        <w:rPr>
          <w:rFonts w:eastAsiaTheme="minorHAnsi"/>
          <w:b/>
          <w:bCs/>
          <w:lang w:val="sq-AL"/>
        </w:rPr>
        <w:t>investimeve publike,</w:t>
      </w:r>
      <w:r w:rsidRPr="007B3DF7">
        <w:rPr>
          <w:rFonts w:eastAsiaTheme="minorHAnsi"/>
          <w:lang w:val="sq-AL"/>
        </w:rPr>
        <w:t xml:space="preserve"> </w:t>
      </w:r>
      <w:r w:rsidR="007B3DF7" w:rsidRPr="007B3DF7">
        <w:rPr>
          <w:rFonts w:cs="Calibri"/>
          <w:lang w:val="sq-AL"/>
        </w:rPr>
        <w:t xml:space="preserve">realizimi në vitin 2021 ishte </w:t>
      </w:r>
      <w:r w:rsidR="001007C6">
        <w:rPr>
          <w:rFonts w:cs="Calibri"/>
          <w:lang w:val="sq-AL"/>
        </w:rPr>
        <w:t>74.6</w:t>
      </w:r>
      <w:r w:rsidR="007B3DF7" w:rsidRPr="007B3DF7">
        <w:rPr>
          <w:rFonts w:cs="Calibri"/>
          <w:lang w:val="sq-AL"/>
        </w:rPr>
        <w:t>% e buxhetit fillestar për projektet me financim të brendshëm (0.4 milard lekë)</w:t>
      </w:r>
      <w:r w:rsidR="007B3DF7" w:rsidRPr="007B3DF7">
        <w:rPr>
          <w:rFonts w:cs="Calibri"/>
          <w:bCs/>
          <w:iCs/>
          <w:lang w:val="sq-AL"/>
        </w:rPr>
        <w:t xml:space="preserve"> (76.9 % të planit vjetor të ndryshuar me AN nr.34)</w:t>
      </w:r>
      <w:r w:rsidR="007B3DF7" w:rsidRPr="007B3DF7">
        <w:rPr>
          <w:rFonts w:cs="Calibri"/>
          <w:lang w:val="sq-AL"/>
        </w:rPr>
        <w:t xml:space="preserve"> dhe 100% e buxhetit fillestar për projektet me financim të huaj (0.11 miliardë lekë) </w:t>
      </w:r>
      <w:r w:rsidR="007B3DF7" w:rsidRPr="007B3DF7">
        <w:rPr>
          <w:rFonts w:cs="Calibri"/>
          <w:bCs/>
          <w:iCs/>
          <w:lang w:val="sq-AL"/>
        </w:rPr>
        <w:t>(100 % të planit vjetor të ndryshuar me AN nr.34).</w:t>
      </w:r>
      <w:r w:rsidR="007B3DF7" w:rsidRPr="007B3DF7">
        <w:rPr>
          <w:rFonts w:cs="Calibri"/>
          <w:lang w:val="sq-AL"/>
        </w:rPr>
        <w:t xml:space="preserve"> Buxheti i shpenzimeve kapitale pësoi disa ndryshime gjatë vitit, duke pakësuar shpenzimet me financim të brendshëm në kuadër të mirëmenaxhimit të fondeve publike duke pakësuar fondet në ato projekte të cilat nuk mund të realizoheshin përgjatë 2021. </w:t>
      </w:r>
      <w:r w:rsidR="007B3DF7" w:rsidRPr="007B3DF7">
        <w:rPr>
          <w:rFonts w:asciiTheme="majorHAnsi" w:eastAsiaTheme="minorHAnsi" w:hAnsiTheme="majorHAnsi" w:cs="Calibri Light"/>
          <w:szCs w:val="22"/>
          <w:lang w:val="sq-AL"/>
        </w:rPr>
        <w:t>Janë mbyllur kontratat e investimit si më poshtë, ku ndër më kryesoret veçojmë</w:t>
      </w:r>
      <w:bookmarkStart w:id="257" w:name="_Hlk40882012"/>
      <w:r w:rsidR="007B3DF7" w:rsidRPr="007B3DF7">
        <w:rPr>
          <w:rFonts w:asciiTheme="majorHAnsi" w:eastAsiaTheme="minorHAnsi" w:hAnsiTheme="majorHAnsi" w:cs="Calibri Light"/>
          <w:szCs w:val="22"/>
          <w:lang w:val="sq-AL"/>
        </w:rPr>
        <w:t xml:space="preserve"> 5 kontrata me vlerë totale 250 milionë lekë</w:t>
      </w:r>
      <w:bookmarkEnd w:id="257"/>
      <w:r w:rsidR="007B3DF7" w:rsidRPr="007B3DF7">
        <w:rPr>
          <w:rFonts w:asciiTheme="majorHAnsi" w:eastAsiaTheme="minorHAnsi" w:hAnsiTheme="majorHAnsi" w:cs="Calibri Light"/>
          <w:szCs w:val="22"/>
          <w:lang w:val="sq-AL"/>
        </w:rPr>
        <w:t>, kryesisht për:</w:t>
      </w:r>
    </w:p>
    <w:p w:rsidR="007B3DF7" w:rsidRPr="007B3DF7" w:rsidRDefault="007B3DF7" w:rsidP="00842F80">
      <w:pPr>
        <w:pStyle w:val="ListParagraph"/>
        <w:numPr>
          <w:ilvl w:val="0"/>
          <w:numId w:val="34"/>
        </w:numPr>
        <w:spacing w:before="0" w:line="240" w:lineRule="auto"/>
        <w:rPr>
          <w:rFonts w:asciiTheme="majorHAnsi" w:eastAsia="Calibri" w:hAnsiTheme="majorHAnsi" w:cs="Calibri Light"/>
          <w:i/>
          <w:szCs w:val="22"/>
          <w:lang w:val="sq-AL"/>
        </w:rPr>
      </w:pPr>
      <w:r w:rsidRPr="007B3DF7">
        <w:rPr>
          <w:rFonts w:asciiTheme="majorHAnsi" w:eastAsia="Calibri" w:hAnsiTheme="majorHAnsi" w:cs="Calibri Light"/>
          <w:i/>
          <w:szCs w:val="22"/>
          <w:lang w:val="sq-AL"/>
        </w:rPr>
        <w:t>Rikonstruksion  i godinës së vuajtjes së dënimit në IEVP Lezhë, godina 4 dhe 5 me vlerë të plotë investimi prej 104 milionë lekë.</w:t>
      </w:r>
    </w:p>
    <w:p w:rsidR="007B3DF7" w:rsidRPr="007B3DF7" w:rsidRDefault="007B3DF7" w:rsidP="00842F80">
      <w:pPr>
        <w:pStyle w:val="ListParagraph"/>
        <w:numPr>
          <w:ilvl w:val="0"/>
          <w:numId w:val="34"/>
        </w:numPr>
        <w:spacing w:before="0" w:line="240" w:lineRule="auto"/>
        <w:rPr>
          <w:rFonts w:asciiTheme="majorHAnsi" w:eastAsia="Calibri" w:hAnsiTheme="majorHAnsi" w:cs="Calibri Light"/>
          <w:i/>
          <w:szCs w:val="22"/>
          <w:lang w:val="sq-AL"/>
        </w:rPr>
      </w:pPr>
      <w:r w:rsidRPr="007B3DF7">
        <w:rPr>
          <w:rFonts w:asciiTheme="majorHAnsi" w:eastAsia="Calibri" w:hAnsiTheme="majorHAnsi" w:cs="Calibri Light"/>
          <w:i/>
          <w:szCs w:val="22"/>
          <w:lang w:val="sq-AL"/>
        </w:rPr>
        <w:t>Rehabilitim emergjent i arkives së Ministrisë së Drejtësise me vlerë të plotë investimi prej 73 milionë lekë;</w:t>
      </w:r>
    </w:p>
    <w:p w:rsidR="007B3DF7" w:rsidRPr="007B3DF7" w:rsidRDefault="007B3DF7" w:rsidP="00842F80">
      <w:pPr>
        <w:pStyle w:val="ListParagraph"/>
        <w:numPr>
          <w:ilvl w:val="0"/>
          <w:numId w:val="34"/>
        </w:numPr>
        <w:spacing w:before="0" w:line="240" w:lineRule="auto"/>
        <w:rPr>
          <w:rFonts w:asciiTheme="majorHAnsi" w:eastAsia="Calibri" w:hAnsiTheme="majorHAnsi" w:cs="Calibri Light"/>
          <w:i/>
          <w:szCs w:val="22"/>
          <w:lang w:val="sq-AL"/>
        </w:rPr>
      </w:pPr>
      <w:r w:rsidRPr="007B3DF7">
        <w:rPr>
          <w:rFonts w:asciiTheme="majorHAnsi" w:eastAsia="Calibri" w:hAnsiTheme="majorHAnsi" w:cs="Calibri Light"/>
          <w:i/>
          <w:szCs w:val="22"/>
          <w:lang w:val="sq-AL"/>
        </w:rPr>
        <w:t>Sistemi i qendërzuar i marredhënieve juridiksionale me jashtë dhe brenda vendit për të dhenat kriminale me vlerë të plotë investimi prej 64 milionë lekë;</w:t>
      </w:r>
    </w:p>
    <w:p w:rsidR="00B7647A" w:rsidRPr="00476D2E" w:rsidRDefault="00B7647A" w:rsidP="007B3DF7">
      <w:pPr>
        <w:spacing w:line="360" w:lineRule="auto"/>
        <w:rPr>
          <w:rFonts w:cs="Calibri"/>
          <w:lang w:val="sq-AL"/>
        </w:rPr>
      </w:pPr>
    </w:p>
    <w:p w:rsidR="007B7B50" w:rsidRPr="00476D2E" w:rsidRDefault="007B7B50" w:rsidP="007B7B50">
      <w:pPr>
        <w:pStyle w:val="fiskale3"/>
        <w:rPr>
          <w:rFonts w:ascii="Calibri" w:hAnsi="Calibri" w:cs="Calibri"/>
          <w:b/>
        </w:rPr>
      </w:pPr>
      <w:bookmarkStart w:id="258" w:name="_Toc10721442"/>
      <w:bookmarkStart w:id="259" w:name="_Toc104980366"/>
      <w:r w:rsidRPr="00476D2E">
        <w:rPr>
          <w:rFonts w:ascii="Calibri" w:hAnsi="Calibri" w:cs="Calibri"/>
          <w:b/>
        </w:rPr>
        <w:lastRenderedPageBreak/>
        <w:t>Institucionet e Sistemit të Drejtësisë</w:t>
      </w:r>
      <w:bookmarkEnd w:id="258"/>
      <w:bookmarkEnd w:id="259"/>
    </w:p>
    <w:p w:rsidR="007B7B50" w:rsidRPr="00476D2E" w:rsidRDefault="007B7B50" w:rsidP="007B7B50">
      <w:pPr>
        <w:spacing w:before="240"/>
        <w:rPr>
          <w:rFonts w:cs="Calibri"/>
          <w:lang w:val="sq-AL"/>
        </w:rPr>
      </w:pPr>
      <w:r w:rsidRPr="00476D2E">
        <w:rPr>
          <w:rFonts w:cs="Calibri"/>
          <w:lang w:val="sq-AL"/>
        </w:rPr>
        <w:t xml:space="preserve">Shpenzimet e planifikuara dhe ato faktike si dhe realizimi në </w:t>
      </w:r>
      <w:r w:rsidR="008961B4">
        <w:rPr>
          <w:rFonts w:cs="Calibri"/>
          <w:lang w:val="sq-AL"/>
        </w:rPr>
        <w:t>përqind</w:t>
      </w:r>
      <w:r w:rsidRPr="00476D2E">
        <w:rPr>
          <w:rFonts w:cs="Calibri"/>
          <w:lang w:val="sq-AL"/>
        </w:rPr>
        <w:t>je për vitin 202</w:t>
      </w:r>
      <w:r w:rsidR="009C50AD">
        <w:rPr>
          <w:rFonts w:cs="Calibri"/>
          <w:lang w:val="sq-AL"/>
        </w:rPr>
        <w:t>1</w:t>
      </w:r>
      <w:r w:rsidRPr="00476D2E">
        <w:rPr>
          <w:rFonts w:cs="Calibri"/>
          <w:lang w:val="sq-AL"/>
        </w:rPr>
        <w:t xml:space="preserve"> për </w:t>
      </w:r>
      <w:r w:rsidRPr="00476D2E">
        <w:rPr>
          <w:rFonts w:cs="Calibri"/>
          <w:b/>
          <w:lang w:val="sq-AL"/>
        </w:rPr>
        <w:t>Institucionet e Mbikqyrjes dhe Rivlerësimit në sistemin e Drejtësisë</w:t>
      </w:r>
      <w:r w:rsidRPr="00476D2E">
        <w:rPr>
          <w:rFonts w:cs="Calibri"/>
          <w:lang w:val="sq-AL"/>
        </w:rPr>
        <w:t>, paraqiten si më poshtë:</w:t>
      </w:r>
    </w:p>
    <w:p w:rsidR="007B7B50" w:rsidRPr="00476D2E" w:rsidRDefault="007B7B50" w:rsidP="007B7B50">
      <w:pPr>
        <w:rPr>
          <w:rFonts w:cs="Calibri"/>
          <w:i/>
          <w:iCs/>
          <w:color w:val="0B5294" w:themeColor="accent1" w:themeShade="BF"/>
          <w:sz w:val="20"/>
          <w:szCs w:val="18"/>
          <w:u w:val="single"/>
          <w:lang w:val="sq-AL"/>
        </w:rPr>
      </w:pPr>
      <w:bookmarkStart w:id="260" w:name="_Toc104984099"/>
      <w:r w:rsidRPr="00476D2E">
        <w:rPr>
          <w:rFonts w:cs="Calibri"/>
          <w:i/>
          <w:iCs/>
          <w:color w:val="0B5294" w:themeColor="accent1" w:themeShade="BF"/>
          <w:sz w:val="18"/>
          <w:szCs w:val="18"/>
          <w:lang w:val="sq-AL"/>
        </w:rPr>
        <w:t xml:space="preserve">Tabela </w:t>
      </w:r>
      <w:r w:rsidRPr="00476D2E">
        <w:rPr>
          <w:rFonts w:cs="Calibri"/>
          <w:i/>
          <w:iCs/>
          <w:color w:val="0B5294" w:themeColor="accent1" w:themeShade="BF"/>
          <w:sz w:val="18"/>
          <w:szCs w:val="18"/>
          <w:lang w:val="sq-AL"/>
        </w:rPr>
        <w:fldChar w:fldCharType="begin"/>
      </w:r>
      <w:r w:rsidRPr="00476D2E">
        <w:rPr>
          <w:rFonts w:cs="Calibri"/>
          <w:i/>
          <w:iCs/>
          <w:color w:val="0B5294" w:themeColor="accent1" w:themeShade="BF"/>
          <w:sz w:val="18"/>
          <w:szCs w:val="18"/>
          <w:lang w:val="sq-AL"/>
        </w:rPr>
        <w:instrText xml:space="preserve"> SEQ Tabela \* ARABIC </w:instrText>
      </w:r>
      <w:r w:rsidRPr="00476D2E">
        <w:rPr>
          <w:rFonts w:cs="Calibri"/>
          <w:i/>
          <w:iCs/>
          <w:color w:val="0B5294" w:themeColor="accent1" w:themeShade="BF"/>
          <w:sz w:val="18"/>
          <w:szCs w:val="18"/>
          <w:lang w:val="sq-AL"/>
        </w:rPr>
        <w:fldChar w:fldCharType="separate"/>
      </w:r>
      <w:r w:rsidR="00276062">
        <w:rPr>
          <w:rFonts w:cs="Calibri"/>
          <w:i/>
          <w:iCs/>
          <w:noProof/>
          <w:color w:val="0B5294" w:themeColor="accent1" w:themeShade="BF"/>
          <w:sz w:val="18"/>
          <w:szCs w:val="18"/>
          <w:lang w:val="sq-AL"/>
        </w:rPr>
        <w:t>27</w:t>
      </w:r>
      <w:r w:rsidRPr="00476D2E">
        <w:rPr>
          <w:rFonts w:cs="Calibri"/>
          <w:i/>
          <w:iCs/>
          <w:noProof/>
          <w:color w:val="0B5294" w:themeColor="accent1" w:themeShade="BF"/>
          <w:sz w:val="18"/>
          <w:szCs w:val="18"/>
          <w:lang w:val="sq-AL"/>
        </w:rPr>
        <w:fldChar w:fldCharType="end"/>
      </w:r>
      <w:r w:rsidRPr="00476D2E">
        <w:rPr>
          <w:rFonts w:cs="Calibri"/>
          <w:i/>
          <w:iCs/>
          <w:color w:val="0B5294" w:themeColor="accent1" w:themeShade="BF"/>
          <w:sz w:val="18"/>
          <w:szCs w:val="18"/>
          <w:lang w:val="sq-AL"/>
        </w:rPr>
        <w:t xml:space="preserve"> Realizimi i buxhetit 202</w:t>
      </w:r>
      <w:r w:rsidR="009C50AD">
        <w:rPr>
          <w:rFonts w:cs="Calibri"/>
          <w:i/>
          <w:iCs/>
          <w:color w:val="0B5294" w:themeColor="accent1" w:themeShade="BF"/>
          <w:sz w:val="18"/>
          <w:szCs w:val="18"/>
          <w:lang w:val="sq-AL"/>
        </w:rPr>
        <w:t>1</w:t>
      </w:r>
      <w:r w:rsidRPr="00476D2E">
        <w:rPr>
          <w:rFonts w:cs="Calibri"/>
          <w:i/>
          <w:iCs/>
          <w:color w:val="0B5294" w:themeColor="accent1" w:themeShade="BF"/>
          <w:sz w:val="18"/>
          <w:szCs w:val="18"/>
          <w:lang w:val="sq-AL"/>
        </w:rPr>
        <w:t xml:space="preserve"> për Institucionet e Drejtësisë</w:t>
      </w:r>
      <w:bookmarkEnd w:id="260"/>
      <w:r w:rsidRPr="00476D2E">
        <w:rPr>
          <w:rFonts w:cs="Calibri"/>
          <w:i/>
          <w:iCs/>
          <w:color w:val="0B5294" w:themeColor="accent1" w:themeShade="BF"/>
          <w:sz w:val="20"/>
          <w:szCs w:val="18"/>
          <w:u w:val="single"/>
          <w:lang w:val="sq-AL"/>
        </w:rPr>
        <w:t xml:space="preserve"> </w:t>
      </w:r>
    </w:p>
    <w:tbl>
      <w:tblPr>
        <w:tblStyle w:val="GridTable1Light-Accent111"/>
        <w:tblW w:w="5596" w:type="pct"/>
        <w:jc w:val="center"/>
        <w:tblLook w:val="01E0" w:firstRow="1" w:lastRow="1" w:firstColumn="1" w:lastColumn="1" w:noHBand="0" w:noVBand="0"/>
      </w:tblPr>
      <w:tblGrid>
        <w:gridCol w:w="2421"/>
        <w:gridCol w:w="942"/>
        <w:gridCol w:w="953"/>
        <w:gridCol w:w="940"/>
        <w:gridCol w:w="953"/>
        <w:gridCol w:w="940"/>
        <w:gridCol w:w="953"/>
        <w:gridCol w:w="763"/>
        <w:gridCol w:w="768"/>
        <w:gridCol w:w="763"/>
        <w:gridCol w:w="926"/>
      </w:tblGrid>
      <w:tr w:rsidR="009C50AD" w:rsidRPr="009C50AD" w:rsidTr="009C50AD">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69" w:type="pct"/>
            <w:shd w:val="clear" w:color="auto" w:fill="0B5294" w:themeFill="accent1" w:themeFillShade="BF"/>
          </w:tcPr>
          <w:p w:rsidR="009C50AD" w:rsidRPr="009C50AD" w:rsidRDefault="009C50AD" w:rsidP="009C50AD">
            <w:pPr>
              <w:spacing w:before="0" w:line="240" w:lineRule="auto"/>
              <w:jc w:val="center"/>
              <w:rPr>
                <w:rFonts w:cs="Calibri"/>
                <w:color w:val="FFFFFF" w:themeColor="background1"/>
                <w:sz w:val="16"/>
                <w:lang w:val="sq-AL"/>
              </w:rPr>
            </w:pPr>
            <w:r w:rsidRPr="009C50AD">
              <w:rPr>
                <w:rFonts w:cs="Calibri"/>
                <w:color w:val="FFFFFF" w:themeColor="background1"/>
                <w:sz w:val="16"/>
                <w:lang w:val="sq-AL"/>
              </w:rPr>
              <w:t>Programi buxhetor</w:t>
            </w:r>
          </w:p>
        </w:tc>
        <w:tc>
          <w:tcPr>
            <w:tcW w:w="836" w:type="pct"/>
            <w:gridSpan w:val="2"/>
            <w:shd w:val="clear" w:color="auto" w:fill="0B5294" w:themeFill="accent1" w:themeFillShade="BF"/>
          </w:tcPr>
          <w:p w:rsidR="009C50AD" w:rsidRPr="009C50AD" w:rsidRDefault="009C50AD" w:rsidP="009C50A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9C50AD">
              <w:rPr>
                <w:rFonts w:cs="Calibri"/>
                <w:color w:val="FFFFFF" w:themeColor="background1"/>
                <w:sz w:val="16"/>
                <w:lang w:val="sq-AL"/>
              </w:rPr>
              <w:t>Plani fillestar 2021</w:t>
            </w:r>
          </w:p>
        </w:tc>
        <w:tc>
          <w:tcPr>
            <w:tcW w:w="836" w:type="pct"/>
            <w:gridSpan w:val="2"/>
            <w:shd w:val="clear" w:color="auto" w:fill="0B5294" w:themeFill="accent1" w:themeFillShade="BF"/>
          </w:tcPr>
          <w:p w:rsidR="009C50AD" w:rsidRPr="009C50AD" w:rsidRDefault="009C50AD" w:rsidP="009C50A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9C50AD">
              <w:rPr>
                <w:rFonts w:cs="Calibri"/>
                <w:color w:val="FFFFFF" w:themeColor="background1"/>
                <w:sz w:val="16"/>
                <w:lang w:val="sq-AL"/>
              </w:rPr>
              <w:t>Plani i rishikuar 2021</w:t>
            </w:r>
          </w:p>
        </w:tc>
        <w:tc>
          <w:tcPr>
            <w:tcW w:w="836" w:type="pct"/>
            <w:gridSpan w:val="2"/>
            <w:shd w:val="clear" w:color="auto" w:fill="0B5294" w:themeFill="accent1" w:themeFillShade="BF"/>
          </w:tcPr>
          <w:p w:rsidR="009C50AD" w:rsidRPr="009C50AD" w:rsidRDefault="009C50AD" w:rsidP="009C50A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9C50AD">
              <w:rPr>
                <w:rFonts w:cs="Calibri"/>
                <w:color w:val="FFFFFF" w:themeColor="background1"/>
                <w:sz w:val="16"/>
                <w:lang w:val="sq-AL"/>
              </w:rPr>
              <w:t>Fakti 2021</w:t>
            </w:r>
          </w:p>
        </w:tc>
        <w:tc>
          <w:tcPr>
            <w:tcW w:w="675" w:type="pct"/>
            <w:gridSpan w:val="2"/>
            <w:shd w:val="clear" w:color="auto" w:fill="0B5294" w:themeFill="accent1" w:themeFillShade="BF"/>
          </w:tcPr>
          <w:p w:rsidR="009C50AD" w:rsidRPr="009C50AD" w:rsidRDefault="009C50AD" w:rsidP="009C50A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 w:val="16"/>
                <w:lang w:val="sq-AL"/>
              </w:rPr>
            </w:pPr>
            <w:r w:rsidRPr="009C50AD">
              <w:rPr>
                <w:rFonts w:cs="Calibri"/>
                <w:b w:val="0"/>
                <w:bCs w:val="0"/>
                <w:color w:val="FFFFFF" w:themeColor="background1"/>
                <w:sz w:val="16"/>
                <w:szCs w:val="18"/>
              </w:rPr>
              <w:t>Diferenca në % me planin fillestar</w:t>
            </w:r>
          </w:p>
        </w:tc>
        <w:tc>
          <w:tcPr>
            <w:cnfStyle w:val="000100000000" w:firstRow="0" w:lastRow="0" w:firstColumn="0" w:lastColumn="1" w:oddVBand="0" w:evenVBand="0" w:oddHBand="0" w:evenHBand="0" w:firstRowFirstColumn="0" w:firstRowLastColumn="0" w:lastRowFirstColumn="0" w:lastRowLastColumn="0"/>
            <w:tcW w:w="747" w:type="pct"/>
            <w:gridSpan w:val="2"/>
            <w:shd w:val="clear" w:color="auto" w:fill="0B5294" w:themeFill="accent1" w:themeFillShade="BF"/>
          </w:tcPr>
          <w:p w:rsidR="009C50AD" w:rsidRPr="009C50AD" w:rsidRDefault="009C50AD" w:rsidP="009C50AD">
            <w:pPr>
              <w:spacing w:before="0" w:line="240" w:lineRule="auto"/>
              <w:jc w:val="center"/>
              <w:rPr>
                <w:rFonts w:cs="Calibri"/>
                <w:b w:val="0"/>
                <w:bCs w:val="0"/>
                <w:color w:val="FFFFFF" w:themeColor="background1"/>
                <w:sz w:val="16"/>
                <w:lang w:val="sq-AL"/>
              </w:rPr>
            </w:pPr>
            <w:r w:rsidRPr="009C50AD">
              <w:rPr>
                <w:rFonts w:cs="Calibri"/>
                <w:b w:val="0"/>
                <w:bCs w:val="0"/>
                <w:color w:val="FFFFFF" w:themeColor="background1"/>
                <w:sz w:val="16"/>
                <w:szCs w:val="18"/>
              </w:rPr>
              <w:t>Diferenca në % me planin e rishikuar</w:t>
            </w:r>
          </w:p>
        </w:tc>
      </w:tr>
      <w:tr w:rsidR="009C50AD" w:rsidRPr="009C50AD" w:rsidTr="009C50AD">
        <w:trPr>
          <w:trHeight w:val="284"/>
          <w:jc w:val="center"/>
        </w:trPr>
        <w:tc>
          <w:tcPr>
            <w:cnfStyle w:val="001000000000" w:firstRow="0" w:lastRow="0" w:firstColumn="1" w:lastColumn="0" w:oddVBand="0" w:evenVBand="0" w:oddHBand="0" w:evenHBand="0" w:firstRowFirstColumn="0" w:firstRowLastColumn="0" w:lastRowFirstColumn="0" w:lastRowLastColumn="0"/>
            <w:tcW w:w="1069" w:type="pct"/>
            <w:shd w:val="clear" w:color="auto" w:fill="0B5294" w:themeFill="accent1" w:themeFillShade="BF"/>
          </w:tcPr>
          <w:p w:rsidR="009C50AD" w:rsidRPr="009C50AD" w:rsidRDefault="009C50AD" w:rsidP="009C50AD">
            <w:pPr>
              <w:spacing w:before="0" w:line="240" w:lineRule="auto"/>
              <w:jc w:val="center"/>
              <w:rPr>
                <w:rFonts w:cs="Calibri"/>
                <w:color w:val="FFFFFF" w:themeColor="background1"/>
                <w:sz w:val="16"/>
                <w:lang w:val="sq-AL"/>
              </w:rPr>
            </w:pPr>
            <w:r w:rsidRPr="009C50AD">
              <w:rPr>
                <w:rFonts w:cs="Calibri"/>
                <w:bCs w:val="0"/>
                <w:i/>
                <w:color w:val="FFFFFF" w:themeColor="background1"/>
                <w:sz w:val="16"/>
                <w:lang w:val="sq-AL"/>
              </w:rPr>
              <w:t>(në mijë lekë)</w:t>
            </w:r>
          </w:p>
        </w:tc>
        <w:tc>
          <w:tcPr>
            <w:tcW w:w="416" w:type="pct"/>
            <w:shd w:val="clear" w:color="auto" w:fill="0B5294" w:themeFill="accent1" w:themeFillShade="BF"/>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FFFFFF" w:themeColor="background1"/>
                <w:sz w:val="16"/>
                <w:lang w:val="sq-AL"/>
              </w:rPr>
            </w:pPr>
            <w:r w:rsidRPr="009C50AD">
              <w:rPr>
                <w:rFonts w:cs="Calibri"/>
                <w:b/>
                <w:color w:val="FFFFFF" w:themeColor="background1"/>
                <w:sz w:val="16"/>
                <w:lang w:val="sq-AL"/>
              </w:rPr>
              <w:t>Korrente</w:t>
            </w:r>
          </w:p>
        </w:tc>
        <w:tc>
          <w:tcPr>
            <w:tcW w:w="421" w:type="pct"/>
            <w:shd w:val="clear" w:color="auto" w:fill="0B5294" w:themeFill="accent1" w:themeFillShade="BF"/>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FFFFFF" w:themeColor="background1"/>
                <w:sz w:val="16"/>
                <w:lang w:val="sq-AL"/>
              </w:rPr>
            </w:pPr>
            <w:r w:rsidRPr="009C50AD">
              <w:rPr>
                <w:rFonts w:cs="Calibri"/>
                <w:b/>
                <w:color w:val="FFFFFF" w:themeColor="background1"/>
                <w:sz w:val="16"/>
                <w:lang w:val="sq-AL"/>
              </w:rPr>
              <w:t>Investime</w:t>
            </w:r>
          </w:p>
        </w:tc>
        <w:tc>
          <w:tcPr>
            <w:tcW w:w="415" w:type="pct"/>
            <w:shd w:val="clear" w:color="auto" w:fill="0B5294" w:themeFill="accent1" w:themeFillShade="BF"/>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9C50AD">
              <w:rPr>
                <w:rFonts w:cs="Calibri"/>
                <w:b/>
                <w:color w:val="FFFFFF" w:themeColor="background1"/>
                <w:sz w:val="16"/>
                <w:lang w:val="sq-AL"/>
              </w:rPr>
              <w:t>Korrente</w:t>
            </w:r>
          </w:p>
        </w:tc>
        <w:tc>
          <w:tcPr>
            <w:tcW w:w="421" w:type="pct"/>
            <w:shd w:val="clear" w:color="auto" w:fill="0B5294" w:themeFill="accent1" w:themeFillShade="BF"/>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9C50AD">
              <w:rPr>
                <w:rFonts w:cs="Calibri"/>
                <w:b/>
                <w:color w:val="FFFFFF" w:themeColor="background1"/>
                <w:sz w:val="16"/>
                <w:lang w:val="sq-AL"/>
              </w:rPr>
              <w:t>Investime</w:t>
            </w:r>
          </w:p>
        </w:tc>
        <w:tc>
          <w:tcPr>
            <w:tcW w:w="415" w:type="pct"/>
            <w:shd w:val="clear" w:color="auto" w:fill="0B5294" w:themeFill="accent1" w:themeFillShade="BF"/>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9C50AD">
              <w:rPr>
                <w:rFonts w:cs="Calibri"/>
                <w:b/>
                <w:color w:val="FFFFFF" w:themeColor="background1"/>
                <w:sz w:val="16"/>
                <w:lang w:val="sq-AL"/>
              </w:rPr>
              <w:t>Korrente</w:t>
            </w:r>
          </w:p>
        </w:tc>
        <w:tc>
          <w:tcPr>
            <w:tcW w:w="421" w:type="pct"/>
            <w:shd w:val="clear" w:color="auto" w:fill="0B5294" w:themeFill="accent1" w:themeFillShade="BF"/>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9C50AD">
              <w:rPr>
                <w:rFonts w:cs="Calibri"/>
                <w:b/>
                <w:color w:val="FFFFFF" w:themeColor="background1"/>
                <w:sz w:val="16"/>
                <w:lang w:val="sq-AL"/>
              </w:rPr>
              <w:t>Investime</w:t>
            </w:r>
          </w:p>
        </w:tc>
        <w:tc>
          <w:tcPr>
            <w:tcW w:w="337" w:type="pct"/>
            <w:shd w:val="clear" w:color="auto" w:fill="0B5294" w:themeFill="accent1" w:themeFillShade="BF"/>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9C50AD">
              <w:rPr>
                <w:rFonts w:cs="Calibri"/>
                <w:b/>
                <w:color w:val="FFFFFF" w:themeColor="background1"/>
                <w:sz w:val="16"/>
                <w:lang w:val="sq-AL"/>
              </w:rPr>
              <w:t>Korr.</w:t>
            </w:r>
          </w:p>
        </w:tc>
        <w:tc>
          <w:tcPr>
            <w:tcW w:w="339" w:type="pct"/>
            <w:shd w:val="clear" w:color="auto" w:fill="0B5294" w:themeFill="accent1" w:themeFillShade="BF"/>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FFFFFF" w:themeColor="background1"/>
                <w:sz w:val="16"/>
                <w:lang w:val="sq-AL"/>
              </w:rPr>
            </w:pPr>
            <w:r w:rsidRPr="009C50AD">
              <w:rPr>
                <w:rFonts w:cs="Calibri"/>
                <w:bCs/>
                <w:color w:val="FFFFFF" w:themeColor="background1"/>
                <w:sz w:val="16"/>
                <w:lang w:val="sq-AL"/>
              </w:rPr>
              <w:t>Inv.</w:t>
            </w:r>
          </w:p>
        </w:tc>
        <w:tc>
          <w:tcPr>
            <w:tcW w:w="337" w:type="pct"/>
            <w:shd w:val="clear" w:color="auto" w:fill="0B5294" w:themeFill="accent1" w:themeFillShade="BF"/>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color w:val="FFFFFF" w:themeColor="background1"/>
                <w:sz w:val="16"/>
                <w:lang w:val="sq-AL"/>
              </w:rPr>
            </w:pPr>
            <w:r w:rsidRPr="009C50AD">
              <w:rPr>
                <w:rFonts w:cs="Calibri"/>
                <w:b/>
                <w:color w:val="FFFFFF" w:themeColor="background1"/>
                <w:sz w:val="16"/>
                <w:lang w:val="sq-AL"/>
              </w:rPr>
              <w:t>Korr.</w:t>
            </w:r>
          </w:p>
        </w:tc>
        <w:tc>
          <w:tcPr>
            <w:cnfStyle w:val="000100000000" w:firstRow="0" w:lastRow="0" w:firstColumn="0" w:lastColumn="1" w:oddVBand="0" w:evenVBand="0" w:oddHBand="0" w:evenHBand="0" w:firstRowFirstColumn="0" w:firstRowLastColumn="0" w:lastRowFirstColumn="0" w:lastRowLastColumn="0"/>
            <w:tcW w:w="410" w:type="pct"/>
            <w:shd w:val="clear" w:color="auto" w:fill="0B5294" w:themeFill="accent1" w:themeFillShade="BF"/>
          </w:tcPr>
          <w:p w:rsidR="009C50AD" w:rsidRPr="009C50AD" w:rsidRDefault="009C50AD" w:rsidP="009C50AD">
            <w:pPr>
              <w:spacing w:before="0" w:line="240" w:lineRule="auto"/>
              <w:jc w:val="center"/>
              <w:rPr>
                <w:rFonts w:cs="Calibri"/>
                <w:bCs w:val="0"/>
                <w:color w:val="FFFFFF" w:themeColor="background1"/>
                <w:sz w:val="16"/>
                <w:lang w:val="sq-AL"/>
              </w:rPr>
            </w:pPr>
            <w:r w:rsidRPr="009C50AD">
              <w:rPr>
                <w:rFonts w:cs="Calibri"/>
                <w:bCs w:val="0"/>
                <w:color w:val="FFFFFF" w:themeColor="background1"/>
                <w:sz w:val="16"/>
                <w:lang w:val="sq-AL"/>
              </w:rPr>
              <w:t>Inv.</w:t>
            </w:r>
          </w:p>
        </w:tc>
      </w:tr>
      <w:tr w:rsidR="009C50AD" w:rsidRPr="009C50AD" w:rsidTr="009C50AD">
        <w:trPr>
          <w:trHeight w:val="284"/>
          <w:jc w:val="center"/>
        </w:trPr>
        <w:tc>
          <w:tcPr>
            <w:cnfStyle w:val="001000000000" w:firstRow="0" w:lastRow="0" w:firstColumn="1" w:lastColumn="0" w:oddVBand="0" w:evenVBand="0" w:oddHBand="0" w:evenHBand="0" w:firstRowFirstColumn="0" w:firstRowLastColumn="0" w:lastRowFirstColumn="0" w:lastRowLastColumn="0"/>
            <w:tcW w:w="1069" w:type="pct"/>
            <w:shd w:val="clear" w:color="auto" w:fill="auto"/>
            <w:vAlign w:val="center"/>
          </w:tcPr>
          <w:p w:rsidR="009C50AD" w:rsidRPr="009C50AD" w:rsidRDefault="009C50AD" w:rsidP="009C50AD">
            <w:pPr>
              <w:spacing w:before="0" w:line="240" w:lineRule="auto"/>
              <w:jc w:val="center"/>
              <w:rPr>
                <w:rFonts w:cs="Calibri"/>
                <w:b w:val="0"/>
                <w:sz w:val="16"/>
                <w:szCs w:val="18"/>
                <w:lang w:val="sq-AL"/>
              </w:rPr>
            </w:pPr>
            <w:r w:rsidRPr="009C50AD">
              <w:rPr>
                <w:rFonts w:cs="Calibri"/>
                <w:b w:val="0"/>
                <w:color w:val="000000"/>
                <w:sz w:val="16"/>
                <w:szCs w:val="18"/>
              </w:rPr>
              <w:t>Inspektoriati i Larte i Drejtesise</w:t>
            </w:r>
          </w:p>
        </w:tc>
        <w:tc>
          <w:tcPr>
            <w:tcW w:w="416" w:type="pct"/>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9C50AD">
              <w:rPr>
                <w:rFonts w:cs="Calibri"/>
                <w:sz w:val="16"/>
                <w:szCs w:val="18"/>
              </w:rPr>
              <w:t>208,000</w:t>
            </w:r>
          </w:p>
        </w:tc>
        <w:tc>
          <w:tcPr>
            <w:tcW w:w="421" w:type="pct"/>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9C50AD">
              <w:rPr>
                <w:rFonts w:cs="Calibri"/>
                <w:sz w:val="16"/>
                <w:szCs w:val="18"/>
              </w:rPr>
              <w:t>52,000</w:t>
            </w:r>
          </w:p>
        </w:tc>
        <w:tc>
          <w:tcPr>
            <w:tcW w:w="415" w:type="pct"/>
            <w:shd w:val="clear" w:color="auto" w:fill="auto"/>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9C50AD">
              <w:rPr>
                <w:rFonts w:cs="Calibri"/>
                <w:sz w:val="16"/>
                <w:szCs w:val="18"/>
              </w:rPr>
              <w:t>132,250</w:t>
            </w:r>
          </w:p>
        </w:tc>
        <w:tc>
          <w:tcPr>
            <w:tcW w:w="421" w:type="pct"/>
            <w:shd w:val="clear" w:color="auto" w:fill="auto"/>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9C50AD">
              <w:rPr>
                <w:rFonts w:cs="Calibri"/>
                <w:sz w:val="16"/>
                <w:szCs w:val="18"/>
              </w:rPr>
              <w:t>23,700</w:t>
            </w:r>
          </w:p>
        </w:tc>
        <w:tc>
          <w:tcPr>
            <w:tcW w:w="415" w:type="pct"/>
            <w:shd w:val="clear" w:color="auto" w:fill="auto"/>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9C50AD">
              <w:rPr>
                <w:rFonts w:cs="Calibri"/>
                <w:sz w:val="16"/>
                <w:szCs w:val="18"/>
              </w:rPr>
              <w:t>122,457</w:t>
            </w:r>
          </w:p>
        </w:tc>
        <w:tc>
          <w:tcPr>
            <w:tcW w:w="421" w:type="pct"/>
            <w:shd w:val="clear" w:color="auto" w:fill="auto"/>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9C50AD">
              <w:rPr>
                <w:rFonts w:cs="Calibri"/>
                <w:sz w:val="16"/>
                <w:szCs w:val="18"/>
              </w:rPr>
              <w:t>14,090</w:t>
            </w:r>
          </w:p>
        </w:tc>
        <w:tc>
          <w:tcPr>
            <w:tcW w:w="337" w:type="pct"/>
            <w:shd w:val="clear" w:color="auto" w:fill="auto"/>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9C50AD">
              <w:rPr>
                <w:rFonts w:cs="Calibri"/>
                <w:sz w:val="16"/>
                <w:szCs w:val="18"/>
              </w:rPr>
              <w:t>58.9%</w:t>
            </w:r>
          </w:p>
        </w:tc>
        <w:tc>
          <w:tcPr>
            <w:tcW w:w="339" w:type="pct"/>
            <w:shd w:val="clear" w:color="auto" w:fill="auto"/>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9C50AD">
              <w:rPr>
                <w:rFonts w:cs="Calibri"/>
                <w:sz w:val="16"/>
                <w:szCs w:val="18"/>
              </w:rPr>
              <w:t>27.1%</w:t>
            </w:r>
          </w:p>
        </w:tc>
        <w:tc>
          <w:tcPr>
            <w:tcW w:w="337" w:type="pct"/>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9C50AD">
              <w:rPr>
                <w:rFonts w:cs="Calibri"/>
                <w:sz w:val="16"/>
                <w:szCs w:val="18"/>
              </w:rPr>
              <w:t>92.6%</w:t>
            </w:r>
          </w:p>
        </w:tc>
        <w:tc>
          <w:tcPr>
            <w:cnfStyle w:val="000100000000" w:firstRow="0" w:lastRow="0" w:firstColumn="0" w:lastColumn="1" w:oddVBand="0" w:evenVBand="0" w:oddHBand="0" w:evenHBand="0" w:firstRowFirstColumn="0" w:firstRowLastColumn="0" w:lastRowFirstColumn="0" w:lastRowLastColumn="0"/>
            <w:tcW w:w="410" w:type="pct"/>
          </w:tcPr>
          <w:p w:rsidR="009C50AD" w:rsidRPr="009C50AD" w:rsidRDefault="009C50AD" w:rsidP="009C50AD">
            <w:pPr>
              <w:spacing w:before="0" w:line="240" w:lineRule="auto"/>
              <w:jc w:val="center"/>
              <w:rPr>
                <w:rFonts w:cs="Calibri"/>
                <w:b w:val="0"/>
                <w:bCs w:val="0"/>
                <w:sz w:val="16"/>
                <w:szCs w:val="18"/>
              </w:rPr>
            </w:pPr>
            <w:r w:rsidRPr="009C50AD">
              <w:rPr>
                <w:rFonts w:cs="Calibri"/>
                <w:b w:val="0"/>
                <w:bCs w:val="0"/>
                <w:sz w:val="16"/>
                <w:szCs w:val="18"/>
              </w:rPr>
              <w:t>59.5%</w:t>
            </w:r>
          </w:p>
        </w:tc>
      </w:tr>
      <w:tr w:rsidR="009C50AD" w:rsidRPr="009C50AD" w:rsidTr="009C50AD">
        <w:trPr>
          <w:trHeight w:val="252"/>
          <w:jc w:val="center"/>
        </w:trPr>
        <w:tc>
          <w:tcPr>
            <w:cnfStyle w:val="001000000000" w:firstRow="0" w:lastRow="0" w:firstColumn="1" w:lastColumn="0" w:oddVBand="0" w:evenVBand="0" w:oddHBand="0" w:evenHBand="0" w:firstRowFirstColumn="0" w:firstRowLastColumn="0" w:lastRowFirstColumn="0" w:lastRowLastColumn="0"/>
            <w:tcW w:w="1069" w:type="pct"/>
            <w:shd w:val="clear" w:color="auto" w:fill="auto"/>
            <w:vAlign w:val="center"/>
          </w:tcPr>
          <w:p w:rsidR="009C50AD" w:rsidRPr="009C50AD" w:rsidRDefault="009C50AD" w:rsidP="009C50AD">
            <w:pPr>
              <w:spacing w:before="0" w:line="240" w:lineRule="auto"/>
              <w:jc w:val="center"/>
              <w:rPr>
                <w:rFonts w:cs="Calibri"/>
                <w:b w:val="0"/>
                <w:sz w:val="16"/>
                <w:szCs w:val="18"/>
                <w:lang w:val="sq-AL"/>
              </w:rPr>
            </w:pPr>
            <w:r w:rsidRPr="009C50AD">
              <w:rPr>
                <w:rFonts w:cs="Calibri"/>
                <w:b w:val="0"/>
                <w:bCs w:val="0"/>
                <w:color w:val="000000"/>
                <w:sz w:val="16"/>
                <w:szCs w:val="18"/>
                <w:lang w:val="sq-AL"/>
              </w:rPr>
              <w:t>Komisioni I Pavarur I Kualifikimit</w:t>
            </w:r>
          </w:p>
        </w:tc>
        <w:tc>
          <w:tcPr>
            <w:tcW w:w="416" w:type="pct"/>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9C50AD">
              <w:rPr>
                <w:rFonts w:cs="Calibri"/>
                <w:sz w:val="16"/>
                <w:szCs w:val="18"/>
              </w:rPr>
              <w:t>230,700</w:t>
            </w:r>
          </w:p>
        </w:tc>
        <w:tc>
          <w:tcPr>
            <w:tcW w:w="421" w:type="pct"/>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9C50AD">
              <w:rPr>
                <w:rFonts w:cs="Calibri"/>
                <w:sz w:val="16"/>
                <w:szCs w:val="18"/>
              </w:rPr>
              <w:t>5,000</w:t>
            </w:r>
          </w:p>
        </w:tc>
        <w:tc>
          <w:tcPr>
            <w:tcW w:w="415" w:type="pct"/>
            <w:shd w:val="clear" w:color="auto" w:fill="auto"/>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9C50AD">
              <w:rPr>
                <w:rFonts w:cs="Calibri"/>
                <w:sz w:val="16"/>
                <w:szCs w:val="18"/>
              </w:rPr>
              <w:t>230,850</w:t>
            </w:r>
          </w:p>
        </w:tc>
        <w:tc>
          <w:tcPr>
            <w:tcW w:w="421" w:type="pct"/>
            <w:shd w:val="clear" w:color="auto" w:fill="auto"/>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9C50AD">
              <w:rPr>
                <w:rFonts w:cs="Calibri"/>
                <w:sz w:val="16"/>
                <w:szCs w:val="18"/>
              </w:rPr>
              <w:t>5,000</w:t>
            </w:r>
          </w:p>
        </w:tc>
        <w:tc>
          <w:tcPr>
            <w:tcW w:w="415" w:type="pct"/>
            <w:shd w:val="clear" w:color="auto" w:fill="auto"/>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9C50AD">
              <w:rPr>
                <w:rFonts w:cs="Calibri"/>
                <w:sz w:val="16"/>
                <w:szCs w:val="18"/>
              </w:rPr>
              <w:t>219,886</w:t>
            </w:r>
          </w:p>
        </w:tc>
        <w:tc>
          <w:tcPr>
            <w:tcW w:w="421" w:type="pct"/>
            <w:shd w:val="clear" w:color="auto" w:fill="auto"/>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9C50AD">
              <w:rPr>
                <w:rFonts w:cs="Calibri"/>
                <w:sz w:val="16"/>
                <w:szCs w:val="18"/>
              </w:rPr>
              <w:t>3,663</w:t>
            </w:r>
          </w:p>
        </w:tc>
        <w:tc>
          <w:tcPr>
            <w:tcW w:w="337" w:type="pct"/>
            <w:shd w:val="clear" w:color="auto" w:fill="auto"/>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9C50AD">
              <w:rPr>
                <w:rFonts w:cs="Calibri"/>
                <w:sz w:val="16"/>
                <w:szCs w:val="18"/>
              </w:rPr>
              <w:t>95.3%</w:t>
            </w:r>
          </w:p>
        </w:tc>
        <w:tc>
          <w:tcPr>
            <w:tcW w:w="339" w:type="pct"/>
            <w:shd w:val="clear" w:color="auto" w:fill="auto"/>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9C50AD">
              <w:rPr>
                <w:rFonts w:cs="Calibri"/>
                <w:sz w:val="16"/>
                <w:szCs w:val="18"/>
              </w:rPr>
              <w:t>73.3%</w:t>
            </w:r>
          </w:p>
        </w:tc>
        <w:tc>
          <w:tcPr>
            <w:tcW w:w="337" w:type="pct"/>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9C50AD">
              <w:rPr>
                <w:rFonts w:cs="Calibri"/>
                <w:sz w:val="16"/>
                <w:szCs w:val="18"/>
              </w:rPr>
              <w:t>95.3%</w:t>
            </w:r>
          </w:p>
        </w:tc>
        <w:tc>
          <w:tcPr>
            <w:cnfStyle w:val="000100000000" w:firstRow="0" w:lastRow="0" w:firstColumn="0" w:lastColumn="1" w:oddVBand="0" w:evenVBand="0" w:oddHBand="0" w:evenHBand="0" w:firstRowFirstColumn="0" w:firstRowLastColumn="0" w:lastRowFirstColumn="0" w:lastRowLastColumn="0"/>
            <w:tcW w:w="410" w:type="pct"/>
          </w:tcPr>
          <w:p w:rsidR="009C50AD" w:rsidRPr="009C50AD" w:rsidRDefault="009C50AD" w:rsidP="009C50AD">
            <w:pPr>
              <w:spacing w:before="0" w:line="240" w:lineRule="auto"/>
              <w:jc w:val="center"/>
              <w:rPr>
                <w:rFonts w:cs="Calibri"/>
                <w:b w:val="0"/>
                <w:bCs w:val="0"/>
                <w:sz w:val="16"/>
                <w:szCs w:val="18"/>
              </w:rPr>
            </w:pPr>
            <w:r w:rsidRPr="009C50AD">
              <w:rPr>
                <w:rFonts w:cs="Calibri"/>
                <w:b w:val="0"/>
                <w:bCs w:val="0"/>
                <w:sz w:val="16"/>
                <w:szCs w:val="18"/>
              </w:rPr>
              <w:t>73.3%</w:t>
            </w:r>
          </w:p>
        </w:tc>
      </w:tr>
      <w:tr w:rsidR="009C50AD" w:rsidRPr="009C50AD" w:rsidTr="009C50AD">
        <w:trPr>
          <w:trHeight w:val="252"/>
          <w:jc w:val="center"/>
        </w:trPr>
        <w:tc>
          <w:tcPr>
            <w:cnfStyle w:val="001000000000" w:firstRow="0" w:lastRow="0" w:firstColumn="1" w:lastColumn="0" w:oddVBand="0" w:evenVBand="0" w:oddHBand="0" w:evenHBand="0" w:firstRowFirstColumn="0" w:firstRowLastColumn="0" w:lastRowFirstColumn="0" w:lastRowLastColumn="0"/>
            <w:tcW w:w="1069" w:type="pct"/>
            <w:shd w:val="clear" w:color="auto" w:fill="auto"/>
            <w:vAlign w:val="center"/>
          </w:tcPr>
          <w:p w:rsidR="009C50AD" w:rsidRPr="009C50AD" w:rsidRDefault="009C50AD" w:rsidP="009C50AD">
            <w:pPr>
              <w:spacing w:before="0" w:line="240" w:lineRule="auto"/>
              <w:jc w:val="center"/>
              <w:rPr>
                <w:rFonts w:cs="Calibri"/>
                <w:b w:val="0"/>
                <w:sz w:val="16"/>
                <w:szCs w:val="18"/>
                <w:lang w:val="sq-AL"/>
              </w:rPr>
            </w:pPr>
            <w:r w:rsidRPr="009C50AD">
              <w:rPr>
                <w:rFonts w:cs="Calibri"/>
                <w:b w:val="0"/>
                <w:color w:val="000000"/>
                <w:sz w:val="16"/>
                <w:szCs w:val="18"/>
                <w:lang w:val="sq-AL"/>
              </w:rPr>
              <w:t>Veprimtaria e apelimit të rivlerësimit kalimtar</w:t>
            </w:r>
          </w:p>
        </w:tc>
        <w:tc>
          <w:tcPr>
            <w:tcW w:w="416" w:type="pct"/>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9C50AD">
              <w:rPr>
                <w:rFonts w:cs="Calibri"/>
                <w:sz w:val="16"/>
                <w:szCs w:val="18"/>
              </w:rPr>
              <w:t>149,000</w:t>
            </w:r>
          </w:p>
        </w:tc>
        <w:tc>
          <w:tcPr>
            <w:tcW w:w="421" w:type="pct"/>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9C50AD">
              <w:rPr>
                <w:rFonts w:cs="Calibri"/>
                <w:sz w:val="16"/>
                <w:szCs w:val="18"/>
              </w:rPr>
              <w:t>8,000</w:t>
            </w:r>
          </w:p>
        </w:tc>
        <w:tc>
          <w:tcPr>
            <w:tcW w:w="415" w:type="pct"/>
            <w:shd w:val="clear" w:color="auto" w:fill="auto"/>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9C50AD">
              <w:rPr>
                <w:rFonts w:cs="Calibri"/>
                <w:sz w:val="16"/>
                <w:szCs w:val="18"/>
              </w:rPr>
              <w:t>149,264</w:t>
            </w:r>
          </w:p>
        </w:tc>
        <w:tc>
          <w:tcPr>
            <w:tcW w:w="421" w:type="pct"/>
            <w:shd w:val="clear" w:color="auto" w:fill="auto"/>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9C50AD">
              <w:rPr>
                <w:rFonts w:cs="Calibri"/>
                <w:sz w:val="16"/>
                <w:szCs w:val="18"/>
              </w:rPr>
              <w:t>8,000</w:t>
            </w:r>
          </w:p>
        </w:tc>
        <w:tc>
          <w:tcPr>
            <w:tcW w:w="415" w:type="pct"/>
            <w:shd w:val="clear" w:color="auto" w:fill="auto"/>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9C50AD">
              <w:rPr>
                <w:rFonts w:cs="Calibri"/>
                <w:sz w:val="16"/>
                <w:szCs w:val="18"/>
              </w:rPr>
              <w:t>146,887</w:t>
            </w:r>
          </w:p>
        </w:tc>
        <w:tc>
          <w:tcPr>
            <w:tcW w:w="421" w:type="pct"/>
            <w:shd w:val="clear" w:color="auto" w:fill="auto"/>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9C50AD">
              <w:rPr>
                <w:rFonts w:cs="Calibri"/>
                <w:sz w:val="16"/>
                <w:szCs w:val="18"/>
              </w:rPr>
              <w:t>2,848</w:t>
            </w:r>
          </w:p>
        </w:tc>
        <w:tc>
          <w:tcPr>
            <w:tcW w:w="337" w:type="pct"/>
            <w:shd w:val="clear" w:color="auto" w:fill="auto"/>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9C50AD">
              <w:rPr>
                <w:rFonts w:cs="Calibri"/>
                <w:sz w:val="16"/>
                <w:szCs w:val="18"/>
              </w:rPr>
              <w:t>98.6%</w:t>
            </w:r>
          </w:p>
        </w:tc>
        <w:tc>
          <w:tcPr>
            <w:tcW w:w="339" w:type="pct"/>
            <w:shd w:val="clear" w:color="auto" w:fill="auto"/>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9C50AD">
              <w:rPr>
                <w:rFonts w:cs="Calibri"/>
                <w:sz w:val="16"/>
                <w:szCs w:val="18"/>
              </w:rPr>
              <w:t>35.6%</w:t>
            </w:r>
          </w:p>
        </w:tc>
        <w:tc>
          <w:tcPr>
            <w:tcW w:w="337" w:type="pct"/>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9C50AD">
              <w:rPr>
                <w:rFonts w:cs="Calibri"/>
                <w:sz w:val="16"/>
                <w:szCs w:val="18"/>
              </w:rPr>
              <w:t>98.4%</w:t>
            </w:r>
          </w:p>
        </w:tc>
        <w:tc>
          <w:tcPr>
            <w:cnfStyle w:val="000100000000" w:firstRow="0" w:lastRow="0" w:firstColumn="0" w:lastColumn="1" w:oddVBand="0" w:evenVBand="0" w:oddHBand="0" w:evenHBand="0" w:firstRowFirstColumn="0" w:firstRowLastColumn="0" w:lastRowFirstColumn="0" w:lastRowLastColumn="0"/>
            <w:tcW w:w="410" w:type="pct"/>
          </w:tcPr>
          <w:p w:rsidR="009C50AD" w:rsidRPr="009C50AD" w:rsidRDefault="009C50AD" w:rsidP="009C50AD">
            <w:pPr>
              <w:spacing w:before="0" w:line="240" w:lineRule="auto"/>
              <w:jc w:val="center"/>
              <w:rPr>
                <w:rFonts w:cs="Calibri"/>
                <w:b w:val="0"/>
                <w:bCs w:val="0"/>
                <w:sz w:val="16"/>
                <w:szCs w:val="18"/>
              </w:rPr>
            </w:pPr>
            <w:r w:rsidRPr="009C50AD">
              <w:rPr>
                <w:rFonts w:cs="Calibri"/>
                <w:b w:val="0"/>
                <w:bCs w:val="0"/>
                <w:sz w:val="16"/>
                <w:szCs w:val="18"/>
              </w:rPr>
              <w:t>35.6%</w:t>
            </w:r>
          </w:p>
        </w:tc>
      </w:tr>
      <w:tr w:rsidR="009C50AD" w:rsidRPr="009C50AD" w:rsidTr="009C50AD">
        <w:trPr>
          <w:trHeight w:val="131"/>
          <w:jc w:val="center"/>
        </w:trPr>
        <w:tc>
          <w:tcPr>
            <w:cnfStyle w:val="001000000000" w:firstRow="0" w:lastRow="0" w:firstColumn="1" w:lastColumn="0" w:oddVBand="0" w:evenVBand="0" w:oddHBand="0" w:evenHBand="0" w:firstRowFirstColumn="0" w:firstRowLastColumn="0" w:lastRowFirstColumn="0" w:lastRowLastColumn="0"/>
            <w:tcW w:w="1069" w:type="pct"/>
            <w:shd w:val="clear" w:color="auto" w:fill="auto"/>
            <w:vAlign w:val="center"/>
          </w:tcPr>
          <w:p w:rsidR="009C50AD" w:rsidRPr="009C50AD" w:rsidRDefault="009C50AD" w:rsidP="009C50AD">
            <w:pPr>
              <w:spacing w:before="0" w:line="240" w:lineRule="auto"/>
              <w:jc w:val="center"/>
              <w:rPr>
                <w:rFonts w:cs="Calibri"/>
                <w:b w:val="0"/>
                <w:bCs w:val="0"/>
                <w:sz w:val="16"/>
                <w:szCs w:val="18"/>
                <w:lang w:val="sq-AL"/>
              </w:rPr>
            </w:pPr>
            <w:r w:rsidRPr="009C50AD">
              <w:rPr>
                <w:rFonts w:cs="Calibri"/>
                <w:b w:val="0"/>
                <w:bCs w:val="0"/>
                <w:color w:val="000000"/>
                <w:sz w:val="16"/>
                <w:szCs w:val="18"/>
                <w:lang w:val="sq-AL"/>
              </w:rPr>
              <w:t>Komisionerët Publikë</w:t>
            </w:r>
          </w:p>
        </w:tc>
        <w:tc>
          <w:tcPr>
            <w:tcW w:w="416" w:type="pct"/>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9C50AD">
              <w:rPr>
                <w:rFonts w:cs="Calibri"/>
                <w:sz w:val="16"/>
                <w:szCs w:val="18"/>
              </w:rPr>
              <w:t>70,200</w:t>
            </w:r>
          </w:p>
        </w:tc>
        <w:tc>
          <w:tcPr>
            <w:tcW w:w="421" w:type="pct"/>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9C50AD">
              <w:rPr>
                <w:rFonts w:cs="Calibri"/>
                <w:sz w:val="16"/>
                <w:szCs w:val="18"/>
              </w:rPr>
              <w:t>4,000</w:t>
            </w:r>
          </w:p>
        </w:tc>
        <w:tc>
          <w:tcPr>
            <w:tcW w:w="415" w:type="pct"/>
            <w:shd w:val="clear" w:color="auto" w:fill="auto"/>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9C50AD">
              <w:rPr>
                <w:rFonts w:cs="Calibri"/>
                <w:sz w:val="16"/>
                <w:szCs w:val="18"/>
              </w:rPr>
              <w:t>70,350</w:t>
            </w:r>
          </w:p>
        </w:tc>
        <w:tc>
          <w:tcPr>
            <w:tcW w:w="421" w:type="pct"/>
            <w:shd w:val="clear" w:color="auto" w:fill="auto"/>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9C50AD">
              <w:rPr>
                <w:rFonts w:cs="Calibri"/>
                <w:sz w:val="16"/>
                <w:szCs w:val="18"/>
              </w:rPr>
              <w:t>0</w:t>
            </w:r>
          </w:p>
        </w:tc>
        <w:tc>
          <w:tcPr>
            <w:tcW w:w="415" w:type="pct"/>
            <w:shd w:val="clear" w:color="auto" w:fill="auto"/>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9C50AD">
              <w:rPr>
                <w:rFonts w:cs="Calibri"/>
                <w:sz w:val="16"/>
                <w:szCs w:val="18"/>
              </w:rPr>
              <w:t>68,776</w:t>
            </w:r>
          </w:p>
        </w:tc>
        <w:tc>
          <w:tcPr>
            <w:tcW w:w="421" w:type="pct"/>
            <w:shd w:val="clear" w:color="auto" w:fill="auto"/>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9C50AD">
              <w:rPr>
                <w:rFonts w:cs="Calibri"/>
                <w:sz w:val="16"/>
                <w:szCs w:val="18"/>
              </w:rPr>
              <w:t>0</w:t>
            </w:r>
          </w:p>
        </w:tc>
        <w:tc>
          <w:tcPr>
            <w:tcW w:w="337" w:type="pct"/>
            <w:shd w:val="clear" w:color="auto" w:fill="auto"/>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9C50AD">
              <w:rPr>
                <w:rFonts w:cs="Calibri"/>
                <w:sz w:val="16"/>
                <w:szCs w:val="18"/>
              </w:rPr>
              <w:t>98.0%</w:t>
            </w:r>
          </w:p>
        </w:tc>
        <w:tc>
          <w:tcPr>
            <w:tcW w:w="339" w:type="pct"/>
            <w:shd w:val="clear" w:color="auto" w:fill="auto"/>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9C50AD">
              <w:rPr>
                <w:rFonts w:cs="Calibri"/>
                <w:sz w:val="16"/>
                <w:szCs w:val="18"/>
              </w:rPr>
              <w:t>0.0%</w:t>
            </w:r>
          </w:p>
        </w:tc>
        <w:tc>
          <w:tcPr>
            <w:tcW w:w="337" w:type="pct"/>
          </w:tcPr>
          <w:p w:rsidR="009C50AD" w:rsidRPr="009C50AD"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9C50AD">
              <w:rPr>
                <w:rFonts w:cs="Calibri"/>
                <w:sz w:val="16"/>
                <w:szCs w:val="18"/>
              </w:rPr>
              <w:t>97.8%</w:t>
            </w:r>
          </w:p>
        </w:tc>
        <w:tc>
          <w:tcPr>
            <w:cnfStyle w:val="000100000000" w:firstRow="0" w:lastRow="0" w:firstColumn="0" w:lastColumn="1" w:oddVBand="0" w:evenVBand="0" w:oddHBand="0" w:evenHBand="0" w:firstRowFirstColumn="0" w:firstRowLastColumn="0" w:lastRowFirstColumn="0" w:lastRowLastColumn="0"/>
            <w:tcW w:w="410" w:type="pct"/>
          </w:tcPr>
          <w:p w:rsidR="009C50AD" w:rsidRPr="009C50AD" w:rsidRDefault="009C50AD" w:rsidP="009C50AD">
            <w:pPr>
              <w:spacing w:before="0" w:line="240" w:lineRule="auto"/>
              <w:jc w:val="center"/>
              <w:rPr>
                <w:rFonts w:cs="Calibri"/>
                <w:b w:val="0"/>
                <w:bCs w:val="0"/>
                <w:sz w:val="16"/>
                <w:szCs w:val="18"/>
              </w:rPr>
            </w:pPr>
            <w:r w:rsidRPr="009C50AD">
              <w:rPr>
                <w:rFonts w:cs="Calibri"/>
                <w:b w:val="0"/>
                <w:bCs w:val="0"/>
                <w:sz w:val="16"/>
                <w:szCs w:val="18"/>
              </w:rPr>
              <w:t>-</w:t>
            </w:r>
          </w:p>
        </w:tc>
      </w:tr>
      <w:tr w:rsidR="009C50AD" w:rsidRPr="009C50AD" w:rsidTr="009C50AD">
        <w:trPr>
          <w:cnfStyle w:val="010000000000" w:firstRow="0" w:lastRow="1" w:firstColumn="0" w:lastColumn="0" w:oddVBand="0" w:evenVBand="0" w:oddHBand="0"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1069" w:type="pct"/>
            <w:shd w:val="clear" w:color="auto" w:fill="0B5294" w:themeFill="accent1" w:themeFillShade="BF"/>
            <w:vAlign w:val="center"/>
          </w:tcPr>
          <w:p w:rsidR="009C50AD" w:rsidRPr="009C50AD" w:rsidRDefault="009C50AD" w:rsidP="009C50AD">
            <w:pPr>
              <w:spacing w:before="0" w:line="240" w:lineRule="auto"/>
              <w:contextualSpacing/>
              <w:jc w:val="center"/>
              <w:rPr>
                <w:rFonts w:cs="Calibri"/>
                <w:color w:val="FFFFFF" w:themeColor="background1"/>
                <w:sz w:val="16"/>
                <w:szCs w:val="18"/>
                <w:lang w:val="sq-AL"/>
              </w:rPr>
            </w:pPr>
            <w:r w:rsidRPr="009C50AD">
              <w:rPr>
                <w:rFonts w:cs="Calibri"/>
                <w:color w:val="FFFFFF" w:themeColor="background1"/>
                <w:sz w:val="16"/>
                <w:lang w:val="sq-AL"/>
              </w:rPr>
              <w:t>Gjithsej</w:t>
            </w:r>
          </w:p>
        </w:tc>
        <w:tc>
          <w:tcPr>
            <w:tcW w:w="836" w:type="pct"/>
            <w:gridSpan w:val="2"/>
            <w:shd w:val="clear" w:color="auto" w:fill="0B5294" w:themeFill="accent1" w:themeFillShade="BF"/>
          </w:tcPr>
          <w:p w:rsidR="009C50AD" w:rsidRPr="009C50AD" w:rsidRDefault="009C50AD" w:rsidP="009C50AD">
            <w:pPr>
              <w:spacing w:line="240" w:lineRule="auto"/>
              <w:jc w:val="center"/>
              <w:cnfStyle w:val="010000000000" w:firstRow="0" w:lastRow="1" w:firstColumn="0" w:lastColumn="0" w:oddVBand="0" w:evenVBand="0" w:oddHBand="0" w:evenHBand="0" w:firstRowFirstColumn="0" w:firstRowLastColumn="0" w:lastRowFirstColumn="0" w:lastRowLastColumn="0"/>
              <w:rPr>
                <w:color w:val="FFFFFF" w:themeColor="background1"/>
                <w:sz w:val="16"/>
              </w:rPr>
            </w:pPr>
            <w:r w:rsidRPr="009C50AD">
              <w:rPr>
                <w:color w:val="FFFFFF" w:themeColor="background1"/>
                <w:sz w:val="16"/>
              </w:rPr>
              <w:t>726,900</w:t>
            </w:r>
          </w:p>
        </w:tc>
        <w:tc>
          <w:tcPr>
            <w:tcW w:w="836" w:type="pct"/>
            <w:gridSpan w:val="2"/>
            <w:shd w:val="clear" w:color="auto" w:fill="0B5294" w:themeFill="accent1" w:themeFillShade="BF"/>
          </w:tcPr>
          <w:p w:rsidR="009C50AD" w:rsidRPr="009C50AD" w:rsidRDefault="009C50AD" w:rsidP="009C50AD">
            <w:pPr>
              <w:spacing w:line="240" w:lineRule="auto"/>
              <w:jc w:val="center"/>
              <w:cnfStyle w:val="010000000000" w:firstRow="0" w:lastRow="1" w:firstColumn="0" w:lastColumn="0" w:oddVBand="0" w:evenVBand="0" w:oddHBand="0" w:evenHBand="0" w:firstRowFirstColumn="0" w:firstRowLastColumn="0" w:lastRowFirstColumn="0" w:lastRowLastColumn="0"/>
              <w:rPr>
                <w:rFonts w:cs="Arial"/>
                <w:bCs w:val="0"/>
                <w:color w:val="FFFFFF" w:themeColor="background1"/>
                <w:sz w:val="16"/>
                <w:szCs w:val="18"/>
              </w:rPr>
            </w:pPr>
            <w:r w:rsidRPr="009C50AD">
              <w:rPr>
                <w:rFonts w:cs="Arial"/>
                <w:bCs w:val="0"/>
                <w:color w:val="FFFFFF" w:themeColor="background1"/>
                <w:sz w:val="16"/>
                <w:szCs w:val="18"/>
                <w:lang w:val="sq-AL"/>
              </w:rPr>
              <w:t>619,414</w:t>
            </w:r>
          </w:p>
        </w:tc>
        <w:tc>
          <w:tcPr>
            <w:tcW w:w="836" w:type="pct"/>
            <w:gridSpan w:val="2"/>
            <w:shd w:val="clear" w:color="auto" w:fill="0B5294" w:themeFill="accent1" w:themeFillShade="BF"/>
          </w:tcPr>
          <w:p w:rsidR="009C50AD" w:rsidRPr="009C50AD" w:rsidRDefault="009C50AD" w:rsidP="009C50AD">
            <w:pPr>
              <w:spacing w:line="240" w:lineRule="auto"/>
              <w:jc w:val="center"/>
              <w:cnfStyle w:val="010000000000" w:firstRow="0" w:lastRow="1" w:firstColumn="0" w:lastColumn="0" w:oddVBand="0" w:evenVBand="0" w:oddHBand="0" w:evenHBand="0" w:firstRowFirstColumn="0" w:firstRowLastColumn="0" w:lastRowFirstColumn="0" w:lastRowLastColumn="0"/>
              <w:rPr>
                <w:rFonts w:cs="Arial"/>
                <w:bCs w:val="0"/>
                <w:color w:val="FFFFFF" w:themeColor="background1"/>
                <w:sz w:val="16"/>
                <w:szCs w:val="18"/>
              </w:rPr>
            </w:pPr>
            <w:r w:rsidRPr="009C50AD">
              <w:rPr>
                <w:rFonts w:cs="Calibri"/>
                <w:bCs w:val="0"/>
                <w:color w:val="FFFFFF" w:themeColor="background1"/>
                <w:sz w:val="16"/>
                <w:szCs w:val="18"/>
              </w:rPr>
              <w:t>578,607</w:t>
            </w:r>
          </w:p>
        </w:tc>
        <w:tc>
          <w:tcPr>
            <w:tcW w:w="675" w:type="pct"/>
            <w:gridSpan w:val="2"/>
            <w:shd w:val="clear" w:color="auto" w:fill="0B5294" w:themeFill="accent1" w:themeFillShade="BF"/>
          </w:tcPr>
          <w:p w:rsidR="009C50AD" w:rsidRPr="009C50AD" w:rsidRDefault="009C50AD" w:rsidP="009C50AD">
            <w:pPr>
              <w:spacing w:line="240" w:lineRule="auto"/>
              <w:jc w:val="center"/>
              <w:cnfStyle w:val="010000000000" w:firstRow="0" w:lastRow="1" w:firstColumn="0" w:lastColumn="0" w:oddVBand="0" w:evenVBand="0" w:oddHBand="0" w:evenHBand="0" w:firstRowFirstColumn="0" w:firstRowLastColumn="0" w:lastRowFirstColumn="0" w:lastRowLastColumn="0"/>
              <w:rPr>
                <w:rFonts w:cs="Arial"/>
                <w:bCs w:val="0"/>
                <w:color w:val="FFFFFF" w:themeColor="background1"/>
                <w:sz w:val="16"/>
                <w:szCs w:val="18"/>
              </w:rPr>
            </w:pPr>
            <w:r w:rsidRPr="009C50AD">
              <w:rPr>
                <w:rFonts w:cs="Arial"/>
                <w:bCs w:val="0"/>
                <w:color w:val="FFFFFF" w:themeColor="background1"/>
                <w:sz w:val="16"/>
                <w:szCs w:val="18"/>
              </w:rPr>
              <w:t>79.6%</w:t>
            </w:r>
          </w:p>
        </w:tc>
        <w:tc>
          <w:tcPr>
            <w:cnfStyle w:val="000100000000" w:firstRow="0" w:lastRow="0" w:firstColumn="0" w:lastColumn="1" w:oddVBand="0" w:evenVBand="0" w:oddHBand="0" w:evenHBand="0" w:firstRowFirstColumn="0" w:firstRowLastColumn="0" w:lastRowFirstColumn="0" w:lastRowLastColumn="0"/>
            <w:tcW w:w="747" w:type="pct"/>
            <w:gridSpan w:val="2"/>
            <w:shd w:val="clear" w:color="auto" w:fill="0B5294" w:themeFill="accent1" w:themeFillShade="BF"/>
          </w:tcPr>
          <w:p w:rsidR="009C50AD" w:rsidRPr="009C50AD" w:rsidRDefault="009C50AD" w:rsidP="009C50AD">
            <w:pPr>
              <w:spacing w:line="240" w:lineRule="auto"/>
              <w:jc w:val="center"/>
              <w:rPr>
                <w:rFonts w:cs="Arial"/>
                <w:bCs w:val="0"/>
                <w:color w:val="FFFFFF" w:themeColor="background1"/>
                <w:sz w:val="16"/>
                <w:szCs w:val="18"/>
              </w:rPr>
            </w:pPr>
            <w:r w:rsidRPr="009C50AD">
              <w:rPr>
                <w:rFonts w:cs="Arial"/>
                <w:bCs w:val="0"/>
                <w:color w:val="FFFFFF" w:themeColor="background1"/>
                <w:sz w:val="16"/>
                <w:szCs w:val="18"/>
                <w:lang w:val="sq-AL"/>
              </w:rPr>
              <w:t>93.4%</w:t>
            </w:r>
          </w:p>
        </w:tc>
      </w:tr>
    </w:tbl>
    <w:p w:rsidR="007B7B50" w:rsidRPr="002B5B6C" w:rsidRDefault="007B7B50" w:rsidP="009C50AD">
      <w:pPr>
        <w:jc w:val="center"/>
        <w:rPr>
          <w:rFonts w:cs="Calibri"/>
          <w:sz w:val="8"/>
          <w:lang w:val="sq-AL"/>
        </w:rPr>
      </w:pPr>
    </w:p>
    <w:p w:rsidR="009C50AD" w:rsidRPr="009C50AD" w:rsidRDefault="009C50AD" w:rsidP="00842F80">
      <w:pPr>
        <w:pStyle w:val="ListParagraph"/>
        <w:numPr>
          <w:ilvl w:val="0"/>
          <w:numId w:val="27"/>
        </w:numPr>
        <w:shd w:val="clear" w:color="auto" w:fill="FFFFFF" w:themeFill="background1"/>
        <w:spacing w:before="0" w:line="240" w:lineRule="auto"/>
        <w:ind w:left="360"/>
        <w:rPr>
          <w:rFonts w:asciiTheme="majorHAnsi" w:hAnsiTheme="majorHAnsi" w:cs="Calibri Light"/>
          <w:bCs/>
          <w:szCs w:val="22"/>
          <w:lang w:val="sq-AL" w:eastAsia="en-GB"/>
        </w:rPr>
      </w:pPr>
      <w:r w:rsidRPr="009C50AD">
        <w:rPr>
          <w:rFonts w:asciiTheme="majorHAnsi" w:hAnsiTheme="majorHAnsi" w:cs="Calibri Light"/>
          <w:bCs/>
          <w:szCs w:val="22"/>
          <w:lang w:val="sq-AL" w:eastAsia="en-GB"/>
        </w:rPr>
        <w:t xml:space="preserve">Në lidhje me disa nga treguesit e performancës për </w:t>
      </w:r>
      <w:r w:rsidRPr="009C50AD">
        <w:rPr>
          <w:rFonts w:asciiTheme="majorHAnsi" w:hAnsiTheme="majorHAnsi" w:cs="Calibri Light"/>
          <w:b/>
          <w:bCs/>
          <w:szCs w:val="22"/>
          <w:lang w:val="sq-AL" w:eastAsia="en-GB"/>
        </w:rPr>
        <w:t>Komisionin e Pavarur të Kualifikimit</w:t>
      </w:r>
      <w:r w:rsidRPr="009C50AD">
        <w:rPr>
          <w:rFonts w:asciiTheme="majorHAnsi" w:hAnsiTheme="majorHAnsi" w:cs="Calibri Light"/>
          <w:bCs/>
          <w:szCs w:val="22"/>
          <w:lang w:val="sq-AL" w:eastAsia="en-GB"/>
        </w:rPr>
        <w:t xml:space="preserve"> për vitin 2021,  përmendim: </w:t>
      </w:r>
    </w:p>
    <w:p w:rsidR="009C50AD" w:rsidRPr="009C50AD" w:rsidRDefault="009C50AD" w:rsidP="00842F80">
      <w:pPr>
        <w:numPr>
          <w:ilvl w:val="1"/>
          <w:numId w:val="8"/>
        </w:numPr>
        <w:spacing w:before="0" w:line="240" w:lineRule="auto"/>
        <w:contextualSpacing/>
        <w:rPr>
          <w:rFonts w:cs="Calibri"/>
          <w:i/>
          <w:lang w:val="sq-AL"/>
        </w:rPr>
      </w:pPr>
      <w:r w:rsidRPr="009C50AD">
        <w:rPr>
          <w:rFonts w:cs="Calibri"/>
          <w:i/>
          <w:lang w:val="sq-AL"/>
        </w:rPr>
        <w:t xml:space="preserve">Prej fillimit të veprimtarisë, janë shortuar 805 subjekte rivlerësimi </w:t>
      </w:r>
    </w:p>
    <w:p w:rsidR="009C50AD" w:rsidRPr="009C50AD" w:rsidRDefault="009C50AD" w:rsidP="00842F80">
      <w:pPr>
        <w:numPr>
          <w:ilvl w:val="1"/>
          <w:numId w:val="8"/>
        </w:numPr>
        <w:spacing w:line="240" w:lineRule="auto"/>
        <w:contextualSpacing/>
        <w:rPr>
          <w:rFonts w:cs="Calibri"/>
          <w:i/>
          <w:lang w:val="sq-AL"/>
        </w:rPr>
      </w:pPr>
      <w:r w:rsidRPr="009C50AD">
        <w:rPr>
          <w:rFonts w:cs="Calibri"/>
          <w:i/>
          <w:lang w:val="sq-AL"/>
        </w:rPr>
        <w:t>Gjatë 12 mujorit të vitit 2021 janë marrë gjithsej 167 vendime.</w:t>
      </w:r>
    </w:p>
    <w:p w:rsidR="009C50AD" w:rsidRPr="007C7922" w:rsidRDefault="009C50AD" w:rsidP="009C50AD">
      <w:pPr>
        <w:ind w:left="360"/>
        <w:contextualSpacing/>
        <w:rPr>
          <w:rFonts w:cs="Calibri"/>
          <w:sz w:val="8"/>
          <w:szCs w:val="8"/>
          <w:lang w:val="sq-AL"/>
        </w:rPr>
      </w:pPr>
    </w:p>
    <w:p w:rsidR="009C50AD" w:rsidRPr="009C50AD" w:rsidRDefault="009C50AD" w:rsidP="00842F80">
      <w:pPr>
        <w:pStyle w:val="ListParagraph"/>
        <w:numPr>
          <w:ilvl w:val="0"/>
          <w:numId w:val="27"/>
        </w:numPr>
        <w:shd w:val="clear" w:color="auto" w:fill="FFFFFF" w:themeFill="background1"/>
        <w:spacing w:before="0" w:line="240" w:lineRule="auto"/>
        <w:ind w:left="360"/>
        <w:rPr>
          <w:rFonts w:asciiTheme="majorHAnsi" w:hAnsiTheme="majorHAnsi" w:cs="Calibri Light"/>
          <w:bCs/>
          <w:szCs w:val="22"/>
          <w:lang w:val="sq-AL" w:eastAsia="en-GB"/>
        </w:rPr>
      </w:pPr>
      <w:r w:rsidRPr="009C50AD">
        <w:rPr>
          <w:rFonts w:asciiTheme="majorHAnsi" w:hAnsiTheme="majorHAnsi" w:cs="Calibri Light"/>
          <w:bCs/>
          <w:szCs w:val="22"/>
          <w:lang w:val="sq-AL" w:eastAsia="en-GB"/>
        </w:rPr>
        <w:t xml:space="preserve">Nga ana e </w:t>
      </w:r>
      <w:r w:rsidRPr="009C50AD">
        <w:rPr>
          <w:rFonts w:asciiTheme="majorHAnsi" w:hAnsiTheme="majorHAnsi" w:cs="Calibri Light"/>
          <w:b/>
          <w:bCs/>
          <w:szCs w:val="22"/>
          <w:lang w:val="sq-AL" w:eastAsia="en-GB"/>
        </w:rPr>
        <w:t>Komisionerëve Publikë</w:t>
      </w:r>
      <w:r w:rsidRPr="009C50AD">
        <w:rPr>
          <w:rFonts w:asciiTheme="majorHAnsi" w:hAnsiTheme="majorHAnsi" w:cs="Calibri Light"/>
          <w:bCs/>
          <w:szCs w:val="22"/>
          <w:lang w:val="sq-AL" w:eastAsia="en-GB"/>
        </w:rPr>
        <w:t xml:space="preserve"> për vitin 2021 janë shqyrtuar 171 çështje të njoftuara nga KPK, nga 140 të planifikuara.</w:t>
      </w:r>
    </w:p>
    <w:p w:rsidR="009C50AD" w:rsidRPr="009C50AD" w:rsidRDefault="009C50AD" w:rsidP="00842F80">
      <w:pPr>
        <w:pStyle w:val="ListParagraph"/>
        <w:numPr>
          <w:ilvl w:val="0"/>
          <w:numId w:val="27"/>
        </w:numPr>
        <w:shd w:val="clear" w:color="auto" w:fill="FFFFFF" w:themeFill="background1"/>
        <w:spacing w:before="0" w:line="240" w:lineRule="auto"/>
        <w:ind w:left="360"/>
        <w:rPr>
          <w:rFonts w:asciiTheme="majorHAnsi" w:hAnsiTheme="majorHAnsi" w:cs="Calibri Light"/>
          <w:bCs/>
          <w:szCs w:val="22"/>
          <w:lang w:val="sq-AL" w:eastAsia="en-GB"/>
        </w:rPr>
      </w:pPr>
      <w:r w:rsidRPr="009C50AD">
        <w:rPr>
          <w:rFonts w:asciiTheme="majorHAnsi" w:hAnsiTheme="majorHAnsi" w:cs="Calibri Light"/>
          <w:bCs/>
          <w:szCs w:val="22"/>
          <w:lang w:val="sq-AL" w:eastAsia="en-GB"/>
        </w:rPr>
        <w:t xml:space="preserve">Pranë zyrës së </w:t>
      </w:r>
      <w:r w:rsidRPr="009C50AD">
        <w:rPr>
          <w:rFonts w:asciiTheme="majorHAnsi" w:hAnsiTheme="majorHAnsi" w:cs="Calibri Light"/>
          <w:b/>
          <w:bCs/>
          <w:szCs w:val="22"/>
          <w:lang w:val="sq-AL" w:eastAsia="en-GB"/>
        </w:rPr>
        <w:t>Inspektoriatit të Lartë të Drejtësisë</w:t>
      </w:r>
      <w:r w:rsidRPr="009C50AD">
        <w:rPr>
          <w:rFonts w:asciiTheme="majorHAnsi" w:hAnsiTheme="majorHAnsi" w:cs="Calibri Light"/>
          <w:bCs/>
          <w:szCs w:val="22"/>
          <w:lang w:val="sq-AL" w:eastAsia="en-GB"/>
        </w:rPr>
        <w:t xml:space="preserve"> gjatë vitit 2021 janë depozituar 1,194 ankesa nga 1800 të planifikuara, </w:t>
      </w:r>
    </w:p>
    <w:p w:rsidR="007B3DF7" w:rsidRPr="00476D2E" w:rsidRDefault="007B7B50" w:rsidP="007B3DF7">
      <w:pPr>
        <w:rPr>
          <w:rFonts w:cs="Calibri"/>
          <w:lang w:val="sq-AL"/>
        </w:rPr>
      </w:pPr>
      <w:r w:rsidRPr="007B3DF7">
        <w:rPr>
          <w:rFonts w:cs="Calibri"/>
          <w:lang w:val="sq-AL"/>
        </w:rPr>
        <w:t xml:space="preserve">Për sa u përket </w:t>
      </w:r>
      <w:r w:rsidRPr="007B3DF7">
        <w:rPr>
          <w:rFonts w:cs="Calibri"/>
          <w:b/>
          <w:bCs/>
          <w:lang w:val="sq-AL"/>
        </w:rPr>
        <w:t>investimeve publike</w:t>
      </w:r>
      <w:r w:rsidRPr="007B3DF7">
        <w:rPr>
          <w:rFonts w:cs="Calibri"/>
          <w:lang w:val="sq-AL"/>
        </w:rPr>
        <w:t xml:space="preserve">, </w:t>
      </w:r>
      <w:r w:rsidR="007B3DF7" w:rsidRPr="007B3DF7">
        <w:rPr>
          <w:rFonts w:cs="Calibri"/>
          <w:lang w:val="sq-AL"/>
        </w:rPr>
        <w:t>me fondet e realizuara për investime (në total për 4 institucionet) prej 20 milionë lekë në vitin 2021, janë realizuar blerje pajisje kompjuterike, blerje automjeti dhe pajisje zyrash.</w:t>
      </w:r>
    </w:p>
    <w:p w:rsidR="00B7647A" w:rsidRPr="00476D2E" w:rsidRDefault="00B7647A" w:rsidP="007B7B50">
      <w:pPr>
        <w:rPr>
          <w:rFonts w:cs="Calibri"/>
          <w:lang w:val="sq-AL"/>
        </w:rPr>
      </w:pPr>
    </w:p>
    <w:p w:rsidR="007B7B50" w:rsidRPr="00476D2E" w:rsidRDefault="007B7B50" w:rsidP="007B7B50">
      <w:pPr>
        <w:pStyle w:val="fiskale3"/>
        <w:rPr>
          <w:rFonts w:ascii="Calibri" w:hAnsi="Calibri" w:cs="Calibri"/>
          <w:b/>
        </w:rPr>
      </w:pPr>
      <w:bookmarkStart w:id="261" w:name="_Toc10033303"/>
      <w:bookmarkStart w:id="262" w:name="_Toc10721439"/>
      <w:bookmarkStart w:id="263" w:name="_Toc104980367"/>
      <w:r w:rsidRPr="00476D2E">
        <w:rPr>
          <w:rFonts w:ascii="Calibri" w:hAnsi="Calibri" w:cs="Calibri"/>
          <w:b/>
        </w:rPr>
        <w:t>Financat, Ekonomia, Punësimi dhe Arsimi Profesional</w:t>
      </w:r>
      <w:bookmarkEnd w:id="261"/>
      <w:bookmarkEnd w:id="262"/>
      <w:bookmarkEnd w:id="263"/>
    </w:p>
    <w:p w:rsidR="007B7B50" w:rsidRPr="00476D2E" w:rsidRDefault="007B7B50" w:rsidP="007B7B50">
      <w:pPr>
        <w:rPr>
          <w:rFonts w:cs="Calibri"/>
          <w:lang w:val="sq-AL"/>
        </w:rPr>
      </w:pPr>
      <w:r w:rsidRPr="00476D2E">
        <w:rPr>
          <w:rFonts w:cs="Calibri"/>
          <w:lang w:val="sq-AL"/>
        </w:rPr>
        <w:t>Shpenzimet e planifikuara dhe ato faktike si dhe realizimi në përqindje për vitin 202</w:t>
      </w:r>
      <w:r w:rsidR="009C50AD">
        <w:rPr>
          <w:rFonts w:cs="Calibri"/>
          <w:lang w:val="sq-AL"/>
        </w:rPr>
        <w:t>1</w:t>
      </w:r>
      <w:r w:rsidRPr="00476D2E">
        <w:rPr>
          <w:rFonts w:cs="Calibri"/>
          <w:lang w:val="sq-AL"/>
        </w:rPr>
        <w:t xml:space="preserve"> për Ministrinë e Financave dhe Ekonomisë, për të gjithë programet, paraqiten si më poshtë:</w:t>
      </w:r>
    </w:p>
    <w:p w:rsidR="007B7B50" w:rsidRPr="00476D2E" w:rsidRDefault="007B7B50" w:rsidP="007B7B50">
      <w:pPr>
        <w:keepNext/>
        <w:rPr>
          <w:rFonts w:cs="Calibri"/>
          <w:i/>
          <w:iCs/>
          <w:color w:val="0B5294" w:themeColor="accent1" w:themeShade="BF"/>
          <w:sz w:val="18"/>
          <w:szCs w:val="18"/>
          <w:lang w:val="sq-AL"/>
        </w:rPr>
      </w:pPr>
      <w:bookmarkStart w:id="264" w:name="_Toc104984100"/>
      <w:r w:rsidRPr="00476D2E">
        <w:rPr>
          <w:rFonts w:cs="Calibri"/>
          <w:i/>
          <w:iCs/>
          <w:color w:val="0B5294" w:themeColor="accent1" w:themeShade="BF"/>
          <w:sz w:val="18"/>
          <w:szCs w:val="18"/>
          <w:lang w:val="sq-AL"/>
        </w:rPr>
        <w:t xml:space="preserve">Tabela </w:t>
      </w:r>
      <w:r w:rsidRPr="00476D2E">
        <w:rPr>
          <w:rFonts w:cs="Calibri"/>
          <w:i/>
          <w:iCs/>
          <w:color w:val="0B5294" w:themeColor="accent1" w:themeShade="BF"/>
          <w:sz w:val="18"/>
          <w:szCs w:val="18"/>
          <w:lang w:val="sq-AL"/>
        </w:rPr>
        <w:fldChar w:fldCharType="begin"/>
      </w:r>
      <w:r w:rsidRPr="00476D2E">
        <w:rPr>
          <w:rFonts w:cs="Calibri"/>
          <w:i/>
          <w:iCs/>
          <w:color w:val="0B5294" w:themeColor="accent1" w:themeShade="BF"/>
          <w:sz w:val="18"/>
          <w:szCs w:val="18"/>
          <w:lang w:val="sq-AL"/>
        </w:rPr>
        <w:instrText xml:space="preserve"> SEQ Tabela \* ARABIC </w:instrText>
      </w:r>
      <w:r w:rsidRPr="00476D2E">
        <w:rPr>
          <w:rFonts w:cs="Calibri"/>
          <w:i/>
          <w:iCs/>
          <w:color w:val="0B5294" w:themeColor="accent1" w:themeShade="BF"/>
          <w:sz w:val="18"/>
          <w:szCs w:val="18"/>
          <w:lang w:val="sq-AL"/>
        </w:rPr>
        <w:fldChar w:fldCharType="separate"/>
      </w:r>
      <w:r w:rsidR="00276062">
        <w:rPr>
          <w:rFonts w:cs="Calibri"/>
          <w:i/>
          <w:iCs/>
          <w:noProof/>
          <w:color w:val="0B5294" w:themeColor="accent1" w:themeShade="BF"/>
          <w:sz w:val="18"/>
          <w:szCs w:val="18"/>
          <w:lang w:val="sq-AL"/>
        </w:rPr>
        <w:t>28</w:t>
      </w:r>
      <w:r w:rsidRPr="00476D2E">
        <w:rPr>
          <w:rFonts w:cs="Calibri"/>
          <w:i/>
          <w:iCs/>
          <w:noProof/>
          <w:color w:val="0B5294" w:themeColor="accent1" w:themeShade="BF"/>
          <w:sz w:val="18"/>
          <w:szCs w:val="18"/>
          <w:lang w:val="sq-AL"/>
        </w:rPr>
        <w:fldChar w:fldCharType="end"/>
      </w:r>
      <w:r w:rsidRPr="00476D2E">
        <w:rPr>
          <w:rFonts w:cs="Calibri"/>
          <w:i/>
          <w:iCs/>
          <w:color w:val="0B5294" w:themeColor="accent1" w:themeShade="BF"/>
          <w:sz w:val="18"/>
          <w:szCs w:val="18"/>
          <w:lang w:val="sq-AL"/>
        </w:rPr>
        <w:t xml:space="preserve"> Realizimi i buxhetit 202</w:t>
      </w:r>
      <w:r w:rsidR="009C50AD">
        <w:rPr>
          <w:rFonts w:cs="Calibri"/>
          <w:i/>
          <w:iCs/>
          <w:color w:val="0B5294" w:themeColor="accent1" w:themeShade="BF"/>
          <w:sz w:val="18"/>
          <w:szCs w:val="18"/>
          <w:lang w:val="sq-AL"/>
        </w:rPr>
        <w:t>1</w:t>
      </w:r>
      <w:r w:rsidRPr="00476D2E">
        <w:rPr>
          <w:rFonts w:cs="Calibri"/>
          <w:i/>
          <w:iCs/>
          <w:color w:val="0B5294" w:themeColor="accent1" w:themeShade="BF"/>
          <w:sz w:val="18"/>
          <w:szCs w:val="18"/>
          <w:lang w:val="sq-AL"/>
        </w:rPr>
        <w:t xml:space="preserve"> për Ministrinë e Financave dhe Ekonomisë</w:t>
      </w:r>
      <w:bookmarkEnd w:id="264"/>
    </w:p>
    <w:tbl>
      <w:tblPr>
        <w:tblStyle w:val="GridTable1Light-Accent11"/>
        <w:tblW w:w="5526" w:type="pct"/>
        <w:jc w:val="center"/>
        <w:tblLayout w:type="fixed"/>
        <w:tblLook w:val="01E0" w:firstRow="1" w:lastRow="1" w:firstColumn="1" w:lastColumn="1" w:noHBand="0" w:noVBand="0"/>
      </w:tblPr>
      <w:tblGrid>
        <w:gridCol w:w="2667"/>
        <w:gridCol w:w="946"/>
        <w:gridCol w:w="883"/>
        <w:gridCol w:w="946"/>
        <w:gridCol w:w="881"/>
        <w:gridCol w:w="946"/>
        <w:gridCol w:w="881"/>
        <w:gridCol w:w="792"/>
        <w:gridCol w:w="742"/>
        <w:gridCol w:w="794"/>
        <w:gridCol w:w="702"/>
      </w:tblGrid>
      <w:tr w:rsidR="007B3DF7" w:rsidRPr="00BB08A5" w:rsidTr="007B3DF7">
        <w:trPr>
          <w:cnfStyle w:val="100000000000" w:firstRow="1" w:lastRow="0" w:firstColumn="0" w:lastColumn="0" w:oddVBand="0" w:evenVBand="0" w:oddHBand="0"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193" w:type="pct"/>
            <w:vMerge w:val="restart"/>
            <w:shd w:val="clear" w:color="auto" w:fill="0B5294" w:themeFill="accent1" w:themeFillShade="BF"/>
          </w:tcPr>
          <w:p w:rsidR="009C50AD" w:rsidRPr="00BB08A5" w:rsidRDefault="009C50AD" w:rsidP="009C50AD">
            <w:pPr>
              <w:spacing w:before="0" w:line="240" w:lineRule="auto"/>
              <w:jc w:val="center"/>
              <w:rPr>
                <w:rFonts w:asciiTheme="majorHAnsi" w:hAnsiTheme="majorHAnsi"/>
                <w:color w:val="FFFFFF" w:themeColor="background1"/>
                <w:sz w:val="16"/>
                <w:lang w:val="sq-AL"/>
              </w:rPr>
            </w:pPr>
            <w:r w:rsidRPr="00BB08A5">
              <w:rPr>
                <w:rFonts w:asciiTheme="majorHAnsi" w:hAnsiTheme="majorHAnsi"/>
                <w:color w:val="FFFFFF" w:themeColor="background1"/>
                <w:sz w:val="16"/>
                <w:lang w:val="sq-AL"/>
              </w:rPr>
              <w:t>Programi buxhetor</w:t>
            </w:r>
          </w:p>
          <w:p w:rsidR="009C50AD" w:rsidRPr="00BB08A5" w:rsidRDefault="009C50AD" w:rsidP="009C50AD">
            <w:pPr>
              <w:spacing w:before="0" w:line="240" w:lineRule="auto"/>
              <w:jc w:val="center"/>
              <w:rPr>
                <w:rFonts w:asciiTheme="majorHAnsi" w:hAnsiTheme="majorHAnsi"/>
                <w:b w:val="0"/>
                <w:i/>
                <w:color w:val="FFFFFF" w:themeColor="background1"/>
                <w:sz w:val="16"/>
                <w:lang w:val="sq-AL"/>
              </w:rPr>
            </w:pPr>
          </w:p>
        </w:tc>
        <w:tc>
          <w:tcPr>
            <w:tcW w:w="818" w:type="pct"/>
            <w:gridSpan w:val="2"/>
            <w:shd w:val="clear" w:color="auto" w:fill="0B5294" w:themeFill="accent1" w:themeFillShade="BF"/>
          </w:tcPr>
          <w:p w:rsidR="009C50AD" w:rsidRPr="007B3DF7" w:rsidRDefault="009C50AD" w:rsidP="009C50A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14"/>
                <w:lang w:val="sq-AL"/>
              </w:rPr>
            </w:pPr>
            <w:r w:rsidRPr="007B3DF7">
              <w:rPr>
                <w:rFonts w:asciiTheme="majorHAnsi" w:hAnsiTheme="majorHAnsi"/>
                <w:color w:val="FFFFFF" w:themeColor="background1"/>
                <w:sz w:val="14"/>
                <w:lang w:val="sq-AL"/>
              </w:rPr>
              <w:t>Plani fillestar 2021</w:t>
            </w:r>
          </w:p>
        </w:tc>
        <w:tc>
          <w:tcPr>
            <w:tcW w:w="817" w:type="pct"/>
            <w:gridSpan w:val="2"/>
            <w:shd w:val="clear" w:color="auto" w:fill="0B5294" w:themeFill="accent1" w:themeFillShade="BF"/>
          </w:tcPr>
          <w:p w:rsidR="009C50AD" w:rsidRPr="007B3DF7" w:rsidRDefault="009C50AD" w:rsidP="009C50A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14"/>
                <w:lang w:val="sq-AL"/>
              </w:rPr>
            </w:pPr>
            <w:r w:rsidRPr="007B3DF7">
              <w:rPr>
                <w:rFonts w:asciiTheme="majorHAnsi" w:hAnsiTheme="majorHAnsi"/>
                <w:color w:val="FFFFFF" w:themeColor="background1"/>
                <w:sz w:val="14"/>
                <w:lang w:val="sq-AL"/>
              </w:rPr>
              <w:t>Plani i rishikuar 2021</w:t>
            </w:r>
          </w:p>
        </w:tc>
        <w:tc>
          <w:tcPr>
            <w:tcW w:w="817" w:type="pct"/>
            <w:gridSpan w:val="2"/>
            <w:shd w:val="clear" w:color="auto" w:fill="0B5294" w:themeFill="accent1" w:themeFillShade="BF"/>
          </w:tcPr>
          <w:p w:rsidR="009C50AD" w:rsidRPr="007B3DF7" w:rsidRDefault="009C50AD" w:rsidP="009C50A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14"/>
                <w:lang w:val="sq-AL"/>
              </w:rPr>
            </w:pPr>
            <w:r w:rsidRPr="007B3DF7">
              <w:rPr>
                <w:rFonts w:asciiTheme="majorHAnsi" w:hAnsiTheme="majorHAnsi"/>
                <w:color w:val="FFFFFF" w:themeColor="background1"/>
                <w:sz w:val="14"/>
                <w:lang w:val="sq-AL"/>
              </w:rPr>
              <w:t>Fakti 2021</w:t>
            </w:r>
          </w:p>
        </w:tc>
        <w:tc>
          <w:tcPr>
            <w:tcW w:w="686" w:type="pct"/>
            <w:gridSpan w:val="2"/>
            <w:shd w:val="clear" w:color="auto" w:fill="0B5294" w:themeFill="accent1" w:themeFillShade="BF"/>
          </w:tcPr>
          <w:p w:rsidR="009C50AD" w:rsidRPr="007B3DF7" w:rsidRDefault="009C50AD" w:rsidP="009C50A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sz w:val="14"/>
                <w:lang w:val="sq-AL"/>
              </w:rPr>
            </w:pPr>
            <w:r w:rsidRPr="007B3DF7">
              <w:rPr>
                <w:rFonts w:asciiTheme="majorHAnsi" w:hAnsiTheme="majorHAnsi"/>
                <w:b w:val="0"/>
                <w:bCs w:val="0"/>
                <w:color w:val="FFFFFF" w:themeColor="background1"/>
                <w:sz w:val="14"/>
                <w:szCs w:val="18"/>
              </w:rPr>
              <w:t>Diferenca në % me planin fillestar</w:t>
            </w:r>
          </w:p>
        </w:tc>
        <w:tc>
          <w:tcPr>
            <w:cnfStyle w:val="000100000000" w:firstRow="0" w:lastRow="0" w:firstColumn="0" w:lastColumn="1" w:oddVBand="0" w:evenVBand="0" w:oddHBand="0" w:evenHBand="0" w:firstRowFirstColumn="0" w:firstRowLastColumn="0" w:lastRowFirstColumn="0" w:lastRowLastColumn="0"/>
            <w:tcW w:w="669" w:type="pct"/>
            <w:gridSpan w:val="2"/>
            <w:shd w:val="clear" w:color="auto" w:fill="0B5294" w:themeFill="accent1" w:themeFillShade="BF"/>
          </w:tcPr>
          <w:p w:rsidR="009C50AD" w:rsidRPr="007B3DF7" w:rsidRDefault="009C50AD" w:rsidP="009C50AD">
            <w:pPr>
              <w:spacing w:before="0" w:line="240" w:lineRule="auto"/>
              <w:jc w:val="center"/>
              <w:rPr>
                <w:rFonts w:asciiTheme="majorHAnsi" w:hAnsiTheme="majorHAnsi"/>
                <w:b w:val="0"/>
                <w:bCs w:val="0"/>
                <w:color w:val="FFFFFF" w:themeColor="background1"/>
                <w:sz w:val="14"/>
                <w:lang w:val="sq-AL"/>
              </w:rPr>
            </w:pPr>
            <w:r w:rsidRPr="007B3DF7">
              <w:rPr>
                <w:rFonts w:asciiTheme="majorHAnsi" w:hAnsiTheme="majorHAnsi"/>
                <w:b w:val="0"/>
                <w:bCs w:val="0"/>
                <w:color w:val="FFFFFF" w:themeColor="background1"/>
                <w:sz w:val="14"/>
                <w:szCs w:val="18"/>
              </w:rPr>
              <w:t>Diferenca në % me planin e rishikuar</w:t>
            </w:r>
          </w:p>
        </w:tc>
      </w:tr>
      <w:tr w:rsidR="007B3DF7" w:rsidRPr="00BB08A5" w:rsidTr="007B3DF7">
        <w:trPr>
          <w:trHeight w:val="260"/>
          <w:jc w:val="center"/>
        </w:trPr>
        <w:tc>
          <w:tcPr>
            <w:cnfStyle w:val="001000000000" w:firstRow="0" w:lastRow="0" w:firstColumn="1" w:lastColumn="0" w:oddVBand="0" w:evenVBand="0" w:oddHBand="0" w:evenHBand="0" w:firstRowFirstColumn="0" w:firstRowLastColumn="0" w:lastRowFirstColumn="0" w:lastRowLastColumn="0"/>
            <w:tcW w:w="1193" w:type="pct"/>
            <w:vMerge/>
            <w:shd w:val="clear" w:color="auto" w:fill="0B5294" w:themeFill="accent1" w:themeFillShade="BF"/>
          </w:tcPr>
          <w:p w:rsidR="009C50AD" w:rsidRPr="00BB08A5" w:rsidRDefault="009C50AD" w:rsidP="009C50AD">
            <w:pPr>
              <w:spacing w:before="0" w:line="240" w:lineRule="auto"/>
              <w:jc w:val="center"/>
              <w:rPr>
                <w:rFonts w:asciiTheme="majorHAnsi" w:hAnsiTheme="majorHAnsi"/>
                <w:color w:val="FFFFFF" w:themeColor="background1"/>
                <w:sz w:val="16"/>
                <w:lang w:val="sq-AL"/>
              </w:rPr>
            </w:pPr>
          </w:p>
        </w:tc>
        <w:tc>
          <w:tcPr>
            <w:tcW w:w="423" w:type="pct"/>
            <w:shd w:val="clear" w:color="auto" w:fill="0B5294" w:themeFill="accent1" w:themeFillShade="BF"/>
          </w:tcPr>
          <w:p w:rsidR="009C50AD" w:rsidRPr="007B3DF7"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themeColor="background1"/>
                <w:sz w:val="14"/>
                <w:lang w:val="sq-AL"/>
              </w:rPr>
            </w:pPr>
            <w:r w:rsidRPr="007B3DF7">
              <w:rPr>
                <w:rFonts w:asciiTheme="majorHAnsi" w:hAnsiTheme="majorHAnsi"/>
                <w:b/>
                <w:color w:val="FFFFFF" w:themeColor="background1"/>
                <w:sz w:val="14"/>
                <w:lang w:val="sq-AL"/>
              </w:rPr>
              <w:t>Korrente</w:t>
            </w:r>
          </w:p>
        </w:tc>
        <w:tc>
          <w:tcPr>
            <w:tcW w:w="395" w:type="pct"/>
            <w:shd w:val="clear" w:color="auto" w:fill="0B5294" w:themeFill="accent1" w:themeFillShade="BF"/>
          </w:tcPr>
          <w:p w:rsidR="009C50AD" w:rsidRPr="007B3DF7"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themeColor="background1"/>
                <w:sz w:val="14"/>
                <w:lang w:val="sq-AL"/>
              </w:rPr>
            </w:pPr>
            <w:r w:rsidRPr="007B3DF7">
              <w:rPr>
                <w:rFonts w:asciiTheme="majorHAnsi" w:hAnsiTheme="majorHAnsi"/>
                <w:b/>
                <w:color w:val="FFFFFF" w:themeColor="background1"/>
                <w:sz w:val="14"/>
                <w:lang w:val="sq-AL"/>
              </w:rPr>
              <w:t>Investime</w:t>
            </w:r>
          </w:p>
        </w:tc>
        <w:tc>
          <w:tcPr>
            <w:tcW w:w="423" w:type="pct"/>
            <w:shd w:val="clear" w:color="auto" w:fill="0B5294" w:themeFill="accent1" w:themeFillShade="BF"/>
          </w:tcPr>
          <w:p w:rsidR="009C50AD" w:rsidRPr="007B3DF7"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FFFFFF" w:themeColor="background1"/>
                <w:sz w:val="14"/>
                <w:lang w:val="sq-AL"/>
              </w:rPr>
            </w:pPr>
            <w:r w:rsidRPr="007B3DF7">
              <w:rPr>
                <w:rFonts w:asciiTheme="majorHAnsi" w:hAnsiTheme="majorHAnsi"/>
                <w:b/>
                <w:color w:val="FFFFFF" w:themeColor="background1"/>
                <w:sz w:val="14"/>
                <w:lang w:val="sq-AL"/>
              </w:rPr>
              <w:t>Korrente</w:t>
            </w:r>
          </w:p>
        </w:tc>
        <w:tc>
          <w:tcPr>
            <w:tcW w:w="394" w:type="pct"/>
            <w:shd w:val="clear" w:color="auto" w:fill="0B5294" w:themeFill="accent1" w:themeFillShade="BF"/>
          </w:tcPr>
          <w:p w:rsidR="009C50AD" w:rsidRPr="007B3DF7"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FFFFFF" w:themeColor="background1"/>
                <w:sz w:val="14"/>
                <w:lang w:val="sq-AL"/>
              </w:rPr>
            </w:pPr>
            <w:r w:rsidRPr="007B3DF7">
              <w:rPr>
                <w:rFonts w:asciiTheme="majorHAnsi" w:hAnsiTheme="majorHAnsi"/>
                <w:b/>
                <w:color w:val="FFFFFF" w:themeColor="background1"/>
                <w:sz w:val="14"/>
                <w:lang w:val="sq-AL"/>
              </w:rPr>
              <w:t>Investime</w:t>
            </w:r>
          </w:p>
        </w:tc>
        <w:tc>
          <w:tcPr>
            <w:tcW w:w="423" w:type="pct"/>
            <w:shd w:val="clear" w:color="auto" w:fill="0B5294" w:themeFill="accent1" w:themeFillShade="BF"/>
          </w:tcPr>
          <w:p w:rsidR="009C50AD" w:rsidRPr="007B3DF7"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FFFFFF" w:themeColor="background1"/>
                <w:sz w:val="14"/>
                <w:lang w:val="sq-AL"/>
              </w:rPr>
            </w:pPr>
            <w:r w:rsidRPr="007B3DF7">
              <w:rPr>
                <w:rFonts w:asciiTheme="majorHAnsi" w:hAnsiTheme="majorHAnsi"/>
                <w:b/>
                <w:color w:val="FFFFFF" w:themeColor="background1"/>
                <w:sz w:val="14"/>
                <w:lang w:val="sq-AL"/>
              </w:rPr>
              <w:t>Korrente</w:t>
            </w:r>
          </w:p>
        </w:tc>
        <w:tc>
          <w:tcPr>
            <w:tcW w:w="394" w:type="pct"/>
            <w:shd w:val="clear" w:color="auto" w:fill="0B5294" w:themeFill="accent1" w:themeFillShade="BF"/>
          </w:tcPr>
          <w:p w:rsidR="009C50AD" w:rsidRPr="007B3DF7"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FFFFFF" w:themeColor="background1"/>
                <w:sz w:val="14"/>
                <w:lang w:val="sq-AL"/>
              </w:rPr>
            </w:pPr>
            <w:r w:rsidRPr="007B3DF7">
              <w:rPr>
                <w:rFonts w:asciiTheme="majorHAnsi" w:hAnsiTheme="majorHAnsi"/>
                <w:b/>
                <w:color w:val="FFFFFF" w:themeColor="background1"/>
                <w:sz w:val="14"/>
                <w:lang w:val="sq-AL"/>
              </w:rPr>
              <w:t>Investime</w:t>
            </w:r>
          </w:p>
        </w:tc>
        <w:tc>
          <w:tcPr>
            <w:tcW w:w="354" w:type="pct"/>
            <w:shd w:val="clear" w:color="auto" w:fill="0B5294" w:themeFill="accent1" w:themeFillShade="BF"/>
          </w:tcPr>
          <w:p w:rsidR="009C50AD" w:rsidRPr="007B3DF7"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FFFFFF" w:themeColor="background1"/>
                <w:sz w:val="14"/>
                <w:lang w:val="sq-AL"/>
              </w:rPr>
            </w:pPr>
            <w:r w:rsidRPr="007B3DF7">
              <w:rPr>
                <w:rFonts w:asciiTheme="majorHAnsi" w:hAnsiTheme="majorHAnsi"/>
                <w:b/>
                <w:color w:val="FFFFFF" w:themeColor="background1"/>
                <w:sz w:val="14"/>
                <w:lang w:val="sq-AL"/>
              </w:rPr>
              <w:t>Korr.</w:t>
            </w:r>
          </w:p>
        </w:tc>
        <w:tc>
          <w:tcPr>
            <w:tcW w:w="332" w:type="pct"/>
            <w:shd w:val="clear" w:color="auto" w:fill="0B5294" w:themeFill="accent1" w:themeFillShade="BF"/>
          </w:tcPr>
          <w:p w:rsidR="009C50AD" w:rsidRPr="007B3DF7"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FFFFFF" w:themeColor="background1"/>
                <w:sz w:val="14"/>
                <w:lang w:val="sq-AL"/>
              </w:rPr>
            </w:pPr>
            <w:r w:rsidRPr="007B3DF7">
              <w:rPr>
                <w:rFonts w:asciiTheme="majorHAnsi" w:hAnsiTheme="majorHAnsi"/>
                <w:bCs/>
                <w:color w:val="FFFFFF" w:themeColor="background1"/>
                <w:sz w:val="14"/>
                <w:lang w:val="sq-AL"/>
              </w:rPr>
              <w:t>Inv.</w:t>
            </w:r>
          </w:p>
        </w:tc>
        <w:tc>
          <w:tcPr>
            <w:tcW w:w="355" w:type="pct"/>
            <w:shd w:val="clear" w:color="auto" w:fill="0B5294" w:themeFill="accent1" w:themeFillShade="BF"/>
          </w:tcPr>
          <w:p w:rsidR="009C50AD" w:rsidRPr="007B3DF7" w:rsidRDefault="009C50AD" w:rsidP="009C50A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FFFFFF" w:themeColor="background1"/>
                <w:sz w:val="14"/>
                <w:lang w:val="sq-AL"/>
              </w:rPr>
            </w:pPr>
            <w:r w:rsidRPr="007B3DF7">
              <w:rPr>
                <w:rFonts w:asciiTheme="majorHAnsi" w:hAnsiTheme="majorHAnsi"/>
                <w:b/>
                <w:color w:val="FFFFFF" w:themeColor="background1"/>
                <w:sz w:val="14"/>
                <w:lang w:val="sq-AL"/>
              </w:rPr>
              <w:t>Korr.</w:t>
            </w:r>
          </w:p>
        </w:tc>
        <w:tc>
          <w:tcPr>
            <w:cnfStyle w:val="000100000000" w:firstRow="0" w:lastRow="0" w:firstColumn="0" w:lastColumn="1" w:oddVBand="0" w:evenVBand="0" w:oddHBand="0" w:evenHBand="0" w:firstRowFirstColumn="0" w:firstRowLastColumn="0" w:lastRowFirstColumn="0" w:lastRowLastColumn="0"/>
            <w:tcW w:w="314" w:type="pct"/>
            <w:shd w:val="clear" w:color="auto" w:fill="0B5294" w:themeFill="accent1" w:themeFillShade="BF"/>
          </w:tcPr>
          <w:p w:rsidR="009C50AD" w:rsidRPr="007B3DF7" w:rsidRDefault="009C50AD" w:rsidP="009C50AD">
            <w:pPr>
              <w:spacing w:before="0" w:line="240" w:lineRule="auto"/>
              <w:jc w:val="center"/>
              <w:rPr>
                <w:rFonts w:asciiTheme="majorHAnsi" w:hAnsiTheme="majorHAnsi"/>
                <w:bCs w:val="0"/>
                <w:color w:val="FFFFFF" w:themeColor="background1"/>
                <w:sz w:val="14"/>
                <w:lang w:val="sq-AL"/>
              </w:rPr>
            </w:pPr>
            <w:r w:rsidRPr="007B3DF7">
              <w:rPr>
                <w:rFonts w:asciiTheme="majorHAnsi" w:hAnsiTheme="majorHAnsi"/>
                <w:bCs w:val="0"/>
                <w:color w:val="FFFFFF" w:themeColor="background1"/>
                <w:sz w:val="14"/>
                <w:lang w:val="sq-AL"/>
              </w:rPr>
              <w:t>Inv.</w:t>
            </w:r>
          </w:p>
        </w:tc>
      </w:tr>
      <w:tr w:rsidR="007B3DF7" w:rsidRPr="00BB08A5" w:rsidTr="007B3DF7">
        <w:trPr>
          <w:trHeight w:val="260"/>
          <w:jc w:val="center"/>
        </w:trPr>
        <w:tc>
          <w:tcPr>
            <w:cnfStyle w:val="001000000000" w:firstRow="0" w:lastRow="0" w:firstColumn="1" w:lastColumn="0" w:oddVBand="0" w:evenVBand="0" w:oddHBand="0" w:evenHBand="0" w:firstRowFirstColumn="0" w:firstRowLastColumn="0" w:lastRowFirstColumn="0" w:lastRowLastColumn="0"/>
            <w:tcW w:w="1193" w:type="pct"/>
            <w:shd w:val="clear" w:color="auto" w:fill="auto"/>
          </w:tcPr>
          <w:p w:rsidR="009C50AD" w:rsidRPr="007B3DF7" w:rsidRDefault="009C50AD" w:rsidP="009C50AD">
            <w:pPr>
              <w:spacing w:line="240" w:lineRule="auto"/>
              <w:jc w:val="center"/>
              <w:rPr>
                <w:rFonts w:asciiTheme="majorHAnsi" w:hAnsiTheme="majorHAnsi"/>
                <w:sz w:val="14"/>
                <w:szCs w:val="16"/>
              </w:rPr>
            </w:pPr>
            <w:r w:rsidRPr="007B3DF7">
              <w:rPr>
                <w:rFonts w:asciiTheme="majorHAnsi" w:hAnsiTheme="majorHAnsi"/>
                <w:sz w:val="14"/>
                <w:szCs w:val="16"/>
              </w:rPr>
              <w:t>Planifikimi, Menaxhimi dhe Administrimi</w:t>
            </w:r>
          </w:p>
        </w:tc>
        <w:tc>
          <w:tcPr>
            <w:tcW w:w="423"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581,000</w:t>
            </w:r>
          </w:p>
        </w:tc>
        <w:tc>
          <w:tcPr>
            <w:tcW w:w="395"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305,000</w:t>
            </w:r>
          </w:p>
        </w:tc>
        <w:tc>
          <w:tcPr>
            <w:tcW w:w="423"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560,879</w:t>
            </w:r>
          </w:p>
        </w:tc>
        <w:tc>
          <w:tcPr>
            <w:tcW w:w="39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563,768</w:t>
            </w:r>
          </w:p>
        </w:tc>
        <w:tc>
          <w:tcPr>
            <w:tcW w:w="423"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547,928</w:t>
            </w:r>
          </w:p>
        </w:tc>
        <w:tc>
          <w:tcPr>
            <w:tcW w:w="39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498,329</w:t>
            </w:r>
          </w:p>
        </w:tc>
        <w:tc>
          <w:tcPr>
            <w:tcW w:w="35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94.31%</w:t>
            </w:r>
          </w:p>
        </w:tc>
        <w:tc>
          <w:tcPr>
            <w:tcW w:w="332"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163.39%</w:t>
            </w:r>
          </w:p>
        </w:tc>
        <w:tc>
          <w:tcPr>
            <w:tcW w:w="355"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97.70%</w:t>
            </w:r>
          </w:p>
        </w:tc>
        <w:tc>
          <w:tcPr>
            <w:cnfStyle w:val="000100000000" w:firstRow="0" w:lastRow="0" w:firstColumn="0" w:lastColumn="1" w:oddVBand="0" w:evenVBand="0" w:oddHBand="0" w:evenHBand="0" w:firstRowFirstColumn="0" w:firstRowLastColumn="0" w:lastRowFirstColumn="0" w:lastRowLastColumn="0"/>
            <w:tcW w:w="314" w:type="pct"/>
          </w:tcPr>
          <w:p w:rsidR="009C50AD" w:rsidRPr="007B3DF7" w:rsidRDefault="009C50AD" w:rsidP="009C50AD">
            <w:pPr>
              <w:spacing w:line="240" w:lineRule="auto"/>
              <w:jc w:val="center"/>
              <w:rPr>
                <w:rFonts w:asciiTheme="majorHAnsi" w:hAnsiTheme="majorHAnsi"/>
                <w:b w:val="0"/>
                <w:bCs w:val="0"/>
                <w:sz w:val="14"/>
                <w:szCs w:val="16"/>
              </w:rPr>
            </w:pPr>
            <w:r w:rsidRPr="007B3DF7">
              <w:rPr>
                <w:rFonts w:asciiTheme="majorHAnsi" w:hAnsiTheme="majorHAnsi"/>
                <w:b w:val="0"/>
                <w:bCs w:val="0"/>
                <w:sz w:val="14"/>
                <w:szCs w:val="16"/>
              </w:rPr>
              <w:t>88.40%</w:t>
            </w:r>
          </w:p>
        </w:tc>
      </w:tr>
      <w:tr w:rsidR="007B3DF7" w:rsidRPr="00BB08A5" w:rsidTr="007B3DF7">
        <w:trPr>
          <w:trHeight w:val="231"/>
          <w:jc w:val="center"/>
        </w:trPr>
        <w:tc>
          <w:tcPr>
            <w:cnfStyle w:val="001000000000" w:firstRow="0" w:lastRow="0" w:firstColumn="1" w:lastColumn="0" w:oddVBand="0" w:evenVBand="0" w:oddHBand="0" w:evenHBand="0" w:firstRowFirstColumn="0" w:firstRowLastColumn="0" w:lastRowFirstColumn="0" w:lastRowLastColumn="0"/>
            <w:tcW w:w="1193" w:type="pct"/>
            <w:shd w:val="clear" w:color="auto" w:fill="auto"/>
          </w:tcPr>
          <w:p w:rsidR="009C50AD" w:rsidRPr="007B3DF7" w:rsidRDefault="009C50AD" w:rsidP="009C50AD">
            <w:pPr>
              <w:spacing w:line="240" w:lineRule="auto"/>
              <w:jc w:val="center"/>
              <w:rPr>
                <w:rFonts w:asciiTheme="majorHAnsi" w:hAnsiTheme="majorHAnsi"/>
                <w:sz w:val="14"/>
                <w:szCs w:val="16"/>
              </w:rPr>
            </w:pPr>
            <w:r w:rsidRPr="007B3DF7">
              <w:rPr>
                <w:rFonts w:asciiTheme="majorHAnsi" w:hAnsiTheme="majorHAnsi"/>
                <w:sz w:val="14"/>
                <w:szCs w:val="16"/>
              </w:rPr>
              <w:t>Menaxhimi i Shpenzimeve Publike</w:t>
            </w:r>
          </w:p>
        </w:tc>
        <w:tc>
          <w:tcPr>
            <w:tcW w:w="423"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374,000</w:t>
            </w:r>
          </w:p>
        </w:tc>
        <w:tc>
          <w:tcPr>
            <w:tcW w:w="395"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0</w:t>
            </w:r>
          </w:p>
        </w:tc>
        <w:tc>
          <w:tcPr>
            <w:tcW w:w="423"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365,200</w:t>
            </w:r>
          </w:p>
        </w:tc>
        <w:tc>
          <w:tcPr>
            <w:tcW w:w="39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0</w:t>
            </w:r>
          </w:p>
        </w:tc>
        <w:tc>
          <w:tcPr>
            <w:tcW w:w="423"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342,031</w:t>
            </w:r>
          </w:p>
        </w:tc>
        <w:tc>
          <w:tcPr>
            <w:tcW w:w="39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0</w:t>
            </w:r>
          </w:p>
        </w:tc>
        <w:tc>
          <w:tcPr>
            <w:tcW w:w="35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91.45%</w:t>
            </w:r>
          </w:p>
        </w:tc>
        <w:tc>
          <w:tcPr>
            <w:tcW w:w="332"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p>
        </w:tc>
        <w:tc>
          <w:tcPr>
            <w:tcW w:w="355"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93.70%</w:t>
            </w:r>
          </w:p>
        </w:tc>
        <w:tc>
          <w:tcPr>
            <w:cnfStyle w:val="000100000000" w:firstRow="0" w:lastRow="0" w:firstColumn="0" w:lastColumn="1" w:oddVBand="0" w:evenVBand="0" w:oddHBand="0" w:evenHBand="0" w:firstRowFirstColumn="0" w:firstRowLastColumn="0" w:lastRowFirstColumn="0" w:lastRowLastColumn="0"/>
            <w:tcW w:w="314" w:type="pct"/>
          </w:tcPr>
          <w:p w:rsidR="009C50AD" w:rsidRPr="007B3DF7" w:rsidRDefault="009C50AD" w:rsidP="009C50AD">
            <w:pPr>
              <w:spacing w:line="240" w:lineRule="auto"/>
              <w:jc w:val="center"/>
              <w:rPr>
                <w:rFonts w:asciiTheme="majorHAnsi" w:hAnsiTheme="majorHAnsi"/>
                <w:b w:val="0"/>
                <w:bCs w:val="0"/>
                <w:sz w:val="14"/>
                <w:szCs w:val="16"/>
              </w:rPr>
            </w:pPr>
            <w:r w:rsidRPr="007B3DF7">
              <w:rPr>
                <w:rFonts w:asciiTheme="majorHAnsi" w:hAnsiTheme="majorHAnsi"/>
                <w:b w:val="0"/>
                <w:bCs w:val="0"/>
                <w:sz w:val="14"/>
                <w:szCs w:val="16"/>
              </w:rPr>
              <w:t>-</w:t>
            </w:r>
          </w:p>
        </w:tc>
      </w:tr>
      <w:tr w:rsidR="007B3DF7" w:rsidRPr="00BB08A5" w:rsidTr="007B3DF7">
        <w:trPr>
          <w:trHeight w:val="231"/>
          <w:jc w:val="center"/>
        </w:trPr>
        <w:tc>
          <w:tcPr>
            <w:cnfStyle w:val="001000000000" w:firstRow="0" w:lastRow="0" w:firstColumn="1" w:lastColumn="0" w:oddVBand="0" w:evenVBand="0" w:oddHBand="0" w:evenHBand="0" w:firstRowFirstColumn="0" w:firstRowLastColumn="0" w:lastRowFirstColumn="0" w:lastRowLastColumn="0"/>
            <w:tcW w:w="1193" w:type="pct"/>
            <w:shd w:val="clear" w:color="auto" w:fill="auto"/>
          </w:tcPr>
          <w:p w:rsidR="009C50AD" w:rsidRPr="007B3DF7" w:rsidRDefault="009C50AD" w:rsidP="009C50AD">
            <w:pPr>
              <w:spacing w:line="240" w:lineRule="auto"/>
              <w:jc w:val="center"/>
              <w:rPr>
                <w:rFonts w:asciiTheme="majorHAnsi" w:hAnsiTheme="majorHAnsi"/>
                <w:sz w:val="14"/>
                <w:szCs w:val="16"/>
              </w:rPr>
            </w:pPr>
            <w:r w:rsidRPr="007B3DF7">
              <w:rPr>
                <w:rFonts w:asciiTheme="majorHAnsi" w:hAnsiTheme="majorHAnsi"/>
                <w:sz w:val="14"/>
                <w:szCs w:val="16"/>
              </w:rPr>
              <w:t>Ekzekutimi i Pagesave të Ndryshme</w:t>
            </w:r>
          </w:p>
        </w:tc>
        <w:tc>
          <w:tcPr>
            <w:tcW w:w="423"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300,000</w:t>
            </w:r>
          </w:p>
        </w:tc>
        <w:tc>
          <w:tcPr>
            <w:tcW w:w="395"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0</w:t>
            </w:r>
          </w:p>
        </w:tc>
        <w:tc>
          <w:tcPr>
            <w:tcW w:w="423"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251,552</w:t>
            </w:r>
          </w:p>
        </w:tc>
        <w:tc>
          <w:tcPr>
            <w:tcW w:w="39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0</w:t>
            </w:r>
          </w:p>
        </w:tc>
        <w:tc>
          <w:tcPr>
            <w:tcW w:w="423"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212,098</w:t>
            </w:r>
          </w:p>
        </w:tc>
        <w:tc>
          <w:tcPr>
            <w:tcW w:w="39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0</w:t>
            </w:r>
          </w:p>
        </w:tc>
        <w:tc>
          <w:tcPr>
            <w:tcW w:w="35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70.70%</w:t>
            </w:r>
          </w:p>
        </w:tc>
        <w:tc>
          <w:tcPr>
            <w:tcW w:w="332"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p>
        </w:tc>
        <w:tc>
          <w:tcPr>
            <w:tcW w:w="355"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84.30%</w:t>
            </w:r>
          </w:p>
        </w:tc>
        <w:tc>
          <w:tcPr>
            <w:cnfStyle w:val="000100000000" w:firstRow="0" w:lastRow="0" w:firstColumn="0" w:lastColumn="1" w:oddVBand="0" w:evenVBand="0" w:oddHBand="0" w:evenHBand="0" w:firstRowFirstColumn="0" w:firstRowLastColumn="0" w:lastRowFirstColumn="0" w:lastRowLastColumn="0"/>
            <w:tcW w:w="314" w:type="pct"/>
          </w:tcPr>
          <w:p w:rsidR="009C50AD" w:rsidRPr="007B3DF7" w:rsidRDefault="009C50AD" w:rsidP="009C50AD">
            <w:pPr>
              <w:spacing w:line="240" w:lineRule="auto"/>
              <w:jc w:val="center"/>
              <w:rPr>
                <w:rFonts w:asciiTheme="majorHAnsi" w:hAnsiTheme="majorHAnsi"/>
                <w:b w:val="0"/>
                <w:bCs w:val="0"/>
                <w:sz w:val="14"/>
                <w:szCs w:val="16"/>
              </w:rPr>
            </w:pPr>
            <w:r w:rsidRPr="007B3DF7">
              <w:rPr>
                <w:rFonts w:asciiTheme="majorHAnsi" w:hAnsiTheme="majorHAnsi"/>
                <w:b w:val="0"/>
                <w:bCs w:val="0"/>
                <w:sz w:val="14"/>
                <w:szCs w:val="16"/>
              </w:rPr>
              <w:t>-</w:t>
            </w:r>
          </w:p>
        </w:tc>
      </w:tr>
      <w:tr w:rsidR="007B3DF7" w:rsidRPr="00BB08A5" w:rsidTr="007B3DF7">
        <w:trPr>
          <w:trHeight w:val="120"/>
          <w:jc w:val="center"/>
        </w:trPr>
        <w:tc>
          <w:tcPr>
            <w:cnfStyle w:val="001000000000" w:firstRow="0" w:lastRow="0" w:firstColumn="1" w:lastColumn="0" w:oddVBand="0" w:evenVBand="0" w:oddHBand="0" w:evenHBand="0" w:firstRowFirstColumn="0" w:firstRowLastColumn="0" w:lastRowFirstColumn="0" w:lastRowLastColumn="0"/>
            <w:tcW w:w="1193" w:type="pct"/>
            <w:shd w:val="clear" w:color="auto" w:fill="auto"/>
          </w:tcPr>
          <w:p w:rsidR="009C50AD" w:rsidRPr="007B3DF7" w:rsidRDefault="009C50AD" w:rsidP="009C50AD">
            <w:pPr>
              <w:spacing w:line="240" w:lineRule="auto"/>
              <w:jc w:val="center"/>
              <w:rPr>
                <w:rFonts w:asciiTheme="majorHAnsi" w:hAnsiTheme="majorHAnsi"/>
                <w:sz w:val="14"/>
                <w:szCs w:val="16"/>
              </w:rPr>
            </w:pPr>
            <w:r w:rsidRPr="007B3DF7">
              <w:rPr>
                <w:rFonts w:asciiTheme="majorHAnsi" w:hAnsiTheme="majorHAnsi"/>
                <w:sz w:val="14"/>
                <w:szCs w:val="16"/>
              </w:rPr>
              <w:t>Menaxhimi i të Ardhurave Tatimore</w:t>
            </w:r>
          </w:p>
        </w:tc>
        <w:tc>
          <w:tcPr>
            <w:tcW w:w="423"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2,440,000</w:t>
            </w:r>
          </w:p>
        </w:tc>
        <w:tc>
          <w:tcPr>
            <w:tcW w:w="395"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303,000</w:t>
            </w:r>
          </w:p>
        </w:tc>
        <w:tc>
          <w:tcPr>
            <w:tcW w:w="423"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2,500,268</w:t>
            </w:r>
          </w:p>
        </w:tc>
        <w:tc>
          <w:tcPr>
            <w:tcW w:w="39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553,858</w:t>
            </w:r>
          </w:p>
        </w:tc>
        <w:tc>
          <w:tcPr>
            <w:tcW w:w="423"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2,377,087</w:t>
            </w:r>
          </w:p>
        </w:tc>
        <w:tc>
          <w:tcPr>
            <w:tcW w:w="39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542,787</w:t>
            </w:r>
          </w:p>
        </w:tc>
        <w:tc>
          <w:tcPr>
            <w:tcW w:w="35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97.42%</w:t>
            </w:r>
          </w:p>
        </w:tc>
        <w:tc>
          <w:tcPr>
            <w:tcW w:w="332"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179.14%</w:t>
            </w:r>
          </w:p>
        </w:tc>
        <w:tc>
          <w:tcPr>
            <w:tcW w:w="355"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95.10%</w:t>
            </w:r>
          </w:p>
        </w:tc>
        <w:tc>
          <w:tcPr>
            <w:cnfStyle w:val="000100000000" w:firstRow="0" w:lastRow="0" w:firstColumn="0" w:lastColumn="1" w:oddVBand="0" w:evenVBand="0" w:oddHBand="0" w:evenHBand="0" w:firstRowFirstColumn="0" w:firstRowLastColumn="0" w:lastRowFirstColumn="0" w:lastRowLastColumn="0"/>
            <w:tcW w:w="314" w:type="pct"/>
          </w:tcPr>
          <w:p w:rsidR="009C50AD" w:rsidRPr="007B3DF7" w:rsidRDefault="009C50AD" w:rsidP="009C50AD">
            <w:pPr>
              <w:spacing w:line="240" w:lineRule="auto"/>
              <w:jc w:val="center"/>
              <w:rPr>
                <w:rFonts w:asciiTheme="majorHAnsi" w:hAnsiTheme="majorHAnsi"/>
                <w:b w:val="0"/>
                <w:bCs w:val="0"/>
                <w:sz w:val="14"/>
                <w:szCs w:val="16"/>
              </w:rPr>
            </w:pPr>
            <w:r w:rsidRPr="007B3DF7">
              <w:rPr>
                <w:rFonts w:asciiTheme="majorHAnsi" w:hAnsiTheme="majorHAnsi"/>
                <w:b w:val="0"/>
                <w:bCs w:val="0"/>
                <w:sz w:val="14"/>
                <w:szCs w:val="16"/>
              </w:rPr>
              <w:t>98.00%</w:t>
            </w:r>
          </w:p>
        </w:tc>
      </w:tr>
      <w:tr w:rsidR="007B3DF7" w:rsidRPr="00BB08A5" w:rsidTr="007B3DF7">
        <w:trPr>
          <w:trHeight w:val="120"/>
          <w:jc w:val="center"/>
        </w:trPr>
        <w:tc>
          <w:tcPr>
            <w:cnfStyle w:val="001000000000" w:firstRow="0" w:lastRow="0" w:firstColumn="1" w:lastColumn="0" w:oddVBand="0" w:evenVBand="0" w:oddHBand="0" w:evenHBand="0" w:firstRowFirstColumn="0" w:firstRowLastColumn="0" w:lastRowFirstColumn="0" w:lastRowLastColumn="0"/>
            <w:tcW w:w="1193" w:type="pct"/>
            <w:shd w:val="clear" w:color="auto" w:fill="auto"/>
          </w:tcPr>
          <w:p w:rsidR="009C50AD" w:rsidRPr="007B3DF7" w:rsidRDefault="009C50AD" w:rsidP="009C50AD">
            <w:pPr>
              <w:spacing w:line="240" w:lineRule="auto"/>
              <w:jc w:val="center"/>
              <w:rPr>
                <w:rFonts w:asciiTheme="majorHAnsi" w:hAnsiTheme="majorHAnsi"/>
                <w:sz w:val="14"/>
                <w:szCs w:val="16"/>
              </w:rPr>
            </w:pPr>
            <w:r w:rsidRPr="007B3DF7">
              <w:rPr>
                <w:rFonts w:asciiTheme="majorHAnsi" w:hAnsiTheme="majorHAnsi"/>
                <w:sz w:val="14"/>
                <w:szCs w:val="16"/>
              </w:rPr>
              <w:t>Menaxhimi i të Ardhurave Doganore</w:t>
            </w:r>
          </w:p>
        </w:tc>
        <w:tc>
          <w:tcPr>
            <w:tcW w:w="423"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3,189,310</w:t>
            </w:r>
          </w:p>
        </w:tc>
        <w:tc>
          <w:tcPr>
            <w:tcW w:w="395"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293,910</w:t>
            </w:r>
          </w:p>
        </w:tc>
        <w:tc>
          <w:tcPr>
            <w:tcW w:w="423"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3,460,910</w:t>
            </w:r>
          </w:p>
        </w:tc>
        <w:tc>
          <w:tcPr>
            <w:tcW w:w="39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206,910</w:t>
            </w:r>
          </w:p>
        </w:tc>
        <w:tc>
          <w:tcPr>
            <w:tcW w:w="423"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3,409,285</w:t>
            </w:r>
          </w:p>
        </w:tc>
        <w:tc>
          <w:tcPr>
            <w:tcW w:w="39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103,892</w:t>
            </w:r>
          </w:p>
        </w:tc>
        <w:tc>
          <w:tcPr>
            <w:tcW w:w="35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106.90%</w:t>
            </w:r>
          </w:p>
        </w:tc>
        <w:tc>
          <w:tcPr>
            <w:tcW w:w="332"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35.35%</w:t>
            </w:r>
          </w:p>
        </w:tc>
        <w:tc>
          <w:tcPr>
            <w:tcW w:w="355"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98.50%</w:t>
            </w:r>
          </w:p>
        </w:tc>
        <w:tc>
          <w:tcPr>
            <w:cnfStyle w:val="000100000000" w:firstRow="0" w:lastRow="0" w:firstColumn="0" w:lastColumn="1" w:oddVBand="0" w:evenVBand="0" w:oddHBand="0" w:evenHBand="0" w:firstRowFirstColumn="0" w:firstRowLastColumn="0" w:lastRowFirstColumn="0" w:lastRowLastColumn="0"/>
            <w:tcW w:w="314" w:type="pct"/>
          </w:tcPr>
          <w:p w:rsidR="009C50AD" w:rsidRPr="007B3DF7" w:rsidRDefault="009C50AD" w:rsidP="009C50AD">
            <w:pPr>
              <w:spacing w:line="240" w:lineRule="auto"/>
              <w:jc w:val="center"/>
              <w:rPr>
                <w:rFonts w:asciiTheme="majorHAnsi" w:hAnsiTheme="majorHAnsi"/>
                <w:b w:val="0"/>
                <w:bCs w:val="0"/>
                <w:sz w:val="14"/>
                <w:szCs w:val="16"/>
              </w:rPr>
            </w:pPr>
            <w:r w:rsidRPr="007B3DF7">
              <w:rPr>
                <w:rFonts w:asciiTheme="majorHAnsi" w:hAnsiTheme="majorHAnsi"/>
                <w:b w:val="0"/>
                <w:bCs w:val="0"/>
                <w:sz w:val="14"/>
                <w:szCs w:val="16"/>
              </w:rPr>
              <w:t>50.20%</w:t>
            </w:r>
          </w:p>
        </w:tc>
      </w:tr>
      <w:tr w:rsidR="007B3DF7" w:rsidRPr="00BB08A5" w:rsidTr="007B3DF7">
        <w:trPr>
          <w:trHeight w:val="120"/>
          <w:jc w:val="center"/>
        </w:trPr>
        <w:tc>
          <w:tcPr>
            <w:cnfStyle w:val="001000000000" w:firstRow="0" w:lastRow="0" w:firstColumn="1" w:lastColumn="0" w:oddVBand="0" w:evenVBand="0" w:oddHBand="0" w:evenHBand="0" w:firstRowFirstColumn="0" w:firstRowLastColumn="0" w:lastRowFirstColumn="0" w:lastRowLastColumn="0"/>
            <w:tcW w:w="1193" w:type="pct"/>
            <w:shd w:val="clear" w:color="auto" w:fill="auto"/>
          </w:tcPr>
          <w:p w:rsidR="009C50AD" w:rsidRPr="007B3DF7" w:rsidRDefault="009C50AD" w:rsidP="009C50AD">
            <w:pPr>
              <w:spacing w:line="240" w:lineRule="auto"/>
              <w:jc w:val="center"/>
              <w:rPr>
                <w:rFonts w:asciiTheme="majorHAnsi" w:hAnsiTheme="majorHAnsi"/>
                <w:sz w:val="14"/>
                <w:szCs w:val="16"/>
              </w:rPr>
            </w:pPr>
            <w:r w:rsidRPr="007B3DF7">
              <w:rPr>
                <w:rFonts w:asciiTheme="majorHAnsi" w:hAnsiTheme="majorHAnsi"/>
                <w:sz w:val="14"/>
                <w:szCs w:val="16"/>
              </w:rPr>
              <w:t>Lufta Kundër Transaksioneve Financiare Jo-Ligjore</w:t>
            </w:r>
          </w:p>
        </w:tc>
        <w:tc>
          <w:tcPr>
            <w:tcW w:w="423"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79,000</w:t>
            </w:r>
          </w:p>
        </w:tc>
        <w:tc>
          <w:tcPr>
            <w:tcW w:w="395"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2,000</w:t>
            </w:r>
          </w:p>
        </w:tc>
        <w:tc>
          <w:tcPr>
            <w:tcW w:w="423"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79,000</w:t>
            </w:r>
          </w:p>
        </w:tc>
        <w:tc>
          <w:tcPr>
            <w:tcW w:w="39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2,000</w:t>
            </w:r>
          </w:p>
        </w:tc>
        <w:tc>
          <w:tcPr>
            <w:tcW w:w="423"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62,524</w:t>
            </w:r>
          </w:p>
        </w:tc>
        <w:tc>
          <w:tcPr>
            <w:tcW w:w="39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0</w:t>
            </w:r>
          </w:p>
        </w:tc>
        <w:tc>
          <w:tcPr>
            <w:tcW w:w="35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79.14%</w:t>
            </w:r>
          </w:p>
        </w:tc>
        <w:tc>
          <w:tcPr>
            <w:tcW w:w="332"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0.00%</w:t>
            </w:r>
          </w:p>
        </w:tc>
        <w:tc>
          <w:tcPr>
            <w:tcW w:w="355"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79.10%</w:t>
            </w:r>
          </w:p>
        </w:tc>
        <w:tc>
          <w:tcPr>
            <w:cnfStyle w:val="000100000000" w:firstRow="0" w:lastRow="0" w:firstColumn="0" w:lastColumn="1" w:oddVBand="0" w:evenVBand="0" w:oddHBand="0" w:evenHBand="0" w:firstRowFirstColumn="0" w:firstRowLastColumn="0" w:lastRowFirstColumn="0" w:lastRowLastColumn="0"/>
            <w:tcW w:w="314" w:type="pct"/>
          </w:tcPr>
          <w:p w:rsidR="009C50AD" w:rsidRPr="007B3DF7" w:rsidRDefault="009C50AD" w:rsidP="009C50AD">
            <w:pPr>
              <w:spacing w:line="240" w:lineRule="auto"/>
              <w:jc w:val="center"/>
              <w:rPr>
                <w:rFonts w:asciiTheme="majorHAnsi" w:hAnsiTheme="majorHAnsi"/>
                <w:b w:val="0"/>
                <w:bCs w:val="0"/>
                <w:sz w:val="14"/>
                <w:szCs w:val="16"/>
              </w:rPr>
            </w:pPr>
            <w:r w:rsidRPr="007B3DF7">
              <w:rPr>
                <w:rFonts w:asciiTheme="majorHAnsi" w:hAnsiTheme="majorHAnsi"/>
                <w:b w:val="0"/>
                <w:bCs w:val="0"/>
                <w:sz w:val="14"/>
                <w:szCs w:val="16"/>
              </w:rPr>
              <w:t>0.00%</w:t>
            </w:r>
          </w:p>
        </w:tc>
      </w:tr>
      <w:tr w:rsidR="007B3DF7" w:rsidRPr="00BB08A5" w:rsidTr="007B3DF7">
        <w:trPr>
          <w:trHeight w:val="120"/>
          <w:jc w:val="center"/>
        </w:trPr>
        <w:tc>
          <w:tcPr>
            <w:cnfStyle w:val="001000000000" w:firstRow="0" w:lastRow="0" w:firstColumn="1" w:lastColumn="0" w:oddVBand="0" w:evenVBand="0" w:oddHBand="0" w:evenHBand="0" w:firstRowFirstColumn="0" w:firstRowLastColumn="0" w:lastRowFirstColumn="0" w:lastRowLastColumn="0"/>
            <w:tcW w:w="1193" w:type="pct"/>
            <w:shd w:val="clear" w:color="auto" w:fill="auto"/>
          </w:tcPr>
          <w:p w:rsidR="009C50AD" w:rsidRPr="007B3DF7" w:rsidRDefault="009C50AD" w:rsidP="009C50AD">
            <w:pPr>
              <w:spacing w:line="240" w:lineRule="auto"/>
              <w:jc w:val="center"/>
              <w:rPr>
                <w:rFonts w:asciiTheme="majorHAnsi" w:hAnsiTheme="majorHAnsi"/>
                <w:sz w:val="14"/>
                <w:szCs w:val="16"/>
              </w:rPr>
            </w:pPr>
            <w:r w:rsidRPr="007B3DF7">
              <w:rPr>
                <w:rFonts w:asciiTheme="majorHAnsi" w:hAnsiTheme="majorHAnsi"/>
                <w:sz w:val="14"/>
                <w:szCs w:val="16"/>
              </w:rPr>
              <w:t>Mbështetje për Zhvillim Ekonomik</w:t>
            </w:r>
          </w:p>
        </w:tc>
        <w:tc>
          <w:tcPr>
            <w:tcW w:w="423"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584,000</w:t>
            </w:r>
          </w:p>
        </w:tc>
        <w:tc>
          <w:tcPr>
            <w:tcW w:w="395"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213,000</w:t>
            </w:r>
          </w:p>
        </w:tc>
        <w:tc>
          <w:tcPr>
            <w:tcW w:w="423"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518,300</w:t>
            </w:r>
          </w:p>
        </w:tc>
        <w:tc>
          <w:tcPr>
            <w:tcW w:w="39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108,500</w:t>
            </w:r>
          </w:p>
        </w:tc>
        <w:tc>
          <w:tcPr>
            <w:tcW w:w="423"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236,146</w:t>
            </w:r>
          </w:p>
        </w:tc>
        <w:tc>
          <w:tcPr>
            <w:tcW w:w="39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52,135</w:t>
            </w:r>
          </w:p>
        </w:tc>
        <w:tc>
          <w:tcPr>
            <w:tcW w:w="35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40.44%</w:t>
            </w:r>
          </w:p>
        </w:tc>
        <w:tc>
          <w:tcPr>
            <w:tcW w:w="332"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24.48%</w:t>
            </w:r>
          </w:p>
        </w:tc>
        <w:tc>
          <w:tcPr>
            <w:tcW w:w="355"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45.60%</w:t>
            </w:r>
          </w:p>
        </w:tc>
        <w:tc>
          <w:tcPr>
            <w:cnfStyle w:val="000100000000" w:firstRow="0" w:lastRow="0" w:firstColumn="0" w:lastColumn="1" w:oddVBand="0" w:evenVBand="0" w:oddHBand="0" w:evenHBand="0" w:firstRowFirstColumn="0" w:firstRowLastColumn="0" w:lastRowFirstColumn="0" w:lastRowLastColumn="0"/>
            <w:tcW w:w="314" w:type="pct"/>
          </w:tcPr>
          <w:p w:rsidR="009C50AD" w:rsidRPr="007B3DF7" w:rsidRDefault="009C50AD" w:rsidP="009C50AD">
            <w:pPr>
              <w:spacing w:line="240" w:lineRule="auto"/>
              <w:jc w:val="center"/>
              <w:rPr>
                <w:rFonts w:asciiTheme="majorHAnsi" w:hAnsiTheme="majorHAnsi"/>
                <w:b w:val="0"/>
                <w:bCs w:val="0"/>
                <w:sz w:val="14"/>
                <w:szCs w:val="16"/>
              </w:rPr>
            </w:pPr>
            <w:r w:rsidRPr="007B3DF7">
              <w:rPr>
                <w:rFonts w:asciiTheme="majorHAnsi" w:hAnsiTheme="majorHAnsi"/>
                <w:b w:val="0"/>
                <w:bCs w:val="0"/>
                <w:sz w:val="14"/>
                <w:szCs w:val="16"/>
              </w:rPr>
              <w:t>48.10%</w:t>
            </w:r>
          </w:p>
        </w:tc>
      </w:tr>
      <w:tr w:rsidR="007B3DF7" w:rsidRPr="00BB08A5" w:rsidTr="007B3DF7">
        <w:trPr>
          <w:trHeight w:val="120"/>
          <w:jc w:val="center"/>
        </w:trPr>
        <w:tc>
          <w:tcPr>
            <w:cnfStyle w:val="001000000000" w:firstRow="0" w:lastRow="0" w:firstColumn="1" w:lastColumn="0" w:oddVBand="0" w:evenVBand="0" w:oddHBand="0" w:evenHBand="0" w:firstRowFirstColumn="0" w:firstRowLastColumn="0" w:lastRowFirstColumn="0" w:lastRowLastColumn="0"/>
            <w:tcW w:w="1193" w:type="pct"/>
            <w:shd w:val="clear" w:color="auto" w:fill="auto"/>
          </w:tcPr>
          <w:p w:rsidR="009C50AD" w:rsidRPr="007B3DF7" w:rsidRDefault="009C50AD" w:rsidP="009C50AD">
            <w:pPr>
              <w:spacing w:line="240" w:lineRule="auto"/>
              <w:jc w:val="center"/>
              <w:rPr>
                <w:rFonts w:asciiTheme="majorHAnsi" w:hAnsiTheme="majorHAnsi"/>
                <w:sz w:val="14"/>
                <w:szCs w:val="16"/>
              </w:rPr>
            </w:pPr>
            <w:r w:rsidRPr="007B3DF7">
              <w:rPr>
                <w:rFonts w:asciiTheme="majorHAnsi" w:hAnsiTheme="majorHAnsi"/>
                <w:sz w:val="14"/>
                <w:szCs w:val="16"/>
              </w:rPr>
              <w:t>Mbështetje për Mbikëqyrjen e Tregut, Infrastruktura e Cilësise dhe Pronësia Industriale</w:t>
            </w:r>
          </w:p>
        </w:tc>
        <w:tc>
          <w:tcPr>
            <w:tcW w:w="423"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307,740</w:t>
            </w:r>
          </w:p>
        </w:tc>
        <w:tc>
          <w:tcPr>
            <w:tcW w:w="395"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24,000</w:t>
            </w:r>
          </w:p>
        </w:tc>
        <w:tc>
          <w:tcPr>
            <w:tcW w:w="423"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288,837</w:t>
            </w:r>
          </w:p>
        </w:tc>
        <w:tc>
          <w:tcPr>
            <w:tcW w:w="39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16,000</w:t>
            </w:r>
          </w:p>
        </w:tc>
        <w:tc>
          <w:tcPr>
            <w:tcW w:w="423"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264,472</w:t>
            </w:r>
          </w:p>
        </w:tc>
        <w:tc>
          <w:tcPr>
            <w:tcW w:w="39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11,489</w:t>
            </w:r>
          </w:p>
        </w:tc>
        <w:tc>
          <w:tcPr>
            <w:tcW w:w="35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85.94%</w:t>
            </w:r>
          </w:p>
        </w:tc>
        <w:tc>
          <w:tcPr>
            <w:tcW w:w="332"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47.87%</w:t>
            </w:r>
          </w:p>
        </w:tc>
        <w:tc>
          <w:tcPr>
            <w:tcW w:w="355"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91.60%</w:t>
            </w:r>
          </w:p>
        </w:tc>
        <w:tc>
          <w:tcPr>
            <w:cnfStyle w:val="000100000000" w:firstRow="0" w:lastRow="0" w:firstColumn="0" w:lastColumn="1" w:oddVBand="0" w:evenVBand="0" w:oddHBand="0" w:evenHBand="0" w:firstRowFirstColumn="0" w:firstRowLastColumn="0" w:lastRowFirstColumn="0" w:lastRowLastColumn="0"/>
            <w:tcW w:w="314" w:type="pct"/>
          </w:tcPr>
          <w:p w:rsidR="009C50AD" w:rsidRPr="007B3DF7" w:rsidRDefault="009C50AD" w:rsidP="009C50AD">
            <w:pPr>
              <w:spacing w:line="240" w:lineRule="auto"/>
              <w:jc w:val="center"/>
              <w:rPr>
                <w:rFonts w:asciiTheme="majorHAnsi" w:hAnsiTheme="majorHAnsi"/>
                <w:b w:val="0"/>
                <w:bCs w:val="0"/>
                <w:sz w:val="14"/>
                <w:szCs w:val="16"/>
              </w:rPr>
            </w:pPr>
            <w:r w:rsidRPr="007B3DF7">
              <w:rPr>
                <w:rFonts w:asciiTheme="majorHAnsi" w:hAnsiTheme="majorHAnsi"/>
                <w:b w:val="0"/>
                <w:bCs w:val="0"/>
                <w:sz w:val="14"/>
                <w:szCs w:val="16"/>
              </w:rPr>
              <w:t>71.80%</w:t>
            </w:r>
          </w:p>
        </w:tc>
      </w:tr>
      <w:tr w:rsidR="007B3DF7" w:rsidRPr="00BB08A5" w:rsidTr="007B3DF7">
        <w:trPr>
          <w:trHeight w:val="120"/>
          <w:jc w:val="center"/>
        </w:trPr>
        <w:tc>
          <w:tcPr>
            <w:cnfStyle w:val="001000000000" w:firstRow="0" w:lastRow="0" w:firstColumn="1" w:lastColumn="0" w:oddVBand="0" w:evenVBand="0" w:oddHBand="0" w:evenHBand="0" w:firstRowFirstColumn="0" w:firstRowLastColumn="0" w:lastRowFirstColumn="0" w:lastRowLastColumn="0"/>
            <w:tcW w:w="1193" w:type="pct"/>
            <w:shd w:val="clear" w:color="auto" w:fill="auto"/>
          </w:tcPr>
          <w:p w:rsidR="009C50AD" w:rsidRPr="007B3DF7" w:rsidRDefault="009C50AD" w:rsidP="009C50AD">
            <w:pPr>
              <w:spacing w:line="240" w:lineRule="auto"/>
              <w:jc w:val="center"/>
              <w:rPr>
                <w:rFonts w:asciiTheme="majorHAnsi" w:hAnsiTheme="majorHAnsi"/>
                <w:sz w:val="14"/>
                <w:szCs w:val="16"/>
              </w:rPr>
            </w:pPr>
            <w:r w:rsidRPr="007B3DF7">
              <w:rPr>
                <w:rFonts w:asciiTheme="majorHAnsi" w:hAnsiTheme="majorHAnsi"/>
                <w:sz w:val="14"/>
                <w:szCs w:val="16"/>
              </w:rPr>
              <w:t>Inspektimi në Punë</w:t>
            </w:r>
          </w:p>
        </w:tc>
        <w:tc>
          <w:tcPr>
            <w:tcW w:w="423"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166,000</w:t>
            </w:r>
          </w:p>
        </w:tc>
        <w:tc>
          <w:tcPr>
            <w:tcW w:w="395"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10,000</w:t>
            </w:r>
          </w:p>
        </w:tc>
        <w:tc>
          <w:tcPr>
            <w:tcW w:w="423"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162,270</w:t>
            </w:r>
          </w:p>
        </w:tc>
        <w:tc>
          <w:tcPr>
            <w:tcW w:w="39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10,000</w:t>
            </w:r>
          </w:p>
        </w:tc>
        <w:tc>
          <w:tcPr>
            <w:tcW w:w="423"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153,873</w:t>
            </w:r>
          </w:p>
        </w:tc>
        <w:tc>
          <w:tcPr>
            <w:tcW w:w="39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9,217</w:t>
            </w:r>
          </w:p>
        </w:tc>
        <w:tc>
          <w:tcPr>
            <w:tcW w:w="35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92.69%</w:t>
            </w:r>
          </w:p>
        </w:tc>
        <w:tc>
          <w:tcPr>
            <w:tcW w:w="332"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92.17%</w:t>
            </w:r>
          </w:p>
        </w:tc>
        <w:tc>
          <w:tcPr>
            <w:tcW w:w="355"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94.80%</w:t>
            </w:r>
          </w:p>
        </w:tc>
        <w:tc>
          <w:tcPr>
            <w:cnfStyle w:val="000100000000" w:firstRow="0" w:lastRow="0" w:firstColumn="0" w:lastColumn="1" w:oddVBand="0" w:evenVBand="0" w:oddHBand="0" w:evenHBand="0" w:firstRowFirstColumn="0" w:firstRowLastColumn="0" w:lastRowFirstColumn="0" w:lastRowLastColumn="0"/>
            <w:tcW w:w="314" w:type="pct"/>
          </w:tcPr>
          <w:p w:rsidR="009C50AD" w:rsidRPr="007B3DF7" w:rsidRDefault="009C50AD" w:rsidP="009C50AD">
            <w:pPr>
              <w:spacing w:line="240" w:lineRule="auto"/>
              <w:jc w:val="center"/>
              <w:rPr>
                <w:rFonts w:asciiTheme="majorHAnsi" w:hAnsiTheme="majorHAnsi"/>
                <w:b w:val="0"/>
                <w:bCs w:val="0"/>
                <w:sz w:val="14"/>
                <w:szCs w:val="16"/>
              </w:rPr>
            </w:pPr>
            <w:r w:rsidRPr="007B3DF7">
              <w:rPr>
                <w:rFonts w:asciiTheme="majorHAnsi" w:hAnsiTheme="majorHAnsi"/>
                <w:b w:val="0"/>
                <w:bCs w:val="0"/>
                <w:sz w:val="14"/>
                <w:szCs w:val="16"/>
              </w:rPr>
              <w:t>92.20%</w:t>
            </w:r>
          </w:p>
        </w:tc>
      </w:tr>
      <w:tr w:rsidR="007B3DF7" w:rsidRPr="00BB08A5" w:rsidTr="007B3DF7">
        <w:trPr>
          <w:trHeight w:val="120"/>
          <w:jc w:val="center"/>
        </w:trPr>
        <w:tc>
          <w:tcPr>
            <w:cnfStyle w:val="001000000000" w:firstRow="0" w:lastRow="0" w:firstColumn="1" w:lastColumn="0" w:oddVBand="0" w:evenVBand="0" w:oddHBand="0" w:evenHBand="0" w:firstRowFirstColumn="0" w:firstRowLastColumn="0" w:lastRowFirstColumn="0" w:lastRowLastColumn="0"/>
            <w:tcW w:w="1193" w:type="pct"/>
            <w:shd w:val="clear" w:color="auto" w:fill="auto"/>
          </w:tcPr>
          <w:p w:rsidR="009C50AD" w:rsidRPr="007B3DF7" w:rsidRDefault="009C50AD" w:rsidP="009C50AD">
            <w:pPr>
              <w:spacing w:line="240" w:lineRule="auto"/>
              <w:jc w:val="center"/>
              <w:rPr>
                <w:rFonts w:asciiTheme="majorHAnsi" w:hAnsiTheme="majorHAnsi"/>
                <w:sz w:val="14"/>
                <w:szCs w:val="16"/>
              </w:rPr>
            </w:pPr>
            <w:r w:rsidRPr="007B3DF7">
              <w:rPr>
                <w:rFonts w:asciiTheme="majorHAnsi" w:hAnsiTheme="majorHAnsi"/>
                <w:sz w:val="14"/>
                <w:szCs w:val="16"/>
              </w:rPr>
              <w:t>Strehimi</w:t>
            </w:r>
          </w:p>
        </w:tc>
        <w:tc>
          <w:tcPr>
            <w:tcW w:w="423"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1,809,000</w:t>
            </w:r>
          </w:p>
        </w:tc>
        <w:tc>
          <w:tcPr>
            <w:tcW w:w="395"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300,000</w:t>
            </w:r>
          </w:p>
        </w:tc>
        <w:tc>
          <w:tcPr>
            <w:tcW w:w="423"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3,446,733</w:t>
            </w:r>
          </w:p>
        </w:tc>
        <w:tc>
          <w:tcPr>
            <w:tcW w:w="39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300,000</w:t>
            </w:r>
          </w:p>
        </w:tc>
        <w:tc>
          <w:tcPr>
            <w:tcW w:w="423"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3,229,747</w:t>
            </w:r>
          </w:p>
        </w:tc>
        <w:tc>
          <w:tcPr>
            <w:tcW w:w="39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283,968</w:t>
            </w:r>
          </w:p>
        </w:tc>
        <w:tc>
          <w:tcPr>
            <w:tcW w:w="35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178.54%</w:t>
            </w:r>
          </w:p>
        </w:tc>
        <w:tc>
          <w:tcPr>
            <w:tcW w:w="332"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94.66%</w:t>
            </w:r>
          </w:p>
        </w:tc>
        <w:tc>
          <w:tcPr>
            <w:tcW w:w="355"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93.70%</w:t>
            </w:r>
          </w:p>
        </w:tc>
        <w:tc>
          <w:tcPr>
            <w:cnfStyle w:val="000100000000" w:firstRow="0" w:lastRow="0" w:firstColumn="0" w:lastColumn="1" w:oddVBand="0" w:evenVBand="0" w:oddHBand="0" w:evenHBand="0" w:firstRowFirstColumn="0" w:firstRowLastColumn="0" w:lastRowFirstColumn="0" w:lastRowLastColumn="0"/>
            <w:tcW w:w="314" w:type="pct"/>
          </w:tcPr>
          <w:p w:rsidR="009C50AD" w:rsidRPr="007B3DF7" w:rsidRDefault="009C50AD" w:rsidP="009C50AD">
            <w:pPr>
              <w:spacing w:line="240" w:lineRule="auto"/>
              <w:jc w:val="center"/>
              <w:rPr>
                <w:rFonts w:asciiTheme="majorHAnsi" w:hAnsiTheme="majorHAnsi"/>
                <w:b w:val="0"/>
                <w:bCs w:val="0"/>
                <w:sz w:val="14"/>
                <w:szCs w:val="16"/>
              </w:rPr>
            </w:pPr>
            <w:r w:rsidRPr="007B3DF7">
              <w:rPr>
                <w:rFonts w:asciiTheme="majorHAnsi" w:hAnsiTheme="majorHAnsi"/>
                <w:b w:val="0"/>
                <w:bCs w:val="0"/>
                <w:sz w:val="14"/>
                <w:szCs w:val="16"/>
              </w:rPr>
              <w:t>94.70%</w:t>
            </w:r>
          </w:p>
        </w:tc>
      </w:tr>
      <w:tr w:rsidR="007B3DF7" w:rsidRPr="00BB08A5" w:rsidTr="007B3DF7">
        <w:trPr>
          <w:trHeight w:val="120"/>
          <w:jc w:val="center"/>
        </w:trPr>
        <w:tc>
          <w:tcPr>
            <w:cnfStyle w:val="001000000000" w:firstRow="0" w:lastRow="0" w:firstColumn="1" w:lastColumn="0" w:oddVBand="0" w:evenVBand="0" w:oddHBand="0" w:evenHBand="0" w:firstRowFirstColumn="0" w:firstRowLastColumn="0" w:lastRowFirstColumn="0" w:lastRowLastColumn="0"/>
            <w:tcW w:w="1193" w:type="pct"/>
            <w:shd w:val="clear" w:color="auto" w:fill="auto"/>
          </w:tcPr>
          <w:p w:rsidR="009C50AD" w:rsidRPr="007B3DF7" w:rsidRDefault="009C50AD" w:rsidP="009C50AD">
            <w:pPr>
              <w:spacing w:line="240" w:lineRule="auto"/>
              <w:jc w:val="center"/>
              <w:rPr>
                <w:rFonts w:asciiTheme="majorHAnsi" w:hAnsiTheme="majorHAnsi"/>
                <w:sz w:val="14"/>
                <w:szCs w:val="16"/>
              </w:rPr>
            </w:pPr>
            <w:r w:rsidRPr="007B3DF7">
              <w:rPr>
                <w:rFonts w:asciiTheme="majorHAnsi" w:hAnsiTheme="majorHAnsi"/>
                <w:sz w:val="14"/>
                <w:szCs w:val="16"/>
              </w:rPr>
              <w:t>Arsimi i Mesëm Profesional</w:t>
            </w:r>
          </w:p>
        </w:tc>
        <w:tc>
          <w:tcPr>
            <w:tcW w:w="423"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2,040,000</w:t>
            </w:r>
          </w:p>
        </w:tc>
        <w:tc>
          <w:tcPr>
            <w:tcW w:w="395"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1,255,779</w:t>
            </w:r>
          </w:p>
        </w:tc>
        <w:tc>
          <w:tcPr>
            <w:tcW w:w="423"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2,141,152</w:t>
            </w:r>
          </w:p>
        </w:tc>
        <w:tc>
          <w:tcPr>
            <w:tcW w:w="39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588,932</w:t>
            </w:r>
          </w:p>
        </w:tc>
        <w:tc>
          <w:tcPr>
            <w:tcW w:w="423"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1,991,623</w:t>
            </w:r>
          </w:p>
        </w:tc>
        <w:tc>
          <w:tcPr>
            <w:tcW w:w="39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328,959</w:t>
            </w:r>
          </w:p>
        </w:tc>
        <w:tc>
          <w:tcPr>
            <w:tcW w:w="35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97.63%</w:t>
            </w:r>
          </w:p>
        </w:tc>
        <w:tc>
          <w:tcPr>
            <w:tcW w:w="332"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26.20%</w:t>
            </w:r>
          </w:p>
        </w:tc>
        <w:tc>
          <w:tcPr>
            <w:tcW w:w="355"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93.00%</w:t>
            </w:r>
          </w:p>
        </w:tc>
        <w:tc>
          <w:tcPr>
            <w:cnfStyle w:val="000100000000" w:firstRow="0" w:lastRow="0" w:firstColumn="0" w:lastColumn="1" w:oddVBand="0" w:evenVBand="0" w:oddHBand="0" w:evenHBand="0" w:firstRowFirstColumn="0" w:firstRowLastColumn="0" w:lastRowFirstColumn="0" w:lastRowLastColumn="0"/>
            <w:tcW w:w="314" w:type="pct"/>
          </w:tcPr>
          <w:p w:rsidR="009C50AD" w:rsidRPr="007B3DF7" w:rsidRDefault="009C50AD" w:rsidP="009C50AD">
            <w:pPr>
              <w:spacing w:line="240" w:lineRule="auto"/>
              <w:jc w:val="center"/>
              <w:rPr>
                <w:rFonts w:asciiTheme="majorHAnsi" w:hAnsiTheme="majorHAnsi"/>
                <w:b w:val="0"/>
                <w:bCs w:val="0"/>
                <w:sz w:val="14"/>
                <w:szCs w:val="16"/>
              </w:rPr>
            </w:pPr>
            <w:r w:rsidRPr="007B3DF7">
              <w:rPr>
                <w:rFonts w:asciiTheme="majorHAnsi" w:hAnsiTheme="majorHAnsi"/>
                <w:b w:val="0"/>
                <w:bCs w:val="0"/>
                <w:sz w:val="14"/>
                <w:szCs w:val="16"/>
              </w:rPr>
              <w:t>55.90%</w:t>
            </w:r>
          </w:p>
        </w:tc>
      </w:tr>
      <w:tr w:rsidR="007B3DF7" w:rsidRPr="00BB08A5" w:rsidTr="007B3DF7">
        <w:trPr>
          <w:trHeight w:val="120"/>
          <w:jc w:val="center"/>
        </w:trPr>
        <w:tc>
          <w:tcPr>
            <w:cnfStyle w:val="001000000000" w:firstRow="0" w:lastRow="0" w:firstColumn="1" w:lastColumn="0" w:oddVBand="0" w:evenVBand="0" w:oddHBand="0" w:evenHBand="0" w:firstRowFirstColumn="0" w:firstRowLastColumn="0" w:lastRowFirstColumn="0" w:lastRowLastColumn="0"/>
            <w:tcW w:w="1193" w:type="pct"/>
            <w:shd w:val="clear" w:color="auto" w:fill="auto"/>
          </w:tcPr>
          <w:p w:rsidR="009C50AD" w:rsidRPr="007B3DF7" w:rsidRDefault="009C50AD" w:rsidP="009C50AD">
            <w:pPr>
              <w:spacing w:line="240" w:lineRule="auto"/>
              <w:jc w:val="center"/>
              <w:rPr>
                <w:rFonts w:asciiTheme="majorHAnsi" w:hAnsiTheme="majorHAnsi"/>
                <w:sz w:val="14"/>
                <w:szCs w:val="16"/>
              </w:rPr>
            </w:pPr>
            <w:r w:rsidRPr="007B3DF7">
              <w:rPr>
                <w:rFonts w:asciiTheme="majorHAnsi" w:hAnsiTheme="majorHAnsi"/>
                <w:sz w:val="14"/>
                <w:szCs w:val="16"/>
              </w:rPr>
              <w:t>Sigurimi Shoqëror</w:t>
            </w:r>
          </w:p>
        </w:tc>
        <w:tc>
          <w:tcPr>
            <w:tcW w:w="423"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51,600,099</w:t>
            </w:r>
          </w:p>
        </w:tc>
        <w:tc>
          <w:tcPr>
            <w:tcW w:w="395"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0</w:t>
            </w:r>
          </w:p>
        </w:tc>
        <w:tc>
          <w:tcPr>
            <w:tcW w:w="423"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52,591,899</w:t>
            </w:r>
          </w:p>
        </w:tc>
        <w:tc>
          <w:tcPr>
            <w:tcW w:w="39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0</w:t>
            </w:r>
          </w:p>
        </w:tc>
        <w:tc>
          <w:tcPr>
            <w:tcW w:w="423"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52,591,149</w:t>
            </w:r>
          </w:p>
        </w:tc>
        <w:tc>
          <w:tcPr>
            <w:tcW w:w="39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0</w:t>
            </w:r>
          </w:p>
        </w:tc>
        <w:tc>
          <w:tcPr>
            <w:tcW w:w="35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101.92%</w:t>
            </w:r>
          </w:p>
        </w:tc>
        <w:tc>
          <w:tcPr>
            <w:tcW w:w="332"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p>
        </w:tc>
        <w:tc>
          <w:tcPr>
            <w:tcW w:w="355"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100.00%</w:t>
            </w:r>
          </w:p>
        </w:tc>
        <w:tc>
          <w:tcPr>
            <w:cnfStyle w:val="000100000000" w:firstRow="0" w:lastRow="0" w:firstColumn="0" w:lastColumn="1" w:oddVBand="0" w:evenVBand="0" w:oddHBand="0" w:evenHBand="0" w:firstRowFirstColumn="0" w:firstRowLastColumn="0" w:lastRowFirstColumn="0" w:lastRowLastColumn="0"/>
            <w:tcW w:w="314" w:type="pct"/>
          </w:tcPr>
          <w:p w:rsidR="009C50AD" w:rsidRPr="007B3DF7" w:rsidRDefault="009C50AD" w:rsidP="009C50AD">
            <w:pPr>
              <w:spacing w:line="240" w:lineRule="auto"/>
              <w:jc w:val="center"/>
              <w:rPr>
                <w:rFonts w:asciiTheme="majorHAnsi" w:hAnsiTheme="majorHAnsi"/>
                <w:b w:val="0"/>
                <w:bCs w:val="0"/>
                <w:sz w:val="14"/>
                <w:szCs w:val="16"/>
              </w:rPr>
            </w:pPr>
            <w:r w:rsidRPr="007B3DF7">
              <w:rPr>
                <w:rFonts w:asciiTheme="majorHAnsi" w:hAnsiTheme="majorHAnsi"/>
                <w:b w:val="0"/>
                <w:bCs w:val="0"/>
                <w:sz w:val="14"/>
                <w:szCs w:val="16"/>
              </w:rPr>
              <w:t>-</w:t>
            </w:r>
          </w:p>
        </w:tc>
      </w:tr>
      <w:tr w:rsidR="007B3DF7" w:rsidRPr="00BB08A5" w:rsidTr="007B3DF7">
        <w:trPr>
          <w:trHeight w:val="120"/>
          <w:jc w:val="center"/>
        </w:trPr>
        <w:tc>
          <w:tcPr>
            <w:cnfStyle w:val="001000000000" w:firstRow="0" w:lastRow="0" w:firstColumn="1" w:lastColumn="0" w:oddVBand="0" w:evenVBand="0" w:oddHBand="0" w:evenHBand="0" w:firstRowFirstColumn="0" w:firstRowLastColumn="0" w:lastRowFirstColumn="0" w:lastRowLastColumn="0"/>
            <w:tcW w:w="1193" w:type="pct"/>
            <w:shd w:val="clear" w:color="auto" w:fill="auto"/>
          </w:tcPr>
          <w:p w:rsidR="009C50AD" w:rsidRPr="007B3DF7" w:rsidRDefault="009C50AD" w:rsidP="009C50AD">
            <w:pPr>
              <w:spacing w:line="240" w:lineRule="auto"/>
              <w:jc w:val="center"/>
              <w:rPr>
                <w:rFonts w:asciiTheme="majorHAnsi" w:hAnsiTheme="majorHAnsi"/>
                <w:sz w:val="14"/>
                <w:szCs w:val="16"/>
              </w:rPr>
            </w:pPr>
            <w:r w:rsidRPr="007B3DF7">
              <w:rPr>
                <w:rFonts w:asciiTheme="majorHAnsi" w:hAnsiTheme="majorHAnsi"/>
                <w:sz w:val="14"/>
                <w:szCs w:val="16"/>
              </w:rPr>
              <w:t>Tregu i Punës</w:t>
            </w:r>
          </w:p>
        </w:tc>
        <w:tc>
          <w:tcPr>
            <w:tcW w:w="423"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2,235,000</w:t>
            </w:r>
          </w:p>
        </w:tc>
        <w:tc>
          <w:tcPr>
            <w:tcW w:w="395"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65,000</w:t>
            </w:r>
          </w:p>
        </w:tc>
        <w:tc>
          <w:tcPr>
            <w:tcW w:w="423"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2,697,436</w:t>
            </w:r>
          </w:p>
        </w:tc>
        <w:tc>
          <w:tcPr>
            <w:tcW w:w="39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40,000</w:t>
            </w:r>
          </w:p>
        </w:tc>
        <w:tc>
          <w:tcPr>
            <w:tcW w:w="423"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2,464,725</w:t>
            </w:r>
          </w:p>
        </w:tc>
        <w:tc>
          <w:tcPr>
            <w:tcW w:w="39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1,577</w:t>
            </w:r>
          </w:p>
        </w:tc>
        <w:tc>
          <w:tcPr>
            <w:tcW w:w="354"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110.28%</w:t>
            </w:r>
          </w:p>
        </w:tc>
        <w:tc>
          <w:tcPr>
            <w:tcW w:w="332" w:type="pct"/>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2.43%</w:t>
            </w:r>
          </w:p>
        </w:tc>
        <w:tc>
          <w:tcPr>
            <w:tcW w:w="355" w:type="pct"/>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91.40%</w:t>
            </w:r>
          </w:p>
        </w:tc>
        <w:tc>
          <w:tcPr>
            <w:cnfStyle w:val="000100000000" w:firstRow="0" w:lastRow="0" w:firstColumn="0" w:lastColumn="1" w:oddVBand="0" w:evenVBand="0" w:oddHBand="0" w:evenHBand="0" w:firstRowFirstColumn="0" w:firstRowLastColumn="0" w:lastRowFirstColumn="0" w:lastRowLastColumn="0"/>
            <w:tcW w:w="314" w:type="pct"/>
          </w:tcPr>
          <w:p w:rsidR="009C50AD" w:rsidRPr="007B3DF7" w:rsidRDefault="009C50AD" w:rsidP="009C50AD">
            <w:pPr>
              <w:spacing w:line="240" w:lineRule="auto"/>
              <w:jc w:val="center"/>
              <w:rPr>
                <w:rFonts w:asciiTheme="majorHAnsi" w:hAnsiTheme="majorHAnsi"/>
                <w:b w:val="0"/>
                <w:bCs w:val="0"/>
                <w:sz w:val="14"/>
                <w:szCs w:val="16"/>
              </w:rPr>
            </w:pPr>
            <w:r w:rsidRPr="007B3DF7">
              <w:rPr>
                <w:rFonts w:asciiTheme="majorHAnsi" w:hAnsiTheme="majorHAnsi"/>
                <w:b w:val="0"/>
                <w:bCs w:val="0"/>
                <w:sz w:val="14"/>
                <w:szCs w:val="16"/>
              </w:rPr>
              <w:t>3.90%</w:t>
            </w:r>
          </w:p>
        </w:tc>
      </w:tr>
      <w:tr w:rsidR="007B3DF7" w:rsidRPr="00BB08A5" w:rsidTr="007B3DF7">
        <w:trPr>
          <w:trHeight w:val="151"/>
          <w:jc w:val="center"/>
        </w:trPr>
        <w:tc>
          <w:tcPr>
            <w:cnfStyle w:val="001000000000" w:firstRow="0" w:lastRow="0" w:firstColumn="1" w:lastColumn="0" w:oddVBand="0" w:evenVBand="0" w:oddHBand="0" w:evenHBand="0" w:firstRowFirstColumn="0" w:firstRowLastColumn="0" w:lastRowFirstColumn="0" w:lastRowLastColumn="0"/>
            <w:tcW w:w="1193" w:type="pct"/>
            <w:tcBorders>
              <w:bottom w:val="double" w:sz="2" w:space="0" w:color="59A9F2" w:themeColor="accent1" w:themeTint="99"/>
            </w:tcBorders>
            <w:shd w:val="clear" w:color="auto" w:fill="auto"/>
            <w:vAlign w:val="center"/>
          </w:tcPr>
          <w:p w:rsidR="009C50AD" w:rsidRPr="007B3DF7" w:rsidRDefault="009C50AD" w:rsidP="009C50AD">
            <w:pPr>
              <w:spacing w:before="0" w:line="240" w:lineRule="auto"/>
              <w:contextualSpacing/>
              <w:jc w:val="center"/>
              <w:rPr>
                <w:rFonts w:asciiTheme="majorHAnsi" w:hAnsiTheme="majorHAnsi"/>
                <w:sz w:val="14"/>
                <w:szCs w:val="18"/>
                <w:lang w:val="sq-AL"/>
              </w:rPr>
            </w:pPr>
          </w:p>
        </w:tc>
        <w:tc>
          <w:tcPr>
            <w:tcW w:w="423" w:type="pct"/>
            <w:tcBorders>
              <w:bottom w:val="double" w:sz="2" w:space="0" w:color="59A9F2" w:themeColor="accent1" w:themeTint="99"/>
            </w:tcBorders>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65,705,149</w:t>
            </w:r>
          </w:p>
        </w:tc>
        <w:tc>
          <w:tcPr>
            <w:tcW w:w="395" w:type="pct"/>
            <w:tcBorders>
              <w:bottom w:val="double" w:sz="2" w:space="0" w:color="59A9F2" w:themeColor="accent1" w:themeTint="99"/>
            </w:tcBorders>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2,771,689</w:t>
            </w:r>
          </w:p>
        </w:tc>
        <w:tc>
          <w:tcPr>
            <w:tcW w:w="423" w:type="pct"/>
            <w:tcBorders>
              <w:bottom w:val="double" w:sz="2" w:space="0" w:color="59A9F2" w:themeColor="accent1" w:themeTint="99"/>
            </w:tcBorders>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69,064,435</w:t>
            </w:r>
          </w:p>
        </w:tc>
        <w:tc>
          <w:tcPr>
            <w:tcW w:w="394" w:type="pct"/>
            <w:tcBorders>
              <w:bottom w:val="double" w:sz="2" w:space="0" w:color="59A9F2" w:themeColor="accent1" w:themeTint="99"/>
            </w:tcBorders>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2,389,968</w:t>
            </w:r>
          </w:p>
        </w:tc>
        <w:tc>
          <w:tcPr>
            <w:tcW w:w="423" w:type="pct"/>
            <w:tcBorders>
              <w:bottom w:val="double" w:sz="2" w:space="0" w:color="59A9F2" w:themeColor="accent1" w:themeTint="99"/>
            </w:tcBorders>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67,882,687</w:t>
            </w:r>
          </w:p>
        </w:tc>
        <w:tc>
          <w:tcPr>
            <w:tcW w:w="394" w:type="pct"/>
            <w:tcBorders>
              <w:bottom w:val="double" w:sz="2" w:space="0" w:color="59A9F2" w:themeColor="accent1" w:themeTint="99"/>
            </w:tcBorders>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1,832,352</w:t>
            </w:r>
          </w:p>
        </w:tc>
        <w:tc>
          <w:tcPr>
            <w:tcW w:w="354" w:type="pct"/>
            <w:tcBorders>
              <w:bottom w:val="double" w:sz="2" w:space="0" w:color="59A9F2" w:themeColor="accent1" w:themeTint="99"/>
            </w:tcBorders>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103.31%</w:t>
            </w:r>
          </w:p>
        </w:tc>
        <w:tc>
          <w:tcPr>
            <w:tcW w:w="332" w:type="pct"/>
            <w:tcBorders>
              <w:bottom w:val="double" w:sz="2" w:space="0" w:color="59A9F2" w:themeColor="accent1" w:themeTint="99"/>
            </w:tcBorders>
            <w:shd w:val="clear" w:color="auto" w:fill="auto"/>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66.11%</w:t>
            </w:r>
          </w:p>
        </w:tc>
        <w:tc>
          <w:tcPr>
            <w:tcW w:w="355" w:type="pct"/>
            <w:tcBorders>
              <w:bottom w:val="double" w:sz="2" w:space="0" w:color="59A9F2" w:themeColor="accent1" w:themeTint="99"/>
            </w:tcBorders>
          </w:tcPr>
          <w:p w:rsidR="009C50AD" w:rsidRPr="007B3DF7" w:rsidRDefault="009C50AD" w:rsidP="009C50A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6"/>
              </w:rPr>
            </w:pPr>
            <w:r w:rsidRPr="007B3DF7">
              <w:rPr>
                <w:rFonts w:asciiTheme="majorHAnsi" w:hAnsiTheme="majorHAnsi"/>
                <w:sz w:val="14"/>
                <w:szCs w:val="16"/>
              </w:rPr>
              <w:t>98.30%</w:t>
            </w:r>
          </w:p>
        </w:tc>
        <w:tc>
          <w:tcPr>
            <w:cnfStyle w:val="000100000000" w:firstRow="0" w:lastRow="0" w:firstColumn="0" w:lastColumn="1" w:oddVBand="0" w:evenVBand="0" w:oddHBand="0" w:evenHBand="0" w:firstRowFirstColumn="0" w:firstRowLastColumn="0" w:lastRowFirstColumn="0" w:lastRowLastColumn="0"/>
            <w:tcW w:w="314" w:type="pct"/>
            <w:tcBorders>
              <w:bottom w:val="double" w:sz="2" w:space="0" w:color="59A9F2" w:themeColor="accent1" w:themeTint="99"/>
            </w:tcBorders>
          </w:tcPr>
          <w:p w:rsidR="009C50AD" w:rsidRPr="007B3DF7" w:rsidRDefault="009C50AD" w:rsidP="009C50AD">
            <w:pPr>
              <w:spacing w:line="240" w:lineRule="auto"/>
              <w:jc w:val="center"/>
              <w:rPr>
                <w:rFonts w:asciiTheme="majorHAnsi" w:hAnsiTheme="majorHAnsi"/>
                <w:b w:val="0"/>
                <w:bCs w:val="0"/>
                <w:sz w:val="14"/>
                <w:szCs w:val="16"/>
              </w:rPr>
            </w:pPr>
            <w:r w:rsidRPr="007B3DF7">
              <w:rPr>
                <w:rFonts w:asciiTheme="majorHAnsi" w:hAnsiTheme="majorHAnsi"/>
                <w:b w:val="0"/>
                <w:bCs w:val="0"/>
                <w:sz w:val="14"/>
                <w:szCs w:val="16"/>
              </w:rPr>
              <w:t>76.70%</w:t>
            </w:r>
          </w:p>
        </w:tc>
      </w:tr>
      <w:tr w:rsidR="007B3DF7" w:rsidRPr="00BB08A5" w:rsidTr="007B3DF7">
        <w:trPr>
          <w:cnfStyle w:val="010000000000" w:firstRow="0" w:lastRow="1" w:firstColumn="0" w:lastColumn="0" w:oddVBand="0" w:evenVBand="0" w:oddHBand="0"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1193" w:type="pct"/>
            <w:shd w:val="clear" w:color="auto" w:fill="0B5294" w:themeFill="accent1" w:themeFillShade="BF"/>
            <w:vAlign w:val="center"/>
          </w:tcPr>
          <w:p w:rsidR="009C50AD" w:rsidRPr="009C50AD" w:rsidRDefault="009C50AD" w:rsidP="009C50AD">
            <w:pPr>
              <w:spacing w:before="0" w:line="240" w:lineRule="auto"/>
              <w:contextualSpacing/>
              <w:jc w:val="center"/>
              <w:rPr>
                <w:rFonts w:asciiTheme="majorHAnsi" w:hAnsiTheme="majorHAnsi"/>
                <w:color w:val="FFFFFF" w:themeColor="background1"/>
                <w:sz w:val="18"/>
                <w:szCs w:val="18"/>
                <w:lang w:val="sq-AL"/>
              </w:rPr>
            </w:pPr>
            <w:r w:rsidRPr="009C50AD">
              <w:rPr>
                <w:rFonts w:asciiTheme="majorHAnsi" w:hAnsiTheme="majorHAnsi"/>
                <w:color w:val="FFFFFF" w:themeColor="background1"/>
                <w:sz w:val="18"/>
                <w:lang w:val="sq-AL"/>
              </w:rPr>
              <w:t>Gjithsej</w:t>
            </w:r>
          </w:p>
        </w:tc>
        <w:tc>
          <w:tcPr>
            <w:tcW w:w="818" w:type="pct"/>
            <w:gridSpan w:val="2"/>
            <w:shd w:val="clear" w:color="auto" w:fill="0B5294" w:themeFill="accent1" w:themeFillShade="BF"/>
            <w:vAlign w:val="center"/>
          </w:tcPr>
          <w:p w:rsidR="009C50AD" w:rsidRPr="007B3DF7" w:rsidRDefault="009C50AD" w:rsidP="009C50AD">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olor w:val="FFFFFF" w:themeColor="background1"/>
                <w:sz w:val="14"/>
                <w:szCs w:val="18"/>
                <w:lang w:val="sq-AL"/>
              </w:rPr>
            </w:pPr>
            <w:r w:rsidRPr="007B3DF7">
              <w:rPr>
                <w:rFonts w:asciiTheme="majorHAnsi" w:hAnsiTheme="majorHAnsi"/>
                <w:color w:val="FFFFFF" w:themeColor="background1"/>
                <w:sz w:val="14"/>
                <w:szCs w:val="18"/>
                <w:lang w:val="sq-AL"/>
              </w:rPr>
              <w:t>68,476,838</w:t>
            </w:r>
          </w:p>
        </w:tc>
        <w:tc>
          <w:tcPr>
            <w:tcW w:w="817" w:type="pct"/>
            <w:gridSpan w:val="2"/>
            <w:shd w:val="clear" w:color="auto" w:fill="0B5294" w:themeFill="accent1" w:themeFillShade="BF"/>
            <w:vAlign w:val="center"/>
          </w:tcPr>
          <w:p w:rsidR="009C50AD" w:rsidRPr="007B3DF7" w:rsidRDefault="009C50AD" w:rsidP="009C50AD">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olor w:val="FFFFFF" w:themeColor="background1"/>
                <w:sz w:val="14"/>
                <w:szCs w:val="18"/>
                <w:lang w:val="sq-AL"/>
              </w:rPr>
            </w:pPr>
            <w:r w:rsidRPr="007B3DF7">
              <w:rPr>
                <w:rFonts w:asciiTheme="majorHAnsi" w:hAnsiTheme="majorHAnsi"/>
                <w:color w:val="FFFFFF" w:themeColor="background1"/>
                <w:sz w:val="14"/>
                <w:szCs w:val="18"/>
                <w:lang w:val="sq-AL"/>
              </w:rPr>
              <w:t>71,454,403</w:t>
            </w:r>
          </w:p>
        </w:tc>
        <w:tc>
          <w:tcPr>
            <w:tcW w:w="817" w:type="pct"/>
            <w:gridSpan w:val="2"/>
            <w:shd w:val="clear" w:color="auto" w:fill="0B5294" w:themeFill="accent1" w:themeFillShade="BF"/>
            <w:vAlign w:val="center"/>
          </w:tcPr>
          <w:p w:rsidR="009C50AD" w:rsidRPr="007B3DF7" w:rsidRDefault="009C50AD" w:rsidP="009C50AD">
            <w:pPr>
              <w:spacing w:line="240" w:lineRule="auto"/>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olor w:val="FFFFFF" w:themeColor="background1"/>
                <w:sz w:val="14"/>
                <w:szCs w:val="18"/>
                <w:lang w:val="sq-AL"/>
              </w:rPr>
            </w:pPr>
            <w:r w:rsidRPr="007B3DF7">
              <w:rPr>
                <w:rFonts w:asciiTheme="majorHAnsi" w:hAnsiTheme="majorHAnsi"/>
                <w:color w:val="FFFFFF" w:themeColor="background1"/>
                <w:sz w:val="14"/>
                <w:szCs w:val="18"/>
                <w:lang w:val="sq-AL"/>
              </w:rPr>
              <w:t>69,715,039</w:t>
            </w:r>
          </w:p>
        </w:tc>
        <w:tc>
          <w:tcPr>
            <w:tcW w:w="686" w:type="pct"/>
            <w:gridSpan w:val="2"/>
            <w:shd w:val="clear" w:color="auto" w:fill="0B5294" w:themeFill="accent1" w:themeFillShade="BF"/>
            <w:vAlign w:val="center"/>
          </w:tcPr>
          <w:p w:rsidR="009C50AD" w:rsidRPr="007B3DF7" w:rsidRDefault="009C50AD" w:rsidP="009C50AD">
            <w:pPr>
              <w:spacing w:line="240" w:lineRule="auto"/>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olor w:val="FFFFFF" w:themeColor="background1"/>
                <w:sz w:val="14"/>
                <w:szCs w:val="18"/>
                <w:lang w:val="sq-AL"/>
              </w:rPr>
            </w:pPr>
            <w:r w:rsidRPr="007B3DF7">
              <w:rPr>
                <w:rFonts w:asciiTheme="majorHAnsi" w:hAnsiTheme="majorHAnsi"/>
                <w:color w:val="FFFFFF" w:themeColor="background1"/>
                <w:sz w:val="14"/>
                <w:szCs w:val="18"/>
                <w:lang w:val="sq-AL"/>
              </w:rPr>
              <w:t>102%</w:t>
            </w:r>
          </w:p>
        </w:tc>
        <w:tc>
          <w:tcPr>
            <w:cnfStyle w:val="000100000000" w:firstRow="0" w:lastRow="0" w:firstColumn="0" w:lastColumn="1" w:oddVBand="0" w:evenVBand="0" w:oddHBand="0" w:evenHBand="0" w:firstRowFirstColumn="0" w:firstRowLastColumn="0" w:lastRowFirstColumn="0" w:lastRowLastColumn="0"/>
            <w:tcW w:w="669" w:type="pct"/>
            <w:gridSpan w:val="2"/>
            <w:shd w:val="clear" w:color="auto" w:fill="0B5294" w:themeFill="accent1" w:themeFillShade="BF"/>
            <w:vAlign w:val="center"/>
          </w:tcPr>
          <w:p w:rsidR="009C50AD" w:rsidRPr="007B3DF7" w:rsidRDefault="009C50AD" w:rsidP="009C50AD">
            <w:pPr>
              <w:spacing w:line="240" w:lineRule="auto"/>
              <w:jc w:val="center"/>
              <w:rPr>
                <w:rFonts w:asciiTheme="majorHAnsi" w:hAnsiTheme="majorHAnsi"/>
                <w:color w:val="FFFFFF" w:themeColor="background1"/>
                <w:sz w:val="14"/>
                <w:szCs w:val="18"/>
                <w:lang w:val="sq-AL"/>
              </w:rPr>
            </w:pPr>
            <w:r w:rsidRPr="007B3DF7">
              <w:rPr>
                <w:rFonts w:asciiTheme="majorHAnsi" w:hAnsiTheme="majorHAnsi"/>
                <w:color w:val="FFFFFF" w:themeColor="background1"/>
                <w:sz w:val="14"/>
                <w:szCs w:val="18"/>
                <w:lang w:val="sq-AL"/>
              </w:rPr>
              <w:t>98%</w:t>
            </w:r>
          </w:p>
        </w:tc>
      </w:tr>
    </w:tbl>
    <w:p w:rsidR="009C50AD" w:rsidRPr="00BB08A5" w:rsidRDefault="009C50AD" w:rsidP="009C50AD">
      <w:pPr>
        <w:rPr>
          <w:rFonts w:asciiTheme="majorHAnsi" w:hAnsiTheme="majorHAnsi"/>
          <w:color w:val="000000"/>
          <w:lang w:val="sq-AL"/>
        </w:rPr>
      </w:pPr>
      <w:r w:rsidRPr="00BB08A5">
        <w:rPr>
          <w:rFonts w:asciiTheme="majorHAnsi" w:hAnsiTheme="majorHAnsi"/>
          <w:color w:val="000000"/>
          <w:lang w:val="sq-AL"/>
        </w:rPr>
        <w:lastRenderedPageBreak/>
        <w:t>Buxheti i Ministrisë së Financave dhe Ekonomisë, gjatë vitit 2021 u rishikua në rritje prej 4.3%, në krahasim me planin fillestar të përgjithshëm: rritja i atribuohet kryesisht programit të sigurimit shoqëror; strehimit; tregut të punës dhe të ardhurat doganore, ndërkohë që disa programe të tjera patën pakësime të vogla.</w:t>
      </w:r>
    </w:p>
    <w:p w:rsidR="009C50AD" w:rsidRPr="00BB08A5" w:rsidRDefault="009C50AD" w:rsidP="009C50AD">
      <w:pPr>
        <w:rPr>
          <w:rFonts w:asciiTheme="majorHAnsi" w:hAnsiTheme="majorHAnsi"/>
          <w:szCs w:val="22"/>
          <w:lang w:val="sq-AL"/>
        </w:rPr>
      </w:pPr>
      <w:r w:rsidRPr="00BB08A5">
        <w:rPr>
          <w:rFonts w:asciiTheme="majorHAnsi" w:hAnsiTheme="majorHAnsi"/>
          <w:szCs w:val="22"/>
          <w:lang w:val="sq-AL"/>
        </w:rPr>
        <w:t>Në programin “</w:t>
      </w:r>
      <w:r w:rsidRPr="00BB08A5">
        <w:rPr>
          <w:rFonts w:asciiTheme="majorHAnsi" w:hAnsiTheme="majorHAnsi"/>
          <w:b/>
          <w:szCs w:val="22"/>
          <w:lang w:val="sq-AL"/>
        </w:rPr>
        <w:t>Tregu i Punës</w:t>
      </w:r>
      <w:r w:rsidRPr="00BB08A5">
        <w:rPr>
          <w:rFonts w:asciiTheme="majorHAnsi" w:hAnsiTheme="majorHAnsi"/>
          <w:szCs w:val="22"/>
          <w:lang w:val="sq-AL"/>
        </w:rPr>
        <w:t>, i cili synon nxitjen e mundësive për punë të denjë dhe rritjen e punësueshmërisë së forcave të punës, fondet u rritën ne 437.4 milionë lekë, pra nga 2.3 miliardë të parashikuara në buxhetin fillestar në 2.7 miliardë lekë në buxhetin e rishikuar. Gjatë vitit 2021, shpenzimet në këtë program u shtuan me 19% në buxhetin e rishikuar. Në veçanti, disa nga rezultatet kryesore të arritura nëpërmjet këtij programi ishin:</w:t>
      </w:r>
    </w:p>
    <w:p w:rsidR="009C50AD" w:rsidRPr="009C50AD" w:rsidRDefault="009C50AD"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9C50AD">
        <w:rPr>
          <w:rFonts w:asciiTheme="majorHAnsi" w:hAnsiTheme="majorHAnsi" w:cs="Calibri Light"/>
          <w:bCs/>
          <w:i/>
          <w:szCs w:val="22"/>
          <w:lang w:val="sq-AL" w:eastAsia="en-GB"/>
        </w:rPr>
        <w:t>Janë  realizuar 24,158 ndërmjetsime për punëkërkues të papunë të punësuar realizuar në vlerën 298.8 milionë lekë.</w:t>
      </w:r>
    </w:p>
    <w:p w:rsidR="009C50AD" w:rsidRPr="009C50AD" w:rsidRDefault="009C50AD"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9C50AD">
        <w:rPr>
          <w:rFonts w:asciiTheme="majorHAnsi" w:hAnsiTheme="majorHAnsi" w:cs="Calibri Light"/>
          <w:bCs/>
          <w:i/>
          <w:szCs w:val="22"/>
          <w:lang w:val="sq-AL" w:eastAsia="en-GB"/>
        </w:rPr>
        <w:t>Janë  trajtuar 4,730 punëkërkues të papunë të trajtuar me pagesë papunësie, kjo ralizuar në vlerën 947.6 milionë lekë.</w:t>
      </w:r>
    </w:p>
    <w:p w:rsidR="009C50AD" w:rsidRPr="009C50AD" w:rsidRDefault="009C50AD"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9C50AD">
        <w:rPr>
          <w:rFonts w:asciiTheme="majorHAnsi" w:hAnsiTheme="majorHAnsi" w:cs="Calibri Light"/>
          <w:bCs/>
          <w:i/>
          <w:szCs w:val="22"/>
          <w:lang w:val="sq-AL" w:eastAsia="en-GB"/>
        </w:rPr>
        <w:t>Punëkërkues të papunë pjesëmarrës në formimit profesional kanë qenë 6,631 persona, realizuar në vlerën  294.7 milionë lekë.</w:t>
      </w:r>
    </w:p>
    <w:p w:rsidR="009C50AD" w:rsidRPr="009C50AD" w:rsidRDefault="009C50AD"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9C50AD">
        <w:rPr>
          <w:rFonts w:asciiTheme="majorHAnsi" w:hAnsiTheme="majorHAnsi" w:cs="Calibri Light"/>
          <w:bCs/>
          <w:i/>
          <w:szCs w:val="22"/>
          <w:lang w:val="sq-AL" w:eastAsia="en-GB"/>
        </w:rPr>
        <w:t xml:space="preserve">Është realizuar pagat e biznesit për masat anti  COVID- 19, planifikuar fondi me vlerë prej 461.3milionë lekë, me 1 219 përfitues. </w:t>
      </w:r>
    </w:p>
    <w:p w:rsidR="009C50AD" w:rsidRPr="009C50AD" w:rsidRDefault="009C50AD"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9C50AD">
        <w:rPr>
          <w:rFonts w:asciiTheme="majorHAnsi" w:hAnsiTheme="majorHAnsi" w:cs="Calibri Light"/>
          <w:bCs/>
          <w:i/>
          <w:szCs w:val="22"/>
          <w:lang w:val="sq-AL" w:eastAsia="en-GB"/>
        </w:rPr>
        <w:t>Nga pjesemarrja në projeket e miratuara per vitin 2021 u punesuan 2 240 punëkërkues të papunë sipas VKM-ve nxitjes se punësimit për të cilët janë shpenzuar rreth 393.1 milionë lekë.</w:t>
      </w:r>
    </w:p>
    <w:p w:rsidR="009C50AD" w:rsidRPr="009C50AD" w:rsidRDefault="009C50AD" w:rsidP="009C50AD">
      <w:pPr>
        <w:rPr>
          <w:rFonts w:asciiTheme="majorHAnsi" w:hAnsiTheme="majorHAnsi"/>
          <w:lang w:val="sq-AL"/>
        </w:rPr>
      </w:pPr>
      <w:r w:rsidRPr="00BB08A5">
        <w:rPr>
          <w:rFonts w:asciiTheme="majorHAnsi" w:hAnsiTheme="majorHAnsi"/>
          <w:lang w:val="sq-AL"/>
        </w:rPr>
        <w:t>Në programin “</w:t>
      </w:r>
      <w:r w:rsidRPr="00BB08A5">
        <w:rPr>
          <w:rFonts w:asciiTheme="majorHAnsi" w:hAnsiTheme="majorHAnsi"/>
          <w:b/>
          <w:lang w:val="sq-AL"/>
        </w:rPr>
        <w:t>Strehimi</w:t>
      </w:r>
      <w:r w:rsidRPr="00BB08A5">
        <w:rPr>
          <w:rFonts w:asciiTheme="majorHAnsi" w:hAnsiTheme="majorHAnsi"/>
          <w:lang w:val="sq-AL"/>
        </w:rPr>
        <w:t>”, i cili mbësht</w:t>
      </w:r>
      <w:r w:rsidR="00F61F6A">
        <w:rPr>
          <w:rFonts w:asciiTheme="majorHAnsi" w:hAnsiTheme="majorHAnsi"/>
          <w:lang w:val="sq-AL"/>
        </w:rPr>
        <w:t>et</w:t>
      </w:r>
      <w:r w:rsidRPr="00BB08A5">
        <w:rPr>
          <w:rFonts w:asciiTheme="majorHAnsi" w:hAnsiTheme="majorHAnsi"/>
          <w:lang w:val="sq-AL"/>
        </w:rPr>
        <w:t xml:space="preserve"> zbatimin dhe monitorimin e politikave për sigurimin e strehimit të përballueshëm dhe të përshtatshëm për kategoritë në nevojë; fondet e parashikuara u rritën në 3.7 miliardë lekë,  nga 2.1 miliardë në buxhetin fillestar. Gjatë vitit 2021 u shpenzuan 3.5 miliardë lekë, ose 93.8 për qind e buxhetit të rishikuar.</w:t>
      </w:r>
      <w:r>
        <w:rPr>
          <w:rFonts w:asciiTheme="majorHAnsi" w:hAnsiTheme="majorHAnsi"/>
          <w:lang w:val="sq-AL"/>
        </w:rPr>
        <w:t xml:space="preserve"> </w:t>
      </w:r>
      <w:r w:rsidRPr="00BB08A5">
        <w:rPr>
          <w:rFonts w:asciiTheme="majorHAnsi" w:hAnsiTheme="majorHAnsi"/>
          <w:spacing w:val="-10"/>
          <w:lang w:val="sq-AL"/>
        </w:rPr>
        <w:t>Në përputhje me objektivat e programit të strehimit:</w:t>
      </w:r>
    </w:p>
    <w:p w:rsidR="009C50AD" w:rsidRPr="009C50AD" w:rsidRDefault="009C50AD"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9C50AD">
        <w:rPr>
          <w:rFonts w:asciiTheme="majorHAnsi" w:hAnsiTheme="majorHAnsi" w:cs="Calibri Light"/>
          <w:bCs/>
          <w:i/>
          <w:szCs w:val="22"/>
          <w:lang w:val="sq-AL" w:eastAsia="en-GB"/>
        </w:rPr>
        <w:t>Janë subvencionuar interesat për kreditë ekzistuese për rreth 3,745 familje, me vlerë të realizuar 133 milionë lekë.</w:t>
      </w:r>
    </w:p>
    <w:p w:rsidR="009C50AD" w:rsidRPr="009C50AD" w:rsidRDefault="009C50AD"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9C50AD">
        <w:rPr>
          <w:rFonts w:asciiTheme="majorHAnsi" w:hAnsiTheme="majorHAnsi" w:cs="Calibri Light"/>
          <w:bCs/>
          <w:i/>
          <w:szCs w:val="22"/>
          <w:lang w:val="sq-AL" w:eastAsia="en-GB"/>
        </w:rPr>
        <w:t>Subvencionim qiraje në tregun e lirë për rreth 1,475 familje pa të ardhura apo me  të ardhura shumë të ulta me një vlerë prej 111.8 milionë lekë.</w:t>
      </w:r>
    </w:p>
    <w:p w:rsidR="009C50AD" w:rsidRPr="009C50AD" w:rsidRDefault="009C50AD"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9C50AD">
        <w:rPr>
          <w:rFonts w:asciiTheme="majorHAnsi" w:hAnsiTheme="majorHAnsi" w:cs="Calibri Light"/>
          <w:bCs/>
          <w:i/>
          <w:szCs w:val="22"/>
          <w:lang w:val="sq-AL" w:eastAsia="en-GB"/>
        </w:rPr>
        <w:t xml:space="preserve">Subvencionimi i qirasë për familjet e prekura nga tërmeti, pëe rreth 13,200 familje, me një vlerë prej 2.9 miliardë lekë. </w:t>
      </w:r>
    </w:p>
    <w:p w:rsidR="009C50AD" w:rsidRPr="009C50AD" w:rsidRDefault="009C50AD"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9C50AD">
        <w:rPr>
          <w:rFonts w:asciiTheme="majorHAnsi" w:hAnsiTheme="majorHAnsi" w:cs="Calibri Light"/>
          <w:bCs/>
          <w:i/>
          <w:szCs w:val="22"/>
          <w:lang w:val="sq-AL" w:eastAsia="en-GB"/>
        </w:rPr>
        <w:t>Përfituan 10 familje grant i menjëhershëm, të cilat plot</w:t>
      </w:r>
      <w:r w:rsidR="00E841D1">
        <w:rPr>
          <w:rFonts w:asciiTheme="majorHAnsi" w:hAnsiTheme="majorHAnsi" w:cs="Calibri Light"/>
          <w:bCs/>
          <w:i/>
          <w:szCs w:val="22"/>
          <w:lang w:val="sq-AL" w:eastAsia="en-GB"/>
        </w:rPr>
        <w:t>ësojnë kushtet sipas ligjit nr.</w:t>
      </w:r>
      <w:r w:rsidRPr="009C50AD">
        <w:rPr>
          <w:rFonts w:asciiTheme="majorHAnsi" w:hAnsiTheme="majorHAnsi" w:cs="Calibri Light"/>
          <w:bCs/>
          <w:i/>
          <w:szCs w:val="22"/>
          <w:lang w:val="sq-AL" w:eastAsia="en-GB"/>
        </w:rPr>
        <w:t>22/2018 “Për strehimin social” me një vlerë prej 2.3 milionë lekë.</w:t>
      </w:r>
    </w:p>
    <w:p w:rsidR="009C50AD" w:rsidRPr="009C50AD" w:rsidRDefault="009C50AD"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9C50AD">
        <w:rPr>
          <w:rFonts w:asciiTheme="majorHAnsi" w:hAnsiTheme="majorHAnsi" w:cs="Calibri Light"/>
          <w:bCs/>
          <w:i/>
          <w:szCs w:val="22"/>
          <w:lang w:val="sq-AL" w:eastAsia="en-GB"/>
        </w:rPr>
        <w:t>Janë shpronësuar 2 familje për rindërtimin nga tërmeti, me një vlerë 2.9 milionë lekë në zbatim të VKM-së nr.359, datë 4.5.2020 ndërsa pjesa tjetër e familjeve janë në process të dorëzimit të dokumentacionit të plotë. Ky program do të vazhdojë edhe gjatë vitit 2022.</w:t>
      </w:r>
    </w:p>
    <w:p w:rsidR="009C50AD" w:rsidRPr="00BB08A5" w:rsidRDefault="009C50AD" w:rsidP="009C50AD">
      <w:pPr>
        <w:rPr>
          <w:rFonts w:asciiTheme="majorHAnsi" w:hAnsiTheme="majorHAnsi"/>
          <w:lang w:val="sq-AL"/>
        </w:rPr>
      </w:pPr>
      <w:r w:rsidRPr="00BB08A5">
        <w:rPr>
          <w:rFonts w:asciiTheme="majorHAnsi" w:hAnsiTheme="majorHAnsi"/>
          <w:lang w:val="sq-AL"/>
        </w:rPr>
        <w:t>Në programin “</w:t>
      </w:r>
      <w:r w:rsidRPr="00BB08A5">
        <w:rPr>
          <w:rFonts w:asciiTheme="majorHAnsi" w:hAnsiTheme="majorHAnsi"/>
          <w:b/>
          <w:lang w:val="sq-AL"/>
        </w:rPr>
        <w:t>Sigurimi Shoqëror</w:t>
      </w:r>
      <w:r w:rsidRPr="00BB08A5">
        <w:rPr>
          <w:rFonts w:asciiTheme="majorHAnsi" w:hAnsiTheme="majorHAnsi"/>
          <w:lang w:val="sq-AL"/>
        </w:rPr>
        <w:t>”, fondet e parashikuara sipas planit vjetor të rishikuar janë në vlerën e</w:t>
      </w:r>
      <w:r w:rsidR="00E841D1">
        <w:rPr>
          <w:rFonts w:asciiTheme="majorHAnsi" w:hAnsiTheme="majorHAnsi"/>
          <w:lang w:val="sq-AL"/>
        </w:rPr>
        <w:t xml:space="preserve">  52.5 miliardë lekë, ose 19.2</w:t>
      </w:r>
      <w:r w:rsidRPr="00BB08A5">
        <w:rPr>
          <w:rFonts w:asciiTheme="majorHAnsi" w:hAnsiTheme="majorHAnsi"/>
          <w:lang w:val="sq-AL"/>
        </w:rPr>
        <w:t>% më s</w:t>
      </w:r>
      <w:r w:rsidR="00E841D1">
        <w:rPr>
          <w:rFonts w:asciiTheme="majorHAnsi" w:hAnsiTheme="majorHAnsi"/>
          <w:lang w:val="sq-AL"/>
        </w:rPr>
        <w:t>humë se plani fillestar. Për 12</w:t>
      </w:r>
      <w:r w:rsidRPr="00BB08A5">
        <w:rPr>
          <w:rFonts w:asciiTheme="majorHAnsi" w:hAnsiTheme="majorHAnsi"/>
          <w:lang w:val="sq-AL"/>
        </w:rPr>
        <w:t>mujorin 2021 janë realizuar 100% e fondeve. Nëpërmjet këtij programi është realizuar:</w:t>
      </w:r>
    </w:p>
    <w:p w:rsidR="009C50AD" w:rsidRPr="00AB7A9F" w:rsidRDefault="009C50AD"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 w:val="20"/>
          <w:szCs w:val="22"/>
          <w:lang w:val="sq-AL" w:eastAsia="en-GB"/>
        </w:rPr>
      </w:pPr>
      <w:r w:rsidRPr="00AB7A9F">
        <w:rPr>
          <w:rFonts w:asciiTheme="majorHAnsi" w:hAnsiTheme="majorHAnsi" w:cs="Calibri Light"/>
          <w:bCs/>
          <w:i/>
          <w:sz w:val="20"/>
          <w:szCs w:val="22"/>
          <w:lang w:val="sq-AL" w:eastAsia="en-GB"/>
        </w:rPr>
        <w:t xml:space="preserve">Mbulimi i diferencës midis të ardhurave dhe shpenzimeve të skemës së Pensioneve Publike, në vlerën e 39.5 miliardë lekë. </w:t>
      </w:r>
    </w:p>
    <w:p w:rsidR="009C50AD" w:rsidRPr="00AB7A9F" w:rsidRDefault="009C50AD"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 w:val="20"/>
          <w:szCs w:val="22"/>
          <w:lang w:val="sq-AL" w:eastAsia="en-GB"/>
        </w:rPr>
      </w:pPr>
      <w:r w:rsidRPr="00AB7A9F">
        <w:rPr>
          <w:rFonts w:asciiTheme="majorHAnsi" w:hAnsiTheme="majorHAnsi" w:cs="Calibri Light"/>
          <w:bCs/>
          <w:i/>
          <w:sz w:val="20"/>
          <w:szCs w:val="22"/>
          <w:lang w:val="sq-AL" w:eastAsia="en-GB"/>
        </w:rPr>
        <w:t>Për programin e Kompensimit të Çmimeve, janë përdorur fonde në vlerën e 5,1 miliardë lekë.</w:t>
      </w:r>
    </w:p>
    <w:p w:rsidR="009C50AD" w:rsidRPr="00AB7A9F" w:rsidRDefault="009C50AD"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 w:val="20"/>
          <w:szCs w:val="22"/>
          <w:lang w:val="sq-AL" w:eastAsia="en-GB"/>
        </w:rPr>
      </w:pPr>
      <w:r w:rsidRPr="00AB7A9F">
        <w:rPr>
          <w:rFonts w:asciiTheme="majorHAnsi" w:hAnsiTheme="majorHAnsi" w:cs="Calibri Light"/>
          <w:bCs/>
          <w:i/>
          <w:sz w:val="20"/>
          <w:szCs w:val="22"/>
          <w:lang w:val="sq-AL" w:eastAsia="en-GB"/>
        </w:rPr>
        <w:t>Përfitime të llogaritura dhe shpërndara për programin e pensioneve të posaçme shtetërore, janë pëerdorur 89.4 milionë lekë.</w:t>
      </w:r>
    </w:p>
    <w:p w:rsidR="009C50AD" w:rsidRPr="00AB7A9F" w:rsidRDefault="009C50AD"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 w:val="20"/>
          <w:szCs w:val="22"/>
          <w:lang w:val="sq-AL" w:eastAsia="en-GB"/>
        </w:rPr>
      </w:pPr>
      <w:r w:rsidRPr="00AB7A9F">
        <w:rPr>
          <w:rFonts w:asciiTheme="majorHAnsi" w:hAnsiTheme="majorHAnsi" w:cs="Calibri Light"/>
          <w:bCs/>
          <w:i/>
          <w:sz w:val="20"/>
          <w:szCs w:val="22"/>
          <w:lang w:val="sq-AL" w:eastAsia="en-GB"/>
        </w:rPr>
        <w:t>Për përfitime të llogaritura dhe shpërndara për shpërblime për Pensionet e Veteranëve 77.8 milionë lekë.</w:t>
      </w:r>
    </w:p>
    <w:p w:rsidR="009C50AD" w:rsidRPr="00AB7A9F" w:rsidRDefault="009C50AD"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 w:val="20"/>
          <w:szCs w:val="22"/>
          <w:lang w:val="sq-AL" w:eastAsia="en-GB"/>
        </w:rPr>
      </w:pPr>
      <w:r w:rsidRPr="00AB7A9F">
        <w:rPr>
          <w:rFonts w:asciiTheme="majorHAnsi" w:hAnsiTheme="majorHAnsi" w:cs="Calibri Light"/>
          <w:bCs/>
          <w:i/>
          <w:sz w:val="20"/>
          <w:szCs w:val="22"/>
          <w:lang w:val="sq-AL" w:eastAsia="en-GB"/>
        </w:rPr>
        <w:t>Për përfitime të llogaritura dhe shpërndara për shpërblime për Invalidët e Punës, 93.3 milionë lekë.</w:t>
      </w:r>
    </w:p>
    <w:p w:rsidR="009C50AD" w:rsidRPr="00AB7A9F" w:rsidRDefault="009C50AD"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 w:val="20"/>
          <w:szCs w:val="22"/>
          <w:lang w:val="sq-AL" w:eastAsia="en-GB"/>
        </w:rPr>
      </w:pPr>
      <w:r w:rsidRPr="00AB7A9F">
        <w:rPr>
          <w:rFonts w:asciiTheme="majorHAnsi" w:hAnsiTheme="majorHAnsi" w:cs="Calibri Light"/>
          <w:bCs/>
          <w:i/>
          <w:sz w:val="20"/>
          <w:szCs w:val="22"/>
          <w:lang w:val="sq-AL" w:eastAsia="en-GB"/>
        </w:rPr>
        <w:t>Përfitime të llogaritura dhe shpërndara për kompensime për të ardhurat e pensionistëve, realizuar në vlerën e  4.1 miliardë lekë.</w:t>
      </w:r>
    </w:p>
    <w:p w:rsidR="009C50AD" w:rsidRPr="00AB7A9F" w:rsidRDefault="009C50AD"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 w:val="20"/>
          <w:szCs w:val="22"/>
          <w:lang w:val="sq-AL" w:eastAsia="en-GB"/>
        </w:rPr>
      </w:pPr>
      <w:r w:rsidRPr="00AB7A9F">
        <w:rPr>
          <w:rFonts w:asciiTheme="majorHAnsi" w:hAnsiTheme="majorHAnsi" w:cs="Calibri Light"/>
          <w:bCs/>
          <w:i/>
          <w:sz w:val="20"/>
          <w:szCs w:val="22"/>
          <w:lang w:val="sq-AL" w:eastAsia="en-GB"/>
        </w:rPr>
        <w:t xml:space="preserve">Përfitime të llogaritura dhe shpërndara për kompensime për "Trajtim i veçantë i punonjësve të nëntokës", realizuar në vlerën e  1.3 miliardë lekë. </w:t>
      </w:r>
    </w:p>
    <w:p w:rsidR="009C50AD" w:rsidRPr="00AB7A9F" w:rsidRDefault="009C50AD"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 w:val="20"/>
          <w:szCs w:val="22"/>
          <w:lang w:val="sq-AL" w:eastAsia="en-GB"/>
        </w:rPr>
      </w:pPr>
      <w:r w:rsidRPr="00AB7A9F">
        <w:rPr>
          <w:rFonts w:asciiTheme="majorHAnsi" w:hAnsiTheme="majorHAnsi" w:cs="Calibri Light"/>
          <w:bCs/>
          <w:i/>
          <w:sz w:val="20"/>
          <w:szCs w:val="22"/>
          <w:lang w:val="sq-AL" w:eastAsia="en-GB"/>
        </w:rPr>
        <w:t>Përfitues dhe pagesa të llogaritura dhe shpërndara për sigurimin suplementar për persona nën statusin "Naftëtar" realizuar në vlerën e  746.9 milionë lekë.</w:t>
      </w:r>
    </w:p>
    <w:p w:rsidR="009C50AD" w:rsidRPr="00AB7A9F" w:rsidRDefault="009C50AD"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 w:val="20"/>
          <w:szCs w:val="22"/>
          <w:lang w:val="sq-AL" w:eastAsia="en-GB"/>
        </w:rPr>
      </w:pPr>
      <w:r w:rsidRPr="00AB7A9F">
        <w:rPr>
          <w:rFonts w:asciiTheme="majorHAnsi" w:hAnsiTheme="majorHAnsi" w:cs="Calibri Light"/>
          <w:bCs/>
          <w:i/>
          <w:sz w:val="20"/>
          <w:szCs w:val="22"/>
          <w:lang w:val="sq-AL" w:eastAsia="en-GB"/>
        </w:rPr>
        <w:t>Përfitues dhe pagesa të llogaritura e të shpërndara për sigurimin shtetëror suplementar, realizuar në vlerën 412.8 milionë lekë..etj.</w:t>
      </w:r>
    </w:p>
    <w:p w:rsidR="009C50AD" w:rsidRPr="00BB08A5" w:rsidRDefault="009C50AD" w:rsidP="009C50AD">
      <w:pPr>
        <w:rPr>
          <w:rFonts w:asciiTheme="majorHAnsi" w:hAnsiTheme="majorHAnsi"/>
          <w:lang w:val="sq-AL"/>
        </w:rPr>
      </w:pPr>
      <w:r w:rsidRPr="00BB08A5">
        <w:rPr>
          <w:rFonts w:asciiTheme="majorHAnsi" w:hAnsiTheme="majorHAnsi"/>
          <w:lang w:val="sq-AL"/>
        </w:rPr>
        <w:lastRenderedPageBreak/>
        <w:t>Fondet e parashikuara për programin e “</w:t>
      </w:r>
      <w:r w:rsidRPr="00BB08A5">
        <w:rPr>
          <w:rFonts w:asciiTheme="majorHAnsi" w:hAnsiTheme="majorHAnsi"/>
          <w:b/>
          <w:lang w:val="sq-AL"/>
        </w:rPr>
        <w:t>Arsimit të mesëm profesional</w:t>
      </w:r>
      <w:r w:rsidRPr="00BB08A5">
        <w:rPr>
          <w:rFonts w:asciiTheme="majorHAnsi" w:hAnsiTheme="majorHAnsi"/>
          <w:lang w:val="sq-AL"/>
        </w:rPr>
        <w:t>”</w:t>
      </w:r>
      <w:r>
        <w:rPr>
          <w:rFonts w:asciiTheme="majorHAnsi" w:hAnsiTheme="majorHAnsi"/>
          <w:lang w:val="sq-AL"/>
        </w:rPr>
        <w:t>,</w:t>
      </w:r>
      <w:r w:rsidRPr="00BB08A5">
        <w:rPr>
          <w:rFonts w:asciiTheme="majorHAnsi" w:hAnsiTheme="majorHAnsi"/>
          <w:lang w:val="sq-AL"/>
        </w:rPr>
        <w:t xml:space="preserve"> sipas planit vjetor të rishikuar janë në vlerën e 2.7 miliardë lekë, nga 3.2 miliardë të parashikuara në planin fillestar</w:t>
      </w:r>
      <w:r w:rsidRPr="00BB08A5">
        <w:rPr>
          <w:rFonts w:asciiTheme="majorHAnsi" w:hAnsiTheme="majorHAnsi"/>
          <w:i/>
          <w:lang w:val="sq-AL"/>
        </w:rPr>
        <w:t>.</w:t>
      </w:r>
      <w:r w:rsidRPr="00BB08A5">
        <w:rPr>
          <w:rFonts w:asciiTheme="majorHAnsi" w:hAnsiTheme="majorHAnsi"/>
          <w:lang w:val="sq-AL"/>
        </w:rPr>
        <w:t xml:space="preserve"> Për 12-mujorin 2021 janë realizuar në vlerën e 2.3 miliardë lekë, ose në masën 85 % të buxhetit të akorduar.</w:t>
      </w:r>
      <w:r w:rsidR="00E841D1">
        <w:rPr>
          <w:rFonts w:asciiTheme="majorHAnsi" w:hAnsiTheme="majorHAnsi"/>
          <w:lang w:val="sq-AL"/>
        </w:rPr>
        <w:t xml:space="preserve"> </w:t>
      </w:r>
      <w:r w:rsidRPr="00BB08A5">
        <w:rPr>
          <w:rFonts w:asciiTheme="majorHAnsi" w:hAnsiTheme="majorHAnsi"/>
          <w:noProof/>
          <w:lang w:val="sq-AL"/>
        </w:rPr>
        <w:t>Për sigurimin e aksesit të nxënësve</w:t>
      </w:r>
      <w:r w:rsidR="00E841D1">
        <w:rPr>
          <w:rFonts w:asciiTheme="majorHAnsi" w:hAnsiTheme="majorHAnsi"/>
          <w:noProof/>
          <w:lang w:val="sq-AL"/>
        </w:rPr>
        <w:t xml:space="preserve"> në Arsimin Profesional, për 12</w:t>
      </w:r>
      <w:r w:rsidRPr="00BB08A5">
        <w:rPr>
          <w:rFonts w:asciiTheme="majorHAnsi" w:hAnsiTheme="majorHAnsi"/>
          <w:noProof/>
          <w:lang w:val="sq-AL"/>
        </w:rPr>
        <w:t>mujorin 2021, janë mundësuar kushtet për:</w:t>
      </w:r>
    </w:p>
    <w:p w:rsidR="009C50AD" w:rsidRPr="00E841D1" w:rsidRDefault="009C50AD"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E841D1">
        <w:rPr>
          <w:rFonts w:asciiTheme="majorHAnsi" w:hAnsiTheme="majorHAnsi" w:cs="Calibri Light"/>
          <w:bCs/>
          <w:i/>
          <w:szCs w:val="22"/>
          <w:lang w:val="sq-AL" w:eastAsia="en-GB"/>
        </w:rPr>
        <w:t>Ndjekjen e s</w:t>
      </w:r>
      <w:r w:rsidR="00E841D1">
        <w:rPr>
          <w:rFonts w:asciiTheme="majorHAnsi" w:hAnsiTheme="majorHAnsi" w:cs="Calibri Light"/>
          <w:bCs/>
          <w:i/>
          <w:szCs w:val="22"/>
          <w:lang w:val="sq-AL" w:eastAsia="en-GB"/>
        </w:rPr>
        <w:t>hkollave të arsimit profesional</w:t>
      </w:r>
      <w:r w:rsidRPr="00E841D1">
        <w:rPr>
          <w:rFonts w:asciiTheme="majorHAnsi" w:hAnsiTheme="majorHAnsi" w:cs="Calibri Light"/>
          <w:bCs/>
          <w:i/>
          <w:szCs w:val="22"/>
          <w:lang w:val="sq-AL" w:eastAsia="en-GB"/>
        </w:rPr>
        <w:t xml:space="preserve"> </w:t>
      </w:r>
      <w:r w:rsidR="00E841D1">
        <w:rPr>
          <w:rFonts w:asciiTheme="majorHAnsi" w:hAnsiTheme="majorHAnsi" w:cs="Calibri Light"/>
          <w:bCs/>
          <w:i/>
          <w:szCs w:val="22"/>
          <w:lang w:val="sq-AL" w:eastAsia="en-GB"/>
        </w:rPr>
        <w:t>nga</w:t>
      </w:r>
      <w:r w:rsidRPr="00E841D1">
        <w:rPr>
          <w:rFonts w:asciiTheme="majorHAnsi" w:hAnsiTheme="majorHAnsi" w:cs="Calibri Light"/>
          <w:bCs/>
          <w:i/>
          <w:szCs w:val="22"/>
          <w:lang w:val="sq-AL" w:eastAsia="en-GB"/>
        </w:rPr>
        <w:t xml:space="preserve"> 17,024 nxënës, me një kosto fakti</w:t>
      </w:r>
      <w:r w:rsidR="00E841D1">
        <w:rPr>
          <w:rFonts w:asciiTheme="majorHAnsi" w:hAnsiTheme="majorHAnsi" w:cs="Calibri Light"/>
          <w:bCs/>
          <w:i/>
          <w:szCs w:val="22"/>
          <w:lang w:val="sq-AL" w:eastAsia="en-GB"/>
        </w:rPr>
        <w:t>ke 1.6 miliard</w:t>
      </w:r>
      <w:r w:rsidRPr="00E841D1">
        <w:rPr>
          <w:rFonts w:asciiTheme="majorHAnsi" w:hAnsiTheme="majorHAnsi" w:cs="Calibri Light"/>
          <w:bCs/>
          <w:i/>
          <w:szCs w:val="22"/>
          <w:lang w:val="sq-AL" w:eastAsia="en-GB"/>
        </w:rPr>
        <w:t xml:space="preserve"> lekë.</w:t>
      </w:r>
    </w:p>
    <w:p w:rsidR="009C50AD" w:rsidRPr="00E841D1" w:rsidRDefault="009C50AD"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E841D1">
        <w:rPr>
          <w:rFonts w:asciiTheme="majorHAnsi" w:hAnsiTheme="majorHAnsi" w:cs="Calibri Light"/>
          <w:bCs/>
          <w:i/>
          <w:szCs w:val="22"/>
          <w:lang w:val="sq-AL" w:eastAsia="en-GB"/>
        </w:rPr>
        <w:t>Akordimi i bursave të përfituara nga nxënësit e arsimit profesional, janë akorduar afërsisht 4,372 bursa, me një kosto faktike 243.8 milionë lekë.</w:t>
      </w:r>
    </w:p>
    <w:p w:rsidR="007B7B50" w:rsidRPr="00E841D1" w:rsidRDefault="009C50AD"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E841D1">
        <w:rPr>
          <w:rFonts w:asciiTheme="majorHAnsi" w:hAnsiTheme="majorHAnsi" w:cs="Calibri Light"/>
          <w:bCs/>
          <w:i/>
          <w:szCs w:val="22"/>
          <w:lang w:val="sq-AL" w:eastAsia="en-GB"/>
        </w:rPr>
        <w:t>Rezultojnë rreth 13,619 përfitues subvencionesh për tekstet mësimore dhe janë trajnuar 90 mësues.</w:t>
      </w:r>
    </w:p>
    <w:p w:rsidR="000703F6" w:rsidRPr="000703F6" w:rsidRDefault="002B5B6C" w:rsidP="000703F6">
      <w:pPr>
        <w:rPr>
          <w:rFonts w:asciiTheme="majorHAnsi" w:eastAsiaTheme="minorHAnsi" w:hAnsiTheme="majorHAnsi" w:cs="Calibri Light"/>
          <w:szCs w:val="22"/>
          <w:lang w:val="sq-AL"/>
        </w:rPr>
      </w:pPr>
      <w:r w:rsidRPr="000703F6">
        <w:rPr>
          <w:rFonts w:asciiTheme="majorHAnsi" w:hAnsiTheme="majorHAnsi" w:cs="Calibri Light"/>
          <w:szCs w:val="22"/>
          <w:lang w:val="sq-AL"/>
        </w:rPr>
        <w:t xml:space="preserve">Përsa i përket </w:t>
      </w:r>
      <w:r w:rsidRPr="000703F6">
        <w:rPr>
          <w:rFonts w:asciiTheme="majorHAnsi" w:hAnsiTheme="majorHAnsi" w:cs="Calibri Light"/>
          <w:b/>
          <w:szCs w:val="22"/>
          <w:lang w:val="sq-AL"/>
        </w:rPr>
        <w:t>investimeve publike</w:t>
      </w:r>
      <w:r w:rsidRPr="000703F6">
        <w:rPr>
          <w:rFonts w:asciiTheme="majorHAnsi" w:hAnsiTheme="majorHAnsi" w:cs="Calibri Light"/>
          <w:szCs w:val="22"/>
          <w:lang w:val="sq-AL"/>
        </w:rPr>
        <w:t xml:space="preserve">, </w:t>
      </w:r>
      <w:bookmarkStart w:id="265" w:name="_Toc10033304"/>
      <w:bookmarkStart w:id="266" w:name="_Toc10721440"/>
      <w:r w:rsidR="000703F6" w:rsidRPr="000703F6">
        <w:rPr>
          <w:rFonts w:cs="Calibri"/>
          <w:lang w:val="sq-AL"/>
        </w:rPr>
        <w:t xml:space="preserve">realizimi në vitin 2021 ishte </w:t>
      </w:r>
      <w:r w:rsidR="001007C6">
        <w:rPr>
          <w:rFonts w:cs="Calibri"/>
          <w:lang w:val="sq-AL"/>
        </w:rPr>
        <w:t>227.4</w:t>
      </w:r>
      <w:r w:rsidR="000703F6" w:rsidRPr="000703F6">
        <w:rPr>
          <w:rFonts w:cs="Calibri"/>
          <w:lang w:val="sq-AL"/>
        </w:rPr>
        <w:t>% e buxhetit fillestar për projektet me financim të brendshëm (3.5 milard lekë)</w:t>
      </w:r>
      <w:r w:rsidR="000703F6" w:rsidRPr="000703F6">
        <w:rPr>
          <w:rFonts w:cs="Calibri"/>
          <w:bCs/>
          <w:iCs/>
          <w:lang w:val="sq-AL"/>
        </w:rPr>
        <w:t xml:space="preserve"> (94.4% të planit vjetor të ndryshuar me AN nr.34)</w:t>
      </w:r>
      <w:r w:rsidR="000703F6" w:rsidRPr="000703F6">
        <w:rPr>
          <w:rFonts w:cs="Calibri"/>
          <w:lang w:val="sq-AL"/>
        </w:rPr>
        <w:t xml:space="preserve"> dhe </w:t>
      </w:r>
      <w:r w:rsidR="001007C6">
        <w:rPr>
          <w:rFonts w:cs="Calibri"/>
          <w:lang w:val="sq-AL"/>
        </w:rPr>
        <w:t>22.7</w:t>
      </w:r>
      <w:r w:rsidR="000703F6" w:rsidRPr="000703F6">
        <w:rPr>
          <w:rFonts w:cs="Calibri"/>
          <w:lang w:val="sq-AL"/>
        </w:rPr>
        <w:t xml:space="preserve">% e buxhetit fillestar për projektet me financim të huaj (0.27 miliardë lekë) </w:t>
      </w:r>
      <w:r w:rsidR="000703F6" w:rsidRPr="000703F6">
        <w:rPr>
          <w:rFonts w:cs="Calibri"/>
          <w:bCs/>
          <w:iCs/>
          <w:lang w:val="sq-AL"/>
        </w:rPr>
        <w:t>(</w:t>
      </w:r>
      <w:r w:rsidR="000703F6">
        <w:rPr>
          <w:rFonts w:cs="Calibri"/>
          <w:bCs/>
          <w:iCs/>
          <w:lang w:val="sq-AL"/>
        </w:rPr>
        <w:t>44</w:t>
      </w:r>
      <w:r w:rsidR="000703F6" w:rsidRPr="000703F6">
        <w:rPr>
          <w:rFonts w:cs="Calibri"/>
          <w:bCs/>
          <w:iCs/>
          <w:lang w:val="sq-AL"/>
        </w:rPr>
        <w:t>% të planit vjetor të ndryshuar me AN nr.34).</w:t>
      </w:r>
      <w:r w:rsidR="000703F6" w:rsidRPr="000703F6">
        <w:rPr>
          <w:rFonts w:cs="Calibri"/>
          <w:lang w:val="sq-AL"/>
        </w:rPr>
        <w:t xml:space="preserve"> Buxheti i shpenzimeve kapitale pësoi disa ndryshime gjatë vitit, duke shtuar shpenzimet me financim të brendshëm nga të cilat 2 miliardë transfertë kapitale për AIC dhe duke pakësuar ato me financim të huaj. </w:t>
      </w:r>
      <w:r w:rsidR="000703F6" w:rsidRPr="000703F6">
        <w:rPr>
          <w:rFonts w:asciiTheme="majorHAnsi" w:eastAsiaTheme="minorHAnsi" w:hAnsiTheme="majorHAnsi" w:cs="Calibri Light"/>
          <w:szCs w:val="22"/>
          <w:lang w:val="sq-AL"/>
        </w:rPr>
        <w:t xml:space="preserve">Janë mbyllur kontratat e investimit si më poshtë, ku ndër më kryesoret veçojmë: </w:t>
      </w:r>
    </w:p>
    <w:p w:rsidR="000703F6" w:rsidRPr="000703F6" w:rsidRDefault="000703F6"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0703F6">
        <w:rPr>
          <w:rFonts w:asciiTheme="majorHAnsi" w:hAnsiTheme="majorHAnsi" w:cs="Calibri Light"/>
          <w:bCs/>
          <w:i/>
          <w:szCs w:val="22"/>
          <w:lang w:val="sq-AL" w:eastAsia="en-GB"/>
        </w:rPr>
        <w:t>Për programin “Planifikim,  Menaxhim Admi</w:t>
      </w:r>
      <w:r>
        <w:rPr>
          <w:rFonts w:asciiTheme="majorHAnsi" w:hAnsiTheme="majorHAnsi" w:cs="Calibri Light"/>
          <w:bCs/>
          <w:i/>
          <w:szCs w:val="22"/>
          <w:lang w:val="sq-AL" w:eastAsia="en-GB"/>
        </w:rPr>
        <w:t xml:space="preserve">nistrim” ka përfunduar kontrata </w:t>
      </w:r>
      <w:r w:rsidRPr="000703F6">
        <w:rPr>
          <w:rFonts w:asciiTheme="majorHAnsi" w:eastAsia="Calibri" w:hAnsiTheme="majorHAnsi" w:cs="Calibri Light"/>
          <w:i/>
          <w:szCs w:val="22"/>
          <w:lang w:val="sq-AL"/>
        </w:rPr>
        <w:t>“Përmirësimi i sigurisë së informacionit për infrastrukturën e MFE-së” me vlerë 77 milionë lekë;</w:t>
      </w:r>
    </w:p>
    <w:p w:rsidR="000703F6" w:rsidRPr="000703F6" w:rsidRDefault="000703F6"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0703F6">
        <w:rPr>
          <w:rFonts w:asciiTheme="majorHAnsi" w:hAnsiTheme="majorHAnsi" w:cs="Calibri Light"/>
          <w:bCs/>
          <w:i/>
          <w:szCs w:val="22"/>
          <w:lang w:val="sq-AL" w:eastAsia="en-GB"/>
        </w:rPr>
        <w:t xml:space="preserve">Për </w:t>
      </w:r>
      <w:r>
        <w:rPr>
          <w:rFonts w:asciiTheme="majorHAnsi" w:hAnsiTheme="majorHAnsi" w:cs="Calibri Light"/>
          <w:bCs/>
          <w:i/>
          <w:szCs w:val="22"/>
          <w:lang w:val="sq-AL" w:eastAsia="en-GB"/>
        </w:rPr>
        <w:t>DPT</w:t>
      </w:r>
      <w:r w:rsidRPr="000703F6">
        <w:rPr>
          <w:rFonts w:asciiTheme="majorHAnsi" w:hAnsiTheme="majorHAnsi" w:cs="Calibri Light"/>
          <w:bCs/>
          <w:i/>
          <w:szCs w:val="22"/>
          <w:lang w:val="sq-AL" w:eastAsia="en-GB"/>
        </w:rPr>
        <w:t xml:space="preserve"> ka përfunduar kontrata</w:t>
      </w:r>
      <w:r>
        <w:rPr>
          <w:rFonts w:asciiTheme="majorHAnsi" w:hAnsiTheme="majorHAnsi" w:cs="Calibri Light"/>
          <w:bCs/>
          <w:i/>
          <w:szCs w:val="22"/>
          <w:lang w:val="sq-AL" w:eastAsia="en-GB"/>
        </w:rPr>
        <w:t xml:space="preserve"> </w:t>
      </w:r>
      <w:r w:rsidRPr="000703F6">
        <w:rPr>
          <w:rFonts w:asciiTheme="majorHAnsi" w:hAnsiTheme="majorHAnsi" w:cs="Calibri Light"/>
          <w:bCs/>
          <w:i/>
          <w:szCs w:val="22"/>
          <w:lang w:val="sq-AL" w:eastAsia="en-GB"/>
        </w:rPr>
        <w:t>“Përmirësimi i Modulit të Menaxhimit të Kontrrollit të Faturimit” me vlerë 1728 milionë lekë;</w:t>
      </w:r>
    </w:p>
    <w:p w:rsidR="000703F6" w:rsidRPr="000703F6" w:rsidRDefault="000703F6"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0703F6">
        <w:rPr>
          <w:rFonts w:asciiTheme="majorHAnsi" w:hAnsiTheme="majorHAnsi" w:cs="Calibri Light"/>
          <w:bCs/>
          <w:i/>
          <w:szCs w:val="22"/>
          <w:lang w:val="sq-AL" w:eastAsia="en-GB"/>
        </w:rPr>
        <w:t xml:space="preserve">Për </w:t>
      </w:r>
      <w:r>
        <w:rPr>
          <w:rFonts w:asciiTheme="majorHAnsi" w:hAnsiTheme="majorHAnsi" w:cs="Calibri Light"/>
          <w:bCs/>
          <w:i/>
          <w:szCs w:val="22"/>
          <w:lang w:val="sq-AL" w:eastAsia="en-GB"/>
        </w:rPr>
        <w:t>DPD</w:t>
      </w:r>
      <w:r w:rsidRPr="000703F6">
        <w:rPr>
          <w:rFonts w:asciiTheme="majorHAnsi" w:hAnsiTheme="majorHAnsi" w:cs="Calibri Light"/>
          <w:bCs/>
          <w:i/>
          <w:szCs w:val="22"/>
          <w:lang w:val="sq-AL" w:eastAsia="en-GB"/>
        </w:rPr>
        <w:t xml:space="preserve"> ka përfunduar </w:t>
      </w:r>
      <w:r>
        <w:rPr>
          <w:rFonts w:asciiTheme="majorHAnsi" w:hAnsiTheme="majorHAnsi" w:cs="Calibri Light"/>
          <w:bCs/>
          <w:i/>
          <w:szCs w:val="22"/>
          <w:lang w:val="sq-AL" w:eastAsia="en-GB"/>
        </w:rPr>
        <w:t xml:space="preserve">kontrrata </w:t>
      </w:r>
      <w:r w:rsidRPr="000703F6">
        <w:rPr>
          <w:rFonts w:asciiTheme="majorHAnsi" w:hAnsiTheme="majorHAnsi" w:cs="Calibri Light"/>
          <w:bCs/>
          <w:i/>
          <w:szCs w:val="22"/>
          <w:lang w:val="sq-AL" w:eastAsia="en-GB"/>
        </w:rPr>
        <w:t>“Dixhitalizimi i shërbimeve doganore” me vlerë 62 milionë lekë;</w:t>
      </w:r>
    </w:p>
    <w:p w:rsidR="000703F6" w:rsidRDefault="000703F6"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0703F6">
        <w:rPr>
          <w:rFonts w:asciiTheme="majorHAnsi" w:hAnsiTheme="majorHAnsi" w:cs="Calibri Light"/>
          <w:bCs/>
          <w:i/>
          <w:szCs w:val="22"/>
          <w:lang w:val="sq-AL" w:eastAsia="en-GB"/>
        </w:rPr>
        <w:t>Për programin “Arsimi i mesëm profesional” ka përfunduar kontrata</w:t>
      </w:r>
      <w:r>
        <w:rPr>
          <w:rFonts w:asciiTheme="majorHAnsi" w:hAnsiTheme="majorHAnsi" w:cs="Calibri Light"/>
          <w:bCs/>
          <w:i/>
          <w:szCs w:val="22"/>
          <w:lang w:val="sq-AL" w:eastAsia="en-GB"/>
        </w:rPr>
        <w:t xml:space="preserve"> </w:t>
      </w:r>
      <w:r w:rsidRPr="000703F6">
        <w:rPr>
          <w:rFonts w:asciiTheme="majorHAnsi" w:hAnsiTheme="majorHAnsi" w:cs="Calibri Light"/>
          <w:bCs/>
          <w:i/>
          <w:szCs w:val="22"/>
          <w:lang w:val="sq-AL" w:eastAsia="en-GB"/>
        </w:rPr>
        <w:t>“Rikonstruksion i shkollës së mesme profesionale "26 Marsi" Kavajë” me vlerë 149 milionë lekë.</w:t>
      </w:r>
    </w:p>
    <w:p w:rsidR="000703F6" w:rsidRDefault="000703F6" w:rsidP="000703F6">
      <w:pPr>
        <w:pStyle w:val="ListParagraph"/>
        <w:shd w:val="clear" w:color="auto" w:fill="FFFFFF" w:themeFill="background1"/>
        <w:spacing w:before="0" w:line="240" w:lineRule="auto"/>
        <w:ind w:left="630"/>
        <w:rPr>
          <w:rFonts w:asciiTheme="majorHAnsi" w:hAnsiTheme="majorHAnsi" w:cs="Calibri Light"/>
          <w:bCs/>
          <w:i/>
          <w:szCs w:val="22"/>
          <w:lang w:val="sq-AL" w:eastAsia="en-GB"/>
        </w:rPr>
      </w:pPr>
    </w:p>
    <w:p w:rsidR="000703F6" w:rsidRPr="000703F6" w:rsidRDefault="000703F6" w:rsidP="000703F6">
      <w:pPr>
        <w:pStyle w:val="ListParagraph"/>
        <w:shd w:val="clear" w:color="auto" w:fill="FFFFFF" w:themeFill="background1"/>
        <w:spacing w:before="0" w:line="240" w:lineRule="auto"/>
        <w:ind w:left="630"/>
        <w:rPr>
          <w:rFonts w:asciiTheme="majorHAnsi" w:hAnsiTheme="majorHAnsi" w:cs="Calibri Light"/>
          <w:bCs/>
          <w:i/>
          <w:szCs w:val="22"/>
          <w:lang w:val="sq-AL" w:eastAsia="en-GB"/>
        </w:rPr>
      </w:pPr>
    </w:p>
    <w:p w:rsidR="007B7B50" w:rsidRPr="00476D2E" w:rsidRDefault="007B7B50" w:rsidP="000703F6">
      <w:pPr>
        <w:pStyle w:val="fiskale3"/>
        <w:rPr>
          <w:rFonts w:ascii="Calibri" w:hAnsi="Calibri" w:cs="Calibri"/>
          <w:b/>
        </w:rPr>
      </w:pPr>
      <w:bookmarkStart w:id="267" w:name="_Toc104980368"/>
      <w:r w:rsidRPr="00476D2E">
        <w:rPr>
          <w:rFonts w:ascii="Calibri" w:hAnsi="Calibri" w:cs="Calibri"/>
          <w:b/>
        </w:rPr>
        <w:t>Mbrojtja</w:t>
      </w:r>
      <w:bookmarkEnd w:id="265"/>
      <w:bookmarkEnd w:id="266"/>
      <w:bookmarkEnd w:id="267"/>
    </w:p>
    <w:p w:rsidR="007B7B50" w:rsidRPr="00476D2E" w:rsidRDefault="007B7B50" w:rsidP="007B7B50">
      <w:pPr>
        <w:rPr>
          <w:rFonts w:cs="Calibri"/>
          <w:lang w:val="sq-AL"/>
        </w:rPr>
      </w:pPr>
      <w:r w:rsidRPr="00476D2E">
        <w:rPr>
          <w:rFonts w:cs="Calibri"/>
          <w:lang w:val="sq-AL"/>
        </w:rPr>
        <w:t>Shpenzimet e planifikuara dhe ato faktike si dhe realizimi në përqindje për vitin 202</w:t>
      </w:r>
      <w:r w:rsidR="00C52DFD">
        <w:rPr>
          <w:rFonts w:cs="Calibri"/>
          <w:lang w:val="sq-AL"/>
        </w:rPr>
        <w:t>1</w:t>
      </w:r>
      <w:r w:rsidRPr="00476D2E">
        <w:rPr>
          <w:rFonts w:cs="Calibri"/>
          <w:lang w:val="sq-AL"/>
        </w:rPr>
        <w:t xml:space="preserve"> për Ministrinë e Mbrojtjes, paraqiten si më poshtë:</w:t>
      </w:r>
    </w:p>
    <w:p w:rsidR="007B7B50" w:rsidRPr="00476D2E" w:rsidRDefault="007B7B50" w:rsidP="007B7B50">
      <w:pPr>
        <w:rPr>
          <w:rFonts w:cs="Calibri"/>
          <w:i/>
          <w:iCs/>
          <w:color w:val="0B5294" w:themeColor="accent1" w:themeShade="BF"/>
          <w:sz w:val="18"/>
          <w:szCs w:val="18"/>
          <w:lang w:val="sq-AL"/>
        </w:rPr>
      </w:pPr>
      <w:bookmarkStart w:id="268" w:name="_Toc104984101"/>
      <w:r w:rsidRPr="00476D2E">
        <w:rPr>
          <w:rFonts w:cs="Calibri"/>
          <w:i/>
          <w:iCs/>
          <w:color w:val="0B5294" w:themeColor="accent1" w:themeShade="BF"/>
          <w:sz w:val="18"/>
          <w:szCs w:val="18"/>
          <w:lang w:val="sq-AL"/>
        </w:rPr>
        <w:t xml:space="preserve">Tabela </w:t>
      </w:r>
      <w:r w:rsidRPr="00476D2E">
        <w:rPr>
          <w:rFonts w:cs="Calibri"/>
          <w:i/>
          <w:iCs/>
          <w:color w:val="0B5294" w:themeColor="accent1" w:themeShade="BF"/>
          <w:sz w:val="18"/>
          <w:szCs w:val="18"/>
          <w:lang w:val="sq-AL"/>
        </w:rPr>
        <w:fldChar w:fldCharType="begin"/>
      </w:r>
      <w:r w:rsidRPr="00476D2E">
        <w:rPr>
          <w:rFonts w:cs="Calibri"/>
          <w:i/>
          <w:iCs/>
          <w:color w:val="0B5294" w:themeColor="accent1" w:themeShade="BF"/>
          <w:sz w:val="18"/>
          <w:szCs w:val="18"/>
          <w:lang w:val="sq-AL"/>
        </w:rPr>
        <w:instrText xml:space="preserve"> SEQ Tabela \* ARABIC </w:instrText>
      </w:r>
      <w:r w:rsidRPr="00476D2E">
        <w:rPr>
          <w:rFonts w:cs="Calibri"/>
          <w:i/>
          <w:iCs/>
          <w:color w:val="0B5294" w:themeColor="accent1" w:themeShade="BF"/>
          <w:sz w:val="18"/>
          <w:szCs w:val="18"/>
          <w:lang w:val="sq-AL"/>
        </w:rPr>
        <w:fldChar w:fldCharType="separate"/>
      </w:r>
      <w:r w:rsidR="00276062">
        <w:rPr>
          <w:rFonts w:cs="Calibri"/>
          <w:i/>
          <w:iCs/>
          <w:noProof/>
          <w:color w:val="0B5294" w:themeColor="accent1" w:themeShade="BF"/>
          <w:sz w:val="18"/>
          <w:szCs w:val="18"/>
          <w:lang w:val="sq-AL"/>
        </w:rPr>
        <w:t>29</w:t>
      </w:r>
      <w:r w:rsidRPr="00476D2E">
        <w:rPr>
          <w:rFonts w:cs="Calibri"/>
          <w:i/>
          <w:iCs/>
          <w:noProof/>
          <w:color w:val="0B5294" w:themeColor="accent1" w:themeShade="BF"/>
          <w:sz w:val="18"/>
          <w:szCs w:val="18"/>
          <w:lang w:val="sq-AL"/>
        </w:rPr>
        <w:fldChar w:fldCharType="end"/>
      </w:r>
      <w:r w:rsidRPr="00476D2E">
        <w:rPr>
          <w:rFonts w:cs="Calibri"/>
          <w:i/>
          <w:iCs/>
          <w:color w:val="0B5294" w:themeColor="accent1" w:themeShade="BF"/>
          <w:sz w:val="18"/>
          <w:szCs w:val="18"/>
          <w:lang w:val="sq-AL"/>
        </w:rPr>
        <w:t xml:space="preserve"> Realizimi i buxhetit 202</w:t>
      </w:r>
      <w:r w:rsidR="00E841D1">
        <w:rPr>
          <w:rFonts w:cs="Calibri"/>
          <w:i/>
          <w:iCs/>
          <w:color w:val="0B5294" w:themeColor="accent1" w:themeShade="BF"/>
          <w:sz w:val="18"/>
          <w:szCs w:val="18"/>
          <w:lang w:val="sq-AL"/>
        </w:rPr>
        <w:t>1</w:t>
      </w:r>
      <w:r w:rsidRPr="00476D2E">
        <w:rPr>
          <w:rFonts w:cs="Calibri"/>
          <w:i/>
          <w:iCs/>
          <w:color w:val="0B5294" w:themeColor="accent1" w:themeShade="BF"/>
          <w:sz w:val="18"/>
          <w:szCs w:val="18"/>
          <w:lang w:val="sq-AL"/>
        </w:rPr>
        <w:t xml:space="preserve"> për Ministrinë e Mbrojtjes</w:t>
      </w:r>
      <w:bookmarkEnd w:id="268"/>
    </w:p>
    <w:tbl>
      <w:tblPr>
        <w:tblW w:w="11081" w:type="dxa"/>
        <w:jc w:val="center"/>
        <w:tblLayout w:type="fixed"/>
        <w:tblLook w:val="04A0" w:firstRow="1" w:lastRow="0" w:firstColumn="1" w:lastColumn="0" w:noHBand="0" w:noVBand="1"/>
      </w:tblPr>
      <w:tblGrid>
        <w:gridCol w:w="2362"/>
        <w:gridCol w:w="986"/>
        <w:gridCol w:w="989"/>
        <w:gridCol w:w="995"/>
        <w:gridCol w:w="900"/>
        <w:gridCol w:w="990"/>
        <w:gridCol w:w="990"/>
        <w:gridCol w:w="622"/>
        <w:gridCol w:w="719"/>
        <w:gridCol w:w="809"/>
        <w:gridCol w:w="719"/>
      </w:tblGrid>
      <w:tr w:rsidR="00A35358" w:rsidRPr="00111DC1" w:rsidTr="00A35358">
        <w:trPr>
          <w:trHeight w:val="358"/>
          <w:jc w:val="center"/>
        </w:trPr>
        <w:tc>
          <w:tcPr>
            <w:tcW w:w="2362" w:type="dxa"/>
            <w:tcBorders>
              <w:top w:val="single" w:sz="8" w:space="0" w:color="B8CCE4"/>
              <w:left w:val="single" w:sz="8" w:space="0" w:color="B8CCE4"/>
              <w:bottom w:val="single" w:sz="12" w:space="0" w:color="95B3D7"/>
              <w:right w:val="single" w:sz="8" w:space="0" w:color="B8CCE4"/>
            </w:tcBorders>
            <w:shd w:val="clear" w:color="000000" w:fill="365F91"/>
            <w:vAlign w:val="center"/>
            <w:hideMark/>
          </w:tcPr>
          <w:p w:rsidR="00A35358" w:rsidRPr="00111DC1" w:rsidRDefault="00A35358" w:rsidP="00A35358">
            <w:pPr>
              <w:spacing w:before="0" w:line="240" w:lineRule="auto"/>
              <w:jc w:val="center"/>
              <w:rPr>
                <w:b/>
                <w:bCs/>
                <w:color w:val="FFFFFF"/>
                <w:sz w:val="16"/>
                <w:szCs w:val="16"/>
              </w:rPr>
            </w:pPr>
            <w:r w:rsidRPr="00111DC1">
              <w:rPr>
                <w:b/>
                <w:bCs/>
                <w:color w:val="FFFFFF"/>
                <w:sz w:val="16"/>
                <w:szCs w:val="16"/>
                <w:lang w:val="sq-AL"/>
              </w:rPr>
              <w:t>Programi buxhetor</w:t>
            </w:r>
          </w:p>
        </w:tc>
        <w:tc>
          <w:tcPr>
            <w:tcW w:w="1975" w:type="dxa"/>
            <w:gridSpan w:val="2"/>
            <w:tcBorders>
              <w:top w:val="single" w:sz="8" w:space="0" w:color="B8CCE4"/>
              <w:left w:val="nil"/>
              <w:bottom w:val="single" w:sz="12" w:space="0" w:color="95B3D7"/>
              <w:right w:val="single" w:sz="8" w:space="0" w:color="B8CCE4"/>
            </w:tcBorders>
            <w:shd w:val="clear" w:color="000000" w:fill="365F91"/>
            <w:vAlign w:val="center"/>
            <w:hideMark/>
          </w:tcPr>
          <w:p w:rsidR="00A35358" w:rsidRPr="00111DC1" w:rsidRDefault="00A35358" w:rsidP="00A35358">
            <w:pPr>
              <w:spacing w:before="0" w:line="240" w:lineRule="auto"/>
              <w:jc w:val="center"/>
              <w:rPr>
                <w:b/>
                <w:bCs/>
                <w:color w:val="FFFFFF"/>
                <w:sz w:val="16"/>
                <w:szCs w:val="16"/>
              </w:rPr>
            </w:pPr>
            <w:r w:rsidRPr="00111DC1">
              <w:rPr>
                <w:b/>
                <w:bCs/>
                <w:color w:val="FFFFFF"/>
                <w:sz w:val="16"/>
                <w:szCs w:val="16"/>
                <w:lang w:val="sq-AL"/>
              </w:rPr>
              <w:t>Plani fillestar 2021</w:t>
            </w:r>
          </w:p>
        </w:tc>
        <w:tc>
          <w:tcPr>
            <w:tcW w:w="1895" w:type="dxa"/>
            <w:gridSpan w:val="2"/>
            <w:tcBorders>
              <w:top w:val="single" w:sz="8" w:space="0" w:color="B8CCE4"/>
              <w:left w:val="nil"/>
              <w:bottom w:val="single" w:sz="12" w:space="0" w:color="95B3D7"/>
              <w:right w:val="single" w:sz="8" w:space="0" w:color="B8CCE4"/>
            </w:tcBorders>
            <w:shd w:val="clear" w:color="000000" w:fill="365F91"/>
            <w:vAlign w:val="center"/>
            <w:hideMark/>
          </w:tcPr>
          <w:p w:rsidR="00A35358" w:rsidRPr="00111DC1" w:rsidRDefault="00A35358" w:rsidP="00A35358">
            <w:pPr>
              <w:spacing w:before="0" w:line="240" w:lineRule="auto"/>
              <w:jc w:val="center"/>
              <w:rPr>
                <w:b/>
                <w:bCs/>
                <w:color w:val="FFFFFF"/>
                <w:sz w:val="16"/>
                <w:szCs w:val="16"/>
              </w:rPr>
            </w:pPr>
            <w:r w:rsidRPr="00111DC1">
              <w:rPr>
                <w:b/>
                <w:bCs/>
                <w:color w:val="FFFFFF"/>
                <w:sz w:val="16"/>
                <w:szCs w:val="16"/>
                <w:lang w:val="sq-AL"/>
              </w:rPr>
              <w:t>Plani i rishikuar 2021</w:t>
            </w:r>
          </w:p>
        </w:tc>
        <w:tc>
          <w:tcPr>
            <w:tcW w:w="1980" w:type="dxa"/>
            <w:gridSpan w:val="2"/>
            <w:tcBorders>
              <w:top w:val="single" w:sz="8" w:space="0" w:color="B8CCE4"/>
              <w:left w:val="nil"/>
              <w:bottom w:val="single" w:sz="12" w:space="0" w:color="95B3D7"/>
              <w:right w:val="single" w:sz="8" w:space="0" w:color="B8CCE4"/>
            </w:tcBorders>
            <w:shd w:val="clear" w:color="000000" w:fill="365F91"/>
            <w:vAlign w:val="center"/>
            <w:hideMark/>
          </w:tcPr>
          <w:p w:rsidR="00A35358" w:rsidRPr="00111DC1" w:rsidRDefault="00A35358" w:rsidP="00A35358">
            <w:pPr>
              <w:spacing w:before="0" w:line="240" w:lineRule="auto"/>
              <w:jc w:val="center"/>
              <w:rPr>
                <w:b/>
                <w:bCs/>
                <w:color w:val="FFFFFF"/>
                <w:sz w:val="16"/>
                <w:szCs w:val="16"/>
              </w:rPr>
            </w:pPr>
            <w:r w:rsidRPr="00111DC1">
              <w:rPr>
                <w:b/>
                <w:bCs/>
                <w:color w:val="FFFFFF"/>
                <w:sz w:val="16"/>
                <w:szCs w:val="16"/>
                <w:lang w:val="sq-AL"/>
              </w:rPr>
              <w:t>Fakti 2021</w:t>
            </w:r>
          </w:p>
        </w:tc>
        <w:tc>
          <w:tcPr>
            <w:tcW w:w="1341" w:type="dxa"/>
            <w:gridSpan w:val="2"/>
            <w:tcBorders>
              <w:top w:val="single" w:sz="8" w:space="0" w:color="B8CCE4"/>
              <w:left w:val="nil"/>
              <w:bottom w:val="single" w:sz="12" w:space="0" w:color="95B3D7"/>
              <w:right w:val="single" w:sz="8" w:space="0" w:color="B8CCE4"/>
            </w:tcBorders>
            <w:shd w:val="clear" w:color="000000" w:fill="365F91"/>
            <w:vAlign w:val="center"/>
            <w:hideMark/>
          </w:tcPr>
          <w:p w:rsidR="00A35358" w:rsidRPr="00111DC1" w:rsidRDefault="00A35358" w:rsidP="00A35358">
            <w:pPr>
              <w:spacing w:before="0" w:line="240" w:lineRule="auto"/>
              <w:jc w:val="center"/>
              <w:rPr>
                <w:color w:val="FFFFFF"/>
                <w:sz w:val="16"/>
                <w:szCs w:val="16"/>
              </w:rPr>
            </w:pPr>
            <w:r w:rsidRPr="00111DC1">
              <w:rPr>
                <w:color w:val="FFFFFF"/>
                <w:sz w:val="16"/>
                <w:szCs w:val="16"/>
              </w:rPr>
              <w:t>Diferenca në % me planin fillestar</w:t>
            </w:r>
          </w:p>
        </w:tc>
        <w:tc>
          <w:tcPr>
            <w:tcW w:w="1528" w:type="dxa"/>
            <w:gridSpan w:val="2"/>
            <w:tcBorders>
              <w:top w:val="single" w:sz="8" w:space="0" w:color="B8CCE4"/>
              <w:left w:val="nil"/>
              <w:bottom w:val="single" w:sz="12" w:space="0" w:color="95B3D7"/>
              <w:right w:val="single" w:sz="8" w:space="0" w:color="B8CCE4"/>
            </w:tcBorders>
            <w:shd w:val="clear" w:color="000000" w:fill="365F91"/>
            <w:vAlign w:val="center"/>
            <w:hideMark/>
          </w:tcPr>
          <w:p w:rsidR="00A35358" w:rsidRPr="00111DC1" w:rsidRDefault="00A35358" w:rsidP="00A35358">
            <w:pPr>
              <w:spacing w:before="0" w:line="240" w:lineRule="auto"/>
              <w:jc w:val="center"/>
              <w:rPr>
                <w:color w:val="FFFFFF"/>
                <w:sz w:val="16"/>
                <w:szCs w:val="16"/>
              </w:rPr>
            </w:pPr>
            <w:r w:rsidRPr="00111DC1">
              <w:rPr>
                <w:color w:val="FFFFFF"/>
                <w:sz w:val="16"/>
                <w:szCs w:val="16"/>
              </w:rPr>
              <w:t>Diferenca në % me planin e rishikuar</w:t>
            </w:r>
          </w:p>
        </w:tc>
      </w:tr>
      <w:tr w:rsidR="00A35358" w:rsidRPr="00111DC1" w:rsidTr="00A35358">
        <w:trPr>
          <w:trHeight w:val="257"/>
          <w:jc w:val="center"/>
        </w:trPr>
        <w:tc>
          <w:tcPr>
            <w:tcW w:w="2362" w:type="dxa"/>
            <w:tcBorders>
              <w:top w:val="nil"/>
              <w:left w:val="single" w:sz="8" w:space="0" w:color="B8CCE4"/>
              <w:bottom w:val="single" w:sz="8" w:space="0" w:color="B8CCE4"/>
              <w:right w:val="single" w:sz="8" w:space="0" w:color="B8CCE4"/>
            </w:tcBorders>
            <w:shd w:val="clear" w:color="000000" w:fill="365F91"/>
            <w:vAlign w:val="center"/>
            <w:hideMark/>
          </w:tcPr>
          <w:p w:rsidR="00A35358" w:rsidRPr="00111DC1" w:rsidRDefault="00A35358" w:rsidP="00A35358">
            <w:pPr>
              <w:spacing w:before="0" w:line="240" w:lineRule="auto"/>
              <w:jc w:val="center"/>
              <w:rPr>
                <w:b/>
                <w:bCs/>
                <w:i/>
                <w:iCs/>
                <w:color w:val="FFFFFF"/>
                <w:sz w:val="16"/>
                <w:szCs w:val="16"/>
              </w:rPr>
            </w:pPr>
            <w:r w:rsidRPr="00111DC1">
              <w:rPr>
                <w:b/>
                <w:bCs/>
                <w:i/>
                <w:iCs/>
                <w:color w:val="FFFFFF"/>
                <w:sz w:val="16"/>
                <w:szCs w:val="16"/>
                <w:lang w:val="sq-AL"/>
              </w:rPr>
              <w:t>(në mijë lekë)</w:t>
            </w:r>
          </w:p>
        </w:tc>
        <w:tc>
          <w:tcPr>
            <w:tcW w:w="986" w:type="dxa"/>
            <w:tcBorders>
              <w:top w:val="nil"/>
              <w:left w:val="nil"/>
              <w:bottom w:val="single" w:sz="8" w:space="0" w:color="B8CCE4"/>
              <w:right w:val="single" w:sz="8" w:space="0" w:color="B8CCE4"/>
            </w:tcBorders>
            <w:shd w:val="clear" w:color="000000" w:fill="365F91"/>
            <w:vAlign w:val="center"/>
            <w:hideMark/>
          </w:tcPr>
          <w:p w:rsidR="00A35358" w:rsidRPr="00111DC1" w:rsidRDefault="00A35358" w:rsidP="00A35358">
            <w:pPr>
              <w:spacing w:before="0" w:line="240" w:lineRule="auto"/>
              <w:jc w:val="center"/>
              <w:rPr>
                <w:b/>
                <w:bCs/>
                <w:color w:val="FFFFFF"/>
                <w:sz w:val="16"/>
                <w:szCs w:val="16"/>
              </w:rPr>
            </w:pPr>
            <w:r w:rsidRPr="00111DC1">
              <w:rPr>
                <w:b/>
                <w:bCs/>
                <w:color w:val="FFFFFF"/>
                <w:sz w:val="16"/>
                <w:szCs w:val="16"/>
                <w:lang w:val="sq-AL"/>
              </w:rPr>
              <w:t>Korrente</w:t>
            </w:r>
          </w:p>
        </w:tc>
        <w:tc>
          <w:tcPr>
            <w:tcW w:w="989" w:type="dxa"/>
            <w:tcBorders>
              <w:top w:val="nil"/>
              <w:left w:val="nil"/>
              <w:bottom w:val="single" w:sz="8" w:space="0" w:color="B8CCE4"/>
              <w:right w:val="single" w:sz="8" w:space="0" w:color="B8CCE4"/>
            </w:tcBorders>
            <w:shd w:val="clear" w:color="000000" w:fill="365F91"/>
            <w:vAlign w:val="center"/>
            <w:hideMark/>
          </w:tcPr>
          <w:p w:rsidR="00A35358" w:rsidRPr="00111DC1" w:rsidRDefault="00A35358" w:rsidP="00A35358">
            <w:pPr>
              <w:spacing w:before="0" w:line="240" w:lineRule="auto"/>
              <w:jc w:val="center"/>
              <w:rPr>
                <w:b/>
                <w:bCs/>
                <w:color w:val="FFFFFF"/>
                <w:sz w:val="16"/>
                <w:szCs w:val="16"/>
              </w:rPr>
            </w:pPr>
            <w:r w:rsidRPr="00111DC1">
              <w:rPr>
                <w:b/>
                <w:bCs/>
                <w:color w:val="FFFFFF"/>
                <w:sz w:val="16"/>
                <w:szCs w:val="16"/>
                <w:lang w:val="sq-AL"/>
              </w:rPr>
              <w:t>Investime</w:t>
            </w:r>
          </w:p>
        </w:tc>
        <w:tc>
          <w:tcPr>
            <w:tcW w:w="995" w:type="dxa"/>
            <w:tcBorders>
              <w:top w:val="nil"/>
              <w:left w:val="nil"/>
              <w:bottom w:val="single" w:sz="8" w:space="0" w:color="B8CCE4"/>
              <w:right w:val="single" w:sz="8" w:space="0" w:color="B8CCE4"/>
            </w:tcBorders>
            <w:shd w:val="clear" w:color="000000" w:fill="365F91"/>
            <w:vAlign w:val="center"/>
            <w:hideMark/>
          </w:tcPr>
          <w:p w:rsidR="00A35358" w:rsidRPr="00111DC1" w:rsidRDefault="00A35358" w:rsidP="00A35358">
            <w:pPr>
              <w:spacing w:before="0" w:line="240" w:lineRule="auto"/>
              <w:jc w:val="center"/>
              <w:rPr>
                <w:b/>
                <w:bCs/>
                <w:color w:val="FFFFFF"/>
                <w:sz w:val="16"/>
                <w:szCs w:val="16"/>
              </w:rPr>
            </w:pPr>
            <w:r w:rsidRPr="00111DC1">
              <w:rPr>
                <w:b/>
                <w:bCs/>
                <w:color w:val="FFFFFF"/>
                <w:sz w:val="16"/>
                <w:szCs w:val="16"/>
                <w:lang w:val="sq-AL"/>
              </w:rPr>
              <w:t>Korrente</w:t>
            </w:r>
          </w:p>
        </w:tc>
        <w:tc>
          <w:tcPr>
            <w:tcW w:w="900" w:type="dxa"/>
            <w:tcBorders>
              <w:top w:val="nil"/>
              <w:left w:val="nil"/>
              <w:bottom w:val="single" w:sz="8" w:space="0" w:color="B8CCE4"/>
              <w:right w:val="single" w:sz="8" w:space="0" w:color="B8CCE4"/>
            </w:tcBorders>
            <w:shd w:val="clear" w:color="000000" w:fill="365F91"/>
            <w:vAlign w:val="center"/>
            <w:hideMark/>
          </w:tcPr>
          <w:p w:rsidR="00A35358" w:rsidRPr="00111DC1" w:rsidRDefault="00A35358" w:rsidP="00A35358">
            <w:pPr>
              <w:spacing w:before="0" w:line="240" w:lineRule="auto"/>
              <w:jc w:val="center"/>
              <w:rPr>
                <w:b/>
                <w:bCs/>
                <w:color w:val="FFFFFF"/>
                <w:sz w:val="16"/>
                <w:szCs w:val="16"/>
              </w:rPr>
            </w:pPr>
            <w:r w:rsidRPr="00111DC1">
              <w:rPr>
                <w:b/>
                <w:bCs/>
                <w:color w:val="FFFFFF"/>
                <w:sz w:val="16"/>
                <w:szCs w:val="16"/>
                <w:lang w:val="sq-AL"/>
              </w:rPr>
              <w:t>Investime</w:t>
            </w:r>
          </w:p>
        </w:tc>
        <w:tc>
          <w:tcPr>
            <w:tcW w:w="990" w:type="dxa"/>
            <w:tcBorders>
              <w:top w:val="nil"/>
              <w:left w:val="nil"/>
              <w:bottom w:val="single" w:sz="8" w:space="0" w:color="B8CCE4"/>
              <w:right w:val="single" w:sz="8" w:space="0" w:color="B8CCE4"/>
            </w:tcBorders>
            <w:shd w:val="clear" w:color="000000" w:fill="365F91"/>
            <w:vAlign w:val="center"/>
            <w:hideMark/>
          </w:tcPr>
          <w:p w:rsidR="00A35358" w:rsidRPr="00111DC1" w:rsidRDefault="00A35358" w:rsidP="00A35358">
            <w:pPr>
              <w:spacing w:before="0" w:line="240" w:lineRule="auto"/>
              <w:jc w:val="center"/>
              <w:rPr>
                <w:b/>
                <w:bCs/>
                <w:color w:val="FFFFFF"/>
                <w:sz w:val="16"/>
                <w:szCs w:val="16"/>
              </w:rPr>
            </w:pPr>
            <w:r w:rsidRPr="00111DC1">
              <w:rPr>
                <w:b/>
                <w:bCs/>
                <w:color w:val="FFFFFF"/>
                <w:sz w:val="16"/>
                <w:szCs w:val="16"/>
                <w:lang w:val="sq-AL"/>
              </w:rPr>
              <w:t>Korrente</w:t>
            </w:r>
          </w:p>
        </w:tc>
        <w:tc>
          <w:tcPr>
            <w:tcW w:w="990" w:type="dxa"/>
            <w:tcBorders>
              <w:top w:val="nil"/>
              <w:left w:val="nil"/>
              <w:bottom w:val="single" w:sz="8" w:space="0" w:color="B8CCE4"/>
              <w:right w:val="single" w:sz="8" w:space="0" w:color="B8CCE4"/>
            </w:tcBorders>
            <w:shd w:val="clear" w:color="000000" w:fill="365F91"/>
            <w:vAlign w:val="center"/>
            <w:hideMark/>
          </w:tcPr>
          <w:p w:rsidR="00A35358" w:rsidRPr="00111DC1" w:rsidRDefault="00A35358" w:rsidP="00A35358">
            <w:pPr>
              <w:spacing w:before="0" w:line="240" w:lineRule="auto"/>
              <w:jc w:val="center"/>
              <w:rPr>
                <w:b/>
                <w:bCs/>
                <w:color w:val="FFFFFF"/>
                <w:sz w:val="16"/>
                <w:szCs w:val="16"/>
              </w:rPr>
            </w:pPr>
            <w:r w:rsidRPr="00111DC1">
              <w:rPr>
                <w:b/>
                <w:bCs/>
                <w:color w:val="FFFFFF"/>
                <w:sz w:val="16"/>
                <w:szCs w:val="16"/>
                <w:lang w:val="sq-AL"/>
              </w:rPr>
              <w:t>Investime</w:t>
            </w:r>
          </w:p>
        </w:tc>
        <w:tc>
          <w:tcPr>
            <w:tcW w:w="622" w:type="dxa"/>
            <w:tcBorders>
              <w:top w:val="nil"/>
              <w:left w:val="nil"/>
              <w:bottom w:val="single" w:sz="8" w:space="0" w:color="B8CCE4"/>
              <w:right w:val="single" w:sz="8" w:space="0" w:color="B8CCE4"/>
            </w:tcBorders>
            <w:shd w:val="clear" w:color="000000" w:fill="365F91"/>
            <w:vAlign w:val="center"/>
            <w:hideMark/>
          </w:tcPr>
          <w:p w:rsidR="00A35358" w:rsidRPr="00111DC1" w:rsidRDefault="00A35358" w:rsidP="00A35358">
            <w:pPr>
              <w:spacing w:before="0" w:line="240" w:lineRule="auto"/>
              <w:jc w:val="center"/>
              <w:rPr>
                <w:b/>
                <w:bCs/>
                <w:color w:val="FFFFFF"/>
                <w:sz w:val="16"/>
                <w:szCs w:val="16"/>
              </w:rPr>
            </w:pPr>
            <w:r w:rsidRPr="00111DC1">
              <w:rPr>
                <w:b/>
                <w:bCs/>
                <w:color w:val="FFFFFF"/>
                <w:sz w:val="16"/>
                <w:szCs w:val="16"/>
                <w:lang w:val="sq-AL"/>
              </w:rPr>
              <w:t>Korr.</w:t>
            </w:r>
          </w:p>
        </w:tc>
        <w:tc>
          <w:tcPr>
            <w:tcW w:w="719" w:type="dxa"/>
            <w:tcBorders>
              <w:top w:val="nil"/>
              <w:left w:val="nil"/>
              <w:bottom w:val="single" w:sz="8" w:space="0" w:color="B8CCE4"/>
              <w:right w:val="single" w:sz="8" w:space="0" w:color="B8CCE4"/>
            </w:tcBorders>
            <w:shd w:val="clear" w:color="000000" w:fill="365F91"/>
            <w:vAlign w:val="center"/>
            <w:hideMark/>
          </w:tcPr>
          <w:p w:rsidR="00A35358" w:rsidRPr="00111DC1" w:rsidRDefault="00A35358" w:rsidP="00A35358">
            <w:pPr>
              <w:spacing w:before="0" w:line="240" w:lineRule="auto"/>
              <w:jc w:val="center"/>
              <w:rPr>
                <w:color w:val="FFFFFF"/>
                <w:sz w:val="16"/>
                <w:szCs w:val="16"/>
              </w:rPr>
            </w:pPr>
            <w:r w:rsidRPr="00111DC1">
              <w:rPr>
                <w:color w:val="FFFFFF"/>
                <w:sz w:val="16"/>
                <w:szCs w:val="16"/>
                <w:lang w:val="sq-AL"/>
              </w:rPr>
              <w:t>Inv.</w:t>
            </w:r>
          </w:p>
        </w:tc>
        <w:tc>
          <w:tcPr>
            <w:tcW w:w="809" w:type="dxa"/>
            <w:tcBorders>
              <w:top w:val="nil"/>
              <w:left w:val="nil"/>
              <w:bottom w:val="single" w:sz="8" w:space="0" w:color="B8CCE4"/>
              <w:right w:val="single" w:sz="8" w:space="0" w:color="B8CCE4"/>
            </w:tcBorders>
            <w:shd w:val="clear" w:color="000000" w:fill="365F91"/>
            <w:vAlign w:val="center"/>
            <w:hideMark/>
          </w:tcPr>
          <w:p w:rsidR="00A35358" w:rsidRPr="00111DC1" w:rsidRDefault="00A35358" w:rsidP="00A35358">
            <w:pPr>
              <w:spacing w:before="0" w:line="240" w:lineRule="auto"/>
              <w:jc w:val="center"/>
              <w:rPr>
                <w:b/>
                <w:bCs/>
                <w:color w:val="FFFFFF"/>
                <w:sz w:val="16"/>
                <w:szCs w:val="16"/>
              </w:rPr>
            </w:pPr>
            <w:r w:rsidRPr="00111DC1">
              <w:rPr>
                <w:b/>
                <w:bCs/>
                <w:color w:val="FFFFFF"/>
                <w:sz w:val="16"/>
                <w:szCs w:val="16"/>
                <w:lang w:val="sq-AL"/>
              </w:rPr>
              <w:t>Korr.</w:t>
            </w:r>
          </w:p>
        </w:tc>
        <w:tc>
          <w:tcPr>
            <w:tcW w:w="719" w:type="dxa"/>
            <w:tcBorders>
              <w:top w:val="nil"/>
              <w:left w:val="nil"/>
              <w:bottom w:val="single" w:sz="8" w:space="0" w:color="B8CCE4"/>
              <w:right w:val="single" w:sz="8" w:space="0" w:color="B8CCE4"/>
            </w:tcBorders>
            <w:shd w:val="clear" w:color="000000" w:fill="365F91"/>
            <w:vAlign w:val="center"/>
            <w:hideMark/>
          </w:tcPr>
          <w:p w:rsidR="00A35358" w:rsidRPr="00111DC1" w:rsidRDefault="00A35358" w:rsidP="00A35358">
            <w:pPr>
              <w:spacing w:before="0" w:line="240" w:lineRule="auto"/>
              <w:jc w:val="center"/>
              <w:rPr>
                <w:b/>
                <w:bCs/>
                <w:color w:val="FFFFFF"/>
                <w:sz w:val="16"/>
                <w:szCs w:val="16"/>
              </w:rPr>
            </w:pPr>
            <w:r w:rsidRPr="00111DC1">
              <w:rPr>
                <w:b/>
                <w:bCs/>
                <w:color w:val="FFFFFF"/>
                <w:sz w:val="16"/>
                <w:szCs w:val="16"/>
                <w:lang w:val="sq-AL"/>
              </w:rPr>
              <w:t>Inv.</w:t>
            </w:r>
          </w:p>
        </w:tc>
      </w:tr>
      <w:tr w:rsidR="00A35358" w:rsidRPr="00111DC1" w:rsidTr="00A35358">
        <w:trPr>
          <w:trHeight w:val="391"/>
          <w:jc w:val="center"/>
        </w:trPr>
        <w:tc>
          <w:tcPr>
            <w:tcW w:w="2362" w:type="dxa"/>
            <w:tcBorders>
              <w:top w:val="nil"/>
              <w:left w:val="single" w:sz="8" w:space="0" w:color="B8CCE4"/>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b/>
                <w:bCs/>
                <w:color w:val="000000"/>
                <w:sz w:val="16"/>
                <w:szCs w:val="16"/>
              </w:rPr>
            </w:pPr>
            <w:r w:rsidRPr="00111DC1">
              <w:rPr>
                <w:b/>
                <w:bCs/>
                <w:color w:val="000000"/>
                <w:sz w:val="16"/>
                <w:szCs w:val="16"/>
                <w:lang w:val="sq-AL"/>
              </w:rPr>
              <w:t>Planifikimi, Menaxhimi dhe Administrimi</w:t>
            </w:r>
          </w:p>
        </w:tc>
        <w:tc>
          <w:tcPr>
            <w:tcW w:w="986"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1,190,300</w:t>
            </w:r>
          </w:p>
        </w:tc>
        <w:tc>
          <w:tcPr>
            <w:tcW w:w="989"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120,000</w:t>
            </w:r>
          </w:p>
        </w:tc>
        <w:tc>
          <w:tcPr>
            <w:tcW w:w="995"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1,458,761</w:t>
            </w:r>
          </w:p>
        </w:tc>
        <w:tc>
          <w:tcPr>
            <w:tcW w:w="900"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0</w:t>
            </w:r>
          </w:p>
        </w:tc>
        <w:tc>
          <w:tcPr>
            <w:tcW w:w="990"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1,431,535</w:t>
            </w:r>
          </w:p>
        </w:tc>
        <w:tc>
          <w:tcPr>
            <w:tcW w:w="990"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0</w:t>
            </w:r>
          </w:p>
        </w:tc>
        <w:tc>
          <w:tcPr>
            <w:tcW w:w="622"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rFonts w:cs="Calibri"/>
                <w:color w:val="000000"/>
                <w:sz w:val="16"/>
                <w:szCs w:val="16"/>
              </w:rPr>
              <w:t>120%</w:t>
            </w:r>
          </w:p>
        </w:tc>
        <w:tc>
          <w:tcPr>
            <w:tcW w:w="719"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rFonts w:cs="Calibri"/>
                <w:color w:val="000000"/>
                <w:sz w:val="16"/>
                <w:szCs w:val="16"/>
              </w:rPr>
              <w:t>0%</w:t>
            </w:r>
          </w:p>
        </w:tc>
        <w:tc>
          <w:tcPr>
            <w:tcW w:w="809"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rFonts w:cs="Calibri"/>
                <w:color w:val="000000"/>
                <w:sz w:val="16"/>
                <w:szCs w:val="16"/>
              </w:rPr>
              <w:t>98%</w:t>
            </w:r>
          </w:p>
        </w:tc>
        <w:tc>
          <w:tcPr>
            <w:tcW w:w="719"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p>
        </w:tc>
      </w:tr>
      <w:tr w:rsidR="00A35358" w:rsidRPr="00111DC1" w:rsidTr="00A35358">
        <w:trPr>
          <w:trHeight w:val="246"/>
          <w:jc w:val="center"/>
        </w:trPr>
        <w:tc>
          <w:tcPr>
            <w:tcW w:w="2362" w:type="dxa"/>
            <w:tcBorders>
              <w:top w:val="nil"/>
              <w:left w:val="single" w:sz="8" w:space="0" w:color="B8CCE4"/>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b/>
                <w:bCs/>
                <w:color w:val="000000"/>
                <w:sz w:val="16"/>
                <w:szCs w:val="16"/>
              </w:rPr>
            </w:pPr>
            <w:r w:rsidRPr="00111DC1">
              <w:rPr>
                <w:b/>
                <w:bCs/>
                <w:color w:val="000000"/>
                <w:sz w:val="16"/>
                <w:szCs w:val="16"/>
                <w:lang w:val="sq-AL"/>
              </w:rPr>
              <w:t>Forcat e Luftimit</w:t>
            </w:r>
          </w:p>
        </w:tc>
        <w:tc>
          <w:tcPr>
            <w:tcW w:w="986"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5,670,000</w:t>
            </w:r>
          </w:p>
        </w:tc>
        <w:tc>
          <w:tcPr>
            <w:tcW w:w="989"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3,057,500</w:t>
            </w:r>
          </w:p>
        </w:tc>
        <w:tc>
          <w:tcPr>
            <w:tcW w:w="995"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5,442,650</w:t>
            </w:r>
          </w:p>
        </w:tc>
        <w:tc>
          <w:tcPr>
            <w:tcW w:w="900"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3,884,200</w:t>
            </w:r>
          </w:p>
        </w:tc>
        <w:tc>
          <w:tcPr>
            <w:tcW w:w="990"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4,672,630</w:t>
            </w:r>
          </w:p>
        </w:tc>
        <w:tc>
          <w:tcPr>
            <w:tcW w:w="990"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3,657,367</w:t>
            </w:r>
          </w:p>
        </w:tc>
        <w:tc>
          <w:tcPr>
            <w:tcW w:w="622"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lang w:val="sq-AL"/>
              </w:rPr>
              <w:t>82%</w:t>
            </w:r>
          </w:p>
        </w:tc>
        <w:tc>
          <w:tcPr>
            <w:tcW w:w="719"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lang w:val="sq-AL"/>
              </w:rPr>
              <w:t>120%</w:t>
            </w:r>
          </w:p>
        </w:tc>
        <w:tc>
          <w:tcPr>
            <w:tcW w:w="809"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rFonts w:cs="Calibri"/>
                <w:color w:val="000000"/>
                <w:sz w:val="16"/>
                <w:szCs w:val="16"/>
              </w:rPr>
              <w:t>86%</w:t>
            </w:r>
          </w:p>
        </w:tc>
        <w:tc>
          <w:tcPr>
            <w:tcW w:w="719"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94%</w:t>
            </w:r>
          </w:p>
        </w:tc>
      </w:tr>
      <w:tr w:rsidR="00A35358" w:rsidRPr="00111DC1" w:rsidTr="00A35358">
        <w:trPr>
          <w:trHeight w:val="246"/>
          <w:jc w:val="center"/>
        </w:trPr>
        <w:tc>
          <w:tcPr>
            <w:tcW w:w="2362" w:type="dxa"/>
            <w:tcBorders>
              <w:top w:val="nil"/>
              <w:left w:val="single" w:sz="8" w:space="0" w:color="B8CCE4"/>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b/>
                <w:bCs/>
                <w:color w:val="000000"/>
                <w:sz w:val="16"/>
                <w:szCs w:val="16"/>
              </w:rPr>
            </w:pPr>
            <w:r w:rsidRPr="00111DC1">
              <w:rPr>
                <w:b/>
                <w:bCs/>
                <w:color w:val="000000"/>
                <w:sz w:val="16"/>
                <w:szCs w:val="16"/>
                <w:lang w:val="sq-AL"/>
              </w:rPr>
              <w:t>Mbështetja e Luftimit</w:t>
            </w:r>
          </w:p>
        </w:tc>
        <w:tc>
          <w:tcPr>
            <w:tcW w:w="986"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5,536,000</w:t>
            </w:r>
          </w:p>
        </w:tc>
        <w:tc>
          <w:tcPr>
            <w:tcW w:w="989"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961,375</w:t>
            </w:r>
          </w:p>
        </w:tc>
        <w:tc>
          <w:tcPr>
            <w:tcW w:w="995"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5,392,772</w:t>
            </w:r>
          </w:p>
        </w:tc>
        <w:tc>
          <w:tcPr>
            <w:tcW w:w="900"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511,280</w:t>
            </w:r>
          </w:p>
        </w:tc>
        <w:tc>
          <w:tcPr>
            <w:tcW w:w="990"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5,274,217</w:t>
            </w:r>
          </w:p>
        </w:tc>
        <w:tc>
          <w:tcPr>
            <w:tcW w:w="990"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424,517</w:t>
            </w:r>
          </w:p>
        </w:tc>
        <w:tc>
          <w:tcPr>
            <w:tcW w:w="622"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lang w:val="sq-AL"/>
              </w:rPr>
              <w:t>95%</w:t>
            </w:r>
          </w:p>
        </w:tc>
        <w:tc>
          <w:tcPr>
            <w:tcW w:w="719"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lang w:val="sq-AL"/>
              </w:rPr>
              <w:t>44%</w:t>
            </w:r>
          </w:p>
        </w:tc>
        <w:tc>
          <w:tcPr>
            <w:tcW w:w="809"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rFonts w:cs="Calibri"/>
                <w:color w:val="000000"/>
                <w:sz w:val="16"/>
                <w:szCs w:val="16"/>
              </w:rPr>
              <w:t>98%</w:t>
            </w:r>
          </w:p>
        </w:tc>
        <w:tc>
          <w:tcPr>
            <w:tcW w:w="719"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83%</w:t>
            </w:r>
          </w:p>
        </w:tc>
      </w:tr>
      <w:tr w:rsidR="00A35358" w:rsidRPr="00111DC1" w:rsidTr="00A35358">
        <w:trPr>
          <w:trHeight w:val="246"/>
          <w:jc w:val="center"/>
        </w:trPr>
        <w:tc>
          <w:tcPr>
            <w:tcW w:w="2362" w:type="dxa"/>
            <w:tcBorders>
              <w:top w:val="nil"/>
              <w:left w:val="single" w:sz="8" w:space="0" w:color="B8CCE4"/>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b/>
                <w:bCs/>
                <w:color w:val="000000"/>
                <w:sz w:val="16"/>
                <w:szCs w:val="16"/>
              </w:rPr>
            </w:pPr>
            <w:r w:rsidRPr="00111DC1">
              <w:rPr>
                <w:b/>
                <w:bCs/>
                <w:color w:val="000000"/>
                <w:sz w:val="16"/>
                <w:szCs w:val="16"/>
                <w:lang w:val="sq-AL"/>
              </w:rPr>
              <w:t>Arsimi ushtarak</w:t>
            </w:r>
          </w:p>
        </w:tc>
        <w:tc>
          <w:tcPr>
            <w:tcW w:w="986"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620,000</w:t>
            </w:r>
          </w:p>
        </w:tc>
        <w:tc>
          <w:tcPr>
            <w:tcW w:w="989"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251,625</w:t>
            </w:r>
          </w:p>
        </w:tc>
        <w:tc>
          <w:tcPr>
            <w:tcW w:w="995"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683,386</w:t>
            </w:r>
          </w:p>
        </w:tc>
        <w:tc>
          <w:tcPr>
            <w:tcW w:w="900"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25,275</w:t>
            </w:r>
          </w:p>
        </w:tc>
        <w:tc>
          <w:tcPr>
            <w:tcW w:w="990"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646,756</w:t>
            </w:r>
          </w:p>
        </w:tc>
        <w:tc>
          <w:tcPr>
            <w:tcW w:w="990"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22,798</w:t>
            </w:r>
          </w:p>
        </w:tc>
        <w:tc>
          <w:tcPr>
            <w:tcW w:w="622"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lang w:val="sq-AL"/>
              </w:rPr>
              <w:t>104%</w:t>
            </w:r>
          </w:p>
        </w:tc>
        <w:tc>
          <w:tcPr>
            <w:tcW w:w="719"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lang w:val="sq-AL"/>
              </w:rPr>
              <w:t>9%</w:t>
            </w:r>
          </w:p>
        </w:tc>
        <w:tc>
          <w:tcPr>
            <w:tcW w:w="809"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rFonts w:cs="Calibri"/>
                <w:color w:val="000000"/>
                <w:sz w:val="16"/>
                <w:szCs w:val="16"/>
              </w:rPr>
              <w:t>95%</w:t>
            </w:r>
          </w:p>
        </w:tc>
        <w:tc>
          <w:tcPr>
            <w:tcW w:w="719"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90%</w:t>
            </w:r>
          </w:p>
        </w:tc>
      </w:tr>
      <w:tr w:rsidR="00A35358" w:rsidRPr="00111DC1" w:rsidTr="00A35358">
        <w:trPr>
          <w:trHeight w:val="391"/>
          <w:jc w:val="center"/>
        </w:trPr>
        <w:tc>
          <w:tcPr>
            <w:tcW w:w="2362" w:type="dxa"/>
            <w:tcBorders>
              <w:top w:val="nil"/>
              <w:left w:val="single" w:sz="8" w:space="0" w:color="B8CCE4"/>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b/>
                <w:bCs/>
                <w:color w:val="000000"/>
                <w:sz w:val="16"/>
                <w:szCs w:val="16"/>
              </w:rPr>
            </w:pPr>
            <w:r w:rsidRPr="00111DC1">
              <w:rPr>
                <w:b/>
                <w:bCs/>
                <w:color w:val="000000"/>
                <w:sz w:val="16"/>
                <w:szCs w:val="16"/>
                <w:lang w:val="sq-AL"/>
              </w:rPr>
              <w:t>Mbështetje për Shëndetësinë</w:t>
            </w:r>
          </w:p>
        </w:tc>
        <w:tc>
          <w:tcPr>
            <w:tcW w:w="986"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1,016,000</w:t>
            </w:r>
          </w:p>
        </w:tc>
        <w:tc>
          <w:tcPr>
            <w:tcW w:w="989"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200,000</w:t>
            </w:r>
          </w:p>
        </w:tc>
        <w:tc>
          <w:tcPr>
            <w:tcW w:w="995"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1,184,834</w:t>
            </w:r>
          </w:p>
        </w:tc>
        <w:tc>
          <w:tcPr>
            <w:tcW w:w="900"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200,000</w:t>
            </w:r>
          </w:p>
        </w:tc>
        <w:tc>
          <w:tcPr>
            <w:tcW w:w="990"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1,144,531</w:t>
            </w:r>
          </w:p>
        </w:tc>
        <w:tc>
          <w:tcPr>
            <w:tcW w:w="990"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160,819</w:t>
            </w:r>
          </w:p>
        </w:tc>
        <w:tc>
          <w:tcPr>
            <w:tcW w:w="622"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lang w:val="sq-AL"/>
              </w:rPr>
              <w:t>113%</w:t>
            </w:r>
          </w:p>
        </w:tc>
        <w:tc>
          <w:tcPr>
            <w:tcW w:w="719"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lang w:val="sq-AL"/>
              </w:rPr>
              <w:t>80%</w:t>
            </w:r>
          </w:p>
        </w:tc>
        <w:tc>
          <w:tcPr>
            <w:tcW w:w="809"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rFonts w:cs="Calibri"/>
                <w:color w:val="000000"/>
                <w:sz w:val="16"/>
                <w:szCs w:val="16"/>
              </w:rPr>
              <w:t>97%</w:t>
            </w:r>
          </w:p>
        </w:tc>
        <w:tc>
          <w:tcPr>
            <w:tcW w:w="719"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80%</w:t>
            </w:r>
          </w:p>
        </w:tc>
      </w:tr>
      <w:tr w:rsidR="00A35358" w:rsidRPr="00111DC1" w:rsidTr="00A35358">
        <w:trPr>
          <w:trHeight w:val="391"/>
          <w:jc w:val="center"/>
        </w:trPr>
        <w:tc>
          <w:tcPr>
            <w:tcW w:w="2362" w:type="dxa"/>
            <w:tcBorders>
              <w:top w:val="nil"/>
              <w:left w:val="single" w:sz="8" w:space="0" w:color="B8CCE4"/>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b/>
                <w:bCs/>
                <w:color w:val="000000"/>
                <w:sz w:val="16"/>
                <w:szCs w:val="16"/>
              </w:rPr>
            </w:pPr>
            <w:r w:rsidRPr="00111DC1">
              <w:rPr>
                <w:b/>
                <w:bCs/>
                <w:color w:val="000000"/>
                <w:sz w:val="16"/>
                <w:szCs w:val="16"/>
                <w:lang w:val="sq-AL"/>
              </w:rPr>
              <w:t>Mbështetje Sociale për Ushtarakët (sig shoq)</w:t>
            </w:r>
          </w:p>
        </w:tc>
        <w:tc>
          <w:tcPr>
            <w:tcW w:w="986"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5,200,000</w:t>
            </w:r>
          </w:p>
        </w:tc>
        <w:tc>
          <w:tcPr>
            <w:tcW w:w="989"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rFonts w:cs="Calibri"/>
                <w:color w:val="000000"/>
                <w:sz w:val="16"/>
                <w:szCs w:val="16"/>
              </w:rPr>
              <w:t>0</w:t>
            </w:r>
          </w:p>
        </w:tc>
        <w:tc>
          <w:tcPr>
            <w:tcW w:w="995"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5,308,200</w:t>
            </w:r>
          </w:p>
        </w:tc>
        <w:tc>
          <w:tcPr>
            <w:tcW w:w="900"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0</w:t>
            </w:r>
          </w:p>
        </w:tc>
        <w:tc>
          <w:tcPr>
            <w:tcW w:w="990"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5,308,200</w:t>
            </w:r>
          </w:p>
        </w:tc>
        <w:tc>
          <w:tcPr>
            <w:tcW w:w="990"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0</w:t>
            </w:r>
          </w:p>
        </w:tc>
        <w:tc>
          <w:tcPr>
            <w:tcW w:w="622"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lang w:val="sq-AL"/>
              </w:rPr>
              <w:t>102%</w:t>
            </w:r>
          </w:p>
        </w:tc>
        <w:tc>
          <w:tcPr>
            <w:tcW w:w="719"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p>
        </w:tc>
        <w:tc>
          <w:tcPr>
            <w:tcW w:w="809"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rFonts w:cs="Calibri"/>
                <w:color w:val="000000"/>
                <w:sz w:val="16"/>
                <w:szCs w:val="16"/>
              </w:rPr>
              <w:t>100%</w:t>
            </w:r>
          </w:p>
        </w:tc>
        <w:tc>
          <w:tcPr>
            <w:tcW w:w="719"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p>
        </w:tc>
      </w:tr>
      <w:tr w:rsidR="00A35358" w:rsidRPr="00111DC1" w:rsidTr="00A35358">
        <w:trPr>
          <w:trHeight w:val="246"/>
          <w:jc w:val="center"/>
        </w:trPr>
        <w:tc>
          <w:tcPr>
            <w:tcW w:w="2362" w:type="dxa"/>
            <w:tcBorders>
              <w:top w:val="nil"/>
              <w:left w:val="single" w:sz="8" w:space="0" w:color="B8CCE4"/>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b/>
                <w:bCs/>
                <w:color w:val="000000"/>
                <w:sz w:val="16"/>
                <w:szCs w:val="16"/>
              </w:rPr>
            </w:pPr>
            <w:r w:rsidRPr="00111DC1">
              <w:rPr>
                <w:b/>
                <w:bCs/>
                <w:color w:val="000000"/>
                <w:sz w:val="16"/>
                <w:szCs w:val="16"/>
                <w:lang w:val="sq-AL"/>
              </w:rPr>
              <w:t>Emergjencat Civile</w:t>
            </w:r>
          </w:p>
        </w:tc>
        <w:tc>
          <w:tcPr>
            <w:tcW w:w="986"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396,000</w:t>
            </w:r>
          </w:p>
        </w:tc>
        <w:tc>
          <w:tcPr>
            <w:tcW w:w="989"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420,000</w:t>
            </w:r>
          </w:p>
        </w:tc>
        <w:tc>
          <w:tcPr>
            <w:tcW w:w="995"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336,694</w:t>
            </w:r>
          </w:p>
        </w:tc>
        <w:tc>
          <w:tcPr>
            <w:tcW w:w="900"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139,745</w:t>
            </w:r>
          </w:p>
        </w:tc>
        <w:tc>
          <w:tcPr>
            <w:tcW w:w="990"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271,951</w:t>
            </w:r>
          </w:p>
        </w:tc>
        <w:tc>
          <w:tcPr>
            <w:tcW w:w="990"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56,278</w:t>
            </w:r>
          </w:p>
        </w:tc>
        <w:tc>
          <w:tcPr>
            <w:tcW w:w="622"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lang w:val="sq-AL"/>
              </w:rPr>
              <w:t>69%</w:t>
            </w:r>
          </w:p>
        </w:tc>
        <w:tc>
          <w:tcPr>
            <w:tcW w:w="719"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lang w:val="sq-AL"/>
              </w:rPr>
              <w:t>13%</w:t>
            </w:r>
          </w:p>
        </w:tc>
        <w:tc>
          <w:tcPr>
            <w:tcW w:w="809"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rFonts w:cs="Calibri"/>
                <w:color w:val="000000"/>
                <w:sz w:val="16"/>
                <w:szCs w:val="16"/>
              </w:rPr>
              <w:t>81%</w:t>
            </w:r>
          </w:p>
        </w:tc>
        <w:tc>
          <w:tcPr>
            <w:tcW w:w="719"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40%</w:t>
            </w:r>
          </w:p>
        </w:tc>
      </w:tr>
      <w:tr w:rsidR="00A35358" w:rsidRPr="00111DC1" w:rsidTr="00A35358">
        <w:trPr>
          <w:trHeight w:val="246"/>
          <w:jc w:val="center"/>
        </w:trPr>
        <w:tc>
          <w:tcPr>
            <w:tcW w:w="2362" w:type="dxa"/>
            <w:tcBorders>
              <w:top w:val="nil"/>
              <w:left w:val="single" w:sz="8" w:space="0" w:color="B8CCE4"/>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b/>
                <w:bCs/>
                <w:color w:val="000000"/>
                <w:sz w:val="16"/>
                <w:szCs w:val="16"/>
              </w:rPr>
            </w:pPr>
            <w:r w:rsidRPr="00111DC1">
              <w:rPr>
                <w:b/>
                <w:bCs/>
                <w:color w:val="000000"/>
                <w:sz w:val="16"/>
                <w:szCs w:val="16"/>
              </w:rPr>
              <w:t>Financim i Huaj</w:t>
            </w:r>
          </w:p>
        </w:tc>
        <w:tc>
          <w:tcPr>
            <w:tcW w:w="986"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p>
        </w:tc>
        <w:tc>
          <w:tcPr>
            <w:tcW w:w="989"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300,000</w:t>
            </w:r>
          </w:p>
        </w:tc>
        <w:tc>
          <w:tcPr>
            <w:tcW w:w="995"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p>
        </w:tc>
        <w:tc>
          <w:tcPr>
            <w:tcW w:w="900"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300,000</w:t>
            </w:r>
          </w:p>
        </w:tc>
        <w:tc>
          <w:tcPr>
            <w:tcW w:w="990"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p>
        </w:tc>
        <w:tc>
          <w:tcPr>
            <w:tcW w:w="990"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0</w:t>
            </w:r>
          </w:p>
        </w:tc>
        <w:tc>
          <w:tcPr>
            <w:tcW w:w="622"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p>
        </w:tc>
        <w:tc>
          <w:tcPr>
            <w:tcW w:w="719"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0%</w:t>
            </w:r>
          </w:p>
        </w:tc>
        <w:tc>
          <w:tcPr>
            <w:tcW w:w="809"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p>
        </w:tc>
        <w:tc>
          <w:tcPr>
            <w:tcW w:w="719" w:type="dxa"/>
            <w:tcBorders>
              <w:top w:val="nil"/>
              <w:left w:val="nil"/>
              <w:bottom w:val="single" w:sz="8" w:space="0" w:color="B8CCE4"/>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0%</w:t>
            </w:r>
          </w:p>
        </w:tc>
      </w:tr>
      <w:tr w:rsidR="00A35358" w:rsidRPr="00111DC1" w:rsidTr="00A35358">
        <w:trPr>
          <w:trHeight w:val="246"/>
          <w:jc w:val="center"/>
        </w:trPr>
        <w:tc>
          <w:tcPr>
            <w:tcW w:w="2362" w:type="dxa"/>
            <w:tcBorders>
              <w:top w:val="nil"/>
              <w:left w:val="single" w:sz="8" w:space="0" w:color="B8CCE4"/>
              <w:bottom w:val="double" w:sz="6" w:space="0" w:color="95B3D7"/>
              <w:right w:val="single" w:sz="8" w:space="0" w:color="B8CCE4"/>
            </w:tcBorders>
            <w:shd w:val="clear" w:color="auto" w:fill="auto"/>
            <w:vAlign w:val="center"/>
            <w:hideMark/>
          </w:tcPr>
          <w:p w:rsidR="00A35358" w:rsidRPr="00111DC1" w:rsidRDefault="00A35358" w:rsidP="00A35358">
            <w:pPr>
              <w:spacing w:before="0" w:line="240" w:lineRule="auto"/>
              <w:jc w:val="center"/>
              <w:rPr>
                <w:b/>
                <w:bCs/>
                <w:i/>
                <w:iCs/>
                <w:color w:val="000000"/>
                <w:sz w:val="16"/>
                <w:szCs w:val="16"/>
              </w:rPr>
            </w:pPr>
            <w:r w:rsidRPr="00111DC1">
              <w:rPr>
                <w:rFonts w:cs="Calibri"/>
                <w:b/>
                <w:bCs/>
                <w:i/>
                <w:iCs/>
                <w:color w:val="000000"/>
                <w:sz w:val="16"/>
                <w:szCs w:val="16"/>
                <w:lang w:val="sq-AL"/>
              </w:rPr>
              <w:t>Gjithsej sipas natyrës</w:t>
            </w:r>
          </w:p>
        </w:tc>
        <w:tc>
          <w:tcPr>
            <w:tcW w:w="986" w:type="dxa"/>
            <w:tcBorders>
              <w:top w:val="nil"/>
              <w:left w:val="nil"/>
              <w:bottom w:val="double" w:sz="6" w:space="0" w:color="95B3D7"/>
              <w:right w:val="single" w:sz="8" w:space="0" w:color="B8CCE4"/>
            </w:tcBorders>
            <w:shd w:val="clear" w:color="auto" w:fill="auto"/>
            <w:vAlign w:val="center"/>
            <w:hideMark/>
          </w:tcPr>
          <w:p w:rsidR="00A35358" w:rsidRPr="00111DC1" w:rsidRDefault="00A35358" w:rsidP="00A35358">
            <w:pPr>
              <w:spacing w:before="0" w:line="240" w:lineRule="auto"/>
              <w:jc w:val="center"/>
              <w:rPr>
                <w:i/>
                <w:iCs/>
                <w:color w:val="000000"/>
                <w:sz w:val="16"/>
                <w:szCs w:val="16"/>
              </w:rPr>
            </w:pPr>
            <w:r w:rsidRPr="00111DC1">
              <w:rPr>
                <w:rFonts w:cs="Calibri"/>
                <w:i/>
                <w:iCs/>
                <w:color w:val="000000"/>
                <w:sz w:val="16"/>
                <w:szCs w:val="16"/>
              </w:rPr>
              <w:t>19,628,300</w:t>
            </w:r>
          </w:p>
        </w:tc>
        <w:tc>
          <w:tcPr>
            <w:tcW w:w="989" w:type="dxa"/>
            <w:tcBorders>
              <w:top w:val="nil"/>
              <w:left w:val="nil"/>
              <w:bottom w:val="double" w:sz="6" w:space="0" w:color="95B3D7"/>
              <w:right w:val="single" w:sz="8" w:space="0" w:color="B8CCE4"/>
            </w:tcBorders>
            <w:shd w:val="clear" w:color="auto" w:fill="auto"/>
            <w:vAlign w:val="center"/>
            <w:hideMark/>
          </w:tcPr>
          <w:p w:rsidR="00A35358" w:rsidRPr="00111DC1" w:rsidRDefault="00A35358" w:rsidP="00A35358">
            <w:pPr>
              <w:spacing w:before="0" w:line="240" w:lineRule="auto"/>
              <w:jc w:val="center"/>
              <w:rPr>
                <w:i/>
                <w:iCs/>
                <w:color w:val="000000"/>
                <w:sz w:val="16"/>
                <w:szCs w:val="16"/>
              </w:rPr>
            </w:pPr>
            <w:r w:rsidRPr="00111DC1">
              <w:rPr>
                <w:rFonts w:cs="Calibri"/>
                <w:i/>
                <w:iCs/>
                <w:color w:val="000000"/>
                <w:sz w:val="16"/>
                <w:szCs w:val="16"/>
              </w:rPr>
              <w:t>5,310,500</w:t>
            </w:r>
          </w:p>
        </w:tc>
        <w:tc>
          <w:tcPr>
            <w:tcW w:w="995" w:type="dxa"/>
            <w:tcBorders>
              <w:top w:val="nil"/>
              <w:left w:val="nil"/>
              <w:bottom w:val="double" w:sz="6" w:space="0" w:color="95B3D7"/>
              <w:right w:val="single" w:sz="8" w:space="0" w:color="B8CCE4"/>
            </w:tcBorders>
            <w:shd w:val="clear" w:color="auto" w:fill="auto"/>
            <w:vAlign w:val="center"/>
            <w:hideMark/>
          </w:tcPr>
          <w:p w:rsidR="00A35358" w:rsidRPr="00111DC1" w:rsidRDefault="00A35358" w:rsidP="00A35358">
            <w:pPr>
              <w:spacing w:before="0" w:line="240" w:lineRule="auto"/>
              <w:jc w:val="center"/>
              <w:rPr>
                <w:i/>
                <w:iCs/>
                <w:color w:val="000000"/>
                <w:sz w:val="16"/>
                <w:szCs w:val="16"/>
              </w:rPr>
            </w:pPr>
            <w:r w:rsidRPr="00111DC1">
              <w:rPr>
                <w:rFonts w:cs="Calibri"/>
                <w:i/>
                <w:iCs/>
                <w:color w:val="000000"/>
                <w:sz w:val="16"/>
                <w:szCs w:val="16"/>
              </w:rPr>
              <w:t>19,807,296</w:t>
            </w:r>
          </w:p>
        </w:tc>
        <w:tc>
          <w:tcPr>
            <w:tcW w:w="900" w:type="dxa"/>
            <w:tcBorders>
              <w:top w:val="nil"/>
              <w:left w:val="nil"/>
              <w:bottom w:val="double" w:sz="6" w:space="0" w:color="95B3D7"/>
              <w:right w:val="single" w:sz="8" w:space="0" w:color="B8CCE4"/>
            </w:tcBorders>
            <w:shd w:val="clear" w:color="auto" w:fill="auto"/>
            <w:vAlign w:val="center"/>
            <w:hideMark/>
          </w:tcPr>
          <w:p w:rsidR="00A35358" w:rsidRPr="00111DC1" w:rsidRDefault="00A35358" w:rsidP="00A35358">
            <w:pPr>
              <w:spacing w:before="0" w:line="240" w:lineRule="auto"/>
              <w:jc w:val="center"/>
              <w:rPr>
                <w:i/>
                <w:iCs/>
                <w:color w:val="000000"/>
                <w:sz w:val="16"/>
                <w:szCs w:val="16"/>
              </w:rPr>
            </w:pPr>
            <w:r w:rsidRPr="00111DC1">
              <w:rPr>
                <w:rFonts w:cs="Calibri"/>
                <w:i/>
                <w:iCs/>
                <w:color w:val="000000"/>
                <w:sz w:val="16"/>
                <w:szCs w:val="16"/>
              </w:rPr>
              <w:t>5,060,500</w:t>
            </w:r>
          </w:p>
        </w:tc>
        <w:tc>
          <w:tcPr>
            <w:tcW w:w="990" w:type="dxa"/>
            <w:tcBorders>
              <w:top w:val="nil"/>
              <w:left w:val="nil"/>
              <w:bottom w:val="double" w:sz="6" w:space="0" w:color="95B3D7"/>
              <w:right w:val="single" w:sz="8" w:space="0" w:color="B8CCE4"/>
            </w:tcBorders>
            <w:shd w:val="clear" w:color="auto" w:fill="auto"/>
            <w:vAlign w:val="center"/>
            <w:hideMark/>
          </w:tcPr>
          <w:p w:rsidR="00A35358" w:rsidRPr="00111DC1" w:rsidRDefault="00A35358" w:rsidP="00A35358">
            <w:pPr>
              <w:spacing w:before="0" w:line="240" w:lineRule="auto"/>
              <w:jc w:val="center"/>
              <w:rPr>
                <w:i/>
                <w:iCs/>
                <w:color w:val="000000"/>
                <w:sz w:val="16"/>
                <w:szCs w:val="16"/>
              </w:rPr>
            </w:pPr>
            <w:r w:rsidRPr="00111DC1">
              <w:rPr>
                <w:rFonts w:cs="Calibri"/>
                <w:i/>
                <w:iCs/>
                <w:color w:val="000000"/>
                <w:sz w:val="16"/>
                <w:szCs w:val="16"/>
              </w:rPr>
              <w:t>18,749,819</w:t>
            </w:r>
          </w:p>
        </w:tc>
        <w:tc>
          <w:tcPr>
            <w:tcW w:w="990" w:type="dxa"/>
            <w:tcBorders>
              <w:top w:val="nil"/>
              <w:left w:val="nil"/>
              <w:bottom w:val="double" w:sz="6" w:space="0" w:color="95B3D7"/>
              <w:right w:val="single" w:sz="8" w:space="0" w:color="B8CCE4"/>
            </w:tcBorders>
            <w:shd w:val="clear" w:color="auto" w:fill="auto"/>
            <w:vAlign w:val="center"/>
            <w:hideMark/>
          </w:tcPr>
          <w:p w:rsidR="00A35358" w:rsidRPr="00111DC1" w:rsidRDefault="00A35358" w:rsidP="00A35358">
            <w:pPr>
              <w:spacing w:before="0" w:line="240" w:lineRule="auto"/>
              <w:jc w:val="center"/>
              <w:rPr>
                <w:i/>
                <w:iCs/>
                <w:color w:val="000000"/>
                <w:sz w:val="16"/>
                <w:szCs w:val="16"/>
              </w:rPr>
            </w:pPr>
            <w:r w:rsidRPr="00111DC1">
              <w:rPr>
                <w:rFonts w:cs="Calibri"/>
                <w:i/>
                <w:iCs/>
                <w:color w:val="000000"/>
                <w:sz w:val="16"/>
                <w:szCs w:val="16"/>
              </w:rPr>
              <w:t>4,321,778</w:t>
            </w:r>
          </w:p>
        </w:tc>
        <w:tc>
          <w:tcPr>
            <w:tcW w:w="622" w:type="dxa"/>
            <w:tcBorders>
              <w:top w:val="nil"/>
              <w:left w:val="nil"/>
              <w:bottom w:val="double" w:sz="6" w:space="0" w:color="95B3D7"/>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rFonts w:cs="Calibri"/>
                <w:color w:val="000000"/>
                <w:sz w:val="16"/>
                <w:szCs w:val="16"/>
              </w:rPr>
              <w:t>96%</w:t>
            </w:r>
          </w:p>
        </w:tc>
        <w:tc>
          <w:tcPr>
            <w:tcW w:w="719" w:type="dxa"/>
            <w:tcBorders>
              <w:top w:val="nil"/>
              <w:left w:val="nil"/>
              <w:bottom w:val="double" w:sz="6" w:space="0" w:color="95B3D7"/>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rFonts w:cs="Calibri"/>
                <w:color w:val="000000"/>
                <w:sz w:val="16"/>
                <w:szCs w:val="16"/>
              </w:rPr>
              <w:t>81%</w:t>
            </w:r>
          </w:p>
        </w:tc>
        <w:tc>
          <w:tcPr>
            <w:tcW w:w="809" w:type="dxa"/>
            <w:tcBorders>
              <w:top w:val="nil"/>
              <w:left w:val="nil"/>
              <w:bottom w:val="double" w:sz="6" w:space="0" w:color="95B3D7"/>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rFonts w:cs="Calibri"/>
                <w:color w:val="000000"/>
                <w:sz w:val="16"/>
                <w:szCs w:val="16"/>
              </w:rPr>
              <w:t>95%</w:t>
            </w:r>
          </w:p>
        </w:tc>
        <w:tc>
          <w:tcPr>
            <w:tcW w:w="719" w:type="dxa"/>
            <w:tcBorders>
              <w:top w:val="nil"/>
              <w:left w:val="nil"/>
              <w:bottom w:val="double" w:sz="6" w:space="0" w:color="95B3D7"/>
              <w:right w:val="single" w:sz="8" w:space="0" w:color="B8CCE4"/>
            </w:tcBorders>
            <w:shd w:val="clear" w:color="auto" w:fill="auto"/>
            <w:vAlign w:val="center"/>
            <w:hideMark/>
          </w:tcPr>
          <w:p w:rsidR="00A35358" w:rsidRPr="00111DC1" w:rsidRDefault="00A35358" w:rsidP="00A35358">
            <w:pPr>
              <w:spacing w:before="0" w:line="240" w:lineRule="auto"/>
              <w:jc w:val="center"/>
              <w:rPr>
                <w:color w:val="000000"/>
                <w:sz w:val="16"/>
                <w:szCs w:val="16"/>
              </w:rPr>
            </w:pPr>
            <w:r w:rsidRPr="00111DC1">
              <w:rPr>
                <w:color w:val="000000"/>
                <w:sz w:val="16"/>
                <w:szCs w:val="16"/>
              </w:rPr>
              <w:t>85%</w:t>
            </w:r>
          </w:p>
        </w:tc>
      </w:tr>
      <w:tr w:rsidR="00A35358" w:rsidRPr="00111DC1" w:rsidTr="00A35358">
        <w:trPr>
          <w:trHeight w:val="257"/>
          <w:jc w:val="center"/>
        </w:trPr>
        <w:tc>
          <w:tcPr>
            <w:tcW w:w="2362" w:type="dxa"/>
            <w:tcBorders>
              <w:top w:val="nil"/>
              <w:left w:val="single" w:sz="8" w:space="0" w:color="B8CCE4"/>
              <w:bottom w:val="single" w:sz="8" w:space="0" w:color="B8CCE4"/>
              <w:right w:val="single" w:sz="8" w:space="0" w:color="B8CCE4"/>
            </w:tcBorders>
            <w:shd w:val="clear" w:color="000000" w:fill="365F91"/>
            <w:vAlign w:val="center"/>
            <w:hideMark/>
          </w:tcPr>
          <w:p w:rsidR="00A35358" w:rsidRPr="00111DC1" w:rsidRDefault="00A35358" w:rsidP="00A35358">
            <w:pPr>
              <w:spacing w:before="0" w:line="240" w:lineRule="auto"/>
              <w:jc w:val="center"/>
              <w:rPr>
                <w:b/>
                <w:bCs/>
                <w:color w:val="FFFFFF"/>
                <w:sz w:val="16"/>
                <w:szCs w:val="16"/>
              </w:rPr>
            </w:pPr>
            <w:r w:rsidRPr="00111DC1">
              <w:rPr>
                <w:b/>
                <w:bCs/>
                <w:color w:val="FFFFFF"/>
                <w:sz w:val="16"/>
                <w:szCs w:val="16"/>
                <w:lang w:val="sq-AL"/>
              </w:rPr>
              <w:t>Gjithsej</w:t>
            </w:r>
          </w:p>
        </w:tc>
        <w:tc>
          <w:tcPr>
            <w:tcW w:w="1975" w:type="dxa"/>
            <w:gridSpan w:val="2"/>
            <w:tcBorders>
              <w:top w:val="double" w:sz="6" w:space="0" w:color="95B3D7"/>
              <w:left w:val="nil"/>
              <w:bottom w:val="single" w:sz="8" w:space="0" w:color="B8CCE4"/>
              <w:right w:val="single" w:sz="8" w:space="0" w:color="B8CCE4"/>
            </w:tcBorders>
            <w:shd w:val="clear" w:color="000000" w:fill="365F91"/>
            <w:vAlign w:val="center"/>
            <w:hideMark/>
          </w:tcPr>
          <w:p w:rsidR="00A35358" w:rsidRPr="00111DC1" w:rsidRDefault="00A35358" w:rsidP="00A35358">
            <w:pPr>
              <w:spacing w:before="0" w:line="240" w:lineRule="auto"/>
              <w:jc w:val="center"/>
              <w:rPr>
                <w:b/>
                <w:bCs/>
                <w:color w:val="FFFFFF"/>
                <w:sz w:val="16"/>
                <w:szCs w:val="16"/>
              </w:rPr>
            </w:pPr>
            <w:r w:rsidRPr="00111DC1">
              <w:rPr>
                <w:b/>
                <w:bCs/>
                <w:color w:val="FFFFFF"/>
                <w:sz w:val="16"/>
                <w:szCs w:val="16"/>
              </w:rPr>
              <w:t>24,938,800</w:t>
            </w:r>
          </w:p>
        </w:tc>
        <w:tc>
          <w:tcPr>
            <w:tcW w:w="1895" w:type="dxa"/>
            <w:gridSpan w:val="2"/>
            <w:tcBorders>
              <w:top w:val="double" w:sz="6" w:space="0" w:color="95B3D7"/>
              <w:left w:val="nil"/>
              <w:bottom w:val="single" w:sz="8" w:space="0" w:color="B8CCE4"/>
              <w:right w:val="single" w:sz="8" w:space="0" w:color="B8CCE4"/>
            </w:tcBorders>
            <w:shd w:val="clear" w:color="000000" w:fill="365F91"/>
            <w:vAlign w:val="center"/>
            <w:hideMark/>
          </w:tcPr>
          <w:p w:rsidR="00A35358" w:rsidRPr="00111DC1" w:rsidRDefault="00A35358" w:rsidP="00A35358">
            <w:pPr>
              <w:spacing w:before="0" w:line="240" w:lineRule="auto"/>
              <w:jc w:val="center"/>
              <w:rPr>
                <w:b/>
                <w:bCs/>
                <w:color w:val="FFFFFF"/>
                <w:sz w:val="16"/>
                <w:szCs w:val="16"/>
              </w:rPr>
            </w:pPr>
            <w:r w:rsidRPr="00111DC1">
              <w:rPr>
                <w:b/>
                <w:bCs/>
                <w:color w:val="FFFFFF"/>
                <w:sz w:val="16"/>
                <w:szCs w:val="16"/>
              </w:rPr>
              <w:t>24,867,796</w:t>
            </w:r>
          </w:p>
        </w:tc>
        <w:tc>
          <w:tcPr>
            <w:tcW w:w="1980" w:type="dxa"/>
            <w:gridSpan w:val="2"/>
            <w:tcBorders>
              <w:top w:val="double" w:sz="6" w:space="0" w:color="95B3D7"/>
              <w:left w:val="nil"/>
              <w:bottom w:val="single" w:sz="8" w:space="0" w:color="B8CCE4"/>
              <w:right w:val="single" w:sz="8" w:space="0" w:color="B8CCE4"/>
            </w:tcBorders>
            <w:shd w:val="clear" w:color="000000" w:fill="365F91"/>
            <w:vAlign w:val="center"/>
            <w:hideMark/>
          </w:tcPr>
          <w:p w:rsidR="00A35358" w:rsidRPr="00111DC1" w:rsidRDefault="00A35358" w:rsidP="00A35358">
            <w:pPr>
              <w:spacing w:before="0" w:line="240" w:lineRule="auto"/>
              <w:jc w:val="center"/>
              <w:rPr>
                <w:b/>
                <w:bCs/>
                <w:color w:val="FFFFFF"/>
                <w:sz w:val="16"/>
                <w:szCs w:val="16"/>
              </w:rPr>
            </w:pPr>
            <w:r w:rsidRPr="00111DC1">
              <w:rPr>
                <w:b/>
                <w:bCs/>
                <w:color w:val="FFFFFF"/>
                <w:sz w:val="16"/>
                <w:szCs w:val="16"/>
              </w:rPr>
              <w:t>23,071,597</w:t>
            </w:r>
          </w:p>
        </w:tc>
        <w:tc>
          <w:tcPr>
            <w:tcW w:w="1341" w:type="dxa"/>
            <w:gridSpan w:val="2"/>
            <w:tcBorders>
              <w:top w:val="double" w:sz="6" w:space="0" w:color="95B3D7"/>
              <w:left w:val="nil"/>
              <w:bottom w:val="single" w:sz="8" w:space="0" w:color="B8CCE4"/>
              <w:right w:val="single" w:sz="8" w:space="0" w:color="B8CCE4"/>
            </w:tcBorders>
            <w:shd w:val="clear" w:color="000000" w:fill="365F91"/>
            <w:vAlign w:val="center"/>
            <w:hideMark/>
          </w:tcPr>
          <w:p w:rsidR="00A35358" w:rsidRPr="00111DC1" w:rsidRDefault="00A35358" w:rsidP="00A35358">
            <w:pPr>
              <w:spacing w:before="0" w:line="240" w:lineRule="auto"/>
              <w:jc w:val="center"/>
              <w:rPr>
                <w:b/>
                <w:bCs/>
                <w:color w:val="FFFFFF"/>
                <w:sz w:val="16"/>
                <w:szCs w:val="16"/>
              </w:rPr>
            </w:pPr>
            <w:r w:rsidRPr="00111DC1">
              <w:rPr>
                <w:b/>
                <w:bCs/>
                <w:color w:val="FFFFFF"/>
                <w:sz w:val="16"/>
                <w:szCs w:val="16"/>
              </w:rPr>
              <w:t>93%</w:t>
            </w:r>
          </w:p>
        </w:tc>
        <w:tc>
          <w:tcPr>
            <w:tcW w:w="1528" w:type="dxa"/>
            <w:gridSpan w:val="2"/>
            <w:tcBorders>
              <w:top w:val="double" w:sz="6" w:space="0" w:color="95B3D7"/>
              <w:left w:val="nil"/>
              <w:bottom w:val="single" w:sz="8" w:space="0" w:color="B8CCE4"/>
              <w:right w:val="single" w:sz="8" w:space="0" w:color="B8CCE4"/>
            </w:tcBorders>
            <w:shd w:val="clear" w:color="000000" w:fill="365F91"/>
            <w:vAlign w:val="center"/>
            <w:hideMark/>
          </w:tcPr>
          <w:p w:rsidR="00A35358" w:rsidRPr="00111DC1" w:rsidRDefault="00A35358" w:rsidP="00A35358">
            <w:pPr>
              <w:spacing w:before="0" w:line="240" w:lineRule="auto"/>
              <w:jc w:val="center"/>
              <w:rPr>
                <w:b/>
                <w:bCs/>
                <w:color w:val="FFFFFF"/>
                <w:sz w:val="16"/>
                <w:szCs w:val="16"/>
              </w:rPr>
            </w:pPr>
            <w:r w:rsidRPr="00111DC1">
              <w:rPr>
                <w:b/>
                <w:bCs/>
                <w:color w:val="FFFFFF"/>
                <w:sz w:val="16"/>
                <w:szCs w:val="16"/>
                <w:lang w:val="sq-AL"/>
              </w:rPr>
              <w:t>93%</w:t>
            </w:r>
          </w:p>
        </w:tc>
      </w:tr>
    </w:tbl>
    <w:p w:rsidR="00A35358" w:rsidRPr="00A35358" w:rsidRDefault="00A35358" w:rsidP="00A35358">
      <w:pPr>
        <w:rPr>
          <w:rFonts w:cs="Calibri"/>
          <w:sz w:val="8"/>
          <w:lang w:val="sq-AL"/>
        </w:rPr>
      </w:pPr>
    </w:p>
    <w:p w:rsidR="00A35358" w:rsidRPr="00476D2E" w:rsidRDefault="00A35358" w:rsidP="00A35358">
      <w:pPr>
        <w:rPr>
          <w:rFonts w:cs="Calibri"/>
          <w:lang w:val="sq-AL"/>
        </w:rPr>
      </w:pPr>
      <w:r w:rsidRPr="00476D2E">
        <w:rPr>
          <w:rFonts w:cs="Calibri"/>
          <w:lang w:val="sq-AL"/>
        </w:rPr>
        <w:t>Ministria e Mbrojtjes ka synuar që nëpërmjet zhvillimit të politikave të nevojshme në fushën e personelit, promovimit në karrierë, trajtimit të ushtarakut, rritjes së transparencës, llogaridhënies, si dhe eliminimin e korrupsionit në Forcat e Armatosura, të arrijë realizimin e disa prej treguesve kryesorë të përformancës, ku renditen:</w:t>
      </w:r>
    </w:p>
    <w:p w:rsidR="00A35358" w:rsidRPr="00A35358" w:rsidRDefault="00A35358"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A35358">
        <w:rPr>
          <w:rFonts w:asciiTheme="majorHAnsi" w:hAnsiTheme="majorHAnsi" w:cs="Calibri Light"/>
          <w:bCs/>
          <w:i/>
          <w:szCs w:val="22"/>
          <w:lang w:val="sq-AL" w:eastAsia="en-GB"/>
        </w:rPr>
        <w:t>Lartësimi i figurës dhe integritetit të ushtarakut</w:t>
      </w:r>
    </w:p>
    <w:p w:rsidR="00A35358" w:rsidRPr="00A35358" w:rsidRDefault="00A35358"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A35358">
        <w:rPr>
          <w:rFonts w:asciiTheme="majorHAnsi" w:hAnsiTheme="majorHAnsi" w:cs="Calibri Light"/>
          <w:bCs/>
          <w:i/>
          <w:szCs w:val="22"/>
          <w:lang w:val="sq-AL" w:eastAsia="en-GB"/>
        </w:rPr>
        <w:t xml:space="preserve">Implementimi në mënyrë cilësore i detyrimeve që rrjedhin nga pjesëmarrja dhe anëtarësia në organizma të niveleve të larta ndërkombëtare si: NATO, EAPC, RACVIAC, Karta e Atlantikut, etj; i </w:t>
      </w:r>
      <w:r w:rsidRPr="00A35358">
        <w:rPr>
          <w:rFonts w:asciiTheme="majorHAnsi" w:hAnsiTheme="majorHAnsi" w:cs="Calibri Light"/>
          <w:bCs/>
          <w:i/>
          <w:szCs w:val="22"/>
          <w:lang w:val="sq-AL" w:eastAsia="en-GB"/>
        </w:rPr>
        <w:lastRenderedPageBreak/>
        <w:t>realizuar nëpërmjet nënshkrimit të marrëveshjeve ndërkombëtare në kuadër të partneritetit mes vendeve, rritjes së sigurisë në rajon e më gjerë.</w:t>
      </w:r>
    </w:p>
    <w:p w:rsidR="00A35358" w:rsidRPr="00A35358" w:rsidRDefault="00A35358"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A35358">
        <w:rPr>
          <w:rFonts w:asciiTheme="majorHAnsi" w:hAnsiTheme="majorHAnsi" w:cs="Calibri Light"/>
          <w:bCs/>
          <w:i/>
          <w:szCs w:val="22"/>
          <w:lang w:val="sq-AL" w:eastAsia="en-GB"/>
        </w:rPr>
        <w:t>Modernizimi me armatim të lehtë dhe municione për Forcat e Armatosura, sistemet e mbështetjes për zjarr apo vendosja e kamerave Infra të Kuqe stacionare të integruara me sistemin SIVHD.</w:t>
      </w:r>
    </w:p>
    <w:p w:rsidR="00A35358" w:rsidRPr="00476D2E" w:rsidRDefault="00A35358" w:rsidP="00A35358">
      <w:pPr>
        <w:rPr>
          <w:rFonts w:cs="Calibri"/>
          <w:lang w:val="sq-AL"/>
        </w:rPr>
      </w:pPr>
      <w:r w:rsidRPr="00476D2E">
        <w:rPr>
          <w:rFonts w:cs="Calibri"/>
          <w:lang w:val="sq-AL"/>
        </w:rPr>
        <w:t>Projektet prioritare në aspektin e ndërveprueshmërisë me strukturat e NATO-s, si dhe në kuadër të rritjes së sigurisë kombëtare, janë:</w:t>
      </w:r>
    </w:p>
    <w:p w:rsidR="00A35358" w:rsidRPr="00A35358" w:rsidRDefault="00A35358"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A35358">
        <w:rPr>
          <w:rFonts w:asciiTheme="majorHAnsi" w:hAnsiTheme="majorHAnsi" w:cs="Calibri Light"/>
          <w:bCs/>
          <w:i/>
          <w:szCs w:val="22"/>
          <w:lang w:val="sq-AL" w:eastAsia="en-GB"/>
        </w:rPr>
        <w:t>Sistemet e Integruara të vëzhgimit të hapësirës ajrore e detare.</w:t>
      </w:r>
    </w:p>
    <w:p w:rsidR="00A35358" w:rsidRPr="00A35358" w:rsidRDefault="00A35358"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A35358">
        <w:rPr>
          <w:rFonts w:asciiTheme="majorHAnsi" w:hAnsiTheme="majorHAnsi" w:cs="Calibri Light"/>
          <w:bCs/>
          <w:i/>
          <w:szCs w:val="22"/>
          <w:lang w:val="sq-AL" w:eastAsia="en-GB"/>
        </w:rPr>
        <w:t>Kompletimi i Forcave të Armatosura me pajisje individuale të luftimit, në funksion të certifikimit të Batalionit të dytë të këmbësorisë si një komponent i gatshëm i NATO Response Force.</w:t>
      </w:r>
    </w:p>
    <w:p w:rsidR="00A35358" w:rsidRPr="00A35358" w:rsidRDefault="00A35358"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A35358">
        <w:rPr>
          <w:rFonts w:asciiTheme="majorHAnsi" w:hAnsiTheme="majorHAnsi" w:cs="Calibri Light"/>
          <w:bCs/>
          <w:i/>
          <w:szCs w:val="22"/>
          <w:lang w:val="sq-AL" w:eastAsia="en-GB"/>
        </w:rPr>
        <w:t xml:space="preserve">Shpenzimet operacionale u përdoren me efikasitet për kryerjen e misionit të Forcave të Armatosura si në rang kombëtar ashtu dhe në kuadër të misioneve paqeruajtëse, duke rritur prezencën e Forcave të Armatosura në Detin Egje, Afganistan, KFOR, etj. </w:t>
      </w:r>
    </w:p>
    <w:p w:rsidR="00A35358" w:rsidRPr="00476D2E" w:rsidRDefault="00A35358" w:rsidP="00A35358">
      <w:pPr>
        <w:tabs>
          <w:tab w:val="left" w:pos="2160"/>
        </w:tabs>
        <w:spacing w:after="200"/>
        <w:rPr>
          <w:rFonts w:cs="Calibri"/>
          <w:lang w:val="sq-AL"/>
        </w:rPr>
      </w:pPr>
      <w:r w:rsidRPr="00476D2E">
        <w:rPr>
          <w:rFonts w:cs="Calibri"/>
          <w:b/>
          <w:lang w:val="sq-AL"/>
        </w:rPr>
        <w:t xml:space="preserve">Programi “Forca e Luftimit”, </w:t>
      </w:r>
      <w:r w:rsidRPr="00476D2E">
        <w:rPr>
          <w:rFonts w:cs="Calibri"/>
          <w:lang w:val="sq-AL"/>
        </w:rPr>
        <w:t>i cili</w:t>
      </w:r>
      <w:r w:rsidRPr="00476D2E">
        <w:rPr>
          <w:rFonts w:cs="Calibri"/>
          <w:b/>
          <w:lang w:val="sq-AL"/>
        </w:rPr>
        <w:t xml:space="preserve"> </w:t>
      </w:r>
      <w:r w:rsidRPr="00476D2E">
        <w:rPr>
          <w:rFonts w:cs="Calibri"/>
          <w:lang w:val="sq-AL"/>
        </w:rPr>
        <w:t>synon mbajtjen në gatishmëri të kapaciteteve operacionale të forcës tokësore, detare e ajrore, ka shp</w:t>
      </w:r>
      <w:r>
        <w:rPr>
          <w:rFonts w:cs="Calibri"/>
          <w:lang w:val="sq-AL"/>
        </w:rPr>
        <w:t>enzuar 4.6</w:t>
      </w:r>
      <w:r w:rsidRPr="00476D2E">
        <w:rPr>
          <w:rFonts w:cs="Calibri"/>
          <w:lang w:val="sq-AL"/>
        </w:rPr>
        <w:t xml:space="preserve"> miliardë lekë (s</w:t>
      </w:r>
      <w:r>
        <w:rPr>
          <w:rFonts w:cs="Calibri"/>
          <w:lang w:val="sq-AL"/>
        </w:rPr>
        <w:t>hpenzime korrente) në vitin 2021, ose 86</w:t>
      </w:r>
      <w:r w:rsidRPr="00476D2E">
        <w:rPr>
          <w:rFonts w:cs="Calibri"/>
          <w:lang w:val="sq-AL"/>
        </w:rPr>
        <w:t xml:space="preserve"> për qi</w:t>
      </w:r>
      <w:r>
        <w:rPr>
          <w:rFonts w:cs="Calibri"/>
          <w:lang w:val="sq-AL"/>
        </w:rPr>
        <w:t>nd të planit të rishikuar dhe 82</w:t>
      </w:r>
      <w:r w:rsidRPr="00476D2E">
        <w:rPr>
          <w:rFonts w:cs="Calibri"/>
          <w:lang w:val="sq-AL"/>
        </w:rPr>
        <w:t xml:space="preserve"> për qind të planit fillestar. Janë kryer disa p</w:t>
      </w:r>
      <w:r>
        <w:rPr>
          <w:rFonts w:cs="Calibri"/>
          <w:lang w:val="sq-AL"/>
        </w:rPr>
        <w:t>rojekte investimi, në vlerën 3.6 miliardë lekë, ose  120</w:t>
      </w:r>
      <w:r w:rsidRPr="00476D2E">
        <w:rPr>
          <w:rFonts w:cs="Calibri"/>
          <w:lang w:val="sq-AL"/>
        </w:rPr>
        <w:t>% e planit fillestar, përfshirë blerje armatimi e municion</w:t>
      </w:r>
      <w:r>
        <w:rPr>
          <w:rFonts w:cs="Calibri"/>
          <w:lang w:val="sq-AL"/>
        </w:rPr>
        <w:t>esh për forcat e armatosura (2.1</w:t>
      </w:r>
      <w:r w:rsidRPr="00476D2E">
        <w:rPr>
          <w:rFonts w:cs="Calibri"/>
          <w:lang w:val="sq-AL"/>
        </w:rPr>
        <w:t xml:space="preserve"> miliardë lekë).</w:t>
      </w:r>
    </w:p>
    <w:p w:rsidR="00A35358" w:rsidRDefault="00A35358" w:rsidP="00A35358">
      <w:pPr>
        <w:tabs>
          <w:tab w:val="left" w:pos="2160"/>
        </w:tabs>
        <w:spacing w:after="200"/>
        <w:rPr>
          <w:rFonts w:cs="Calibri"/>
          <w:lang w:val="sq-AL"/>
        </w:rPr>
      </w:pPr>
      <w:r w:rsidRPr="00476D2E">
        <w:rPr>
          <w:rFonts w:cs="Calibri"/>
          <w:b/>
          <w:lang w:val="sq-AL"/>
        </w:rPr>
        <w:t xml:space="preserve">Programi “Mbështetja e Luftimit” </w:t>
      </w:r>
      <w:r w:rsidRPr="00476D2E">
        <w:rPr>
          <w:rFonts w:cs="Calibri"/>
          <w:lang w:val="sq-AL"/>
        </w:rPr>
        <w:t>siguron logjistikën dhe inteligjencën strategjike për operacione të ndryshme si dhe kapacitete operacionale për reparte</w:t>
      </w:r>
      <w:r>
        <w:rPr>
          <w:rFonts w:cs="Calibri"/>
          <w:lang w:val="sq-AL"/>
        </w:rPr>
        <w:t xml:space="preserve"> të vecanta. Realizimi ishte 5.7</w:t>
      </w:r>
      <w:r w:rsidRPr="00476D2E">
        <w:rPr>
          <w:rFonts w:cs="Calibri"/>
          <w:lang w:val="sq-AL"/>
        </w:rPr>
        <w:t xml:space="preserve"> miliardë l</w:t>
      </w:r>
      <w:r>
        <w:rPr>
          <w:rFonts w:cs="Calibri"/>
          <w:lang w:val="sq-AL"/>
        </w:rPr>
        <w:t>ekë, ose 87% e planit fillestar dhe 97</w:t>
      </w:r>
      <w:r w:rsidRPr="00476D2E">
        <w:rPr>
          <w:rFonts w:cs="Calibri"/>
          <w:lang w:val="sq-AL"/>
        </w:rPr>
        <w:t>% e të rishkuarit.</w:t>
      </w:r>
    </w:p>
    <w:p w:rsidR="00A35358" w:rsidRPr="00476D2E" w:rsidRDefault="00A35358" w:rsidP="00A35358">
      <w:pPr>
        <w:tabs>
          <w:tab w:val="left" w:pos="2160"/>
        </w:tabs>
        <w:spacing w:after="200"/>
        <w:rPr>
          <w:rFonts w:cs="Calibri"/>
          <w:lang w:val="sq-AL"/>
        </w:rPr>
      </w:pPr>
      <w:r w:rsidRPr="00476D2E">
        <w:rPr>
          <w:rFonts w:cs="Calibri"/>
          <w:b/>
          <w:lang w:val="sq-AL"/>
        </w:rPr>
        <w:t>Për programin ”Mbështetje për Shëndetësinë”</w:t>
      </w:r>
      <w:r>
        <w:rPr>
          <w:rFonts w:cs="Calibri"/>
          <w:lang w:val="sq-AL"/>
        </w:rPr>
        <w:t>, janë planifikuar 4 (katër</w:t>
      </w:r>
      <w:r w:rsidRPr="00476D2E">
        <w:rPr>
          <w:rFonts w:cs="Calibri"/>
          <w:lang w:val="sq-AL"/>
        </w:rPr>
        <w:t xml:space="preserve">) produkte me buxhet </w:t>
      </w:r>
      <w:r>
        <w:rPr>
          <w:rFonts w:cs="Calibri"/>
          <w:lang w:val="sq-AL"/>
        </w:rPr>
        <w:t>1,016</w:t>
      </w:r>
      <w:r w:rsidR="00F61F6A">
        <w:rPr>
          <w:rFonts w:cs="Calibri"/>
          <w:lang w:val="sq-AL"/>
        </w:rPr>
        <w:t xml:space="preserve"> milionë lekë,</w:t>
      </w:r>
      <w:r w:rsidRPr="00476D2E">
        <w:rPr>
          <w:rFonts w:cs="Calibri"/>
          <w:lang w:val="sq-AL"/>
        </w:rPr>
        <w:t xml:space="preserve"> i cili u rrit </w:t>
      </w:r>
      <w:r>
        <w:rPr>
          <w:rFonts w:cs="Calibri"/>
          <w:lang w:val="sq-AL"/>
        </w:rPr>
        <w:t>në 1.18</w:t>
      </w:r>
      <w:r w:rsidRPr="00476D2E">
        <w:rPr>
          <w:rFonts w:cs="Calibri"/>
          <w:lang w:val="sq-AL"/>
        </w:rPr>
        <w:t xml:space="preserve"> miliardë le</w:t>
      </w:r>
      <w:r>
        <w:rPr>
          <w:rFonts w:cs="Calibri"/>
          <w:lang w:val="sq-AL"/>
        </w:rPr>
        <w:t>kë. Këto produkte u realizuan në vlerën 1.14</w:t>
      </w:r>
      <w:r w:rsidR="00F61F6A">
        <w:rPr>
          <w:rFonts w:cs="Calibri"/>
          <w:lang w:val="sq-AL"/>
        </w:rPr>
        <w:t xml:space="preserve"> miliardë, ose 97 për</w:t>
      </w:r>
      <w:r w:rsidRPr="00476D2E">
        <w:rPr>
          <w:rFonts w:cs="Calibri"/>
          <w:lang w:val="sq-AL"/>
        </w:rPr>
        <w:t xml:space="preserve">qind e planit të rishikuar. Për sa u përket shpenzimeve kapitale, </w:t>
      </w:r>
      <w:r w:rsidRPr="0061334D">
        <w:rPr>
          <w:rFonts w:cs="Calibri"/>
          <w:lang w:val="sq-AL"/>
        </w:rPr>
        <w:t xml:space="preserve">janë planifikuar </w:t>
      </w:r>
      <w:r>
        <w:rPr>
          <w:rFonts w:cs="Calibri"/>
          <w:lang w:val="sq-AL"/>
        </w:rPr>
        <w:t xml:space="preserve">3 projekte, </w:t>
      </w:r>
      <w:r w:rsidRPr="00476D2E">
        <w:rPr>
          <w:rFonts w:cs="Calibri"/>
          <w:lang w:val="sq-AL"/>
        </w:rPr>
        <w:t>ku përfshihen projektime dhe përmirësime në infrastrukturën fizike të Spitalit të traumës e projektim përkatës si dhe blerje pajisjesh mjekësore e radiografie</w:t>
      </w:r>
      <w:r>
        <w:rPr>
          <w:rFonts w:cs="Calibri"/>
          <w:lang w:val="sq-AL"/>
        </w:rPr>
        <w:t xml:space="preserve">, </w:t>
      </w:r>
      <w:r w:rsidRPr="0061334D">
        <w:rPr>
          <w:rFonts w:cs="Calibri"/>
          <w:lang w:val="sq-AL"/>
        </w:rPr>
        <w:t xml:space="preserve">të </w:t>
      </w:r>
      <w:r>
        <w:rPr>
          <w:rFonts w:cs="Calibri"/>
          <w:lang w:val="sq-AL"/>
        </w:rPr>
        <w:t>cilat u realizuan në vlerën 160</w:t>
      </w:r>
      <w:r w:rsidRPr="0061334D">
        <w:rPr>
          <w:rFonts w:cs="Calibri"/>
          <w:lang w:val="sq-AL"/>
        </w:rPr>
        <w:t xml:space="preserve"> mil</w:t>
      </w:r>
      <w:r>
        <w:rPr>
          <w:rFonts w:cs="Calibri"/>
          <w:lang w:val="sq-AL"/>
        </w:rPr>
        <w:t>ionë lekë, ose 80</w:t>
      </w:r>
      <w:r w:rsidR="00F61F6A">
        <w:rPr>
          <w:rFonts w:cs="Calibri"/>
          <w:lang w:val="sq-AL"/>
        </w:rPr>
        <w:t xml:space="preserve"> për</w:t>
      </w:r>
      <w:r w:rsidRPr="0061334D">
        <w:rPr>
          <w:rFonts w:cs="Calibri"/>
          <w:lang w:val="sq-AL"/>
        </w:rPr>
        <w:t>qind e planit të rishikuar.</w:t>
      </w:r>
    </w:p>
    <w:p w:rsidR="007B7B50" w:rsidRDefault="00A35358" w:rsidP="00A35358">
      <w:pPr>
        <w:tabs>
          <w:tab w:val="left" w:pos="2160"/>
        </w:tabs>
        <w:spacing w:after="200"/>
        <w:rPr>
          <w:rFonts w:cs="Calibri"/>
          <w:lang w:val="sq-AL"/>
        </w:rPr>
      </w:pPr>
      <w:r w:rsidRPr="00476D2E">
        <w:rPr>
          <w:rFonts w:cs="Calibri"/>
          <w:lang w:val="sq-AL"/>
        </w:rPr>
        <w:t>Programi</w:t>
      </w:r>
      <w:r w:rsidRPr="00476D2E">
        <w:rPr>
          <w:rFonts w:cs="Calibri"/>
          <w:b/>
          <w:lang w:val="sq-AL"/>
        </w:rPr>
        <w:t xml:space="preserve"> “Emergjenca Civile” </w:t>
      </w:r>
      <w:r w:rsidRPr="00476D2E">
        <w:rPr>
          <w:rFonts w:cs="Calibri"/>
          <w:lang w:val="sq-AL"/>
        </w:rPr>
        <w:t>lidhet me veprimtarinë e Agjencisë Kombëtare për Mbrojtjen Civile.</w:t>
      </w:r>
      <w:r>
        <w:rPr>
          <w:rFonts w:cs="Calibri"/>
          <w:lang w:val="sq-AL"/>
        </w:rPr>
        <w:t xml:space="preserve"> Gjatë vitit 2021</w:t>
      </w:r>
      <w:r w:rsidRPr="00476D2E">
        <w:rPr>
          <w:rFonts w:cs="Calibri"/>
          <w:lang w:val="sq-AL"/>
        </w:rPr>
        <w:t xml:space="preserve"> u realizuan shpenzi</w:t>
      </w:r>
      <w:r>
        <w:rPr>
          <w:rFonts w:cs="Calibri"/>
          <w:lang w:val="sq-AL"/>
        </w:rPr>
        <w:t>me në masën 271 milionë lekë, ose 81</w:t>
      </w:r>
      <w:r w:rsidRPr="00476D2E">
        <w:rPr>
          <w:rFonts w:cs="Calibri"/>
          <w:lang w:val="sq-AL"/>
        </w:rPr>
        <w:t xml:space="preserve"> për qind e shpenzimeve korrente</w:t>
      </w:r>
      <w:r>
        <w:rPr>
          <w:rFonts w:cs="Calibri"/>
          <w:lang w:val="sq-AL"/>
        </w:rPr>
        <w:t xml:space="preserve"> kundrejt planit të rishikuar.</w:t>
      </w:r>
      <w:r w:rsidRPr="0061334D">
        <w:t xml:space="preserve"> </w:t>
      </w:r>
      <w:r w:rsidRPr="0061334D">
        <w:rPr>
          <w:rFonts w:cs="Calibri"/>
          <w:lang w:val="sq-AL"/>
        </w:rPr>
        <w:t>Për sa u përket shpenzimeve kapitale</w:t>
      </w:r>
      <w:r>
        <w:rPr>
          <w:rFonts w:cs="Calibri"/>
          <w:lang w:val="sq-AL"/>
        </w:rPr>
        <w:t xml:space="preserve"> me financim të brendshëm, u realizuan në masën 40% kundrejt planit të rishikuar, si </w:t>
      </w:r>
      <w:r w:rsidRPr="00476D2E">
        <w:rPr>
          <w:rFonts w:cs="Calibri"/>
          <w:lang w:val="sq-AL"/>
        </w:rPr>
        <w:t xml:space="preserve">dhe vërejmë se nuk ka pothuaj fare realizim per financimin e huaj të planifikuar në masën </w:t>
      </w:r>
      <w:r>
        <w:rPr>
          <w:rFonts w:cs="Calibri"/>
          <w:lang w:val="sq-AL"/>
        </w:rPr>
        <w:t>300,000</w:t>
      </w:r>
      <w:r w:rsidRPr="00476D2E">
        <w:rPr>
          <w:rFonts w:cs="Calibri"/>
          <w:lang w:val="sq-AL"/>
        </w:rPr>
        <w:t xml:space="preserve"> mijë lekë</w:t>
      </w:r>
      <w:r w:rsidR="007B7B50" w:rsidRPr="00476D2E">
        <w:rPr>
          <w:rFonts w:cs="Calibri"/>
          <w:lang w:val="sq-AL"/>
        </w:rPr>
        <w:t>.</w:t>
      </w:r>
    </w:p>
    <w:p w:rsidR="000703F6" w:rsidRPr="000703F6" w:rsidRDefault="002B5B6C" w:rsidP="000703F6">
      <w:pPr>
        <w:rPr>
          <w:rFonts w:asciiTheme="majorHAnsi" w:eastAsiaTheme="minorHAnsi" w:hAnsiTheme="majorHAnsi" w:cs="Calibri Light"/>
          <w:szCs w:val="22"/>
          <w:lang w:val="sq-AL"/>
        </w:rPr>
      </w:pPr>
      <w:r w:rsidRPr="000703F6">
        <w:rPr>
          <w:rFonts w:asciiTheme="majorHAnsi" w:eastAsiaTheme="minorHAnsi" w:hAnsiTheme="majorHAnsi" w:cs="Calibri Light"/>
          <w:szCs w:val="22"/>
          <w:lang w:val="sq-AL"/>
        </w:rPr>
        <w:t xml:space="preserve">Për sa i përket </w:t>
      </w:r>
      <w:r w:rsidRPr="000703F6">
        <w:rPr>
          <w:rFonts w:asciiTheme="majorHAnsi" w:eastAsiaTheme="minorHAnsi" w:hAnsiTheme="majorHAnsi" w:cs="Calibri Light"/>
          <w:b/>
          <w:bCs/>
          <w:szCs w:val="22"/>
          <w:lang w:val="sq-AL"/>
        </w:rPr>
        <w:t>investimeve publike</w:t>
      </w:r>
      <w:r w:rsidRPr="000703F6">
        <w:rPr>
          <w:rFonts w:asciiTheme="majorHAnsi" w:eastAsiaTheme="minorHAnsi" w:hAnsiTheme="majorHAnsi" w:cs="Calibri Light"/>
          <w:szCs w:val="22"/>
          <w:lang w:val="sq-AL"/>
        </w:rPr>
        <w:t xml:space="preserve"> </w:t>
      </w:r>
      <w:r w:rsidR="000703F6" w:rsidRPr="000703F6">
        <w:rPr>
          <w:rFonts w:cs="Calibri"/>
          <w:lang w:val="sq-AL"/>
        </w:rPr>
        <w:t>r</w:t>
      </w:r>
      <w:r w:rsidR="000703F6">
        <w:rPr>
          <w:rFonts w:cs="Calibri"/>
          <w:lang w:val="sq-AL"/>
        </w:rPr>
        <w:t xml:space="preserve">ealizimi në vitin 2021 ishte </w:t>
      </w:r>
      <w:r w:rsidR="001007C6">
        <w:rPr>
          <w:rFonts w:cs="Calibri"/>
          <w:lang w:val="sq-AL"/>
        </w:rPr>
        <w:t>86.3</w:t>
      </w:r>
      <w:r w:rsidR="000703F6" w:rsidRPr="000703F6">
        <w:rPr>
          <w:rFonts w:cs="Calibri"/>
          <w:lang w:val="sq-AL"/>
        </w:rPr>
        <w:t>% e buxhetit fillestar për projektet me financim të brendshëm (4.4 milard lekë)</w:t>
      </w:r>
      <w:r w:rsidR="000703F6" w:rsidRPr="000703F6">
        <w:rPr>
          <w:rFonts w:cs="Calibri"/>
          <w:bCs/>
          <w:iCs/>
          <w:lang w:val="sq-AL"/>
        </w:rPr>
        <w:t xml:space="preserve"> (90.8% të planit vjetor të ndryshuar me AN nr.34).</w:t>
      </w:r>
      <w:r w:rsidR="000703F6" w:rsidRPr="000703F6">
        <w:rPr>
          <w:rFonts w:cs="Calibri"/>
          <w:lang w:val="sq-AL"/>
        </w:rPr>
        <w:t xml:space="preserve"> Buxheti i shpenzimeve kapitale pësoi ndryshime gjatë vitit</w:t>
      </w:r>
      <w:r w:rsidR="000703F6">
        <w:rPr>
          <w:rFonts w:cs="Calibri"/>
          <w:lang w:val="sq-AL"/>
        </w:rPr>
        <w:t xml:space="preserve"> 2021</w:t>
      </w:r>
      <w:r w:rsidR="000703F6" w:rsidRPr="000703F6">
        <w:rPr>
          <w:rFonts w:cs="Calibri"/>
          <w:lang w:val="sq-AL"/>
        </w:rPr>
        <w:t xml:space="preserve">, duke pakësuar shpenzimet me financim të brendshëm. </w:t>
      </w:r>
      <w:r w:rsidR="000703F6" w:rsidRPr="000703F6">
        <w:rPr>
          <w:rFonts w:asciiTheme="majorHAnsi" w:eastAsiaTheme="minorHAnsi" w:hAnsiTheme="majorHAnsi" w:cs="Calibri Light"/>
          <w:szCs w:val="22"/>
          <w:lang w:val="sq-AL"/>
        </w:rPr>
        <w:t>Janë mbyllur kontratat e investimit si më poshtë, ku ndër më kryesoret veçojmë rreth 8 kontrata me vlerë totale rreth 2 miliardë lekë, ku ndër kryesoret janë:</w:t>
      </w:r>
    </w:p>
    <w:p w:rsidR="000703F6" w:rsidRPr="00AB7A9F" w:rsidRDefault="000703F6"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 w:val="20"/>
          <w:szCs w:val="22"/>
          <w:lang w:val="sq-AL" w:eastAsia="en-GB"/>
        </w:rPr>
      </w:pPr>
      <w:r w:rsidRPr="00AB7A9F">
        <w:rPr>
          <w:rFonts w:asciiTheme="majorHAnsi" w:hAnsiTheme="majorHAnsi" w:cs="Calibri Light"/>
          <w:bCs/>
          <w:i/>
          <w:sz w:val="20"/>
          <w:szCs w:val="22"/>
          <w:lang w:val="sq-AL" w:eastAsia="en-GB"/>
        </w:rPr>
        <w:t>Kompletim me Armatim dhe pajisje me vlerë të plotë investimi prej 903 milionë lekë;</w:t>
      </w:r>
    </w:p>
    <w:p w:rsidR="000703F6" w:rsidRPr="00AB7A9F" w:rsidRDefault="000703F6"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 w:val="20"/>
          <w:szCs w:val="22"/>
          <w:lang w:val="sq-AL" w:eastAsia="en-GB"/>
        </w:rPr>
      </w:pPr>
      <w:r w:rsidRPr="00AB7A9F">
        <w:rPr>
          <w:rFonts w:asciiTheme="majorHAnsi" w:hAnsiTheme="majorHAnsi" w:cs="Calibri Light"/>
          <w:bCs/>
          <w:i/>
          <w:sz w:val="20"/>
          <w:szCs w:val="22"/>
          <w:lang w:val="sq-AL" w:eastAsia="en-GB"/>
        </w:rPr>
        <w:t>Sistemi Toke Ajer Toke me vlerë të plotë investimi prej 606 milionë lekë;</w:t>
      </w:r>
    </w:p>
    <w:p w:rsidR="000703F6" w:rsidRPr="00AB7A9F" w:rsidRDefault="000703F6"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 w:val="20"/>
          <w:szCs w:val="22"/>
          <w:lang w:val="sq-AL" w:eastAsia="en-GB"/>
        </w:rPr>
      </w:pPr>
      <w:r w:rsidRPr="00AB7A9F">
        <w:rPr>
          <w:rFonts w:asciiTheme="majorHAnsi" w:hAnsiTheme="majorHAnsi" w:cs="Calibri Light"/>
          <w:bCs/>
          <w:i/>
          <w:sz w:val="20"/>
          <w:szCs w:val="22"/>
          <w:lang w:val="sq-AL" w:eastAsia="en-GB"/>
        </w:rPr>
        <w:t>Sistemi i kapaciteteve operacionale për mbrojtjen kibernetike (CIRIC) dhe pamjes së përbashkët Operacionale me vlerë të plotë investimi prej 50 milionë lekë;</w:t>
      </w:r>
    </w:p>
    <w:p w:rsidR="000703F6" w:rsidRPr="00AB7A9F" w:rsidRDefault="000703F6"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 w:val="20"/>
          <w:szCs w:val="22"/>
          <w:lang w:val="sq-AL" w:eastAsia="en-GB"/>
        </w:rPr>
      </w:pPr>
      <w:r w:rsidRPr="00AB7A9F">
        <w:rPr>
          <w:rFonts w:asciiTheme="majorHAnsi" w:hAnsiTheme="majorHAnsi" w:cs="Calibri Light"/>
          <w:bCs/>
          <w:i/>
          <w:sz w:val="20"/>
          <w:szCs w:val="22"/>
          <w:lang w:val="sq-AL" w:eastAsia="en-GB"/>
        </w:rPr>
        <w:t>Paisje individuale ekuipazhi fluturus (helmeta , NVG, Setmbijetese ,jelek etj) me vlerë të plotë investimi prej 43 milionë lekë;</w:t>
      </w:r>
    </w:p>
    <w:p w:rsidR="000703F6" w:rsidRPr="00AB7A9F" w:rsidRDefault="000703F6"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 w:val="20"/>
          <w:szCs w:val="22"/>
          <w:lang w:val="sq-AL" w:eastAsia="en-GB"/>
        </w:rPr>
      </w:pPr>
      <w:r w:rsidRPr="00AB7A9F">
        <w:rPr>
          <w:rFonts w:asciiTheme="majorHAnsi" w:hAnsiTheme="majorHAnsi" w:cs="Calibri Light"/>
          <w:bCs/>
          <w:i/>
          <w:sz w:val="20"/>
          <w:szCs w:val="22"/>
          <w:lang w:val="sq-AL" w:eastAsia="en-GB"/>
        </w:rPr>
        <w:t>Blerje pajisje zyre dhe komjuterike me vlerë të plotë investimi 21 milionë lekë etj.</w:t>
      </w:r>
    </w:p>
    <w:p w:rsidR="000703F6" w:rsidRPr="00AB7A9F" w:rsidRDefault="000703F6"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 w:val="20"/>
          <w:szCs w:val="22"/>
          <w:lang w:val="sq-AL" w:eastAsia="en-GB"/>
        </w:rPr>
      </w:pPr>
      <w:r w:rsidRPr="00AB7A9F">
        <w:rPr>
          <w:rFonts w:asciiTheme="majorHAnsi" w:hAnsiTheme="majorHAnsi" w:cs="Calibri Light"/>
          <w:bCs/>
          <w:i/>
          <w:sz w:val="20"/>
          <w:szCs w:val="22"/>
          <w:lang w:val="sq-AL" w:eastAsia="en-GB"/>
        </w:rPr>
        <w:t>Blerje automjete për AKMC me vlerë të plotë investimi 16 milionë lekë;</w:t>
      </w:r>
    </w:p>
    <w:p w:rsidR="000703F6" w:rsidRPr="00AB7A9F" w:rsidRDefault="000703F6"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 w:val="20"/>
          <w:szCs w:val="22"/>
          <w:lang w:val="sq-AL" w:eastAsia="en-GB"/>
        </w:rPr>
      </w:pPr>
      <w:r w:rsidRPr="00AB7A9F">
        <w:rPr>
          <w:rFonts w:asciiTheme="majorHAnsi" w:hAnsiTheme="majorHAnsi" w:cs="Calibri Light"/>
          <w:bCs/>
          <w:i/>
          <w:sz w:val="20"/>
          <w:szCs w:val="22"/>
          <w:lang w:val="sq-AL" w:eastAsia="en-GB"/>
        </w:rPr>
        <w:t>Blerje e JCATS "1Versioni i përditesuar 13" me vlerë të plotë investimi prej 14 milionë lekë;</w:t>
      </w:r>
    </w:p>
    <w:p w:rsidR="000703F6" w:rsidRPr="00AB7A9F" w:rsidRDefault="000703F6"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 w:val="20"/>
          <w:szCs w:val="22"/>
          <w:lang w:val="sq-AL" w:eastAsia="en-GB"/>
        </w:rPr>
      </w:pPr>
      <w:r w:rsidRPr="00AB7A9F">
        <w:rPr>
          <w:rFonts w:asciiTheme="majorHAnsi" w:hAnsiTheme="majorHAnsi" w:cs="Calibri Light"/>
          <w:bCs/>
          <w:i/>
          <w:sz w:val="20"/>
          <w:szCs w:val="22"/>
          <w:lang w:val="sq-AL" w:eastAsia="en-GB"/>
        </w:rPr>
        <w:t>Gjithashtu, janë paguar për furinizime të ndryshme me armatim i lehtë municion dhe paisje e makineri për forcat e armatosura në vlerën e 2.1 miliardë lekë etj.</w:t>
      </w:r>
    </w:p>
    <w:p w:rsidR="007B7B50" w:rsidRPr="00476D2E" w:rsidRDefault="007B7B50" w:rsidP="007B7B50">
      <w:pPr>
        <w:pStyle w:val="fiskale3"/>
        <w:rPr>
          <w:rFonts w:ascii="Calibri" w:hAnsi="Calibri" w:cs="Calibri"/>
          <w:b/>
        </w:rPr>
      </w:pPr>
      <w:bookmarkStart w:id="269" w:name="_Toc10033299"/>
      <w:bookmarkStart w:id="270" w:name="_Toc10721435"/>
      <w:bookmarkStart w:id="271" w:name="_Toc104980369"/>
      <w:r w:rsidRPr="00476D2E">
        <w:rPr>
          <w:rFonts w:ascii="Calibri" w:hAnsi="Calibri" w:cs="Calibri"/>
          <w:b/>
        </w:rPr>
        <w:lastRenderedPageBreak/>
        <w:t>Kultura</w:t>
      </w:r>
      <w:bookmarkEnd w:id="269"/>
      <w:bookmarkEnd w:id="270"/>
      <w:bookmarkEnd w:id="271"/>
    </w:p>
    <w:p w:rsidR="007B7B50" w:rsidRPr="00476D2E" w:rsidRDefault="007B7B50" w:rsidP="007B7B50">
      <w:r w:rsidRPr="00476D2E">
        <w:t>Performanca e treguesve buxhetorë për programet kryesore të Ministrisë së Kulturës paraqitet si mëposhtë:</w:t>
      </w:r>
    </w:p>
    <w:p w:rsidR="007B7B50" w:rsidRPr="00476D2E" w:rsidRDefault="007B7B50" w:rsidP="007B7B50">
      <w:pPr>
        <w:pStyle w:val="Caption"/>
        <w:keepNext/>
        <w:spacing w:after="0"/>
        <w:rPr>
          <w:rFonts w:cs="Calibri"/>
          <w:color w:val="0B5294" w:themeColor="accent1" w:themeShade="BF"/>
          <w:lang w:val="sq-AL"/>
        </w:rPr>
      </w:pPr>
      <w:bookmarkStart w:id="272" w:name="_Toc104984102"/>
      <w:r w:rsidRPr="00476D2E">
        <w:rPr>
          <w:rFonts w:cs="Calibri"/>
          <w:color w:val="0B5294" w:themeColor="accent1" w:themeShade="BF"/>
          <w:lang w:val="sq-AL"/>
        </w:rPr>
        <w:t xml:space="preserve">Tabela </w:t>
      </w:r>
      <w:r w:rsidRPr="00476D2E">
        <w:rPr>
          <w:rFonts w:cs="Calibri"/>
          <w:color w:val="0B5294" w:themeColor="accent1" w:themeShade="BF"/>
          <w:lang w:val="sq-AL"/>
        </w:rPr>
        <w:fldChar w:fldCharType="begin"/>
      </w:r>
      <w:r w:rsidRPr="00476D2E">
        <w:rPr>
          <w:rFonts w:cs="Calibri"/>
          <w:color w:val="0B5294" w:themeColor="accent1" w:themeShade="BF"/>
          <w:lang w:val="sq-AL"/>
        </w:rPr>
        <w:instrText xml:space="preserve"> SEQ Tabela \* ARABIC </w:instrText>
      </w:r>
      <w:r w:rsidRPr="00476D2E">
        <w:rPr>
          <w:rFonts w:cs="Calibri"/>
          <w:color w:val="0B5294" w:themeColor="accent1" w:themeShade="BF"/>
          <w:lang w:val="sq-AL"/>
        </w:rPr>
        <w:fldChar w:fldCharType="separate"/>
      </w:r>
      <w:r w:rsidR="00276062">
        <w:rPr>
          <w:rFonts w:cs="Calibri"/>
          <w:noProof/>
          <w:color w:val="0B5294" w:themeColor="accent1" w:themeShade="BF"/>
          <w:lang w:val="sq-AL"/>
        </w:rPr>
        <w:t>30</w:t>
      </w:r>
      <w:r w:rsidRPr="00476D2E">
        <w:rPr>
          <w:rFonts w:cs="Calibri"/>
          <w:color w:val="0B5294" w:themeColor="accent1" w:themeShade="BF"/>
          <w:lang w:val="sq-AL"/>
        </w:rPr>
        <w:fldChar w:fldCharType="end"/>
      </w:r>
      <w:r w:rsidRPr="00476D2E">
        <w:rPr>
          <w:rFonts w:cs="Calibri"/>
          <w:color w:val="0B5294" w:themeColor="accent1" w:themeShade="BF"/>
          <w:lang w:val="sq-AL"/>
        </w:rPr>
        <w:t xml:space="preserve"> Realizimi i buxhetit 202</w:t>
      </w:r>
      <w:r w:rsidR="00A35358">
        <w:rPr>
          <w:rFonts w:cs="Calibri"/>
          <w:color w:val="0B5294" w:themeColor="accent1" w:themeShade="BF"/>
          <w:lang w:val="sq-AL"/>
        </w:rPr>
        <w:t>1</w:t>
      </w:r>
      <w:r w:rsidRPr="00476D2E">
        <w:rPr>
          <w:rFonts w:cs="Calibri"/>
          <w:color w:val="0B5294" w:themeColor="accent1" w:themeShade="BF"/>
          <w:lang w:val="sq-AL"/>
        </w:rPr>
        <w:t xml:space="preserve"> për Ministrinë e Kulturës</w:t>
      </w:r>
      <w:bookmarkEnd w:id="272"/>
    </w:p>
    <w:tbl>
      <w:tblPr>
        <w:tblStyle w:val="GridTable1Light-Accent11"/>
        <w:tblW w:w="5711" w:type="pct"/>
        <w:jc w:val="center"/>
        <w:tblLook w:val="01E0" w:firstRow="1" w:lastRow="1" w:firstColumn="1" w:lastColumn="1" w:noHBand="0" w:noVBand="0"/>
      </w:tblPr>
      <w:tblGrid>
        <w:gridCol w:w="2774"/>
        <w:gridCol w:w="1156"/>
        <w:gridCol w:w="975"/>
        <w:gridCol w:w="901"/>
        <w:gridCol w:w="975"/>
        <w:gridCol w:w="901"/>
        <w:gridCol w:w="975"/>
        <w:gridCol w:w="601"/>
        <w:gridCol w:w="739"/>
        <w:gridCol w:w="818"/>
        <w:gridCol w:w="739"/>
      </w:tblGrid>
      <w:tr w:rsidR="00A35358" w:rsidRPr="00476D2E" w:rsidTr="00A35358">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200" w:type="pct"/>
            <w:vMerge w:val="restart"/>
            <w:shd w:val="clear" w:color="auto" w:fill="0B5294" w:themeFill="accent1" w:themeFillShade="BF"/>
          </w:tcPr>
          <w:p w:rsidR="00A35358" w:rsidRPr="00476D2E" w:rsidRDefault="00A35358" w:rsidP="00A35358">
            <w:pPr>
              <w:spacing w:before="0" w:line="240" w:lineRule="auto"/>
              <w:jc w:val="center"/>
              <w:rPr>
                <w:rFonts w:cs="Calibri"/>
                <w:color w:val="FFFFFF" w:themeColor="background1"/>
                <w:sz w:val="16"/>
                <w:lang w:val="sq-AL"/>
              </w:rPr>
            </w:pPr>
            <w:r w:rsidRPr="00476D2E">
              <w:rPr>
                <w:rFonts w:cs="Calibri"/>
                <w:color w:val="FFFFFF" w:themeColor="background1"/>
                <w:sz w:val="16"/>
                <w:lang w:val="sq-AL"/>
              </w:rPr>
              <w:t>Programi buxhetor</w:t>
            </w:r>
          </w:p>
          <w:p w:rsidR="00A35358" w:rsidRPr="00476D2E" w:rsidRDefault="00A35358" w:rsidP="00A35358">
            <w:pPr>
              <w:spacing w:before="0" w:line="240" w:lineRule="auto"/>
              <w:jc w:val="center"/>
              <w:rPr>
                <w:rFonts w:cs="Calibri"/>
                <w:b w:val="0"/>
                <w:i/>
                <w:color w:val="FFFFFF" w:themeColor="background1"/>
                <w:sz w:val="16"/>
                <w:lang w:val="sq-AL"/>
              </w:rPr>
            </w:pPr>
            <w:r w:rsidRPr="00476D2E">
              <w:rPr>
                <w:rFonts w:cs="Calibri"/>
                <w:b w:val="0"/>
                <w:i/>
                <w:color w:val="FFFFFF" w:themeColor="background1"/>
                <w:sz w:val="16"/>
                <w:lang w:val="sq-AL"/>
              </w:rPr>
              <w:t>000 lekë</w:t>
            </w:r>
          </w:p>
        </w:tc>
        <w:tc>
          <w:tcPr>
            <w:tcW w:w="922" w:type="pct"/>
            <w:gridSpan w:val="2"/>
            <w:shd w:val="clear" w:color="auto" w:fill="0B5294" w:themeFill="accent1" w:themeFillShade="BF"/>
          </w:tcPr>
          <w:p w:rsidR="00A35358" w:rsidRPr="00476D2E" w:rsidRDefault="00A35358" w:rsidP="00A3535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476D2E">
              <w:rPr>
                <w:rFonts w:cs="Calibri"/>
                <w:color w:val="FFFFFF" w:themeColor="background1"/>
                <w:sz w:val="16"/>
                <w:lang w:val="sq-AL"/>
              </w:rPr>
              <w:t>Plani fillestar 202</w:t>
            </w:r>
            <w:r>
              <w:rPr>
                <w:rFonts w:cs="Calibri"/>
                <w:color w:val="FFFFFF" w:themeColor="background1"/>
                <w:sz w:val="16"/>
                <w:lang w:val="sq-AL"/>
              </w:rPr>
              <w:t>1</w:t>
            </w:r>
          </w:p>
        </w:tc>
        <w:tc>
          <w:tcPr>
            <w:tcW w:w="812" w:type="pct"/>
            <w:gridSpan w:val="2"/>
            <w:shd w:val="clear" w:color="auto" w:fill="0B5294" w:themeFill="accent1" w:themeFillShade="BF"/>
          </w:tcPr>
          <w:p w:rsidR="00A35358" w:rsidRPr="00476D2E" w:rsidRDefault="00A35358" w:rsidP="00A3535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476D2E">
              <w:rPr>
                <w:rFonts w:cs="Calibri"/>
                <w:color w:val="FFFFFF" w:themeColor="background1"/>
                <w:sz w:val="16"/>
                <w:lang w:val="sq-AL"/>
              </w:rPr>
              <w:t>Plani i rishikuar 202</w:t>
            </w:r>
            <w:r>
              <w:rPr>
                <w:rFonts w:cs="Calibri"/>
                <w:color w:val="FFFFFF" w:themeColor="background1"/>
                <w:sz w:val="16"/>
                <w:lang w:val="sq-AL"/>
              </w:rPr>
              <w:t>1</w:t>
            </w:r>
          </w:p>
        </w:tc>
        <w:tc>
          <w:tcPr>
            <w:tcW w:w="812" w:type="pct"/>
            <w:gridSpan w:val="2"/>
            <w:shd w:val="clear" w:color="auto" w:fill="0B5294" w:themeFill="accent1" w:themeFillShade="BF"/>
          </w:tcPr>
          <w:p w:rsidR="00A35358" w:rsidRPr="00476D2E" w:rsidRDefault="00A35358" w:rsidP="00A3535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476D2E">
              <w:rPr>
                <w:rFonts w:cs="Calibri"/>
                <w:color w:val="FFFFFF" w:themeColor="background1"/>
                <w:sz w:val="16"/>
                <w:lang w:val="sq-AL"/>
              </w:rPr>
              <w:t>Fakti 202</w:t>
            </w:r>
            <w:r>
              <w:rPr>
                <w:rFonts w:cs="Calibri"/>
                <w:color w:val="FFFFFF" w:themeColor="background1"/>
                <w:sz w:val="16"/>
                <w:lang w:val="sq-AL"/>
              </w:rPr>
              <w:t>1</w:t>
            </w:r>
          </w:p>
        </w:tc>
        <w:tc>
          <w:tcPr>
            <w:tcW w:w="580" w:type="pct"/>
            <w:gridSpan w:val="2"/>
            <w:shd w:val="clear" w:color="auto" w:fill="0B5294" w:themeFill="accent1" w:themeFillShade="BF"/>
          </w:tcPr>
          <w:p w:rsidR="00A35358" w:rsidRPr="00476D2E" w:rsidRDefault="00A35358" w:rsidP="00A3535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 w:val="16"/>
                <w:lang w:val="sq-AL"/>
              </w:rPr>
            </w:pPr>
            <w:r>
              <w:rPr>
                <w:rFonts w:cs="Calibri"/>
                <w:b w:val="0"/>
                <w:bCs w:val="0"/>
                <w:color w:val="FFFFFF" w:themeColor="background1"/>
                <w:sz w:val="16"/>
                <w:szCs w:val="18"/>
              </w:rPr>
              <w:t>Realizimi</w:t>
            </w:r>
            <w:r w:rsidRPr="00476D2E">
              <w:rPr>
                <w:rFonts w:cs="Calibri"/>
                <w:b w:val="0"/>
                <w:bCs w:val="0"/>
                <w:color w:val="FFFFFF" w:themeColor="background1"/>
                <w:sz w:val="16"/>
                <w:szCs w:val="18"/>
              </w:rPr>
              <w:t xml:space="preserve"> në % me planin fillestar</w:t>
            </w:r>
          </w:p>
        </w:tc>
        <w:tc>
          <w:tcPr>
            <w:cnfStyle w:val="000100000000" w:firstRow="0" w:lastRow="0" w:firstColumn="0" w:lastColumn="1" w:oddVBand="0" w:evenVBand="0" w:oddHBand="0" w:evenHBand="0" w:firstRowFirstColumn="0" w:firstRowLastColumn="0" w:lastRowFirstColumn="0" w:lastRowLastColumn="0"/>
            <w:tcW w:w="674" w:type="pct"/>
            <w:gridSpan w:val="2"/>
            <w:shd w:val="clear" w:color="auto" w:fill="0B5294" w:themeFill="accent1" w:themeFillShade="BF"/>
          </w:tcPr>
          <w:p w:rsidR="00A35358" w:rsidRPr="00476D2E" w:rsidRDefault="00A35358" w:rsidP="00A35358">
            <w:pPr>
              <w:spacing w:before="0" w:line="240" w:lineRule="auto"/>
              <w:jc w:val="center"/>
              <w:rPr>
                <w:rFonts w:cs="Calibri"/>
                <w:b w:val="0"/>
                <w:bCs w:val="0"/>
                <w:color w:val="FFFFFF" w:themeColor="background1"/>
                <w:sz w:val="16"/>
                <w:lang w:val="sq-AL"/>
              </w:rPr>
            </w:pPr>
            <w:r>
              <w:rPr>
                <w:rFonts w:cs="Calibri"/>
                <w:b w:val="0"/>
                <w:bCs w:val="0"/>
                <w:color w:val="FFFFFF" w:themeColor="background1"/>
                <w:sz w:val="16"/>
                <w:szCs w:val="18"/>
              </w:rPr>
              <w:t xml:space="preserve">Realizimi </w:t>
            </w:r>
            <w:r w:rsidRPr="00476D2E">
              <w:rPr>
                <w:rFonts w:cs="Calibri"/>
                <w:b w:val="0"/>
                <w:bCs w:val="0"/>
                <w:color w:val="FFFFFF" w:themeColor="background1"/>
                <w:sz w:val="16"/>
                <w:szCs w:val="18"/>
              </w:rPr>
              <w:t>në % me planin e rishikuar</w:t>
            </w:r>
          </w:p>
        </w:tc>
      </w:tr>
      <w:tr w:rsidR="00A35358" w:rsidRPr="00476D2E" w:rsidTr="00A35358">
        <w:trPr>
          <w:trHeight w:val="284"/>
          <w:jc w:val="center"/>
        </w:trPr>
        <w:tc>
          <w:tcPr>
            <w:cnfStyle w:val="001000000000" w:firstRow="0" w:lastRow="0" w:firstColumn="1" w:lastColumn="0" w:oddVBand="0" w:evenVBand="0" w:oddHBand="0" w:evenHBand="0" w:firstRowFirstColumn="0" w:firstRowLastColumn="0" w:lastRowFirstColumn="0" w:lastRowLastColumn="0"/>
            <w:tcW w:w="1200" w:type="pct"/>
            <w:vMerge/>
            <w:shd w:val="clear" w:color="auto" w:fill="0B5294" w:themeFill="accent1" w:themeFillShade="BF"/>
          </w:tcPr>
          <w:p w:rsidR="00A35358" w:rsidRPr="00476D2E" w:rsidRDefault="00A35358" w:rsidP="00A35358">
            <w:pPr>
              <w:spacing w:before="0" w:line="240" w:lineRule="auto"/>
              <w:jc w:val="center"/>
              <w:rPr>
                <w:rFonts w:cs="Calibri"/>
                <w:color w:val="FFFFFF" w:themeColor="background1"/>
                <w:sz w:val="16"/>
                <w:lang w:val="sq-AL"/>
              </w:rPr>
            </w:pPr>
          </w:p>
        </w:tc>
        <w:tc>
          <w:tcPr>
            <w:tcW w:w="500" w:type="pct"/>
            <w:shd w:val="clear" w:color="auto" w:fill="0B5294" w:themeFill="accent1" w:themeFillShade="BF"/>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FFFFFF" w:themeColor="background1"/>
                <w:sz w:val="16"/>
                <w:lang w:val="sq-AL"/>
              </w:rPr>
            </w:pPr>
            <w:r w:rsidRPr="00476D2E">
              <w:rPr>
                <w:rFonts w:cs="Calibri"/>
                <w:b/>
                <w:color w:val="FFFFFF" w:themeColor="background1"/>
                <w:sz w:val="16"/>
                <w:lang w:val="sq-AL"/>
              </w:rPr>
              <w:t>Korrente</w:t>
            </w:r>
          </w:p>
        </w:tc>
        <w:tc>
          <w:tcPr>
            <w:tcW w:w="422" w:type="pct"/>
            <w:shd w:val="clear" w:color="auto" w:fill="0B5294" w:themeFill="accent1" w:themeFillShade="BF"/>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FFFFFF" w:themeColor="background1"/>
                <w:sz w:val="16"/>
                <w:lang w:val="sq-AL"/>
              </w:rPr>
            </w:pPr>
            <w:r w:rsidRPr="00476D2E">
              <w:rPr>
                <w:rFonts w:cs="Calibri"/>
                <w:b/>
                <w:color w:val="FFFFFF" w:themeColor="background1"/>
                <w:sz w:val="16"/>
                <w:lang w:val="sq-AL"/>
              </w:rPr>
              <w:t>Investime</w:t>
            </w:r>
          </w:p>
        </w:tc>
        <w:tc>
          <w:tcPr>
            <w:tcW w:w="390" w:type="pct"/>
            <w:shd w:val="clear" w:color="auto" w:fill="0B5294" w:themeFill="accent1" w:themeFillShade="BF"/>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476D2E">
              <w:rPr>
                <w:rFonts w:cs="Calibri"/>
                <w:b/>
                <w:color w:val="FFFFFF" w:themeColor="background1"/>
                <w:sz w:val="16"/>
                <w:lang w:val="sq-AL"/>
              </w:rPr>
              <w:t>Korrente</w:t>
            </w:r>
          </w:p>
        </w:tc>
        <w:tc>
          <w:tcPr>
            <w:tcW w:w="422" w:type="pct"/>
            <w:shd w:val="clear" w:color="auto" w:fill="0B5294" w:themeFill="accent1" w:themeFillShade="BF"/>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476D2E">
              <w:rPr>
                <w:rFonts w:cs="Calibri"/>
                <w:b/>
                <w:color w:val="FFFFFF" w:themeColor="background1"/>
                <w:sz w:val="16"/>
                <w:lang w:val="sq-AL"/>
              </w:rPr>
              <w:t>Investime</w:t>
            </w:r>
          </w:p>
        </w:tc>
        <w:tc>
          <w:tcPr>
            <w:tcW w:w="390" w:type="pct"/>
            <w:shd w:val="clear" w:color="auto" w:fill="0B5294" w:themeFill="accent1" w:themeFillShade="BF"/>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476D2E">
              <w:rPr>
                <w:rFonts w:cs="Calibri"/>
                <w:b/>
                <w:color w:val="FFFFFF" w:themeColor="background1"/>
                <w:sz w:val="16"/>
                <w:lang w:val="sq-AL"/>
              </w:rPr>
              <w:t>Korrente</w:t>
            </w:r>
          </w:p>
        </w:tc>
        <w:tc>
          <w:tcPr>
            <w:tcW w:w="422" w:type="pct"/>
            <w:shd w:val="clear" w:color="auto" w:fill="0B5294" w:themeFill="accent1" w:themeFillShade="BF"/>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476D2E">
              <w:rPr>
                <w:rFonts w:cs="Calibri"/>
                <w:b/>
                <w:color w:val="FFFFFF" w:themeColor="background1"/>
                <w:sz w:val="16"/>
                <w:lang w:val="sq-AL"/>
              </w:rPr>
              <w:t>Investime</w:t>
            </w:r>
          </w:p>
        </w:tc>
        <w:tc>
          <w:tcPr>
            <w:tcW w:w="260" w:type="pct"/>
            <w:shd w:val="clear" w:color="auto" w:fill="0B5294" w:themeFill="accent1" w:themeFillShade="BF"/>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476D2E">
              <w:rPr>
                <w:rFonts w:cs="Calibri"/>
                <w:b/>
                <w:color w:val="FFFFFF" w:themeColor="background1"/>
                <w:sz w:val="16"/>
                <w:lang w:val="sq-AL"/>
              </w:rPr>
              <w:t>Korr.</w:t>
            </w:r>
          </w:p>
        </w:tc>
        <w:tc>
          <w:tcPr>
            <w:tcW w:w="320" w:type="pct"/>
            <w:shd w:val="clear" w:color="auto" w:fill="0B5294" w:themeFill="accent1" w:themeFillShade="BF"/>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FFFFFF" w:themeColor="background1"/>
                <w:sz w:val="16"/>
                <w:lang w:val="sq-AL"/>
              </w:rPr>
            </w:pPr>
            <w:r w:rsidRPr="00476D2E">
              <w:rPr>
                <w:rFonts w:cs="Calibri"/>
                <w:bCs/>
                <w:color w:val="FFFFFF" w:themeColor="background1"/>
                <w:sz w:val="16"/>
                <w:lang w:val="sq-AL"/>
              </w:rPr>
              <w:t>Inv.</w:t>
            </w:r>
          </w:p>
        </w:tc>
        <w:tc>
          <w:tcPr>
            <w:tcW w:w="354" w:type="pct"/>
            <w:shd w:val="clear" w:color="auto" w:fill="0B5294" w:themeFill="accent1" w:themeFillShade="BF"/>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color w:val="FFFFFF" w:themeColor="background1"/>
                <w:sz w:val="16"/>
                <w:lang w:val="sq-AL"/>
              </w:rPr>
            </w:pPr>
            <w:r w:rsidRPr="00476D2E">
              <w:rPr>
                <w:rFonts w:cs="Calibri"/>
                <w:b/>
                <w:color w:val="FFFFFF" w:themeColor="background1"/>
                <w:sz w:val="16"/>
                <w:lang w:val="sq-AL"/>
              </w:rPr>
              <w:t>Korr.</w:t>
            </w:r>
          </w:p>
        </w:tc>
        <w:tc>
          <w:tcPr>
            <w:cnfStyle w:val="000100000000" w:firstRow="0" w:lastRow="0" w:firstColumn="0" w:lastColumn="1" w:oddVBand="0" w:evenVBand="0" w:oddHBand="0" w:evenHBand="0" w:firstRowFirstColumn="0" w:firstRowLastColumn="0" w:lastRowFirstColumn="0" w:lastRowLastColumn="0"/>
            <w:tcW w:w="320" w:type="pct"/>
            <w:shd w:val="clear" w:color="auto" w:fill="0B5294" w:themeFill="accent1" w:themeFillShade="BF"/>
          </w:tcPr>
          <w:p w:rsidR="00A35358" w:rsidRPr="00476D2E" w:rsidRDefault="00A35358" w:rsidP="00A35358">
            <w:pPr>
              <w:spacing w:before="0" w:line="240" w:lineRule="auto"/>
              <w:jc w:val="center"/>
              <w:rPr>
                <w:rFonts w:cs="Calibri"/>
                <w:bCs w:val="0"/>
                <w:color w:val="FFFFFF" w:themeColor="background1"/>
                <w:sz w:val="16"/>
                <w:lang w:val="sq-AL"/>
              </w:rPr>
            </w:pPr>
            <w:r w:rsidRPr="00476D2E">
              <w:rPr>
                <w:rFonts w:cs="Calibri"/>
                <w:bCs w:val="0"/>
                <w:color w:val="FFFFFF" w:themeColor="background1"/>
                <w:sz w:val="16"/>
                <w:lang w:val="sq-AL"/>
              </w:rPr>
              <w:t>Inv.</w:t>
            </w:r>
          </w:p>
        </w:tc>
      </w:tr>
      <w:tr w:rsidR="00A35358" w:rsidRPr="00476D2E" w:rsidTr="00A35358">
        <w:trPr>
          <w:trHeight w:val="284"/>
          <w:jc w:val="center"/>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vAlign w:val="center"/>
          </w:tcPr>
          <w:p w:rsidR="00A35358" w:rsidRPr="00476D2E" w:rsidRDefault="00A35358" w:rsidP="00A35358">
            <w:pPr>
              <w:spacing w:before="0" w:line="240" w:lineRule="auto"/>
              <w:jc w:val="center"/>
              <w:rPr>
                <w:rFonts w:cs="Calibri"/>
                <w:b w:val="0"/>
                <w:sz w:val="16"/>
                <w:szCs w:val="18"/>
                <w:lang w:val="sq-AL"/>
              </w:rPr>
            </w:pPr>
            <w:r w:rsidRPr="00476D2E">
              <w:rPr>
                <w:rFonts w:cs="Calibri"/>
                <w:color w:val="000000"/>
                <w:sz w:val="16"/>
                <w:szCs w:val="18"/>
                <w:lang w:val="sq-AL"/>
              </w:rPr>
              <w:t>Planifikimi, Menaxhimi Administrimi</w:t>
            </w:r>
          </w:p>
        </w:tc>
        <w:tc>
          <w:tcPr>
            <w:tcW w:w="500" w:type="pct"/>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Pr>
                <w:rFonts w:cs="Calibri"/>
                <w:sz w:val="16"/>
                <w:szCs w:val="18"/>
              </w:rPr>
              <w:t>160 000</w:t>
            </w:r>
          </w:p>
        </w:tc>
        <w:tc>
          <w:tcPr>
            <w:tcW w:w="422" w:type="pct"/>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476D2E">
              <w:rPr>
                <w:rFonts w:cs="Calibri"/>
                <w:sz w:val="16"/>
                <w:szCs w:val="18"/>
              </w:rPr>
              <w:t>0</w:t>
            </w:r>
          </w:p>
        </w:tc>
        <w:tc>
          <w:tcPr>
            <w:tcW w:w="390" w:type="pct"/>
            <w:shd w:val="clear" w:color="auto" w:fill="auto"/>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Pr>
                <w:rFonts w:cs="Calibri"/>
                <w:color w:val="000000"/>
                <w:sz w:val="16"/>
                <w:szCs w:val="18"/>
              </w:rPr>
              <w:t>164 072</w:t>
            </w:r>
          </w:p>
        </w:tc>
        <w:tc>
          <w:tcPr>
            <w:tcW w:w="422" w:type="pct"/>
            <w:shd w:val="clear" w:color="auto" w:fill="auto"/>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476D2E">
              <w:rPr>
                <w:rFonts w:cs="Calibri"/>
                <w:color w:val="000000"/>
                <w:sz w:val="16"/>
                <w:szCs w:val="18"/>
              </w:rPr>
              <w:t>-</w:t>
            </w:r>
          </w:p>
        </w:tc>
        <w:tc>
          <w:tcPr>
            <w:tcW w:w="390" w:type="pct"/>
            <w:shd w:val="clear" w:color="auto" w:fill="auto"/>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Pr>
                <w:rFonts w:cs="Calibri"/>
                <w:color w:val="000000"/>
                <w:sz w:val="16"/>
                <w:szCs w:val="18"/>
              </w:rPr>
              <w:t>156 828</w:t>
            </w:r>
          </w:p>
        </w:tc>
        <w:tc>
          <w:tcPr>
            <w:tcW w:w="422" w:type="pct"/>
            <w:shd w:val="clear" w:color="auto" w:fill="auto"/>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476D2E">
              <w:rPr>
                <w:rFonts w:cs="Calibri"/>
                <w:color w:val="000000"/>
                <w:sz w:val="16"/>
                <w:szCs w:val="18"/>
              </w:rPr>
              <w:t>-</w:t>
            </w:r>
          </w:p>
        </w:tc>
        <w:tc>
          <w:tcPr>
            <w:tcW w:w="260" w:type="pct"/>
            <w:shd w:val="clear" w:color="auto" w:fill="auto"/>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Pr>
                <w:rFonts w:cs="Calibri"/>
                <w:sz w:val="16"/>
                <w:szCs w:val="18"/>
                <w:lang w:val="sq-AL"/>
              </w:rPr>
              <w:t>98%</w:t>
            </w:r>
          </w:p>
        </w:tc>
        <w:tc>
          <w:tcPr>
            <w:tcW w:w="320" w:type="pct"/>
            <w:shd w:val="clear" w:color="auto" w:fill="auto"/>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p>
        </w:tc>
        <w:tc>
          <w:tcPr>
            <w:tcW w:w="354" w:type="pct"/>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Pr>
                <w:rFonts w:cs="Calibri"/>
                <w:color w:val="000000"/>
                <w:sz w:val="16"/>
                <w:szCs w:val="18"/>
                <w:lang w:val="sq-AL"/>
              </w:rPr>
              <w:t>96</w:t>
            </w:r>
            <w:r w:rsidRPr="00476D2E">
              <w:rPr>
                <w:rFonts w:cs="Calibri"/>
                <w:color w:val="000000"/>
                <w:sz w:val="16"/>
                <w:szCs w:val="18"/>
                <w:lang w:val="sq-AL"/>
              </w:rPr>
              <w:t>%</w:t>
            </w:r>
          </w:p>
        </w:tc>
        <w:tc>
          <w:tcPr>
            <w:cnfStyle w:val="000100000000" w:firstRow="0" w:lastRow="0" w:firstColumn="0" w:lastColumn="1" w:oddVBand="0" w:evenVBand="0" w:oddHBand="0" w:evenHBand="0" w:firstRowFirstColumn="0" w:firstRowLastColumn="0" w:lastRowFirstColumn="0" w:lastRowLastColumn="0"/>
            <w:tcW w:w="320" w:type="pct"/>
            <w:vAlign w:val="center"/>
          </w:tcPr>
          <w:p w:rsidR="00A35358" w:rsidRPr="00476D2E" w:rsidRDefault="00A35358" w:rsidP="00A35358">
            <w:pPr>
              <w:spacing w:before="0" w:line="240" w:lineRule="auto"/>
              <w:jc w:val="center"/>
              <w:rPr>
                <w:rFonts w:cs="Calibri"/>
                <w:bCs w:val="0"/>
                <w:sz w:val="16"/>
                <w:szCs w:val="18"/>
                <w:lang w:val="sq-AL"/>
              </w:rPr>
            </w:pPr>
          </w:p>
        </w:tc>
      </w:tr>
      <w:tr w:rsidR="00A35358" w:rsidRPr="00476D2E" w:rsidTr="00A35358">
        <w:trPr>
          <w:trHeight w:val="252"/>
          <w:jc w:val="center"/>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vAlign w:val="center"/>
          </w:tcPr>
          <w:p w:rsidR="00A35358" w:rsidRPr="00476D2E" w:rsidRDefault="00A35358" w:rsidP="00A35358">
            <w:pPr>
              <w:spacing w:before="0" w:line="240" w:lineRule="auto"/>
              <w:jc w:val="center"/>
              <w:rPr>
                <w:rFonts w:cs="Calibri"/>
                <w:b w:val="0"/>
                <w:sz w:val="16"/>
                <w:szCs w:val="18"/>
                <w:lang w:val="sq-AL"/>
              </w:rPr>
            </w:pPr>
            <w:r w:rsidRPr="00476D2E">
              <w:rPr>
                <w:rFonts w:cs="Calibri"/>
                <w:color w:val="000000"/>
                <w:sz w:val="16"/>
                <w:szCs w:val="18"/>
                <w:lang w:val="sq-AL"/>
              </w:rPr>
              <w:t>Trashëgimia kulturore dhe muzetë</w:t>
            </w:r>
          </w:p>
        </w:tc>
        <w:tc>
          <w:tcPr>
            <w:tcW w:w="500" w:type="pct"/>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Pr>
                <w:rFonts w:cs="Calibri"/>
                <w:sz w:val="16"/>
                <w:szCs w:val="18"/>
              </w:rPr>
              <w:t>526 001</w:t>
            </w:r>
          </w:p>
        </w:tc>
        <w:tc>
          <w:tcPr>
            <w:tcW w:w="422" w:type="pct"/>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476D2E">
              <w:rPr>
                <w:rFonts w:cs="Calibri"/>
                <w:sz w:val="16"/>
                <w:szCs w:val="18"/>
              </w:rPr>
              <w:t>7 500</w:t>
            </w:r>
          </w:p>
        </w:tc>
        <w:tc>
          <w:tcPr>
            <w:tcW w:w="390" w:type="pct"/>
            <w:shd w:val="clear" w:color="auto" w:fill="auto"/>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Pr>
                <w:rFonts w:cs="Calibri"/>
                <w:color w:val="000000"/>
                <w:sz w:val="16"/>
                <w:szCs w:val="18"/>
              </w:rPr>
              <w:t>511 194</w:t>
            </w:r>
          </w:p>
        </w:tc>
        <w:tc>
          <w:tcPr>
            <w:tcW w:w="422" w:type="pct"/>
            <w:shd w:val="clear" w:color="auto" w:fill="auto"/>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Pr>
                <w:rFonts w:cs="Calibri"/>
                <w:color w:val="000000"/>
                <w:sz w:val="16"/>
                <w:szCs w:val="18"/>
              </w:rPr>
              <w:t>53 284</w:t>
            </w:r>
          </w:p>
        </w:tc>
        <w:tc>
          <w:tcPr>
            <w:tcW w:w="390" w:type="pct"/>
            <w:shd w:val="clear" w:color="auto" w:fill="auto"/>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Pr>
                <w:rFonts w:cs="Calibri"/>
                <w:color w:val="000000"/>
                <w:sz w:val="16"/>
                <w:szCs w:val="18"/>
              </w:rPr>
              <w:t>479 066</w:t>
            </w:r>
          </w:p>
        </w:tc>
        <w:tc>
          <w:tcPr>
            <w:tcW w:w="422" w:type="pct"/>
            <w:shd w:val="clear" w:color="auto" w:fill="auto"/>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Pr>
                <w:rFonts w:cs="Calibri"/>
                <w:color w:val="000000"/>
                <w:sz w:val="16"/>
                <w:szCs w:val="18"/>
              </w:rPr>
              <w:t>38 209</w:t>
            </w:r>
          </w:p>
        </w:tc>
        <w:tc>
          <w:tcPr>
            <w:tcW w:w="260" w:type="pct"/>
            <w:shd w:val="clear" w:color="auto" w:fill="auto"/>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Pr>
                <w:rFonts w:cs="Calibri"/>
                <w:sz w:val="16"/>
                <w:szCs w:val="18"/>
                <w:lang w:val="sq-AL"/>
              </w:rPr>
              <w:t>91%</w:t>
            </w:r>
          </w:p>
        </w:tc>
        <w:tc>
          <w:tcPr>
            <w:tcW w:w="320" w:type="pct"/>
            <w:shd w:val="clear" w:color="auto" w:fill="auto"/>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Pr>
                <w:rFonts w:cs="Calibri"/>
                <w:color w:val="000000"/>
                <w:sz w:val="16"/>
                <w:szCs w:val="18"/>
              </w:rPr>
              <w:t>509</w:t>
            </w:r>
            <w:r w:rsidRPr="00476D2E">
              <w:rPr>
                <w:rFonts w:cs="Calibri"/>
                <w:color w:val="000000"/>
                <w:sz w:val="16"/>
                <w:szCs w:val="18"/>
              </w:rPr>
              <w:t>%</w:t>
            </w:r>
          </w:p>
        </w:tc>
        <w:tc>
          <w:tcPr>
            <w:tcW w:w="354" w:type="pct"/>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Pr>
                <w:rFonts w:cs="Calibri"/>
                <w:color w:val="000000"/>
                <w:sz w:val="16"/>
                <w:szCs w:val="18"/>
                <w:lang w:val="sq-AL"/>
              </w:rPr>
              <w:t>94</w:t>
            </w:r>
            <w:r w:rsidRPr="00476D2E">
              <w:rPr>
                <w:rFonts w:cs="Calibri"/>
                <w:color w:val="000000"/>
                <w:sz w:val="16"/>
                <w:szCs w:val="18"/>
                <w:lang w:val="sq-AL"/>
              </w:rPr>
              <w:t>%</w:t>
            </w:r>
          </w:p>
        </w:tc>
        <w:tc>
          <w:tcPr>
            <w:cnfStyle w:val="000100000000" w:firstRow="0" w:lastRow="0" w:firstColumn="0" w:lastColumn="1" w:oddVBand="0" w:evenVBand="0" w:oddHBand="0" w:evenHBand="0" w:firstRowFirstColumn="0" w:firstRowLastColumn="0" w:lastRowFirstColumn="0" w:lastRowLastColumn="0"/>
            <w:tcW w:w="320" w:type="pct"/>
            <w:vAlign w:val="center"/>
          </w:tcPr>
          <w:p w:rsidR="00A35358" w:rsidRPr="00476D2E" w:rsidRDefault="00A35358" w:rsidP="00A35358">
            <w:pPr>
              <w:spacing w:before="0" w:line="240" w:lineRule="auto"/>
              <w:jc w:val="center"/>
              <w:rPr>
                <w:rFonts w:cs="Calibri"/>
                <w:bCs w:val="0"/>
                <w:sz w:val="16"/>
                <w:szCs w:val="18"/>
                <w:lang w:val="sq-AL"/>
              </w:rPr>
            </w:pPr>
            <w:r>
              <w:rPr>
                <w:rFonts w:cs="Calibri"/>
                <w:color w:val="000000"/>
                <w:sz w:val="16"/>
                <w:szCs w:val="18"/>
                <w:lang w:val="sq-AL"/>
              </w:rPr>
              <w:t>72</w:t>
            </w:r>
            <w:r w:rsidRPr="00476D2E">
              <w:rPr>
                <w:rFonts w:cs="Calibri"/>
                <w:color w:val="000000"/>
                <w:sz w:val="16"/>
                <w:szCs w:val="18"/>
                <w:lang w:val="sq-AL"/>
              </w:rPr>
              <w:t>%</w:t>
            </w:r>
          </w:p>
        </w:tc>
      </w:tr>
      <w:tr w:rsidR="00A35358" w:rsidRPr="00476D2E" w:rsidTr="00A35358">
        <w:trPr>
          <w:trHeight w:val="252"/>
          <w:jc w:val="center"/>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vAlign w:val="center"/>
          </w:tcPr>
          <w:p w:rsidR="00A35358" w:rsidRPr="00476D2E" w:rsidRDefault="00A35358" w:rsidP="00A35358">
            <w:pPr>
              <w:spacing w:before="0" w:line="240" w:lineRule="auto"/>
              <w:jc w:val="center"/>
              <w:rPr>
                <w:rFonts w:cs="Calibri"/>
                <w:b w:val="0"/>
                <w:sz w:val="16"/>
                <w:szCs w:val="18"/>
                <w:lang w:val="sq-AL"/>
              </w:rPr>
            </w:pPr>
            <w:r w:rsidRPr="00476D2E">
              <w:rPr>
                <w:rFonts w:cs="Calibri"/>
                <w:color w:val="000000"/>
                <w:sz w:val="16"/>
                <w:szCs w:val="18"/>
                <w:lang w:val="sq-AL"/>
              </w:rPr>
              <w:t>Financimi i huaj</w:t>
            </w:r>
          </w:p>
        </w:tc>
        <w:tc>
          <w:tcPr>
            <w:tcW w:w="500" w:type="pct"/>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p>
        </w:tc>
        <w:tc>
          <w:tcPr>
            <w:tcW w:w="422" w:type="pct"/>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p>
        </w:tc>
        <w:tc>
          <w:tcPr>
            <w:tcW w:w="390" w:type="pct"/>
            <w:shd w:val="clear" w:color="auto" w:fill="auto"/>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476D2E">
              <w:rPr>
                <w:rFonts w:cs="Calibri"/>
                <w:color w:val="000000"/>
                <w:sz w:val="16"/>
                <w:szCs w:val="18"/>
              </w:rPr>
              <w:t>-</w:t>
            </w:r>
          </w:p>
        </w:tc>
        <w:tc>
          <w:tcPr>
            <w:tcW w:w="422" w:type="pct"/>
            <w:shd w:val="clear" w:color="auto" w:fill="auto"/>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Pr>
                <w:rFonts w:cs="Calibri"/>
                <w:color w:val="000000"/>
                <w:sz w:val="16"/>
                <w:szCs w:val="18"/>
              </w:rPr>
              <w:t>43 000</w:t>
            </w:r>
          </w:p>
        </w:tc>
        <w:tc>
          <w:tcPr>
            <w:tcW w:w="390" w:type="pct"/>
            <w:shd w:val="clear" w:color="auto" w:fill="auto"/>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476D2E">
              <w:rPr>
                <w:rFonts w:cs="Calibri"/>
                <w:color w:val="000000"/>
                <w:sz w:val="16"/>
                <w:szCs w:val="18"/>
              </w:rPr>
              <w:t>-</w:t>
            </w:r>
          </w:p>
        </w:tc>
        <w:tc>
          <w:tcPr>
            <w:tcW w:w="422" w:type="pct"/>
            <w:shd w:val="clear" w:color="auto" w:fill="auto"/>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Pr>
                <w:rFonts w:cs="Calibri"/>
                <w:color w:val="000000"/>
                <w:sz w:val="16"/>
                <w:szCs w:val="18"/>
              </w:rPr>
              <w:t>10 542</w:t>
            </w:r>
          </w:p>
        </w:tc>
        <w:tc>
          <w:tcPr>
            <w:tcW w:w="260" w:type="pct"/>
            <w:shd w:val="clear" w:color="auto" w:fill="auto"/>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p>
        </w:tc>
        <w:tc>
          <w:tcPr>
            <w:tcW w:w="320" w:type="pct"/>
            <w:shd w:val="clear" w:color="auto" w:fill="auto"/>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p>
        </w:tc>
        <w:tc>
          <w:tcPr>
            <w:tcW w:w="354" w:type="pct"/>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p>
        </w:tc>
        <w:tc>
          <w:tcPr>
            <w:cnfStyle w:val="000100000000" w:firstRow="0" w:lastRow="0" w:firstColumn="0" w:lastColumn="1" w:oddVBand="0" w:evenVBand="0" w:oddHBand="0" w:evenHBand="0" w:firstRowFirstColumn="0" w:firstRowLastColumn="0" w:lastRowFirstColumn="0" w:lastRowLastColumn="0"/>
            <w:tcW w:w="320" w:type="pct"/>
            <w:vAlign w:val="center"/>
          </w:tcPr>
          <w:p w:rsidR="00A35358" w:rsidRPr="00476D2E" w:rsidRDefault="00A35358" w:rsidP="00A35358">
            <w:pPr>
              <w:spacing w:before="0" w:line="240" w:lineRule="auto"/>
              <w:jc w:val="center"/>
              <w:rPr>
                <w:rFonts w:cs="Calibri"/>
                <w:bCs w:val="0"/>
                <w:sz w:val="16"/>
                <w:szCs w:val="18"/>
                <w:lang w:val="sq-AL"/>
              </w:rPr>
            </w:pPr>
            <w:r>
              <w:rPr>
                <w:rFonts w:cs="Calibri"/>
                <w:color w:val="000000"/>
                <w:sz w:val="16"/>
                <w:szCs w:val="18"/>
                <w:lang w:val="sq-AL"/>
              </w:rPr>
              <w:t>25</w:t>
            </w:r>
            <w:r w:rsidRPr="00476D2E">
              <w:rPr>
                <w:rFonts w:cs="Calibri"/>
                <w:color w:val="000000"/>
                <w:sz w:val="16"/>
                <w:szCs w:val="18"/>
                <w:lang w:val="sq-AL"/>
              </w:rPr>
              <w:t>%</w:t>
            </w:r>
          </w:p>
        </w:tc>
      </w:tr>
      <w:tr w:rsidR="00A35358" w:rsidRPr="00476D2E" w:rsidTr="00A35358">
        <w:trPr>
          <w:trHeight w:val="131"/>
          <w:jc w:val="center"/>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vAlign w:val="center"/>
          </w:tcPr>
          <w:p w:rsidR="00A35358" w:rsidRPr="00476D2E" w:rsidRDefault="00A35358" w:rsidP="00A35358">
            <w:pPr>
              <w:spacing w:before="0" w:line="240" w:lineRule="auto"/>
              <w:jc w:val="center"/>
              <w:rPr>
                <w:rFonts w:cs="Calibri"/>
                <w:b w:val="0"/>
                <w:bCs w:val="0"/>
                <w:sz w:val="16"/>
                <w:szCs w:val="18"/>
                <w:lang w:val="sq-AL"/>
              </w:rPr>
            </w:pPr>
            <w:r w:rsidRPr="00476D2E">
              <w:rPr>
                <w:rFonts w:cs="Calibri"/>
                <w:color w:val="000000"/>
                <w:sz w:val="16"/>
                <w:szCs w:val="18"/>
                <w:lang w:val="sq-AL"/>
              </w:rPr>
              <w:t>Arti dhe Kultura</w:t>
            </w:r>
          </w:p>
        </w:tc>
        <w:tc>
          <w:tcPr>
            <w:tcW w:w="500" w:type="pct"/>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Pr>
                <w:rFonts w:cs="Calibri"/>
                <w:sz w:val="16"/>
                <w:szCs w:val="18"/>
              </w:rPr>
              <w:t>720</w:t>
            </w:r>
            <w:r w:rsidRPr="00476D2E">
              <w:rPr>
                <w:rFonts w:cs="Calibri"/>
                <w:sz w:val="16"/>
                <w:szCs w:val="18"/>
              </w:rPr>
              <w:t xml:space="preserve"> 000</w:t>
            </w:r>
          </w:p>
        </w:tc>
        <w:tc>
          <w:tcPr>
            <w:tcW w:w="422" w:type="pct"/>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Pr>
                <w:rFonts w:cs="Calibri"/>
                <w:sz w:val="16"/>
                <w:szCs w:val="18"/>
              </w:rPr>
              <w:t>1 392 500</w:t>
            </w:r>
          </w:p>
        </w:tc>
        <w:tc>
          <w:tcPr>
            <w:tcW w:w="390" w:type="pct"/>
            <w:shd w:val="clear" w:color="auto" w:fill="auto"/>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Pr>
                <w:rFonts w:cs="Calibri"/>
                <w:color w:val="000000"/>
                <w:sz w:val="16"/>
                <w:szCs w:val="18"/>
              </w:rPr>
              <w:t>730 300</w:t>
            </w:r>
          </w:p>
        </w:tc>
        <w:tc>
          <w:tcPr>
            <w:tcW w:w="422" w:type="pct"/>
            <w:shd w:val="clear" w:color="auto" w:fill="auto"/>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Pr>
                <w:rFonts w:cs="Calibri"/>
                <w:color w:val="000000"/>
                <w:sz w:val="16"/>
                <w:szCs w:val="18"/>
              </w:rPr>
              <w:t>1 355 500</w:t>
            </w:r>
          </w:p>
        </w:tc>
        <w:tc>
          <w:tcPr>
            <w:tcW w:w="390" w:type="pct"/>
            <w:shd w:val="clear" w:color="auto" w:fill="auto"/>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Pr>
                <w:rFonts w:cs="Calibri"/>
                <w:color w:val="000000"/>
                <w:sz w:val="16"/>
                <w:szCs w:val="18"/>
              </w:rPr>
              <w:t>701 602</w:t>
            </w:r>
          </w:p>
        </w:tc>
        <w:tc>
          <w:tcPr>
            <w:tcW w:w="422" w:type="pct"/>
            <w:shd w:val="clear" w:color="auto" w:fill="auto"/>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Pr>
                <w:rFonts w:cs="Calibri"/>
                <w:color w:val="000000"/>
                <w:sz w:val="16"/>
                <w:szCs w:val="18"/>
              </w:rPr>
              <w:t>437 665</w:t>
            </w:r>
          </w:p>
        </w:tc>
        <w:tc>
          <w:tcPr>
            <w:tcW w:w="260" w:type="pct"/>
            <w:shd w:val="clear" w:color="auto" w:fill="auto"/>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Pr>
                <w:rFonts w:cs="Calibri"/>
                <w:bCs/>
                <w:sz w:val="16"/>
                <w:szCs w:val="18"/>
                <w:lang w:val="sq-AL"/>
              </w:rPr>
              <w:t>91%</w:t>
            </w:r>
          </w:p>
        </w:tc>
        <w:tc>
          <w:tcPr>
            <w:tcW w:w="320" w:type="pct"/>
            <w:shd w:val="clear" w:color="auto" w:fill="auto"/>
            <w:vAlign w:val="center"/>
          </w:tcPr>
          <w:p w:rsidR="00A35358" w:rsidRPr="00476D2E" w:rsidRDefault="00A35358" w:rsidP="00A3535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Pr>
                <w:rFonts w:cs="Calibri"/>
                <w:color w:val="000000"/>
                <w:sz w:val="16"/>
                <w:szCs w:val="18"/>
              </w:rPr>
              <w:t>24</w:t>
            </w:r>
            <w:r w:rsidRPr="00476D2E">
              <w:rPr>
                <w:rFonts w:cs="Calibri"/>
                <w:color w:val="000000"/>
                <w:sz w:val="16"/>
                <w:szCs w:val="18"/>
              </w:rPr>
              <w:t>%</w:t>
            </w:r>
          </w:p>
        </w:tc>
        <w:tc>
          <w:tcPr>
            <w:tcW w:w="354" w:type="pct"/>
            <w:vAlign w:val="center"/>
          </w:tcPr>
          <w:p w:rsidR="00A35358" w:rsidRPr="00476D2E" w:rsidRDefault="00A35358" w:rsidP="00A3535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Pr>
                <w:rFonts w:cs="Calibri"/>
                <w:color w:val="000000"/>
                <w:sz w:val="16"/>
                <w:szCs w:val="18"/>
                <w:lang w:val="sq-AL"/>
              </w:rPr>
              <w:t>94</w:t>
            </w:r>
            <w:r w:rsidRPr="00476D2E">
              <w:rPr>
                <w:rFonts w:cs="Calibri"/>
                <w:color w:val="000000"/>
                <w:sz w:val="16"/>
                <w:szCs w:val="18"/>
                <w:lang w:val="sq-AL"/>
              </w:rPr>
              <w:t>%</w:t>
            </w:r>
          </w:p>
        </w:tc>
        <w:tc>
          <w:tcPr>
            <w:cnfStyle w:val="000100000000" w:firstRow="0" w:lastRow="0" w:firstColumn="0" w:lastColumn="1" w:oddVBand="0" w:evenVBand="0" w:oddHBand="0" w:evenHBand="0" w:firstRowFirstColumn="0" w:firstRowLastColumn="0" w:lastRowFirstColumn="0" w:lastRowLastColumn="0"/>
            <w:tcW w:w="320" w:type="pct"/>
            <w:vAlign w:val="center"/>
          </w:tcPr>
          <w:p w:rsidR="00A35358" w:rsidRPr="00476D2E" w:rsidRDefault="00A35358" w:rsidP="00A35358">
            <w:pPr>
              <w:tabs>
                <w:tab w:val="left" w:pos="285"/>
                <w:tab w:val="center" w:pos="474"/>
              </w:tabs>
              <w:spacing w:before="0" w:line="240" w:lineRule="auto"/>
              <w:jc w:val="center"/>
              <w:rPr>
                <w:rFonts w:cs="Calibri"/>
                <w:bCs w:val="0"/>
                <w:sz w:val="16"/>
                <w:szCs w:val="18"/>
                <w:lang w:val="sq-AL"/>
              </w:rPr>
            </w:pPr>
            <w:r>
              <w:rPr>
                <w:rFonts w:cs="Calibri"/>
                <w:color w:val="000000"/>
                <w:sz w:val="16"/>
                <w:szCs w:val="18"/>
                <w:lang w:val="sq-AL"/>
              </w:rPr>
              <w:t>32</w:t>
            </w:r>
            <w:r w:rsidRPr="00476D2E">
              <w:rPr>
                <w:rFonts w:cs="Calibri"/>
                <w:color w:val="000000"/>
                <w:sz w:val="16"/>
                <w:szCs w:val="18"/>
                <w:lang w:val="sq-AL"/>
              </w:rPr>
              <w:t>%</w:t>
            </w:r>
          </w:p>
        </w:tc>
      </w:tr>
      <w:tr w:rsidR="00A35358" w:rsidRPr="00476D2E" w:rsidTr="00A35358">
        <w:trPr>
          <w:trHeight w:val="131"/>
          <w:jc w:val="center"/>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vAlign w:val="center"/>
          </w:tcPr>
          <w:p w:rsidR="00A35358" w:rsidRPr="00476D2E" w:rsidRDefault="00A35358" w:rsidP="00A35358">
            <w:pPr>
              <w:spacing w:before="0" w:line="240" w:lineRule="auto"/>
              <w:jc w:val="center"/>
              <w:rPr>
                <w:rFonts w:cs="Calibri"/>
                <w:b w:val="0"/>
                <w:bCs w:val="0"/>
                <w:color w:val="000000"/>
                <w:sz w:val="16"/>
                <w:szCs w:val="18"/>
                <w:lang w:val="sq-AL"/>
              </w:rPr>
            </w:pPr>
            <w:r w:rsidRPr="00476D2E">
              <w:rPr>
                <w:rFonts w:cs="Calibri"/>
                <w:color w:val="000000"/>
                <w:sz w:val="16"/>
                <w:szCs w:val="18"/>
                <w:lang w:val="sq-AL"/>
              </w:rPr>
              <w:t>Financimi i huaj</w:t>
            </w:r>
          </w:p>
        </w:tc>
        <w:tc>
          <w:tcPr>
            <w:tcW w:w="500" w:type="pct"/>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p>
        </w:tc>
        <w:tc>
          <w:tcPr>
            <w:tcW w:w="422" w:type="pct"/>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p>
        </w:tc>
        <w:tc>
          <w:tcPr>
            <w:tcW w:w="390" w:type="pct"/>
            <w:shd w:val="clear" w:color="auto" w:fill="auto"/>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476D2E">
              <w:rPr>
                <w:rFonts w:cs="Calibri"/>
                <w:color w:val="000000"/>
                <w:sz w:val="16"/>
                <w:szCs w:val="18"/>
              </w:rPr>
              <w:t>-</w:t>
            </w:r>
          </w:p>
        </w:tc>
        <w:tc>
          <w:tcPr>
            <w:tcW w:w="422" w:type="pct"/>
            <w:shd w:val="clear" w:color="auto" w:fill="auto"/>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Pr>
                <w:rFonts w:cs="Calibri"/>
                <w:color w:val="000000"/>
                <w:sz w:val="16"/>
                <w:szCs w:val="18"/>
              </w:rPr>
              <w:t>93 000</w:t>
            </w:r>
          </w:p>
        </w:tc>
        <w:tc>
          <w:tcPr>
            <w:tcW w:w="390" w:type="pct"/>
            <w:shd w:val="clear" w:color="auto" w:fill="auto"/>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476D2E">
              <w:rPr>
                <w:rFonts w:cs="Calibri"/>
                <w:color w:val="000000"/>
                <w:sz w:val="16"/>
                <w:szCs w:val="18"/>
              </w:rPr>
              <w:t>-</w:t>
            </w:r>
          </w:p>
        </w:tc>
        <w:tc>
          <w:tcPr>
            <w:tcW w:w="422" w:type="pct"/>
            <w:shd w:val="clear" w:color="auto" w:fill="auto"/>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Pr>
                <w:rFonts w:cs="Calibri"/>
                <w:color w:val="000000"/>
                <w:sz w:val="16"/>
                <w:szCs w:val="18"/>
              </w:rPr>
              <w:t>7 331</w:t>
            </w:r>
          </w:p>
        </w:tc>
        <w:tc>
          <w:tcPr>
            <w:tcW w:w="260" w:type="pct"/>
            <w:shd w:val="clear" w:color="auto" w:fill="auto"/>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p>
        </w:tc>
        <w:tc>
          <w:tcPr>
            <w:tcW w:w="320" w:type="pct"/>
            <w:shd w:val="clear" w:color="auto" w:fill="auto"/>
            <w:vAlign w:val="center"/>
          </w:tcPr>
          <w:p w:rsidR="00A35358" w:rsidRPr="00476D2E" w:rsidRDefault="00A35358" w:rsidP="00A3535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p>
        </w:tc>
        <w:tc>
          <w:tcPr>
            <w:tcW w:w="354" w:type="pct"/>
            <w:vAlign w:val="center"/>
          </w:tcPr>
          <w:p w:rsidR="00A35358" w:rsidRPr="00476D2E" w:rsidRDefault="00A35358" w:rsidP="00A3535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p>
        </w:tc>
        <w:tc>
          <w:tcPr>
            <w:cnfStyle w:val="000100000000" w:firstRow="0" w:lastRow="0" w:firstColumn="0" w:lastColumn="1" w:oddVBand="0" w:evenVBand="0" w:oddHBand="0" w:evenHBand="0" w:firstRowFirstColumn="0" w:firstRowLastColumn="0" w:lastRowFirstColumn="0" w:lastRowLastColumn="0"/>
            <w:tcW w:w="320" w:type="pct"/>
            <w:vAlign w:val="center"/>
          </w:tcPr>
          <w:p w:rsidR="00A35358" w:rsidRPr="00476D2E" w:rsidRDefault="00A35358" w:rsidP="00A35358">
            <w:pPr>
              <w:tabs>
                <w:tab w:val="left" w:pos="285"/>
                <w:tab w:val="center" w:pos="474"/>
              </w:tabs>
              <w:spacing w:before="0" w:line="240" w:lineRule="auto"/>
              <w:jc w:val="center"/>
              <w:rPr>
                <w:rFonts w:cs="Calibri"/>
                <w:color w:val="000000"/>
                <w:sz w:val="16"/>
                <w:szCs w:val="18"/>
              </w:rPr>
            </w:pPr>
            <w:r>
              <w:rPr>
                <w:rFonts w:cs="Calibri"/>
                <w:color w:val="000000"/>
                <w:sz w:val="16"/>
                <w:szCs w:val="18"/>
                <w:lang w:val="sq-AL"/>
              </w:rPr>
              <w:t>8</w:t>
            </w:r>
            <w:r w:rsidRPr="00476D2E">
              <w:rPr>
                <w:rFonts w:cs="Calibri"/>
                <w:color w:val="000000"/>
                <w:sz w:val="16"/>
                <w:szCs w:val="18"/>
                <w:lang w:val="sq-AL"/>
              </w:rPr>
              <w:t>%</w:t>
            </w:r>
          </w:p>
        </w:tc>
      </w:tr>
      <w:tr w:rsidR="00A35358" w:rsidRPr="00476D2E" w:rsidTr="00A35358">
        <w:trPr>
          <w:trHeight w:val="165"/>
          <w:jc w:val="center"/>
        </w:trPr>
        <w:tc>
          <w:tcPr>
            <w:cnfStyle w:val="001000000000" w:firstRow="0" w:lastRow="0" w:firstColumn="1" w:lastColumn="0" w:oddVBand="0" w:evenVBand="0" w:oddHBand="0" w:evenHBand="0" w:firstRowFirstColumn="0" w:firstRowLastColumn="0" w:lastRowFirstColumn="0" w:lastRowLastColumn="0"/>
            <w:tcW w:w="1200" w:type="pct"/>
            <w:tcBorders>
              <w:bottom w:val="double" w:sz="2" w:space="0" w:color="59A9F2" w:themeColor="accent1" w:themeTint="99"/>
            </w:tcBorders>
            <w:shd w:val="clear" w:color="auto" w:fill="auto"/>
            <w:vAlign w:val="center"/>
          </w:tcPr>
          <w:p w:rsidR="00A35358" w:rsidRPr="00476D2E" w:rsidRDefault="00A35358" w:rsidP="00A35358">
            <w:pPr>
              <w:spacing w:before="0" w:line="240" w:lineRule="auto"/>
              <w:contextualSpacing/>
              <w:jc w:val="center"/>
              <w:rPr>
                <w:rFonts w:cs="Calibri"/>
                <w:i/>
                <w:sz w:val="16"/>
                <w:szCs w:val="18"/>
                <w:lang w:val="sq-AL"/>
              </w:rPr>
            </w:pPr>
            <w:r w:rsidRPr="00476D2E">
              <w:rPr>
                <w:rFonts w:cs="Calibri"/>
                <w:i/>
                <w:sz w:val="16"/>
                <w:szCs w:val="18"/>
                <w:lang w:val="sq-AL"/>
              </w:rPr>
              <w:t>Gjithsej sipas natyrës</w:t>
            </w:r>
          </w:p>
        </w:tc>
        <w:tc>
          <w:tcPr>
            <w:tcW w:w="500" w:type="pct"/>
            <w:tcBorders>
              <w:bottom w:val="double" w:sz="2" w:space="0" w:color="59A9F2" w:themeColor="accent1" w:themeTint="99"/>
            </w:tcBorders>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6"/>
                <w:szCs w:val="18"/>
                <w:lang w:val="sq-AL"/>
              </w:rPr>
            </w:pPr>
            <w:r w:rsidRPr="00476D2E">
              <w:rPr>
                <w:rFonts w:cs="Calibri"/>
                <w:color w:val="000000"/>
                <w:sz w:val="16"/>
                <w:szCs w:val="18"/>
              </w:rPr>
              <w:t>1 488 881</w:t>
            </w:r>
          </w:p>
        </w:tc>
        <w:tc>
          <w:tcPr>
            <w:tcW w:w="422" w:type="pct"/>
            <w:tcBorders>
              <w:bottom w:val="double" w:sz="2" w:space="0" w:color="59A9F2" w:themeColor="accent1" w:themeTint="99"/>
            </w:tcBorders>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6"/>
                <w:szCs w:val="18"/>
                <w:lang w:val="sq-AL"/>
              </w:rPr>
            </w:pPr>
            <w:r>
              <w:rPr>
                <w:rFonts w:cs="Calibri"/>
                <w:color w:val="000000"/>
                <w:sz w:val="16"/>
                <w:szCs w:val="18"/>
              </w:rPr>
              <w:t>1 400 000</w:t>
            </w:r>
          </w:p>
        </w:tc>
        <w:tc>
          <w:tcPr>
            <w:tcW w:w="390" w:type="pct"/>
            <w:tcBorders>
              <w:bottom w:val="double" w:sz="2" w:space="0" w:color="59A9F2" w:themeColor="accent1" w:themeTint="99"/>
            </w:tcBorders>
            <w:shd w:val="clear" w:color="auto" w:fill="auto"/>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6"/>
                <w:szCs w:val="18"/>
                <w:lang w:val="sq-AL"/>
              </w:rPr>
            </w:pPr>
            <w:r w:rsidRPr="00476D2E">
              <w:rPr>
                <w:rFonts w:cs="Calibri"/>
                <w:color w:val="000000"/>
                <w:sz w:val="16"/>
                <w:szCs w:val="18"/>
              </w:rPr>
              <w:t xml:space="preserve">1 </w:t>
            </w:r>
            <w:r>
              <w:rPr>
                <w:rFonts w:cs="Calibri"/>
                <w:color w:val="000000"/>
                <w:sz w:val="16"/>
                <w:szCs w:val="18"/>
              </w:rPr>
              <w:t>405 566</w:t>
            </w:r>
          </w:p>
        </w:tc>
        <w:tc>
          <w:tcPr>
            <w:tcW w:w="422" w:type="pct"/>
            <w:tcBorders>
              <w:bottom w:val="double" w:sz="2" w:space="0" w:color="59A9F2" w:themeColor="accent1" w:themeTint="99"/>
            </w:tcBorders>
            <w:shd w:val="clear" w:color="auto" w:fill="auto"/>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6"/>
                <w:szCs w:val="18"/>
                <w:lang w:val="sq-AL"/>
              </w:rPr>
            </w:pPr>
            <w:r w:rsidRPr="00476D2E">
              <w:rPr>
                <w:rFonts w:cs="Calibri"/>
                <w:color w:val="000000"/>
                <w:sz w:val="16"/>
                <w:szCs w:val="18"/>
              </w:rPr>
              <w:t>1</w:t>
            </w:r>
            <w:r>
              <w:rPr>
                <w:rFonts w:cs="Calibri"/>
                <w:color w:val="000000"/>
                <w:sz w:val="16"/>
                <w:szCs w:val="18"/>
              </w:rPr>
              <w:t>544 784</w:t>
            </w:r>
          </w:p>
        </w:tc>
        <w:tc>
          <w:tcPr>
            <w:tcW w:w="390" w:type="pct"/>
            <w:tcBorders>
              <w:bottom w:val="double" w:sz="2" w:space="0" w:color="59A9F2" w:themeColor="accent1" w:themeTint="99"/>
            </w:tcBorders>
            <w:shd w:val="clear" w:color="auto" w:fill="auto"/>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6"/>
                <w:szCs w:val="18"/>
                <w:lang w:val="sq-AL"/>
              </w:rPr>
            </w:pPr>
            <w:r w:rsidRPr="00476D2E">
              <w:rPr>
                <w:rFonts w:cs="Calibri"/>
                <w:color w:val="000000"/>
                <w:sz w:val="16"/>
                <w:szCs w:val="18"/>
              </w:rPr>
              <w:t xml:space="preserve">1 </w:t>
            </w:r>
            <w:r>
              <w:rPr>
                <w:rFonts w:cs="Calibri"/>
                <w:color w:val="000000"/>
                <w:sz w:val="16"/>
                <w:szCs w:val="18"/>
              </w:rPr>
              <w:t>337 496</w:t>
            </w:r>
          </w:p>
        </w:tc>
        <w:tc>
          <w:tcPr>
            <w:tcW w:w="422" w:type="pct"/>
            <w:tcBorders>
              <w:bottom w:val="double" w:sz="2" w:space="0" w:color="59A9F2" w:themeColor="accent1" w:themeTint="99"/>
            </w:tcBorders>
            <w:shd w:val="clear" w:color="auto" w:fill="auto"/>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6"/>
                <w:szCs w:val="18"/>
                <w:lang w:val="sq-AL"/>
              </w:rPr>
            </w:pPr>
            <w:r>
              <w:rPr>
                <w:rFonts w:cs="Calibri"/>
                <w:color w:val="000000"/>
                <w:sz w:val="16"/>
                <w:szCs w:val="18"/>
              </w:rPr>
              <w:t>493 747</w:t>
            </w:r>
          </w:p>
        </w:tc>
        <w:tc>
          <w:tcPr>
            <w:tcW w:w="260" w:type="pct"/>
            <w:tcBorders>
              <w:bottom w:val="double" w:sz="2" w:space="0" w:color="59A9F2" w:themeColor="accent1" w:themeTint="99"/>
            </w:tcBorders>
            <w:shd w:val="clear" w:color="auto" w:fill="auto"/>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6"/>
                <w:szCs w:val="18"/>
                <w:lang w:val="sq-AL"/>
              </w:rPr>
            </w:pPr>
            <w:r>
              <w:rPr>
                <w:rFonts w:cs="Calibri"/>
                <w:b/>
                <w:i/>
                <w:sz w:val="16"/>
                <w:szCs w:val="18"/>
                <w:lang w:val="sq-AL"/>
              </w:rPr>
              <w:t>95%</w:t>
            </w:r>
          </w:p>
        </w:tc>
        <w:tc>
          <w:tcPr>
            <w:tcW w:w="320" w:type="pct"/>
            <w:tcBorders>
              <w:bottom w:val="double" w:sz="2" w:space="0" w:color="59A9F2" w:themeColor="accent1" w:themeTint="99"/>
            </w:tcBorders>
            <w:shd w:val="clear" w:color="auto" w:fill="auto"/>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i/>
                <w:sz w:val="16"/>
                <w:szCs w:val="18"/>
                <w:lang w:val="sq-AL"/>
              </w:rPr>
            </w:pPr>
            <w:r>
              <w:rPr>
                <w:rFonts w:cs="Calibri"/>
                <w:color w:val="000000"/>
                <w:sz w:val="16"/>
                <w:szCs w:val="18"/>
              </w:rPr>
              <w:t>35</w:t>
            </w:r>
            <w:r w:rsidRPr="00476D2E">
              <w:rPr>
                <w:rFonts w:cs="Calibri"/>
                <w:color w:val="000000"/>
                <w:sz w:val="16"/>
                <w:szCs w:val="18"/>
              </w:rPr>
              <w:t>%</w:t>
            </w:r>
          </w:p>
        </w:tc>
        <w:tc>
          <w:tcPr>
            <w:tcW w:w="354" w:type="pct"/>
            <w:tcBorders>
              <w:bottom w:val="double" w:sz="2" w:space="0" w:color="59A9F2" w:themeColor="accent1" w:themeTint="99"/>
            </w:tcBorders>
            <w:vAlign w:val="center"/>
          </w:tcPr>
          <w:p w:rsidR="00A35358" w:rsidRPr="00476D2E" w:rsidRDefault="00A35358" w:rsidP="00A353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i/>
                <w:sz w:val="16"/>
                <w:szCs w:val="18"/>
                <w:lang w:val="sq-AL"/>
              </w:rPr>
            </w:pPr>
            <w:r>
              <w:rPr>
                <w:rFonts w:cs="Calibri"/>
                <w:color w:val="000000"/>
                <w:sz w:val="16"/>
                <w:szCs w:val="18"/>
                <w:lang w:val="sq-AL"/>
              </w:rPr>
              <w:t>95</w:t>
            </w:r>
            <w:r w:rsidRPr="00476D2E">
              <w:rPr>
                <w:rFonts w:cs="Calibri"/>
                <w:color w:val="000000"/>
                <w:sz w:val="16"/>
                <w:szCs w:val="18"/>
                <w:lang w:val="sq-AL"/>
              </w:rPr>
              <w:t>%</w:t>
            </w:r>
          </w:p>
        </w:tc>
        <w:tc>
          <w:tcPr>
            <w:cnfStyle w:val="000100000000" w:firstRow="0" w:lastRow="0" w:firstColumn="0" w:lastColumn="1" w:oddVBand="0" w:evenVBand="0" w:oddHBand="0" w:evenHBand="0" w:firstRowFirstColumn="0" w:firstRowLastColumn="0" w:lastRowFirstColumn="0" w:lastRowLastColumn="0"/>
            <w:tcW w:w="320" w:type="pct"/>
            <w:tcBorders>
              <w:bottom w:val="double" w:sz="2" w:space="0" w:color="59A9F2" w:themeColor="accent1" w:themeTint="99"/>
            </w:tcBorders>
            <w:vAlign w:val="center"/>
          </w:tcPr>
          <w:p w:rsidR="00A35358" w:rsidRPr="00476D2E" w:rsidRDefault="00A35358" w:rsidP="00A35358">
            <w:pPr>
              <w:spacing w:before="0" w:line="240" w:lineRule="auto"/>
              <w:jc w:val="center"/>
              <w:rPr>
                <w:rFonts w:cs="Calibri"/>
                <w:bCs w:val="0"/>
                <w:i/>
                <w:sz w:val="16"/>
                <w:szCs w:val="18"/>
                <w:lang w:val="sq-AL"/>
              </w:rPr>
            </w:pPr>
            <w:r>
              <w:rPr>
                <w:rFonts w:cs="Calibri"/>
                <w:color w:val="000000"/>
                <w:sz w:val="16"/>
                <w:szCs w:val="18"/>
                <w:lang w:val="sq-AL"/>
              </w:rPr>
              <w:t>32</w:t>
            </w:r>
            <w:r w:rsidRPr="00476D2E">
              <w:rPr>
                <w:rFonts w:cs="Calibri"/>
                <w:color w:val="000000"/>
                <w:sz w:val="16"/>
                <w:szCs w:val="18"/>
                <w:lang w:val="sq-AL"/>
              </w:rPr>
              <w:t>%</w:t>
            </w:r>
          </w:p>
        </w:tc>
      </w:tr>
      <w:tr w:rsidR="00A35358" w:rsidRPr="00476D2E" w:rsidTr="00A35358">
        <w:trPr>
          <w:cnfStyle w:val="010000000000" w:firstRow="0" w:lastRow="1" w:firstColumn="0" w:lastColumn="0" w:oddVBand="0" w:evenVBand="0" w:oddHBand="0"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1200" w:type="pct"/>
            <w:shd w:val="clear" w:color="auto" w:fill="0B5294" w:themeFill="accent1" w:themeFillShade="BF"/>
            <w:vAlign w:val="center"/>
          </w:tcPr>
          <w:p w:rsidR="00A35358" w:rsidRPr="00476D2E" w:rsidRDefault="00A35358" w:rsidP="00A35358">
            <w:pPr>
              <w:spacing w:before="0" w:line="240" w:lineRule="auto"/>
              <w:contextualSpacing/>
              <w:jc w:val="center"/>
              <w:rPr>
                <w:rFonts w:cs="Calibri"/>
                <w:color w:val="FFFFFF" w:themeColor="background1"/>
                <w:sz w:val="16"/>
                <w:szCs w:val="18"/>
                <w:lang w:val="sq-AL"/>
              </w:rPr>
            </w:pPr>
            <w:r w:rsidRPr="00476D2E">
              <w:rPr>
                <w:rFonts w:cs="Calibri"/>
                <w:color w:val="FFFFFF" w:themeColor="background1"/>
                <w:sz w:val="16"/>
                <w:lang w:val="sq-AL"/>
              </w:rPr>
              <w:t>Gjithsej</w:t>
            </w:r>
          </w:p>
        </w:tc>
        <w:tc>
          <w:tcPr>
            <w:tcW w:w="922" w:type="pct"/>
            <w:gridSpan w:val="2"/>
            <w:shd w:val="clear" w:color="auto" w:fill="0B5294" w:themeFill="accent1" w:themeFillShade="BF"/>
            <w:vAlign w:val="bottom"/>
          </w:tcPr>
          <w:p w:rsidR="00A35358" w:rsidRPr="00476D2E" w:rsidRDefault="00A35358" w:rsidP="00A35358">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cs="Calibri"/>
                <w:color w:val="FFFFFF" w:themeColor="background1"/>
                <w:sz w:val="16"/>
                <w:szCs w:val="18"/>
                <w:lang w:val="sq-AL"/>
              </w:rPr>
            </w:pPr>
            <w:r w:rsidRPr="00476D2E">
              <w:rPr>
                <w:rFonts w:cs="Calibri"/>
                <w:color w:val="FFFFFF" w:themeColor="background1"/>
                <w:sz w:val="16"/>
                <w:szCs w:val="18"/>
              </w:rPr>
              <w:t>2 </w:t>
            </w:r>
            <w:r>
              <w:rPr>
                <w:rFonts w:cs="Calibri"/>
                <w:color w:val="FFFFFF" w:themeColor="background1"/>
                <w:sz w:val="16"/>
                <w:szCs w:val="18"/>
              </w:rPr>
              <w:t>806 001</w:t>
            </w:r>
          </w:p>
        </w:tc>
        <w:tc>
          <w:tcPr>
            <w:tcW w:w="812" w:type="pct"/>
            <w:gridSpan w:val="2"/>
            <w:shd w:val="clear" w:color="auto" w:fill="0B5294" w:themeFill="accent1" w:themeFillShade="BF"/>
            <w:vAlign w:val="bottom"/>
          </w:tcPr>
          <w:p w:rsidR="00A35358" w:rsidRPr="00476D2E" w:rsidRDefault="00A35358" w:rsidP="00A35358">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cs="Calibri"/>
                <w:color w:val="FFFFFF" w:themeColor="background1"/>
                <w:sz w:val="16"/>
                <w:szCs w:val="18"/>
                <w:lang w:val="sq-AL"/>
              </w:rPr>
            </w:pPr>
            <w:r>
              <w:rPr>
                <w:rFonts w:cs="Calibri"/>
                <w:color w:val="FFFFFF" w:themeColor="background1"/>
                <w:sz w:val="16"/>
                <w:szCs w:val="18"/>
              </w:rPr>
              <w:t>2 950 350</w:t>
            </w:r>
          </w:p>
        </w:tc>
        <w:tc>
          <w:tcPr>
            <w:tcW w:w="812" w:type="pct"/>
            <w:gridSpan w:val="2"/>
            <w:shd w:val="clear" w:color="auto" w:fill="0B5294" w:themeFill="accent1" w:themeFillShade="BF"/>
            <w:vAlign w:val="bottom"/>
          </w:tcPr>
          <w:p w:rsidR="00A35358" w:rsidRPr="00476D2E" w:rsidRDefault="00A35358" w:rsidP="00A35358">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cs="Calibri"/>
                <w:color w:val="FFFFFF" w:themeColor="background1"/>
                <w:sz w:val="16"/>
                <w:szCs w:val="18"/>
              </w:rPr>
            </w:pPr>
            <w:r>
              <w:rPr>
                <w:rFonts w:cs="Calibri"/>
                <w:color w:val="FFFFFF" w:themeColor="background1"/>
                <w:sz w:val="16"/>
                <w:szCs w:val="18"/>
              </w:rPr>
              <w:t>1 831 243</w:t>
            </w:r>
          </w:p>
        </w:tc>
        <w:tc>
          <w:tcPr>
            <w:tcW w:w="580" w:type="pct"/>
            <w:gridSpan w:val="2"/>
            <w:shd w:val="clear" w:color="auto" w:fill="0B5294" w:themeFill="accent1" w:themeFillShade="BF"/>
            <w:vAlign w:val="bottom"/>
          </w:tcPr>
          <w:p w:rsidR="00A35358" w:rsidRPr="00476D2E" w:rsidRDefault="00A35358" w:rsidP="00A35358">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cs="Calibri"/>
                <w:color w:val="FFFFFF" w:themeColor="background1"/>
                <w:sz w:val="16"/>
                <w:szCs w:val="18"/>
              </w:rPr>
            </w:pPr>
            <w:r>
              <w:rPr>
                <w:rFonts w:cs="Calibri"/>
                <w:color w:val="FFFFFF" w:themeColor="background1"/>
                <w:sz w:val="16"/>
                <w:szCs w:val="18"/>
              </w:rPr>
              <w:t>65</w:t>
            </w:r>
            <w:r w:rsidRPr="00476D2E">
              <w:rPr>
                <w:rFonts w:cs="Calibri"/>
                <w:color w:val="FFFFFF" w:themeColor="background1"/>
                <w:sz w:val="16"/>
                <w:szCs w:val="18"/>
              </w:rPr>
              <w:t>%</w:t>
            </w:r>
          </w:p>
        </w:tc>
        <w:tc>
          <w:tcPr>
            <w:cnfStyle w:val="000100000000" w:firstRow="0" w:lastRow="0" w:firstColumn="0" w:lastColumn="1" w:oddVBand="0" w:evenVBand="0" w:oddHBand="0" w:evenHBand="0" w:firstRowFirstColumn="0" w:firstRowLastColumn="0" w:lastRowFirstColumn="0" w:lastRowLastColumn="0"/>
            <w:tcW w:w="674" w:type="pct"/>
            <w:gridSpan w:val="2"/>
            <w:shd w:val="clear" w:color="auto" w:fill="0B5294" w:themeFill="accent1" w:themeFillShade="BF"/>
            <w:vAlign w:val="bottom"/>
          </w:tcPr>
          <w:p w:rsidR="00A35358" w:rsidRPr="00476D2E" w:rsidRDefault="00A35358" w:rsidP="00A35358">
            <w:pPr>
              <w:spacing w:before="0" w:line="240" w:lineRule="auto"/>
              <w:jc w:val="center"/>
              <w:rPr>
                <w:rFonts w:cs="Calibri"/>
                <w:color w:val="FFFFFF" w:themeColor="background1"/>
                <w:sz w:val="16"/>
                <w:szCs w:val="18"/>
              </w:rPr>
            </w:pPr>
            <w:r>
              <w:rPr>
                <w:rFonts w:cs="Calibri"/>
                <w:color w:val="FFFFFF" w:themeColor="background1"/>
                <w:sz w:val="16"/>
                <w:szCs w:val="18"/>
              </w:rPr>
              <w:t>62</w:t>
            </w:r>
            <w:r w:rsidRPr="00476D2E">
              <w:rPr>
                <w:rFonts w:cs="Calibri"/>
                <w:color w:val="FFFFFF" w:themeColor="background1"/>
                <w:sz w:val="16"/>
                <w:szCs w:val="18"/>
              </w:rPr>
              <w:t>%</w:t>
            </w:r>
          </w:p>
        </w:tc>
      </w:tr>
    </w:tbl>
    <w:p w:rsidR="00A35358" w:rsidRPr="00A35358" w:rsidRDefault="00A35358" w:rsidP="00A35358">
      <w:pPr>
        <w:jc w:val="center"/>
        <w:rPr>
          <w:rFonts w:cs="Calibri"/>
          <w:color w:val="000000"/>
          <w:sz w:val="8"/>
          <w:lang w:val="sq-AL"/>
        </w:rPr>
      </w:pPr>
    </w:p>
    <w:p w:rsidR="00A35358" w:rsidRDefault="00A35358" w:rsidP="00A35358">
      <w:pPr>
        <w:rPr>
          <w:rFonts w:cs="Calibri"/>
          <w:color w:val="000000"/>
          <w:lang w:val="sq-AL"/>
        </w:rPr>
      </w:pPr>
      <w:r w:rsidRPr="00476D2E">
        <w:rPr>
          <w:rFonts w:cs="Calibri"/>
          <w:color w:val="000000"/>
          <w:lang w:val="sq-AL"/>
        </w:rPr>
        <w:t>Buxheti i Ministrisë së Kulturës u rishikua në rritje gjatë vitit 202</w:t>
      </w:r>
      <w:r>
        <w:rPr>
          <w:rFonts w:cs="Calibri"/>
          <w:color w:val="000000"/>
          <w:lang w:val="sq-AL"/>
        </w:rPr>
        <w:t>1</w:t>
      </w:r>
      <w:r w:rsidRPr="00476D2E">
        <w:rPr>
          <w:rFonts w:cs="Calibri"/>
          <w:color w:val="000000"/>
          <w:lang w:val="sq-AL"/>
        </w:rPr>
        <w:t xml:space="preserve">, </w:t>
      </w:r>
      <w:r>
        <w:rPr>
          <w:rFonts w:cs="Calibri"/>
          <w:color w:val="000000"/>
          <w:lang w:val="sq-AL"/>
        </w:rPr>
        <w:t>ndryshime këto që kanë pasur të bëjnë me mbartjen e fondeve të pashpenzuara të rindërtimit nga viti 2020,  si edhe me Aktet Normative të miratuara gjatë vitit.</w:t>
      </w:r>
      <w:r w:rsidRPr="00476D2E">
        <w:rPr>
          <w:rFonts w:cs="Calibri"/>
          <w:color w:val="000000"/>
          <w:lang w:val="sq-AL"/>
        </w:rPr>
        <w:t xml:space="preserve"> Buxheti u rrit me rreth </w:t>
      </w:r>
      <w:r>
        <w:rPr>
          <w:rFonts w:cs="Calibri"/>
          <w:color w:val="000000"/>
          <w:lang w:val="sq-AL"/>
        </w:rPr>
        <w:t>5</w:t>
      </w:r>
      <w:r w:rsidRPr="00476D2E">
        <w:rPr>
          <w:rFonts w:cs="Calibri"/>
          <w:color w:val="000000"/>
          <w:lang w:val="sq-AL"/>
        </w:rPr>
        <w:t xml:space="preserve">% në krahasim me planin fillestar të përgjithshëm: rritja i atribuohet kryesisht </w:t>
      </w:r>
      <w:r>
        <w:rPr>
          <w:rFonts w:cs="Calibri"/>
          <w:color w:val="000000"/>
          <w:lang w:val="sq-AL"/>
        </w:rPr>
        <w:t xml:space="preserve">dy </w:t>
      </w:r>
      <w:r w:rsidRPr="00476D2E">
        <w:rPr>
          <w:rFonts w:cs="Calibri"/>
          <w:color w:val="000000"/>
          <w:lang w:val="sq-AL"/>
        </w:rPr>
        <w:t>program</w:t>
      </w:r>
      <w:r>
        <w:rPr>
          <w:rFonts w:cs="Calibri"/>
          <w:color w:val="000000"/>
          <w:lang w:val="sq-AL"/>
        </w:rPr>
        <w:t xml:space="preserve">eve, atij </w:t>
      </w:r>
      <w:r w:rsidRPr="00476D2E">
        <w:rPr>
          <w:rFonts w:cs="Calibri"/>
          <w:color w:val="000000"/>
          <w:lang w:val="sq-AL"/>
        </w:rPr>
        <w:t xml:space="preserve"> të tra</w:t>
      </w:r>
      <w:r>
        <w:rPr>
          <w:rFonts w:cs="Calibri"/>
          <w:color w:val="000000"/>
          <w:lang w:val="sq-AL"/>
        </w:rPr>
        <w:t>s</w:t>
      </w:r>
      <w:r w:rsidRPr="00476D2E">
        <w:rPr>
          <w:rFonts w:cs="Calibri"/>
          <w:color w:val="000000"/>
          <w:lang w:val="sq-AL"/>
        </w:rPr>
        <w:t>hëgimisë kulturore</w:t>
      </w:r>
      <w:r>
        <w:rPr>
          <w:rFonts w:cs="Calibri"/>
          <w:color w:val="000000"/>
          <w:lang w:val="sq-AL"/>
        </w:rPr>
        <w:t xml:space="preserve"> dhe programit të “Artit dhe Kulturës”.</w:t>
      </w:r>
    </w:p>
    <w:p w:rsidR="00A35358" w:rsidRDefault="00A35358" w:rsidP="00A35358">
      <w:pPr>
        <w:rPr>
          <w:rFonts w:eastAsia="MS Mincho" w:cs="Calibri"/>
          <w:lang w:val="sq-AL"/>
        </w:rPr>
      </w:pPr>
      <w:r w:rsidRPr="000A5287">
        <w:rPr>
          <w:rFonts w:eastAsia="MS Mincho" w:cs="Calibri"/>
          <w:lang w:val="sq-AL"/>
        </w:rPr>
        <w:t>Në programin</w:t>
      </w:r>
      <w:r w:rsidRPr="000A5287">
        <w:rPr>
          <w:rFonts w:eastAsia="MS Mincho" w:cs="Calibri"/>
          <w:b/>
          <w:lang w:val="sq-AL"/>
        </w:rPr>
        <w:t xml:space="preserve"> “Trashëgimia Kulturore</w:t>
      </w:r>
      <w:r>
        <w:rPr>
          <w:rFonts w:eastAsia="MS Mincho" w:cs="Calibri"/>
          <w:lang w:val="sq-AL"/>
        </w:rPr>
        <w:t>, g</w:t>
      </w:r>
      <w:r w:rsidRPr="000A5287">
        <w:rPr>
          <w:rFonts w:eastAsia="MS Mincho" w:cs="Calibri"/>
          <w:lang w:val="sq-AL"/>
        </w:rPr>
        <w:t>jatë vitit 2021,</w:t>
      </w:r>
      <w:r w:rsidRPr="000A5287">
        <w:rPr>
          <w:rFonts w:ascii="Times New Roman" w:eastAsia="MS Mincho" w:hAnsi="Times New Roman"/>
          <w:sz w:val="24"/>
          <w:lang w:val="sq-AL"/>
        </w:rPr>
        <w:t xml:space="preserve"> </w:t>
      </w:r>
      <w:r>
        <w:rPr>
          <w:rFonts w:ascii="Times New Roman" w:eastAsia="MS Mincho" w:hAnsi="Times New Roman"/>
          <w:sz w:val="24"/>
          <w:lang w:val="sq-AL"/>
        </w:rPr>
        <w:t xml:space="preserve">është </w:t>
      </w:r>
      <w:r w:rsidRPr="000A5287">
        <w:rPr>
          <w:rFonts w:eastAsia="MS Mincho" w:cs="Calibri"/>
          <w:lang w:val="sq-AL"/>
        </w:rPr>
        <w:t>synuar n</w:t>
      </w:r>
      <w:r>
        <w:rPr>
          <w:rFonts w:eastAsia="MS Mincho" w:cs="Calibri"/>
          <w:lang w:val="sq-AL"/>
        </w:rPr>
        <w:t>ë</w:t>
      </w:r>
      <w:r w:rsidRPr="000A5287">
        <w:rPr>
          <w:rFonts w:eastAsia="MS Mincho" w:cs="Calibri"/>
          <w:lang w:val="sq-AL"/>
        </w:rPr>
        <w:t xml:space="preserve"> realizimin e objektivit “Reabilitimi i trashëgimisë arkitektonike, muzeve dhe peisazhit përmes rritjes së numrit të monumenteve dhe muzeve të rehabilituara”. </w:t>
      </w:r>
      <w:r>
        <w:rPr>
          <w:rFonts w:eastAsia="MS Mincho" w:cs="Calibri"/>
          <w:lang w:val="sq-AL"/>
        </w:rPr>
        <w:t xml:space="preserve">Kështu: </w:t>
      </w:r>
    </w:p>
    <w:p w:rsidR="00A35358" w:rsidRDefault="00A35358"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Pr>
          <w:rFonts w:asciiTheme="majorHAnsi" w:hAnsiTheme="majorHAnsi" w:cs="Calibri Light"/>
          <w:bCs/>
          <w:i/>
          <w:szCs w:val="22"/>
          <w:lang w:val="sq-AL" w:eastAsia="en-GB"/>
        </w:rPr>
        <w:t>M</w:t>
      </w:r>
      <w:r w:rsidRPr="00A35358">
        <w:rPr>
          <w:rFonts w:asciiTheme="majorHAnsi" w:hAnsiTheme="majorHAnsi" w:cs="Calibri Light"/>
          <w:bCs/>
          <w:i/>
          <w:szCs w:val="22"/>
          <w:lang w:val="sq-AL" w:eastAsia="en-GB"/>
        </w:rPr>
        <w:t xml:space="preserve">e një kosto rreth 252.4 milion lekë, janë kryer punime mirëmbajtje dhe restaurime në 115 objekte,  ndërsa së bashku me pastrime nga vegjetacioni arrijnë në rreth 183 objekte të monumenteve të kulturës, si në ndërhyrje restauruese apo mirëmbajtje. </w:t>
      </w:r>
    </w:p>
    <w:p w:rsidR="00A35358" w:rsidRPr="00A35358" w:rsidRDefault="00A35358"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A35358">
        <w:rPr>
          <w:rFonts w:asciiTheme="majorHAnsi" w:hAnsiTheme="majorHAnsi" w:cs="Calibri Light"/>
          <w:bCs/>
          <w:i/>
          <w:szCs w:val="22"/>
          <w:lang w:val="sq-AL" w:eastAsia="en-GB"/>
        </w:rPr>
        <w:t xml:space="preserve">Është kryer pastrim mirëmbajtje në Kalanë e Shkodrës, në Kalanë e Lezhës, në Kalanë e Drishtit dhe në Urën e Mesit. Në Berat është kryer restaurimi i “Ura e Vokopolës’, janë kryer ndërhyrje restauruese në afreskun e kishës së Shën Triadhës. Gjatë kësaj periudhe kalaja e Beratit është vizituar nga 76 973 vizitorë të huaj dhe shqiptarë duke qenë kështu monumenti më i vizitueshëm. </w:t>
      </w:r>
    </w:p>
    <w:p w:rsidR="00A35358" w:rsidRDefault="00A35358"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A35358">
        <w:rPr>
          <w:rFonts w:asciiTheme="majorHAnsi" w:hAnsiTheme="majorHAnsi" w:cs="Calibri Light"/>
          <w:bCs/>
          <w:i/>
          <w:szCs w:val="22"/>
          <w:lang w:val="sq-AL" w:eastAsia="en-GB"/>
        </w:rPr>
        <w:t xml:space="preserve">Eshtë kryer pastrim-mirëmbajtje në Kalanë e Krujës, është kryer pastrim nga vegjetacioni në vendbanimin antik të Zgërdheshit, pastrim në Mozaikun e Tiranës dhe në Kalanë e Prezës. </w:t>
      </w:r>
    </w:p>
    <w:p w:rsidR="00A35358" w:rsidRPr="00A35358" w:rsidRDefault="00A35358"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A35358">
        <w:rPr>
          <w:rFonts w:asciiTheme="majorHAnsi" w:hAnsiTheme="majorHAnsi" w:cs="Calibri Light"/>
          <w:bCs/>
          <w:i/>
          <w:szCs w:val="22"/>
          <w:lang w:val="sq-AL" w:eastAsia="en-GB"/>
        </w:rPr>
        <w:t>Ndërsa në Vlorë janë kryer katër projekte, “Punime konservimi në kalanë e Porto Palermos” “Gërmime arkeologjike të shpëtimit të varrit të tipit Maqedon në Parkun Arkeologjik Amantia”, kanë nisur punime pastrime tek objekti “Shtëpia e Formimit të Qeverisë së vitit 1920” dhe “Restaurim/mirëmbajtje Ura e Bratajt”.</w:t>
      </w:r>
    </w:p>
    <w:p w:rsidR="00A35358" w:rsidRPr="00A35358" w:rsidRDefault="00A35358"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A35358">
        <w:rPr>
          <w:rFonts w:asciiTheme="majorHAnsi" w:hAnsiTheme="majorHAnsi" w:cs="Calibri Light"/>
          <w:bCs/>
          <w:i/>
          <w:szCs w:val="22"/>
          <w:lang w:val="sq-AL" w:eastAsia="en-GB"/>
        </w:rPr>
        <w:t>Gjithashtu, veprimtaria muzeale vijoi nëpërmjet aktiviteteve dhe projekteve në Muzeun Kombëtar të Fotografisë “Marubi”, Muzeun Historik Kombëtar dhe disa muze të tjera; ndërkohë që restaurime vijuan në Muzeun Historik Kombëtar dhe parqet arkeologjike të Butrintit dhe Apolonisë.</w:t>
      </w:r>
    </w:p>
    <w:p w:rsidR="00A35358" w:rsidRPr="00A35358" w:rsidRDefault="00A35358"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A35358">
        <w:rPr>
          <w:rFonts w:asciiTheme="majorHAnsi" w:hAnsiTheme="majorHAnsi" w:cs="Calibri Light"/>
          <w:bCs/>
          <w:i/>
          <w:szCs w:val="22"/>
          <w:lang w:val="sq-AL" w:eastAsia="en-GB"/>
        </w:rPr>
        <w:t>Janë zhvilluar aktivitete, të fushës së trashëgimisë jomateriale, ku, pas thirrjes së hapur që Ministria e Kulturës shpall për mbështetjen financiare të projekteve në fushën e artit, kulturës dhe trashëgimisë janë aprovuar për vitin 2021 rreth 160 projekte me thirrje.</w:t>
      </w:r>
    </w:p>
    <w:p w:rsidR="00A35358" w:rsidRDefault="00A35358" w:rsidP="00A35358">
      <w:pPr>
        <w:rPr>
          <w:rFonts w:eastAsia="MS Mincho" w:cs="Calibri"/>
          <w:lang w:val="sq-AL"/>
        </w:rPr>
      </w:pPr>
      <w:r w:rsidRPr="005330F1">
        <w:rPr>
          <w:rFonts w:eastAsia="MS Mincho" w:cs="Calibri"/>
          <w:lang w:val="sq-AL"/>
        </w:rPr>
        <w:t>Në kushtet e masave të marra për parandalimin e përhapjes së infeksionit të shkaktuar nga COVID-19, në programin</w:t>
      </w:r>
      <w:r w:rsidRPr="005330F1">
        <w:rPr>
          <w:rFonts w:eastAsia="MS Mincho" w:cs="Calibri"/>
          <w:b/>
          <w:lang w:val="sq-AL"/>
        </w:rPr>
        <w:t xml:space="preserve"> “Arti dhe Kultura</w:t>
      </w:r>
      <w:r w:rsidRPr="005330F1">
        <w:rPr>
          <w:rFonts w:eastAsia="MS Mincho" w:cs="Calibri"/>
          <w:lang w:val="sq-AL"/>
        </w:rPr>
        <w:t xml:space="preserve"> </w:t>
      </w:r>
      <w:r>
        <w:rPr>
          <w:rFonts w:eastAsia="MS Mincho" w:cs="Calibri"/>
          <w:lang w:val="sq-AL"/>
        </w:rPr>
        <w:t xml:space="preserve">gjatë vitit 2021, </w:t>
      </w:r>
      <w:r w:rsidRPr="005330F1">
        <w:rPr>
          <w:rFonts w:eastAsia="MS Mincho" w:cs="Calibri"/>
          <w:lang w:val="sq-AL"/>
        </w:rPr>
        <w:t>ka nisur alternimi i aktiviteteve me prezenc</w:t>
      </w:r>
      <w:r>
        <w:rPr>
          <w:rFonts w:eastAsia="MS Mincho" w:cs="Calibri"/>
          <w:lang w:val="sq-AL"/>
        </w:rPr>
        <w:t>ë</w:t>
      </w:r>
      <w:r w:rsidRPr="005330F1">
        <w:rPr>
          <w:rFonts w:eastAsia="MS Mincho" w:cs="Calibri"/>
          <w:lang w:val="sq-AL"/>
        </w:rPr>
        <w:t xml:space="preserve"> </w:t>
      </w:r>
      <w:r>
        <w:rPr>
          <w:rFonts w:eastAsia="MS Mincho" w:cs="Calibri"/>
          <w:lang w:val="sq-AL"/>
        </w:rPr>
        <w:t xml:space="preserve">të audiencës përfshirë: </w:t>
      </w:r>
    </w:p>
    <w:p w:rsidR="00A35358" w:rsidRPr="00AB7A9F" w:rsidRDefault="00A35358"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 w:val="20"/>
          <w:szCs w:val="22"/>
          <w:lang w:val="sq-AL" w:eastAsia="en-GB"/>
        </w:rPr>
      </w:pPr>
      <w:r w:rsidRPr="00AB7A9F">
        <w:rPr>
          <w:rFonts w:asciiTheme="majorHAnsi" w:hAnsiTheme="majorHAnsi" w:cs="Calibri Light"/>
          <w:bCs/>
          <w:i/>
          <w:sz w:val="20"/>
          <w:szCs w:val="22"/>
          <w:lang w:val="sq-AL" w:eastAsia="en-GB"/>
        </w:rPr>
        <w:t>100 premiera dhe shfaqje artistike të zhanrit skenik operistik, koreografik dhe folklori</w:t>
      </w:r>
      <w:r w:rsidR="00AB7A9F">
        <w:rPr>
          <w:rFonts w:asciiTheme="majorHAnsi" w:hAnsiTheme="majorHAnsi" w:cs="Calibri Light"/>
          <w:bCs/>
          <w:i/>
          <w:sz w:val="20"/>
          <w:szCs w:val="22"/>
          <w:lang w:val="sq-AL" w:eastAsia="en-GB"/>
        </w:rPr>
        <w:t>k kombëtar (87.9 milion lekë)</w:t>
      </w:r>
    </w:p>
    <w:p w:rsidR="00A35358" w:rsidRPr="00AB7A9F" w:rsidRDefault="00A35358"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 w:val="20"/>
          <w:szCs w:val="22"/>
          <w:lang w:val="sq-AL" w:eastAsia="en-GB"/>
        </w:rPr>
      </w:pPr>
      <w:r w:rsidRPr="00AB7A9F">
        <w:rPr>
          <w:rFonts w:asciiTheme="majorHAnsi" w:hAnsiTheme="majorHAnsi" w:cs="Calibri Light"/>
          <w:bCs/>
          <w:i/>
          <w:sz w:val="20"/>
          <w:szCs w:val="22"/>
          <w:lang w:val="sq-AL" w:eastAsia="en-GB"/>
        </w:rPr>
        <w:t xml:space="preserve">37 Premiera dhe shfaqie artistike të zhanrit skenik teatror klasik dhe bashkëkohor (55.8 milion leke); </w:t>
      </w:r>
    </w:p>
    <w:p w:rsidR="00A35358" w:rsidRPr="00AB7A9F" w:rsidRDefault="00A35358"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 w:val="20"/>
          <w:szCs w:val="22"/>
          <w:lang w:val="sq-AL" w:eastAsia="en-GB"/>
        </w:rPr>
      </w:pPr>
      <w:r w:rsidRPr="00AB7A9F">
        <w:rPr>
          <w:rFonts w:asciiTheme="majorHAnsi" w:hAnsiTheme="majorHAnsi" w:cs="Calibri Light"/>
          <w:bCs/>
          <w:i/>
          <w:sz w:val="20"/>
          <w:szCs w:val="22"/>
          <w:lang w:val="sq-AL" w:eastAsia="en-GB"/>
        </w:rPr>
        <w:t>177 premiera dhe shfaqje artistike të zhanrit skenik teatror eksperimental klasik dhe bashkekohor (28.8</w:t>
      </w:r>
      <w:r w:rsidR="00AB7A9F">
        <w:rPr>
          <w:rFonts w:asciiTheme="majorHAnsi" w:hAnsiTheme="majorHAnsi" w:cs="Calibri Light"/>
          <w:bCs/>
          <w:i/>
          <w:sz w:val="20"/>
          <w:szCs w:val="22"/>
          <w:lang w:val="sq-AL" w:eastAsia="en-GB"/>
        </w:rPr>
        <w:t>mln</w:t>
      </w:r>
      <w:r w:rsidRPr="00AB7A9F">
        <w:rPr>
          <w:rFonts w:asciiTheme="majorHAnsi" w:hAnsiTheme="majorHAnsi" w:cs="Calibri Light"/>
          <w:bCs/>
          <w:i/>
          <w:sz w:val="20"/>
          <w:szCs w:val="22"/>
          <w:lang w:val="sq-AL" w:eastAsia="en-GB"/>
        </w:rPr>
        <w:t xml:space="preserve"> lekë); </w:t>
      </w:r>
    </w:p>
    <w:p w:rsidR="00A35358" w:rsidRPr="00AB7A9F" w:rsidRDefault="00A35358"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 w:val="20"/>
          <w:szCs w:val="22"/>
          <w:lang w:val="sq-AL" w:eastAsia="en-GB"/>
        </w:rPr>
      </w:pPr>
      <w:r w:rsidRPr="00AB7A9F">
        <w:rPr>
          <w:rFonts w:asciiTheme="majorHAnsi" w:hAnsiTheme="majorHAnsi" w:cs="Calibri Light"/>
          <w:bCs/>
          <w:i/>
          <w:sz w:val="20"/>
          <w:szCs w:val="22"/>
          <w:lang w:val="sq-AL" w:eastAsia="en-GB"/>
        </w:rPr>
        <w:t xml:space="preserve">25 ekspozita me vepra pjesë e fondit të GKA, të përkohshme të traditës dhe bashkëkohore, autorë të diasporës dhe të huaj (40.4 milion lekë), </w:t>
      </w:r>
    </w:p>
    <w:p w:rsidR="00A35358" w:rsidRPr="00AB7A9F" w:rsidRDefault="00A35358"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 w:val="20"/>
          <w:szCs w:val="22"/>
          <w:lang w:val="sq-AL" w:eastAsia="en-GB"/>
        </w:rPr>
      </w:pPr>
      <w:r w:rsidRPr="00AB7A9F">
        <w:rPr>
          <w:rFonts w:asciiTheme="majorHAnsi" w:hAnsiTheme="majorHAnsi" w:cs="Calibri Light"/>
          <w:bCs/>
          <w:i/>
          <w:sz w:val="20"/>
          <w:szCs w:val="22"/>
          <w:lang w:val="sq-AL" w:eastAsia="en-GB"/>
        </w:rPr>
        <w:t xml:space="preserve">90 veprimtari edukuese të teatrit me dhe për fëmijë (32.2 milion lekë), </w:t>
      </w:r>
    </w:p>
    <w:p w:rsidR="007B7B50" w:rsidRPr="00AB7A9F" w:rsidRDefault="00A35358"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 w:val="20"/>
          <w:szCs w:val="22"/>
          <w:lang w:val="sq-AL" w:eastAsia="en-GB"/>
        </w:rPr>
      </w:pPr>
      <w:r w:rsidRPr="00AB7A9F">
        <w:rPr>
          <w:rFonts w:asciiTheme="majorHAnsi" w:hAnsiTheme="majorHAnsi" w:cs="Calibri Light"/>
          <w:bCs/>
          <w:i/>
          <w:sz w:val="20"/>
          <w:szCs w:val="22"/>
          <w:lang w:val="sq-AL" w:eastAsia="en-GB"/>
        </w:rPr>
        <w:t>Si dhe 167 aktivitete për qytetarët përdorues dhe frekuentues të koleksioneve bibliotekare (94.4mln lekë)</w:t>
      </w:r>
      <w:r w:rsidR="007B7B50" w:rsidRPr="00AB7A9F">
        <w:rPr>
          <w:rFonts w:asciiTheme="majorHAnsi" w:hAnsiTheme="majorHAnsi" w:cs="Calibri Light"/>
          <w:bCs/>
          <w:i/>
          <w:sz w:val="20"/>
          <w:szCs w:val="22"/>
          <w:lang w:val="sq-AL" w:eastAsia="en-GB"/>
        </w:rPr>
        <w:t xml:space="preserve">. </w:t>
      </w:r>
    </w:p>
    <w:p w:rsidR="000703F6" w:rsidRPr="000703F6" w:rsidRDefault="007B7B50" w:rsidP="000703F6">
      <w:pPr>
        <w:rPr>
          <w:rFonts w:asciiTheme="majorHAnsi" w:hAnsiTheme="majorHAnsi" w:cs="Calibri Light"/>
          <w:szCs w:val="22"/>
          <w:lang w:val="sq-AL"/>
        </w:rPr>
      </w:pPr>
      <w:r w:rsidRPr="000703F6">
        <w:rPr>
          <w:rFonts w:eastAsiaTheme="minorHAnsi" w:cs="Calibri"/>
          <w:lang w:val="sq-AL"/>
        </w:rPr>
        <w:lastRenderedPageBreak/>
        <w:t xml:space="preserve">Për sa i përket </w:t>
      </w:r>
      <w:r w:rsidRPr="000703F6">
        <w:rPr>
          <w:rFonts w:eastAsiaTheme="minorHAnsi" w:cs="Calibri"/>
          <w:b/>
          <w:bCs/>
          <w:lang w:val="sq-AL"/>
        </w:rPr>
        <w:t>investimeve publike</w:t>
      </w:r>
      <w:r w:rsidRPr="000703F6">
        <w:rPr>
          <w:rFonts w:eastAsiaTheme="minorHAnsi" w:cs="Calibri"/>
          <w:lang w:val="sq-AL"/>
        </w:rPr>
        <w:t xml:space="preserve"> </w:t>
      </w:r>
      <w:bookmarkStart w:id="273" w:name="_Hlk40881889"/>
      <w:r w:rsidR="000703F6" w:rsidRPr="000703F6">
        <w:rPr>
          <w:rFonts w:cs="Calibri"/>
          <w:lang w:val="sq-AL"/>
        </w:rPr>
        <w:t xml:space="preserve">realizimi në vitin 2021 ishte </w:t>
      </w:r>
      <w:r w:rsidR="001007C6">
        <w:rPr>
          <w:rFonts w:cs="Calibri"/>
          <w:lang w:val="sq-AL"/>
        </w:rPr>
        <w:t>34</w:t>
      </w:r>
      <w:r w:rsidR="000703F6" w:rsidRPr="000703F6">
        <w:rPr>
          <w:rFonts w:cs="Calibri"/>
          <w:lang w:val="sq-AL"/>
        </w:rPr>
        <w:t>% e buxhetit fillestar për projektet me financim të brendshëm (0.44 miliard lekë)</w:t>
      </w:r>
      <w:r w:rsidR="000703F6" w:rsidRPr="000703F6">
        <w:rPr>
          <w:rFonts w:cs="Calibri"/>
          <w:bCs/>
          <w:iCs/>
          <w:lang w:val="sq-AL"/>
        </w:rPr>
        <w:t xml:space="preserve"> (32.6% të planit vjetor të ndryshuar me AN nr.34).</w:t>
      </w:r>
      <w:r w:rsidR="000703F6" w:rsidRPr="000703F6">
        <w:rPr>
          <w:rFonts w:cs="Calibri"/>
          <w:lang w:val="sq-AL"/>
        </w:rPr>
        <w:t xml:space="preserve"> </w:t>
      </w:r>
      <w:r w:rsidR="000703F6" w:rsidRPr="000703F6">
        <w:rPr>
          <w:rFonts w:asciiTheme="majorHAnsi" w:eastAsiaTheme="minorHAnsi" w:hAnsiTheme="majorHAnsi" w:cs="Calibri Light"/>
          <w:szCs w:val="22"/>
          <w:lang w:val="sq-AL"/>
        </w:rPr>
        <w:t xml:space="preserve">Janë mbyllur kontratat e investimit si më poshtë, ku ndër më kryesoret veçojmë rreth </w:t>
      </w:r>
      <w:r w:rsidR="000703F6" w:rsidRPr="000703F6">
        <w:rPr>
          <w:rFonts w:asciiTheme="majorHAnsi" w:hAnsiTheme="majorHAnsi" w:cs="Calibri Light"/>
          <w:szCs w:val="22"/>
          <w:lang w:val="sq-AL"/>
        </w:rPr>
        <w:t xml:space="preserve">6 kontrata </w:t>
      </w:r>
      <w:bookmarkStart w:id="274" w:name="_Hlk40881858"/>
      <w:r w:rsidR="000703F6" w:rsidRPr="000703F6">
        <w:rPr>
          <w:rFonts w:asciiTheme="majorHAnsi" w:hAnsiTheme="majorHAnsi" w:cs="Calibri Light"/>
          <w:szCs w:val="22"/>
          <w:lang w:val="sq-AL"/>
        </w:rPr>
        <w:t>me vlerë totale rreth 100 milionë lekë nga të cilat veçojmë:</w:t>
      </w:r>
    </w:p>
    <w:bookmarkEnd w:id="274"/>
    <w:p w:rsidR="000703F6" w:rsidRPr="000703F6" w:rsidRDefault="000703F6"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0703F6">
        <w:rPr>
          <w:rFonts w:asciiTheme="majorHAnsi" w:hAnsiTheme="majorHAnsi" w:cs="Calibri Light"/>
          <w:bCs/>
          <w:i/>
          <w:szCs w:val="22"/>
          <w:lang w:val="sq-AL" w:eastAsia="en-GB"/>
        </w:rPr>
        <w:t>Rikonstruksion i magazinave të TKOB me vlerë të plotë investimi prej 53 milionë lekë;</w:t>
      </w:r>
    </w:p>
    <w:p w:rsidR="000703F6" w:rsidRPr="000703F6" w:rsidRDefault="000703F6"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0703F6">
        <w:rPr>
          <w:rFonts w:asciiTheme="majorHAnsi" w:hAnsiTheme="majorHAnsi" w:cs="Calibri Light"/>
          <w:bCs/>
          <w:i/>
          <w:szCs w:val="22"/>
          <w:lang w:val="sq-AL" w:eastAsia="en-GB"/>
        </w:rPr>
        <w:t>Hartimi i disa planve të konservimit me fonde rindërtimi për disa objekte kulturore të prekura nga tëmeti 2019  me vlerë të plotë rreth 32 milionë lekë.</w:t>
      </w:r>
    </w:p>
    <w:p w:rsidR="000703F6" w:rsidRPr="000703F6" w:rsidRDefault="000703F6"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0703F6">
        <w:rPr>
          <w:rFonts w:asciiTheme="majorHAnsi" w:hAnsiTheme="majorHAnsi" w:cs="Calibri Light"/>
          <w:bCs/>
          <w:i/>
          <w:szCs w:val="22"/>
          <w:lang w:val="sq-AL" w:eastAsia="en-GB"/>
        </w:rPr>
        <w:t>Blerje pajisjeshsh kompjuterike me vlerë 10 milionë lekë;</w:t>
      </w:r>
    </w:p>
    <w:p w:rsidR="000703F6" w:rsidRPr="000703F6" w:rsidRDefault="000703F6"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0703F6">
        <w:rPr>
          <w:rFonts w:asciiTheme="majorHAnsi" w:hAnsiTheme="majorHAnsi" w:cs="Calibri Light"/>
          <w:bCs/>
          <w:i/>
          <w:szCs w:val="22"/>
          <w:lang w:val="sq-AL" w:eastAsia="en-GB"/>
        </w:rPr>
        <w:t>Restaurim "Kisha e Shën e Premtes", Lukovë me vlerë 3.6 milionë lekë.</w:t>
      </w:r>
    </w:p>
    <w:p w:rsidR="00C16428" w:rsidRDefault="00C16428" w:rsidP="000703F6">
      <w:pPr>
        <w:shd w:val="clear" w:color="auto" w:fill="FFFFFF" w:themeFill="background1"/>
        <w:rPr>
          <w:rFonts w:cs="Calibri"/>
          <w:lang w:val="sq-AL"/>
        </w:rPr>
      </w:pPr>
    </w:p>
    <w:p w:rsidR="000703F6" w:rsidRDefault="000703F6" w:rsidP="000703F6">
      <w:pPr>
        <w:shd w:val="clear" w:color="auto" w:fill="FFFFFF" w:themeFill="background1"/>
        <w:rPr>
          <w:rFonts w:cs="Calibri"/>
          <w:lang w:val="sq-AL"/>
        </w:rPr>
      </w:pPr>
    </w:p>
    <w:p w:rsidR="007B7B50" w:rsidRPr="00476D2E" w:rsidRDefault="007B7B50" w:rsidP="007B7B50">
      <w:pPr>
        <w:pStyle w:val="fiskale3"/>
        <w:rPr>
          <w:rFonts w:ascii="Calibri" w:hAnsi="Calibri" w:cs="Calibri"/>
          <w:b/>
        </w:rPr>
      </w:pPr>
      <w:bookmarkStart w:id="275" w:name="_Toc10033301"/>
      <w:bookmarkStart w:id="276" w:name="_Toc10721437"/>
      <w:bookmarkStart w:id="277" w:name="_Toc104980370"/>
      <w:bookmarkEnd w:id="273"/>
      <w:r w:rsidRPr="00476D2E">
        <w:rPr>
          <w:rFonts w:ascii="Calibri" w:hAnsi="Calibri" w:cs="Calibri"/>
          <w:b/>
        </w:rPr>
        <w:t>Rendi dhe Siguria Publike</w:t>
      </w:r>
      <w:bookmarkEnd w:id="275"/>
      <w:bookmarkEnd w:id="276"/>
      <w:bookmarkEnd w:id="277"/>
    </w:p>
    <w:p w:rsidR="007B7B50" w:rsidRPr="00476D2E" w:rsidRDefault="007B7B50" w:rsidP="007B7B50">
      <w:pPr>
        <w:rPr>
          <w:rFonts w:cs="Calibri"/>
          <w:color w:val="000000"/>
          <w:lang w:val="sq-AL"/>
        </w:rPr>
      </w:pPr>
      <w:r w:rsidRPr="00476D2E">
        <w:rPr>
          <w:rFonts w:cs="Calibri"/>
          <w:color w:val="000000"/>
          <w:lang w:val="sq-AL"/>
        </w:rPr>
        <w:t>Performanca e treguesve buxhetorë për programet kryesore të Ministrisë së Brendshme paraqitet si mëposhtë:</w:t>
      </w:r>
    </w:p>
    <w:p w:rsidR="007B7B50" w:rsidRPr="00476D2E" w:rsidRDefault="007B7B50" w:rsidP="007B7B50">
      <w:pPr>
        <w:pStyle w:val="Caption"/>
        <w:keepNext/>
        <w:spacing w:after="0"/>
        <w:rPr>
          <w:rFonts w:cs="Calibri"/>
          <w:i w:val="0"/>
          <w:color w:val="0B5294" w:themeColor="accent1" w:themeShade="BF"/>
          <w:sz w:val="20"/>
          <w:u w:val="single"/>
          <w:lang w:val="sq-AL"/>
        </w:rPr>
      </w:pPr>
      <w:bookmarkStart w:id="278" w:name="_Toc104984103"/>
      <w:r w:rsidRPr="00476D2E">
        <w:rPr>
          <w:rFonts w:cs="Calibri"/>
          <w:color w:val="0B5294" w:themeColor="accent1" w:themeShade="BF"/>
          <w:lang w:val="sq-AL"/>
        </w:rPr>
        <w:t xml:space="preserve">Tabela </w:t>
      </w:r>
      <w:r w:rsidRPr="00476D2E">
        <w:rPr>
          <w:rFonts w:cs="Calibri"/>
          <w:color w:val="0B5294" w:themeColor="accent1" w:themeShade="BF"/>
          <w:lang w:val="sq-AL"/>
        </w:rPr>
        <w:fldChar w:fldCharType="begin"/>
      </w:r>
      <w:r w:rsidRPr="00476D2E">
        <w:rPr>
          <w:rFonts w:cs="Calibri"/>
          <w:color w:val="0B5294" w:themeColor="accent1" w:themeShade="BF"/>
          <w:lang w:val="sq-AL"/>
        </w:rPr>
        <w:instrText xml:space="preserve"> SEQ Tabela \* ARABIC </w:instrText>
      </w:r>
      <w:r w:rsidRPr="00476D2E">
        <w:rPr>
          <w:rFonts w:cs="Calibri"/>
          <w:color w:val="0B5294" w:themeColor="accent1" w:themeShade="BF"/>
          <w:lang w:val="sq-AL"/>
        </w:rPr>
        <w:fldChar w:fldCharType="separate"/>
      </w:r>
      <w:r w:rsidR="00276062">
        <w:rPr>
          <w:rFonts w:cs="Calibri"/>
          <w:noProof/>
          <w:color w:val="0B5294" w:themeColor="accent1" w:themeShade="BF"/>
          <w:lang w:val="sq-AL"/>
        </w:rPr>
        <w:t>31</w:t>
      </w:r>
      <w:r w:rsidRPr="00476D2E">
        <w:rPr>
          <w:rFonts w:cs="Calibri"/>
          <w:color w:val="0B5294" w:themeColor="accent1" w:themeShade="BF"/>
          <w:lang w:val="sq-AL"/>
        </w:rPr>
        <w:fldChar w:fldCharType="end"/>
      </w:r>
      <w:r w:rsidRPr="00476D2E">
        <w:rPr>
          <w:rFonts w:cs="Calibri"/>
          <w:color w:val="0B5294" w:themeColor="accent1" w:themeShade="BF"/>
          <w:lang w:val="sq-AL"/>
        </w:rPr>
        <w:t xml:space="preserve"> Realizimi i buxhetit 202</w:t>
      </w:r>
      <w:r w:rsidR="002361F4">
        <w:rPr>
          <w:rFonts w:cs="Calibri"/>
          <w:color w:val="0B5294" w:themeColor="accent1" w:themeShade="BF"/>
          <w:lang w:val="sq-AL"/>
        </w:rPr>
        <w:t>1</w:t>
      </w:r>
      <w:r w:rsidRPr="00476D2E">
        <w:rPr>
          <w:rFonts w:cs="Calibri"/>
          <w:color w:val="0B5294" w:themeColor="accent1" w:themeShade="BF"/>
          <w:lang w:val="sq-AL"/>
        </w:rPr>
        <w:t xml:space="preserve"> për Ministrinë e Brendshme</w:t>
      </w:r>
      <w:bookmarkEnd w:id="278"/>
    </w:p>
    <w:tbl>
      <w:tblPr>
        <w:tblW w:w="11551" w:type="dxa"/>
        <w:jc w:val="center"/>
        <w:tblLayout w:type="fixed"/>
        <w:tblLook w:val="04A0" w:firstRow="1" w:lastRow="0" w:firstColumn="1" w:lastColumn="0" w:noHBand="0" w:noVBand="1"/>
      </w:tblPr>
      <w:tblGrid>
        <w:gridCol w:w="3014"/>
        <w:gridCol w:w="1025"/>
        <w:gridCol w:w="950"/>
        <w:gridCol w:w="1025"/>
        <w:gridCol w:w="950"/>
        <w:gridCol w:w="1025"/>
        <w:gridCol w:w="950"/>
        <w:gridCol w:w="619"/>
        <w:gridCol w:w="619"/>
        <w:gridCol w:w="654"/>
        <w:gridCol w:w="720"/>
      </w:tblGrid>
      <w:tr w:rsidR="002361F4" w:rsidRPr="00305A8F" w:rsidTr="002361F4">
        <w:trPr>
          <w:trHeight w:val="525"/>
          <w:jc w:val="center"/>
        </w:trPr>
        <w:tc>
          <w:tcPr>
            <w:tcW w:w="3014" w:type="dxa"/>
            <w:tcBorders>
              <w:top w:val="single" w:sz="8" w:space="0" w:color="B8CCE4"/>
              <w:left w:val="single" w:sz="8" w:space="0" w:color="B8CCE4"/>
              <w:bottom w:val="nil"/>
              <w:right w:val="single" w:sz="8" w:space="0" w:color="B8CCE4"/>
            </w:tcBorders>
            <w:shd w:val="clear" w:color="000000" w:fill="365F91"/>
            <w:vAlign w:val="center"/>
            <w:hideMark/>
          </w:tcPr>
          <w:p w:rsidR="002361F4" w:rsidRPr="00305A8F" w:rsidRDefault="002361F4" w:rsidP="002361F4">
            <w:pPr>
              <w:spacing w:before="0" w:line="240" w:lineRule="auto"/>
              <w:jc w:val="center"/>
              <w:rPr>
                <w:b/>
                <w:bCs/>
                <w:color w:val="FFFFFF"/>
                <w:sz w:val="16"/>
                <w:szCs w:val="20"/>
              </w:rPr>
            </w:pPr>
            <w:r w:rsidRPr="00305A8F">
              <w:rPr>
                <w:b/>
                <w:bCs/>
                <w:color w:val="FFFFFF"/>
                <w:sz w:val="16"/>
                <w:szCs w:val="20"/>
                <w:lang w:val="sq-AL"/>
              </w:rPr>
              <w:t>Programi buxhetor</w:t>
            </w:r>
          </w:p>
        </w:tc>
        <w:tc>
          <w:tcPr>
            <w:tcW w:w="1975" w:type="dxa"/>
            <w:gridSpan w:val="2"/>
            <w:tcBorders>
              <w:top w:val="single" w:sz="8" w:space="0" w:color="B8CCE4"/>
              <w:left w:val="nil"/>
              <w:bottom w:val="single" w:sz="12" w:space="0" w:color="95B3D7"/>
              <w:right w:val="single" w:sz="8" w:space="0" w:color="B8CCE4"/>
            </w:tcBorders>
            <w:shd w:val="clear" w:color="000000" w:fill="365F91"/>
            <w:vAlign w:val="center"/>
            <w:hideMark/>
          </w:tcPr>
          <w:p w:rsidR="002361F4" w:rsidRPr="00305A8F" w:rsidRDefault="002361F4" w:rsidP="002361F4">
            <w:pPr>
              <w:spacing w:before="0" w:line="240" w:lineRule="auto"/>
              <w:jc w:val="center"/>
              <w:rPr>
                <w:b/>
                <w:bCs/>
                <w:color w:val="FFFFFF"/>
                <w:sz w:val="16"/>
                <w:szCs w:val="20"/>
              </w:rPr>
            </w:pPr>
            <w:r w:rsidRPr="00305A8F">
              <w:rPr>
                <w:b/>
                <w:bCs/>
                <w:color w:val="FFFFFF"/>
                <w:sz w:val="16"/>
                <w:szCs w:val="20"/>
                <w:lang w:val="sq-AL"/>
              </w:rPr>
              <w:t>Plani fillestar 2021</w:t>
            </w:r>
          </w:p>
        </w:tc>
        <w:tc>
          <w:tcPr>
            <w:tcW w:w="1975" w:type="dxa"/>
            <w:gridSpan w:val="2"/>
            <w:tcBorders>
              <w:top w:val="single" w:sz="8" w:space="0" w:color="B8CCE4"/>
              <w:left w:val="nil"/>
              <w:bottom w:val="single" w:sz="12" w:space="0" w:color="95B3D7"/>
              <w:right w:val="single" w:sz="8" w:space="0" w:color="B8CCE4"/>
            </w:tcBorders>
            <w:shd w:val="clear" w:color="000000" w:fill="365F91"/>
            <w:vAlign w:val="center"/>
            <w:hideMark/>
          </w:tcPr>
          <w:p w:rsidR="002361F4" w:rsidRPr="00305A8F" w:rsidRDefault="002361F4" w:rsidP="002361F4">
            <w:pPr>
              <w:spacing w:before="0" w:line="240" w:lineRule="auto"/>
              <w:jc w:val="center"/>
              <w:rPr>
                <w:b/>
                <w:bCs/>
                <w:color w:val="FFFFFF"/>
                <w:sz w:val="16"/>
                <w:szCs w:val="20"/>
              </w:rPr>
            </w:pPr>
            <w:r w:rsidRPr="00305A8F">
              <w:rPr>
                <w:b/>
                <w:bCs/>
                <w:color w:val="FFFFFF"/>
                <w:sz w:val="16"/>
                <w:szCs w:val="20"/>
                <w:lang w:val="sq-AL"/>
              </w:rPr>
              <w:t>Plani i rishikuar 2021</w:t>
            </w:r>
          </w:p>
        </w:tc>
        <w:tc>
          <w:tcPr>
            <w:tcW w:w="1975" w:type="dxa"/>
            <w:gridSpan w:val="2"/>
            <w:tcBorders>
              <w:top w:val="single" w:sz="8" w:space="0" w:color="B8CCE4"/>
              <w:left w:val="nil"/>
              <w:bottom w:val="single" w:sz="12" w:space="0" w:color="95B3D7"/>
              <w:right w:val="single" w:sz="8" w:space="0" w:color="B8CCE4"/>
            </w:tcBorders>
            <w:shd w:val="clear" w:color="000000" w:fill="365F91"/>
            <w:vAlign w:val="center"/>
            <w:hideMark/>
          </w:tcPr>
          <w:p w:rsidR="002361F4" w:rsidRPr="00305A8F" w:rsidRDefault="002361F4" w:rsidP="002361F4">
            <w:pPr>
              <w:spacing w:before="0" w:line="240" w:lineRule="auto"/>
              <w:jc w:val="center"/>
              <w:rPr>
                <w:b/>
                <w:bCs/>
                <w:color w:val="FFFFFF"/>
                <w:sz w:val="16"/>
                <w:szCs w:val="20"/>
              </w:rPr>
            </w:pPr>
            <w:r w:rsidRPr="00305A8F">
              <w:rPr>
                <w:b/>
                <w:bCs/>
                <w:color w:val="FFFFFF"/>
                <w:sz w:val="16"/>
                <w:szCs w:val="20"/>
                <w:lang w:val="sq-AL"/>
              </w:rPr>
              <w:t>Fakti 2021</w:t>
            </w:r>
          </w:p>
        </w:tc>
        <w:tc>
          <w:tcPr>
            <w:tcW w:w="1238" w:type="dxa"/>
            <w:gridSpan w:val="2"/>
            <w:tcBorders>
              <w:top w:val="single" w:sz="8" w:space="0" w:color="B8CCE4"/>
              <w:left w:val="nil"/>
              <w:bottom w:val="single" w:sz="12" w:space="0" w:color="95B3D7"/>
              <w:right w:val="single" w:sz="8" w:space="0" w:color="B8CCE4"/>
            </w:tcBorders>
            <w:shd w:val="clear" w:color="000000" w:fill="365F91"/>
            <w:vAlign w:val="center"/>
            <w:hideMark/>
          </w:tcPr>
          <w:p w:rsidR="002361F4" w:rsidRPr="00305A8F" w:rsidRDefault="002361F4" w:rsidP="002361F4">
            <w:pPr>
              <w:spacing w:before="0" w:line="240" w:lineRule="auto"/>
              <w:jc w:val="center"/>
              <w:rPr>
                <w:color w:val="FFFFFF"/>
                <w:sz w:val="16"/>
                <w:szCs w:val="20"/>
              </w:rPr>
            </w:pPr>
            <w:r w:rsidRPr="00305A8F">
              <w:rPr>
                <w:color w:val="FFFFFF"/>
                <w:sz w:val="16"/>
                <w:szCs w:val="20"/>
              </w:rPr>
              <w:t>Diferenca në % me planin fillestar</w:t>
            </w:r>
          </w:p>
        </w:tc>
        <w:tc>
          <w:tcPr>
            <w:tcW w:w="1374" w:type="dxa"/>
            <w:gridSpan w:val="2"/>
            <w:tcBorders>
              <w:top w:val="single" w:sz="8" w:space="0" w:color="B8CCE4"/>
              <w:left w:val="nil"/>
              <w:bottom w:val="single" w:sz="12" w:space="0" w:color="95B3D7"/>
              <w:right w:val="single" w:sz="8" w:space="0" w:color="B8CCE4"/>
            </w:tcBorders>
            <w:shd w:val="clear" w:color="000000" w:fill="365F91"/>
            <w:vAlign w:val="center"/>
            <w:hideMark/>
          </w:tcPr>
          <w:p w:rsidR="002361F4" w:rsidRPr="00305A8F" w:rsidRDefault="002361F4" w:rsidP="002361F4">
            <w:pPr>
              <w:spacing w:before="0" w:line="240" w:lineRule="auto"/>
              <w:jc w:val="center"/>
              <w:rPr>
                <w:color w:val="FFFFFF"/>
                <w:sz w:val="16"/>
                <w:szCs w:val="20"/>
              </w:rPr>
            </w:pPr>
            <w:r w:rsidRPr="00305A8F">
              <w:rPr>
                <w:color w:val="FFFFFF"/>
                <w:sz w:val="16"/>
                <w:szCs w:val="20"/>
              </w:rPr>
              <w:t>Diferenca në % me planin e rishikuar</w:t>
            </w:r>
          </w:p>
        </w:tc>
      </w:tr>
      <w:tr w:rsidR="002361F4" w:rsidRPr="00305A8F" w:rsidTr="002361F4">
        <w:trPr>
          <w:trHeight w:val="345"/>
          <w:jc w:val="center"/>
        </w:trPr>
        <w:tc>
          <w:tcPr>
            <w:tcW w:w="3014" w:type="dxa"/>
            <w:tcBorders>
              <w:top w:val="nil"/>
              <w:left w:val="single" w:sz="8" w:space="0" w:color="B8CCE4"/>
              <w:bottom w:val="single" w:sz="8" w:space="0" w:color="B8CCE4"/>
              <w:right w:val="single" w:sz="8" w:space="0" w:color="B8CCE4"/>
            </w:tcBorders>
            <w:shd w:val="clear" w:color="000000" w:fill="365F91"/>
            <w:vAlign w:val="center"/>
            <w:hideMark/>
          </w:tcPr>
          <w:p w:rsidR="002361F4" w:rsidRPr="00305A8F" w:rsidRDefault="002361F4" w:rsidP="002361F4">
            <w:pPr>
              <w:spacing w:before="0" w:line="240" w:lineRule="auto"/>
              <w:jc w:val="center"/>
              <w:rPr>
                <w:i/>
                <w:iCs/>
                <w:color w:val="FFFFFF"/>
                <w:sz w:val="16"/>
                <w:szCs w:val="20"/>
              </w:rPr>
            </w:pPr>
            <w:r w:rsidRPr="00305A8F">
              <w:rPr>
                <w:i/>
                <w:iCs/>
                <w:color w:val="FFFFFF"/>
                <w:sz w:val="16"/>
                <w:szCs w:val="20"/>
                <w:lang w:val="sq-AL"/>
              </w:rPr>
              <w:t>000 lekë</w:t>
            </w:r>
          </w:p>
        </w:tc>
        <w:tc>
          <w:tcPr>
            <w:tcW w:w="1025" w:type="dxa"/>
            <w:tcBorders>
              <w:top w:val="nil"/>
              <w:left w:val="nil"/>
              <w:bottom w:val="single" w:sz="8" w:space="0" w:color="B8CCE4"/>
              <w:right w:val="single" w:sz="8" w:space="0" w:color="B8CCE4"/>
            </w:tcBorders>
            <w:shd w:val="clear" w:color="000000" w:fill="365F91"/>
            <w:vAlign w:val="center"/>
            <w:hideMark/>
          </w:tcPr>
          <w:p w:rsidR="002361F4" w:rsidRPr="00305A8F" w:rsidRDefault="002361F4" w:rsidP="002361F4">
            <w:pPr>
              <w:spacing w:before="0" w:line="240" w:lineRule="auto"/>
              <w:jc w:val="center"/>
              <w:rPr>
                <w:b/>
                <w:bCs/>
                <w:color w:val="FFFFFF"/>
                <w:sz w:val="16"/>
                <w:szCs w:val="20"/>
              </w:rPr>
            </w:pPr>
            <w:r w:rsidRPr="00305A8F">
              <w:rPr>
                <w:b/>
                <w:bCs/>
                <w:color w:val="FFFFFF"/>
                <w:sz w:val="16"/>
                <w:szCs w:val="20"/>
                <w:lang w:val="sq-AL"/>
              </w:rPr>
              <w:t>Korrente</w:t>
            </w:r>
          </w:p>
        </w:tc>
        <w:tc>
          <w:tcPr>
            <w:tcW w:w="950" w:type="dxa"/>
            <w:tcBorders>
              <w:top w:val="nil"/>
              <w:left w:val="nil"/>
              <w:bottom w:val="single" w:sz="8" w:space="0" w:color="B8CCE4"/>
              <w:right w:val="single" w:sz="8" w:space="0" w:color="B8CCE4"/>
            </w:tcBorders>
            <w:shd w:val="clear" w:color="000000" w:fill="365F91"/>
            <w:vAlign w:val="center"/>
            <w:hideMark/>
          </w:tcPr>
          <w:p w:rsidR="002361F4" w:rsidRPr="00305A8F" w:rsidRDefault="002361F4" w:rsidP="002361F4">
            <w:pPr>
              <w:spacing w:before="0" w:line="240" w:lineRule="auto"/>
              <w:jc w:val="center"/>
              <w:rPr>
                <w:b/>
                <w:bCs/>
                <w:color w:val="FFFFFF"/>
                <w:sz w:val="16"/>
                <w:szCs w:val="20"/>
              </w:rPr>
            </w:pPr>
            <w:r w:rsidRPr="00305A8F">
              <w:rPr>
                <w:b/>
                <w:bCs/>
                <w:color w:val="FFFFFF"/>
                <w:sz w:val="16"/>
                <w:szCs w:val="20"/>
                <w:lang w:val="sq-AL"/>
              </w:rPr>
              <w:t>Investime</w:t>
            </w:r>
          </w:p>
        </w:tc>
        <w:tc>
          <w:tcPr>
            <w:tcW w:w="1025" w:type="dxa"/>
            <w:tcBorders>
              <w:top w:val="nil"/>
              <w:left w:val="nil"/>
              <w:bottom w:val="single" w:sz="8" w:space="0" w:color="B8CCE4"/>
              <w:right w:val="single" w:sz="8" w:space="0" w:color="B8CCE4"/>
            </w:tcBorders>
            <w:shd w:val="clear" w:color="000000" w:fill="365F91"/>
            <w:vAlign w:val="center"/>
            <w:hideMark/>
          </w:tcPr>
          <w:p w:rsidR="002361F4" w:rsidRPr="00305A8F" w:rsidRDefault="002361F4" w:rsidP="002361F4">
            <w:pPr>
              <w:spacing w:before="0" w:line="240" w:lineRule="auto"/>
              <w:jc w:val="center"/>
              <w:rPr>
                <w:b/>
                <w:bCs/>
                <w:color w:val="FFFFFF"/>
                <w:sz w:val="16"/>
                <w:szCs w:val="20"/>
              </w:rPr>
            </w:pPr>
            <w:r w:rsidRPr="00305A8F">
              <w:rPr>
                <w:b/>
                <w:bCs/>
                <w:color w:val="FFFFFF"/>
                <w:sz w:val="16"/>
                <w:szCs w:val="20"/>
                <w:lang w:val="sq-AL"/>
              </w:rPr>
              <w:t>Korrente</w:t>
            </w:r>
          </w:p>
        </w:tc>
        <w:tc>
          <w:tcPr>
            <w:tcW w:w="950" w:type="dxa"/>
            <w:tcBorders>
              <w:top w:val="nil"/>
              <w:left w:val="nil"/>
              <w:bottom w:val="single" w:sz="8" w:space="0" w:color="B8CCE4"/>
              <w:right w:val="single" w:sz="8" w:space="0" w:color="B8CCE4"/>
            </w:tcBorders>
            <w:shd w:val="clear" w:color="000000" w:fill="365F91"/>
            <w:vAlign w:val="center"/>
            <w:hideMark/>
          </w:tcPr>
          <w:p w:rsidR="002361F4" w:rsidRPr="00305A8F" w:rsidRDefault="002361F4" w:rsidP="002361F4">
            <w:pPr>
              <w:spacing w:before="0" w:line="240" w:lineRule="auto"/>
              <w:jc w:val="center"/>
              <w:rPr>
                <w:b/>
                <w:bCs/>
                <w:color w:val="FFFFFF"/>
                <w:sz w:val="16"/>
                <w:szCs w:val="20"/>
              </w:rPr>
            </w:pPr>
            <w:r w:rsidRPr="00305A8F">
              <w:rPr>
                <w:b/>
                <w:bCs/>
                <w:color w:val="FFFFFF"/>
                <w:sz w:val="16"/>
                <w:szCs w:val="20"/>
                <w:lang w:val="sq-AL"/>
              </w:rPr>
              <w:t>Investime</w:t>
            </w:r>
          </w:p>
        </w:tc>
        <w:tc>
          <w:tcPr>
            <w:tcW w:w="1025" w:type="dxa"/>
            <w:tcBorders>
              <w:top w:val="nil"/>
              <w:left w:val="nil"/>
              <w:bottom w:val="single" w:sz="8" w:space="0" w:color="B8CCE4"/>
              <w:right w:val="single" w:sz="8" w:space="0" w:color="B8CCE4"/>
            </w:tcBorders>
            <w:shd w:val="clear" w:color="000000" w:fill="365F91"/>
            <w:vAlign w:val="center"/>
            <w:hideMark/>
          </w:tcPr>
          <w:p w:rsidR="002361F4" w:rsidRPr="00305A8F" w:rsidRDefault="002361F4" w:rsidP="002361F4">
            <w:pPr>
              <w:spacing w:before="0" w:line="240" w:lineRule="auto"/>
              <w:jc w:val="center"/>
              <w:rPr>
                <w:b/>
                <w:bCs/>
                <w:color w:val="FFFFFF"/>
                <w:sz w:val="16"/>
                <w:szCs w:val="20"/>
              </w:rPr>
            </w:pPr>
            <w:r w:rsidRPr="00305A8F">
              <w:rPr>
                <w:b/>
                <w:bCs/>
                <w:color w:val="FFFFFF"/>
                <w:sz w:val="16"/>
                <w:szCs w:val="20"/>
                <w:lang w:val="sq-AL"/>
              </w:rPr>
              <w:t>Korrente</w:t>
            </w:r>
          </w:p>
        </w:tc>
        <w:tc>
          <w:tcPr>
            <w:tcW w:w="950" w:type="dxa"/>
            <w:tcBorders>
              <w:top w:val="nil"/>
              <w:left w:val="nil"/>
              <w:bottom w:val="single" w:sz="8" w:space="0" w:color="B8CCE4"/>
              <w:right w:val="single" w:sz="8" w:space="0" w:color="B8CCE4"/>
            </w:tcBorders>
            <w:shd w:val="clear" w:color="000000" w:fill="365F91"/>
            <w:vAlign w:val="center"/>
            <w:hideMark/>
          </w:tcPr>
          <w:p w:rsidR="002361F4" w:rsidRPr="00305A8F" w:rsidRDefault="002361F4" w:rsidP="002361F4">
            <w:pPr>
              <w:spacing w:before="0" w:line="240" w:lineRule="auto"/>
              <w:jc w:val="center"/>
              <w:rPr>
                <w:b/>
                <w:bCs/>
                <w:color w:val="FFFFFF"/>
                <w:sz w:val="16"/>
                <w:szCs w:val="20"/>
              </w:rPr>
            </w:pPr>
            <w:r w:rsidRPr="00305A8F">
              <w:rPr>
                <w:b/>
                <w:bCs/>
                <w:color w:val="FFFFFF"/>
                <w:sz w:val="16"/>
                <w:szCs w:val="20"/>
                <w:lang w:val="sq-AL"/>
              </w:rPr>
              <w:t>Investime</w:t>
            </w:r>
          </w:p>
        </w:tc>
        <w:tc>
          <w:tcPr>
            <w:tcW w:w="619" w:type="dxa"/>
            <w:tcBorders>
              <w:top w:val="nil"/>
              <w:left w:val="nil"/>
              <w:bottom w:val="single" w:sz="8" w:space="0" w:color="B8CCE4"/>
              <w:right w:val="single" w:sz="8" w:space="0" w:color="B8CCE4"/>
            </w:tcBorders>
            <w:shd w:val="clear" w:color="000000" w:fill="365F91"/>
            <w:vAlign w:val="center"/>
            <w:hideMark/>
          </w:tcPr>
          <w:p w:rsidR="002361F4" w:rsidRPr="00305A8F" w:rsidRDefault="002361F4" w:rsidP="002361F4">
            <w:pPr>
              <w:spacing w:before="0" w:line="240" w:lineRule="auto"/>
              <w:jc w:val="center"/>
              <w:rPr>
                <w:b/>
                <w:bCs/>
                <w:color w:val="FFFFFF"/>
                <w:sz w:val="16"/>
                <w:szCs w:val="20"/>
              </w:rPr>
            </w:pPr>
            <w:r w:rsidRPr="00305A8F">
              <w:rPr>
                <w:b/>
                <w:bCs/>
                <w:color w:val="FFFFFF"/>
                <w:sz w:val="16"/>
                <w:szCs w:val="20"/>
                <w:lang w:val="sq-AL"/>
              </w:rPr>
              <w:t>Korr.</w:t>
            </w:r>
          </w:p>
        </w:tc>
        <w:tc>
          <w:tcPr>
            <w:tcW w:w="619" w:type="dxa"/>
            <w:tcBorders>
              <w:top w:val="nil"/>
              <w:left w:val="nil"/>
              <w:bottom w:val="single" w:sz="8" w:space="0" w:color="B8CCE4"/>
              <w:right w:val="single" w:sz="8" w:space="0" w:color="B8CCE4"/>
            </w:tcBorders>
            <w:shd w:val="clear" w:color="000000" w:fill="365F91"/>
            <w:vAlign w:val="center"/>
            <w:hideMark/>
          </w:tcPr>
          <w:p w:rsidR="002361F4" w:rsidRPr="00305A8F" w:rsidRDefault="002361F4" w:rsidP="002361F4">
            <w:pPr>
              <w:spacing w:before="0" w:line="240" w:lineRule="auto"/>
              <w:jc w:val="center"/>
              <w:rPr>
                <w:color w:val="FFFFFF"/>
                <w:sz w:val="16"/>
                <w:szCs w:val="20"/>
              </w:rPr>
            </w:pPr>
            <w:r w:rsidRPr="00305A8F">
              <w:rPr>
                <w:color w:val="FFFFFF"/>
                <w:sz w:val="16"/>
                <w:szCs w:val="20"/>
                <w:lang w:val="sq-AL"/>
              </w:rPr>
              <w:t>Inv.</w:t>
            </w:r>
          </w:p>
        </w:tc>
        <w:tc>
          <w:tcPr>
            <w:tcW w:w="654" w:type="dxa"/>
            <w:tcBorders>
              <w:top w:val="nil"/>
              <w:left w:val="nil"/>
              <w:bottom w:val="single" w:sz="8" w:space="0" w:color="B8CCE4"/>
              <w:right w:val="single" w:sz="8" w:space="0" w:color="B8CCE4"/>
            </w:tcBorders>
            <w:shd w:val="clear" w:color="000000" w:fill="365F91"/>
            <w:vAlign w:val="center"/>
            <w:hideMark/>
          </w:tcPr>
          <w:p w:rsidR="002361F4" w:rsidRPr="00305A8F" w:rsidRDefault="002361F4" w:rsidP="002361F4">
            <w:pPr>
              <w:spacing w:before="0" w:line="240" w:lineRule="auto"/>
              <w:jc w:val="center"/>
              <w:rPr>
                <w:b/>
                <w:bCs/>
                <w:color w:val="FFFFFF"/>
                <w:sz w:val="16"/>
                <w:szCs w:val="20"/>
              </w:rPr>
            </w:pPr>
            <w:r w:rsidRPr="00305A8F">
              <w:rPr>
                <w:b/>
                <w:bCs/>
                <w:color w:val="FFFFFF"/>
                <w:sz w:val="16"/>
                <w:szCs w:val="20"/>
                <w:lang w:val="sq-AL"/>
              </w:rPr>
              <w:t>Korr.</w:t>
            </w:r>
          </w:p>
        </w:tc>
        <w:tc>
          <w:tcPr>
            <w:tcW w:w="720" w:type="dxa"/>
            <w:tcBorders>
              <w:top w:val="nil"/>
              <w:left w:val="nil"/>
              <w:bottom w:val="single" w:sz="8" w:space="0" w:color="B8CCE4"/>
              <w:right w:val="single" w:sz="8" w:space="0" w:color="B8CCE4"/>
            </w:tcBorders>
            <w:shd w:val="clear" w:color="000000" w:fill="365F91"/>
            <w:vAlign w:val="center"/>
            <w:hideMark/>
          </w:tcPr>
          <w:p w:rsidR="002361F4" w:rsidRPr="00305A8F" w:rsidRDefault="002361F4" w:rsidP="002361F4">
            <w:pPr>
              <w:spacing w:before="0" w:line="240" w:lineRule="auto"/>
              <w:jc w:val="center"/>
              <w:rPr>
                <w:b/>
                <w:bCs/>
                <w:color w:val="FFFFFF"/>
                <w:sz w:val="16"/>
                <w:szCs w:val="20"/>
              </w:rPr>
            </w:pPr>
            <w:r w:rsidRPr="00305A8F">
              <w:rPr>
                <w:b/>
                <w:bCs/>
                <w:color w:val="FFFFFF"/>
                <w:sz w:val="16"/>
                <w:szCs w:val="20"/>
                <w:lang w:val="sq-AL"/>
              </w:rPr>
              <w:t>Inv.</w:t>
            </w:r>
          </w:p>
        </w:tc>
      </w:tr>
      <w:tr w:rsidR="002361F4" w:rsidRPr="00305A8F" w:rsidTr="002361F4">
        <w:trPr>
          <w:trHeight w:val="400"/>
          <w:jc w:val="center"/>
        </w:trPr>
        <w:tc>
          <w:tcPr>
            <w:tcW w:w="3014" w:type="dxa"/>
            <w:tcBorders>
              <w:top w:val="nil"/>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b/>
                <w:bCs/>
                <w:color w:val="000000"/>
                <w:sz w:val="16"/>
                <w:szCs w:val="20"/>
              </w:rPr>
            </w:pPr>
            <w:r w:rsidRPr="00305A8F">
              <w:rPr>
                <w:rFonts w:cs="Calibri"/>
                <w:b/>
                <w:bCs/>
                <w:color w:val="000000"/>
                <w:sz w:val="16"/>
                <w:szCs w:val="20"/>
              </w:rPr>
              <w:t>Planifikimi, Menaxhimi dhe Administrimi</w:t>
            </w:r>
          </w:p>
        </w:tc>
        <w:tc>
          <w:tcPr>
            <w:tcW w:w="1025" w:type="dxa"/>
            <w:tcBorders>
              <w:top w:val="nil"/>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1,227,000</w:t>
            </w:r>
          </w:p>
        </w:tc>
        <w:tc>
          <w:tcPr>
            <w:tcW w:w="950" w:type="dxa"/>
            <w:tcBorders>
              <w:top w:val="nil"/>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67,849</w:t>
            </w:r>
          </w:p>
        </w:tc>
        <w:tc>
          <w:tcPr>
            <w:tcW w:w="1025" w:type="dxa"/>
            <w:tcBorders>
              <w:top w:val="nil"/>
              <w:left w:val="nil"/>
              <w:bottom w:val="single" w:sz="8" w:space="0" w:color="B8CCE4"/>
              <w:right w:val="nil"/>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1,346,224</w:t>
            </w:r>
          </w:p>
        </w:tc>
        <w:tc>
          <w:tcPr>
            <w:tcW w:w="950" w:type="dxa"/>
            <w:tcBorders>
              <w:top w:val="nil"/>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131,849</w:t>
            </w:r>
          </w:p>
        </w:tc>
        <w:tc>
          <w:tcPr>
            <w:tcW w:w="1025" w:type="dxa"/>
            <w:tcBorders>
              <w:top w:val="single" w:sz="8" w:space="0" w:color="B8CCE4"/>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1,320,932</w:t>
            </w:r>
          </w:p>
        </w:tc>
        <w:tc>
          <w:tcPr>
            <w:tcW w:w="950" w:type="dxa"/>
            <w:tcBorders>
              <w:top w:val="single" w:sz="8" w:space="0" w:color="B8CCE4"/>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129,356</w:t>
            </w:r>
          </w:p>
        </w:tc>
        <w:tc>
          <w:tcPr>
            <w:tcW w:w="619" w:type="dxa"/>
            <w:tcBorders>
              <w:top w:val="single" w:sz="8" w:space="0" w:color="B8CCE4"/>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rFonts w:cs="Calibri"/>
                <w:color w:val="000000"/>
                <w:sz w:val="16"/>
                <w:szCs w:val="20"/>
              </w:rPr>
              <w:t>108%</w:t>
            </w:r>
          </w:p>
        </w:tc>
        <w:tc>
          <w:tcPr>
            <w:tcW w:w="619" w:type="dxa"/>
            <w:tcBorders>
              <w:top w:val="single" w:sz="8" w:space="0" w:color="B8CCE4"/>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191%</w:t>
            </w:r>
          </w:p>
        </w:tc>
        <w:tc>
          <w:tcPr>
            <w:tcW w:w="654" w:type="dxa"/>
            <w:tcBorders>
              <w:top w:val="single" w:sz="8" w:space="0" w:color="B8CCE4"/>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98%</w:t>
            </w:r>
          </w:p>
        </w:tc>
        <w:tc>
          <w:tcPr>
            <w:tcW w:w="720" w:type="dxa"/>
            <w:tcBorders>
              <w:top w:val="single" w:sz="8" w:space="0" w:color="B8CCE4"/>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98%</w:t>
            </w:r>
          </w:p>
        </w:tc>
      </w:tr>
      <w:tr w:rsidR="002361F4" w:rsidRPr="00305A8F" w:rsidTr="002361F4">
        <w:trPr>
          <w:trHeight w:val="330"/>
          <w:jc w:val="center"/>
        </w:trPr>
        <w:tc>
          <w:tcPr>
            <w:tcW w:w="3014" w:type="dxa"/>
            <w:tcBorders>
              <w:top w:val="nil"/>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b/>
                <w:bCs/>
                <w:color w:val="000000"/>
                <w:sz w:val="16"/>
                <w:szCs w:val="20"/>
              </w:rPr>
            </w:pPr>
            <w:r w:rsidRPr="00305A8F">
              <w:rPr>
                <w:b/>
                <w:bCs/>
                <w:color w:val="000000"/>
                <w:sz w:val="16"/>
                <w:szCs w:val="20"/>
                <w:lang w:val="sq-AL"/>
              </w:rPr>
              <w:t>Policia e Shtetit</w:t>
            </w:r>
          </w:p>
        </w:tc>
        <w:tc>
          <w:tcPr>
            <w:tcW w:w="1025" w:type="dxa"/>
            <w:tcBorders>
              <w:top w:val="nil"/>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15,456,000</w:t>
            </w:r>
          </w:p>
        </w:tc>
        <w:tc>
          <w:tcPr>
            <w:tcW w:w="950" w:type="dxa"/>
            <w:tcBorders>
              <w:top w:val="nil"/>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688,151</w:t>
            </w:r>
          </w:p>
        </w:tc>
        <w:tc>
          <w:tcPr>
            <w:tcW w:w="1025" w:type="dxa"/>
            <w:tcBorders>
              <w:top w:val="nil"/>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15,691,200</w:t>
            </w:r>
          </w:p>
        </w:tc>
        <w:tc>
          <w:tcPr>
            <w:tcW w:w="950" w:type="dxa"/>
            <w:tcBorders>
              <w:top w:val="nil"/>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601,659</w:t>
            </w:r>
          </w:p>
        </w:tc>
        <w:tc>
          <w:tcPr>
            <w:tcW w:w="1025" w:type="dxa"/>
            <w:tcBorders>
              <w:top w:val="single" w:sz="8" w:space="0" w:color="B8CCE4"/>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15,649,322</w:t>
            </w:r>
          </w:p>
        </w:tc>
        <w:tc>
          <w:tcPr>
            <w:tcW w:w="950" w:type="dxa"/>
            <w:tcBorders>
              <w:top w:val="single" w:sz="8" w:space="0" w:color="B8CCE4"/>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507,666</w:t>
            </w:r>
          </w:p>
        </w:tc>
        <w:tc>
          <w:tcPr>
            <w:tcW w:w="619" w:type="dxa"/>
            <w:tcBorders>
              <w:top w:val="single" w:sz="8" w:space="0" w:color="B8CCE4"/>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rFonts w:cs="Calibri"/>
                <w:color w:val="000000"/>
                <w:sz w:val="16"/>
                <w:szCs w:val="20"/>
              </w:rPr>
              <w:t>101%</w:t>
            </w:r>
          </w:p>
        </w:tc>
        <w:tc>
          <w:tcPr>
            <w:tcW w:w="619" w:type="dxa"/>
            <w:tcBorders>
              <w:top w:val="single" w:sz="8" w:space="0" w:color="B8CCE4"/>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74%</w:t>
            </w:r>
          </w:p>
        </w:tc>
        <w:tc>
          <w:tcPr>
            <w:tcW w:w="654" w:type="dxa"/>
            <w:tcBorders>
              <w:top w:val="single" w:sz="8" w:space="0" w:color="B8CCE4"/>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lang w:val="sq-AL"/>
              </w:rPr>
              <w:t>100%</w:t>
            </w:r>
          </w:p>
        </w:tc>
        <w:tc>
          <w:tcPr>
            <w:tcW w:w="720" w:type="dxa"/>
            <w:tcBorders>
              <w:top w:val="single" w:sz="8" w:space="0" w:color="B8CCE4"/>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lang w:val="sq-AL"/>
              </w:rPr>
              <w:t>84%</w:t>
            </w:r>
          </w:p>
        </w:tc>
      </w:tr>
      <w:tr w:rsidR="002361F4" w:rsidRPr="00305A8F" w:rsidTr="002361F4">
        <w:trPr>
          <w:trHeight w:val="330"/>
          <w:jc w:val="center"/>
        </w:trPr>
        <w:tc>
          <w:tcPr>
            <w:tcW w:w="3014" w:type="dxa"/>
            <w:tcBorders>
              <w:top w:val="nil"/>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b/>
                <w:bCs/>
                <w:color w:val="000000"/>
                <w:sz w:val="16"/>
                <w:szCs w:val="20"/>
              </w:rPr>
            </w:pPr>
            <w:r w:rsidRPr="00305A8F">
              <w:rPr>
                <w:b/>
                <w:bCs/>
                <w:color w:val="000000"/>
                <w:sz w:val="16"/>
                <w:szCs w:val="20"/>
                <w:lang w:val="sq-AL"/>
              </w:rPr>
              <w:t>Financimi i huaj</w:t>
            </w:r>
          </w:p>
        </w:tc>
        <w:tc>
          <w:tcPr>
            <w:tcW w:w="1025" w:type="dxa"/>
            <w:tcBorders>
              <w:top w:val="nil"/>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p>
        </w:tc>
        <w:tc>
          <w:tcPr>
            <w:tcW w:w="950" w:type="dxa"/>
            <w:tcBorders>
              <w:top w:val="nil"/>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618,868</w:t>
            </w:r>
          </w:p>
        </w:tc>
        <w:tc>
          <w:tcPr>
            <w:tcW w:w="1025" w:type="dxa"/>
            <w:tcBorders>
              <w:top w:val="nil"/>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p>
        </w:tc>
        <w:tc>
          <w:tcPr>
            <w:tcW w:w="950" w:type="dxa"/>
            <w:tcBorders>
              <w:top w:val="nil"/>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339,868</w:t>
            </w:r>
          </w:p>
        </w:tc>
        <w:tc>
          <w:tcPr>
            <w:tcW w:w="1025" w:type="dxa"/>
            <w:tcBorders>
              <w:top w:val="nil"/>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p>
        </w:tc>
        <w:tc>
          <w:tcPr>
            <w:tcW w:w="950" w:type="dxa"/>
            <w:tcBorders>
              <w:top w:val="nil"/>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223,290</w:t>
            </w:r>
          </w:p>
        </w:tc>
        <w:tc>
          <w:tcPr>
            <w:tcW w:w="619" w:type="dxa"/>
            <w:tcBorders>
              <w:top w:val="single" w:sz="8" w:space="0" w:color="B8CCE4"/>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p>
        </w:tc>
        <w:tc>
          <w:tcPr>
            <w:tcW w:w="619" w:type="dxa"/>
            <w:tcBorders>
              <w:top w:val="single" w:sz="8" w:space="0" w:color="B8CCE4"/>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lang w:val="sq-AL"/>
              </w:rPr>
              <w:t>36%</w:t>
            </w:r>
          </w:p>
        </w:tc>
        <w:tc>
          <w:tcPr>
            <w:tcW w:w="654" w:type="dxa"/>
            <w:tcBorders>
              <w:top w:val="single" w:sz="8" w:space="0" w:color="B8CCE4"/>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p>
        </w:tc>
        <w:tc>
          <w:tcPr>
            <w:tcW w:w="720" w:type="dxa"/>
            <w:tcBorders>
              <w:top w:val="single" w:sz="8" w:space="0" w:color="B8CCE4"/>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66%</w:t>
            </w:r>
          </w:p>
        </w:tc>
      </w:tr>
      <w:tr w:rsidR="002361F4" w:rsidRPr="00305A8F" w:rsidTr="002361F4">
        <w:trPr>
          <w:trHeight w:val="330"/>
          <w:jc w:val="center"/>
        </w:trPr>
        <w:tc>
          <w:tcPr>
            <w:tcW w:w="3014" w:type="dxa"/>
            <w:tcBorders>
              <w:top w:val="single" w:sz="8" w:space="0" w:color="B8CCE4"/>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b/>
                <w:bCs/>
                <w:color w:val="000000"/>
                <w:sz w:val="16"/>
                <w:szCs w:val="20"/>
              </w:rPr>
            </w:pPr>
            <w:r w:rsidRPr="00305A8F">
              <w:rPr>
                <w:b/>
                <w:bCs/>
                <w:color w:val="000000"/>
                <w:sz w:val="16"/>
                <w:szCs w:val="20"/>
                <w:lang w:val="sq-AL"/>
              </w:rPr>
              <w:t>Garda e Republikës</w:t>
            </w:r>
          </w:p>
        </w:tc>
        <w:tc>
          <w:tcPr>
            <w:tcW w:w="1025" w:type="dxa"/>
            <w:tcBorders>
              <w:top w:val="single" w:sz="8" w:space="0" w:color="B8CCE4"/>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1,535,000</w:t>
            </w:r>
          </w:p>
        </w:tc>
        <w:tc>
          <w:tcPr>
            <w:tcW w:w="950" w:type="dxa"/>
            <w:tcBorders>
              <w:top w:val="single" w:sz="8" w:space="0" w:color="B8CCE4"/>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110,000</w:t>
            </w:r>
          </w:p>
        </w:tc>
        <w:tc>
          <w:tcPr>
            <w:tcW w:w="1025" w:type="dxa"/>
            <w:tcBorders>
              <w:top w:val="single" w:sz="8" w:space="0" w:color="B8CCE4"/>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1,778,000</w:t>
            </w:r>
          </w:p>
        </w:tc>
        <w:tc>
          <w:tcPr>
            <w:tcW w:w="950" w:type="dxa"/>
            <w:tcBorders>
              <w:top w:val="single" w:sz="8" w:space="0" w:color="B8CCE4"/>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110,000</w:t>
            </w:r>
          </w:p>
        </w:tc>
        <w:tc>
          <w:tcPr>
            <w:tcW w:w="1025" w:type="dxa"/>
            <w:tcBorders>
              <w:top w:val="single" w:sz="8" w:space="0" w:color="B8CCE4"/>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1,763,769</w:t>
            </w:r>
          </w:p>
        </w:tc>
        <w:tc>
          <w:tcPr>
            <w:tcW w:w="950" w:type="dxa"/>
            <w:tcBorders>
              <w:top w:val="single" w:sz="8" w:space="0" w:color="B8CCE4"/>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105,757</w:t>
            </w:r>
          </w:p>
        </w:tc>
        <w:tc>
          <w:tcPr>
            <w:tcW w:w="619" w:type="dxa"/>
            <w:tcBorders>
              <w:top w:val="single" w:sz="8" w:space="0" w:color="B8CCE4"/>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lang w:val="sq-AL"/>
              </w:rPr>
              <w:t>115%</w:t>
            </w:r>
          </w:p>
        </w:tc>
        <w:tc>
          <w:tcPr>
            <w:tcW w:w="619" w:type="dxa"/>
            <w:tcBorders>
              <w:top w:val="single" w:sz="8" w:space="0" w:color="B8CCE4"/>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lang w:val="sq-AL"/>
              </w:rPr>
              <w:t>96%</w:t>
            </w:r>
          </w:p>
        </w:tc>
        <w:tc>
          <w:tcPr>
            <w:tcW w:w="654" w:type="dxa"/>
            <w:tcBorders>
              <w:top w:val="single" w:sz="8" w:space="0" w:color="B8CCE4"/>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rFonts w:cs="Calibri"/>
                <w:color w:val="000000"/>
                <w:sz w:val="16"/>
                <w:szCs w:val="20"/>
              </w:rPr>
              <w:t>99%</w:t>
            </w:r>
          </w:p>
        </w:tc>
        <w:tc>
          <w:tcPr>
            <w:tcW w:w="720" w:type="dxa"/>
            <w:tcBorders>
              <w:top w:val="single" w:sz="8" w:space="0" w:color="B8CCE4"/>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96%</w:t>
            </w:r>
          </w:p>
        </w:tc>
      </w:tr>
      <w:tr w:rsidR="002361F4" w:rsidRPr="00305A8F" w:rsidTr="002361F4">
        <w:trPr>
          <w:trHeight w:val="330"/>
          <w:jc w:val="center"/>
        </w:trPr>
        <w:tc>
          <w:tcPr>
            <w:tcW w:w="3014" w:type="dxa"/>
            <w:tcBorders>
              <w:top w:val="nil"/>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b/>
                <w:bCs/>
                <w:color w:val="000000"/>
                <w:sz w:val="16"/>
                <w:szCs w:val="20"/>
              </w:rPr>
            </w:pPr>
            <w:r w:rsidRPr="00305A8F">
              <w:rPr>
                <w:b/>
                <w:bCs/>
                <w:color w:val="000000"/>
                <w:sz w:val="16"/>
                <w:szCs w:val="20"/>
                <w:lang w:val="sq-AL"/>
              </w:rPr>
              <w:t>Shërbimi i Gjendjes Civile</w:t>
            </w:r>
          </w:p>
        </w:tc>
        <w:tc>
          <w:tcPr>
            <w:tcW w:w="1025" w:type="dxa"/>
            <w:tcBorders>
              <w:top w:val="nil"/>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641,000</w:t>
            </w:r>
          </w:p>
        </w:tc>
        <w:tc>
          <w:tcPr>
            <w:tcW w:w="950" w:type="dxa"/>
            <w:tcBorders>
              <w:top w:val="nil"/>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rFonts w:cs="Calibri"/>
                <w:color w:val="000000"/>
                <w:sz w:val="16"/>
                <w:szCs w:val="20"/>
              </w:rPr>
              <w:t>0</w:t>
            </w:r>
          </w:p>
        </w:tc>
        <w:tc>
          <w:tcPr>
            <w:tcW w:w="1025" w:type="dxa"/>
            <w:tcBorders>
              <w:top w:val="nil"/>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473,900</w:t>
            </w:r>
          </w:p>
        </w:tc>
        <w:tc>
          <w:tcPr>
            <w:tcW w:w="950" w:type="dxa"/>
            <w:tcBorders>
              <w:top w:val="nil"/>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lang w:val="sq-AL"/>
              </w:rPr>
              <w:t>2 000</w:t>
            </w:r>
          </w:p>
        </w:tc>
        <w:tc>
          <w:tcPr>
            <w:tcW w:w="1025" w:type="dxa"/>
            <w:tcBorders>
              <w:top w:val="nil"/>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452,887</w:t>
            </w:r>
          </w:p>
        </w:tc>
        <w:tc>
          <w:tcPr>
            <w:tcW w:w="950" w:type="dxa"/>
            <w:tcBorders>
              <w:top w:val="nil"/>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p>
        </w:tc>
        <w:tc>
          <w:tcPr>
            <w:tcW w:w="619" w:type="dxa"/>
            <w:tcBorders>
              <w:top w:val="single" w:sz="8" w:space="0" w:color="B8CCE4"/>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lang w:val="sq-AL"/>
              </w:rPr>
              <w:t>71%</w:t>
            </w:r>
          </w:p>
        </w:tc>
        <w:tc>
          <w:tcPr>
            <w:tcW w:w="619" w:type="dxa"/>
            <w:tcBorders>
              <w:top w:val="single" w:sz="8" w:space="0" w:color="B8CCE4"/>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p>
        </w:tc>
        <w:tc>
          <w:tcPr>
            <w:tcW w:w="654" w:type="dxa"/>
            <w:tcBorders>
              <w:top w:val="single" w:sz="8" w:space="0" w:color="B8CCE4"/>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rFonts w:cs="Calibri"/>
                <w:color w:val="000000"/>
                <w:sz w:val="16"/>
                <w:szCs w:val="20"/>
              </w:rPr>
              <w:t>96%</w:t>
            </w:r>
          </w:p>
        </w:tc>
        <w:tc>
          <w:tcPr>
            <w:tcW w:w="720" w:type="dxa"/>
            <w:tcBorders>
              <w:top w:val="single" w:sz="8" w:space="0" w:color="B8CCE4"/>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p>
        </w:tc>
      </w:tr>
      <w:tr w:rsidR="002361F4" w:rsidRPr="00305A8F" w:rsidTr="002361F4">
        <w:trPr>
          <w:trHeight w:val="319"/>
          <w:jc w:val="center"/>
        </w:trPr>
        <w:tc>
          <w:tcPr>
            <w:tcW w:w="3014" w:type="dxa"/>
            <w:tcBorders>
              <w:top w:val="nil"/>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b/>
                <w:bCs/>
                <w:color w:val="000000"/>
                <w:sz w:val="16"/>
                <w:szCs w:val="20"/>
              </w:rPr>
            </w:pPr>
            <w:r w:rsidRPr="00305A8F">
              <w:rPr>
                <w:b/>
                <w:bCs/>
                <w:color w:val="000000"/>
                <w:sz w:val="16"/>
                <w:szCs w:val="20"/>
                <w:lang w:val="sq-AL"/>
              </w:rPr>
              <w:t>Prefekturat dhe Funksionet e Deleguar</w:t>
            </w:r>
          </w:p>
        </w:tc>
        <w:tc>
          <w:tcPr>
            <w:tcW w:w="1025" w:type="dxa"/>
            <w:tcBorders>
              <w:top w:val="nil"/>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502,000</w:t>
            </w:r>
          </w:p>
        </w:tc>
        <w:tc>
          <w:tcPr>
            <w:tcW w:w="950" w:type="dxa"/>
            <w:tcBorders>
              <w:top w:val="nil"/>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15,000</w:t>
            </w:r>
          </w:p>
        </w:tc>
        <w:tc>
          <w:tcPr>
            <w:tcW w:w="1025" w:type="dxa"/>
            <w:tcBorders>
              <w:top w:val="nil"/>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495,669</w:t>
            </w:r>
          </w:p>
        </w:tc>
        <w:tc>
          <w:tcPr>
            <w:tcW w:w="950" w:type="dxa"/>
            <w:tcBorders>
              <w:top w:val="nil"/>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35,000</w:t>
            </w:r>
          </w:p>
        </w:tc>
        <w:tc>
          <w:tcPr>
            <w:tcW w:w="1025" w:type="dxa"/>
            <w:tcBorders>
              <w:top w:val="nil"/>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446,135</w:t>
            </w:r>
          </w:p>
        </w:tc>
        <w:tc>
          <w:tcPr>
            <w:tcW w:w="950" w:type="dxa"/>
            <w:tcBorders>
              <w:top w:val="nil"/>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34,575</w:t>
            </w:r>
          </w:p>
        </w:tc>
        <w:tc>
          <w:tcPr>
            <w:tcW w:w="619" w:type="dxa"/>
            <w:tcBorders>
              <w:top w:val="single" w:sz="8" w:space="0" w:color="B8CCE4"/>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lang w:val="sq-AL"/>
              </w:rPr>
              <w:t>89%</w:t>
            </w:r>
          </w:p>
        </w:tc>
        <w:tc>
          <w:tcPr>
            <w:tcW w:w="619" w:type="dxa"/>
            <w:tcBorders>
              <w:top w:val="single" w:sz="8" w:space="0" w:color="B8CCE4"/>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lang w:val="sq-AL"/>
              </w:rPr>
              <w:t>230%</w:t>
            </w:r>
          </w:p>
        </w:tc>
        <w:tc>
          <w:tcPr>
            <w:tcW w:w="654" w:type="dxa"/>
            <w:tcBorders>
              <w:top w:val="single" w:sz="8" w:space="0" w:color="B8CCE4"/>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rFonts w:cs="Calibri"/>
                <w:color w:val="000000"/>
                <w:sz w:val="16"/>
                <w:szCs w:val="20"/>
              </w:rPr>
              <w:t>90%</w:t>
            </w:r>
          </w:p>
        </w:tc>
        <w:tc>
          <w:tcPr>
            <w:tcW w:w="720" w:type="dxa"/>
            <w:tcBorders>
              <w:top w:val="single" w:sz="8" w:space="0" w:color="B8CCE4"/>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99%</w:t>
            </w:r>
          </w:p>
        </w:tc>
      </w:tr>
      <w:tr w:rsidR="002361F4" w:rsidRPr="00305A8F" w:rsidTr="002361F4">
        <w:trPr>
          <w:trHeight w:val="256"/>
          <w:jc w:val="center"/>
        </w:trPr>
        <w:tc>
          <w:tcPr>
            <w:tcW w:w="3014" w:type="dxa"/>
            <w:tcBorders>
              <w:top w:val="nil"/>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b/>
                <w:bCs/>
                <w:color w:val="000000"/>
                <w:sz w:val="16"/>
                <w:szCs w:val="20"/>
              </w:rPr>
            </w:pPr>
            <w:r w:rsidRPr="00305A8F">
              <w:rPr>
                <w:b/>
                <w:bCs/>
                <w:color w:val="000000"/>
                <w:sz w:val="16"/>
                <w:szCs w:val="20"/>
                <w:lang w:val="sq-AL"/>
              </w:rPr>
              <w:t>Financimi i huaj</w:t>
            </w:r>
          </w:p>
        </w:tc>
        <w:tc>
          <w:tcPr>
            <w:tcW w:w="1025" w:type="dxa"/>
            <w:tcBorders>
              <w:top w:val="nil"/>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p>
        </w:tc>
        <w:tc>
          <w:tcPr>
            <w:tcW w:w="950" w:type="dxa"/>
            <w:tcBorders>
              <w:top w:val="nil"/>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p>
        </w:tc>
        <w:tc>
          <w:tcPr>
            <w:tcW w:w="1025" w:type="dxa"/>
            <w:tcBorders>
              <w:top w:val="nil"/>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p>
        </w:tc>
        <w:tc>
          <w:tcPr>
            <w:tcW w:w="950" w:type="dxa"/>
            <w:tcBorders>
              <w:top w:val="nil"/>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8,400</w:t>
            </w:r>
          </w:p>
        </w:tc>
        <w:tc>
          <w:tcPr>
            <w:tcW w:w="1025" w:type="dxa"/>
            <w:tcBorders>
              <w:top w:val="nil"/>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p>
        </w:tc>
        <w:tc>
          <w:tcPr>
            <w:tcW w:w="950" w:type="dxa"/>
            <w:tcBorders>
              <w:top w:val="nil"/>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11,171</w:t>
            </w:r>
          </w:p>
        </w:tc>
        <w:tc>
          <w:tcPr>
            <w:tcW w:w="619" w:type="dxa"/>
            <w:tcBorders>
              <w:top w:val="single" w:sz="8" w:space="0" w:color="B8CCE4"/>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p>
        </w:tc>
        <w:tc>
          <w:tcPr>
            <w:tcW w:w="619" w:type="dxa"/>
            <w:tcBorders>
              <w:top w:val="single" w:sz="8" w:space="0" w:color="B8CCE4"/>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p>
        </w:tc>
        <w:tc>
          <w:tcPr>
            <w:tcW w:w="654" w:type="dxa"/>
            <w:tcBorders>
              <w:top w:val="single" w:sz="8" w:space="0" w:color="B8CCE4"/>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p>
        </w:tc>
        <w:tc>
          <w:tcPr>
            <w:tcW w:w="720" w:type="dxa"/>
            <w:tcBorders>
              <w:top w:val="single" w:sz="8" w:space="0" w:color="B8CCE4"/>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133%</w:t>
            </w:r>
          </w:p>
        </w:tc>
      </w:tr>
      <w:tr w:rsidR="002361F4" w:rsidRPr="00305A8F" w:rsidTr="002361F4">
        <w:trPr>
          <w:trHeight w:val="330"/>
          <w:jc w:val="center"/>
        </w:trPr>
        <w:tc>
          <w:tcPr>
            <w:tcW w:w="3014" w:type="dxa"/>
            <w:tcBorders>
              <w:top w:val="nil"/>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b/>
                <w:bCs/>
                <w:color w:val="000000"/>
                <w:sz w:val="16"/>
                <w:szCs w:val="20"/>
              </w:rPr>
            </w:pPr>
            <w:r w:rsidRPr="00305A8F">
              <w:rPr>
                <w:rFonts w:cs="Calibri"/>
                <w:b/>
                <w:bCs/>
                <w:color w:val="000000"/>
                <w:sz w:val="16"/>
                <w:szCs w:val="20"/>
                <w:lang w:val="sq-AL"/>
              </w:rPr>
              <w:t>Gjithsej sipas natyrës</w:t>
            </w:r>
          </w:p>
        </w:tc>
        <w:tc>
          <w:tcPr>
            <w:tcW w:w="1025" w:type="dxa"/>
            <w:tcBorders>
              <w:top w:val="nil"/>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rFonts w:cs="Calibri"/>
                <w:color w:val="000000"/>
                <w:sz w:val="16"/>
                <w:szCs w:val="20"/>
              </w:rPr>
              <w:t>19,361,000</w:t>
            </w:r>
          </w:p>
        </w:tc>
        <w:tc>
          <w:tcPr>
            <w:tcW w:w="950" w:type="dxa"/>
            <w:tcBorders>
              <w:top w:val="nil"/>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rFonts w:cs="Calibri"/>
                <w:color w:val="000000"/>
                <w:sz w:val="16"/>
                <w:szCs w:val="20"/>
              </w:rPr>
              <w:t>1,499,868</w:t>
            </w:r>
          </w:p>
        </w:tc>
        <w:tc>
          <w:tcPr>
            <w:tcW w:w="1025" w:type="dxa"/>
            <w:tcBorders>
              <w:top w:val="single" w:sz="8" w:space="0" w:color="B8CCE4"/>
              <w:left w:val="nil"/>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rFonts w:cs="Calibri"/>
                <w:color w:val="000000"/>
                <w:sz w:val="16"/>
                <w:szCs w:val="20"/>
              </w:rPr>
              <w:t>19,784,993</w:t>
            </w:r>
          </w:p>
        </w:tc>
        <w:tc>
          <w:tcPr>
            <w:tcW w:w="950" w:type="dxa"/>
            <w:tcBorders>
              <w:top w:val="single" w:sz="8" w:space="0" w:color="B8CCE4"/>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rFonts w:cs="Calibri"/>
                <w:color w:val="000000"/>
                <w:sz w:val="16"/>
                <w:szCs w:val="20"/>
              </w:rPr>
              <w:t>1,226,776</w:t>
            </w:r>
          </w:p>
        </w:tc>
        <w:tc>
          <w:tcPr>
            <w:tcW w:w="1025" w:type="dxa"/>
            <w:tcBorders>
              <w:top w:val="single" w:sz="8" w:space="0" w:color="B8CCE4"/>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rFonts w:cs="Calibri"/>
                <w:color w:val="000000"/>
                <w:sz w:val="16"/>
                <w:szCs w:val="20"/>
              </w:rPr>
              <w:t>19,633,045</w:t>
            </w:r>
          </w:p>
        </w:tc>
        <w:tc>
          <w:tcPr>
            <w:tcW w:w="950" w:type="dxa"/>
            <w:tcBorders>
              <w:top w:val="single" w:sz="8" w:space="0" w:color="B8CCE4"/>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rFonts w:cs="Calibri"/>
                <w:color w:val="000000"/>
                <w:sz w:val="16"/>
                <w:szCs w:val="20"/>
              </w:rPr>
              <w:t>1,011,816</w:t>
            </w:r>
          </w:p>
        </w:tc>
        <w:tc>
          <w:tcPr>
            <w:tcW w:w="619" w:type="dxa"/>
            <w:tcBorders>
              <w:top w:val="single" w:sz="8" w:space="0" w:color="B8CCE4"/>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rFonts w:cs="Calibri"/>
                <w:color w:val="000000"/>
                <w:sz w:val="16"/>
                <w:szCs w:val="20"/>
              </w:rPr>
              <w:t>101%</w:t>
            </w:r>
          </w:p>
        </w:tc>
        <w:tc>
          <w:tcPr>
            <w:tcW w:w="619" w:type="dxa"/>
            <w:tcBorders>
              <w:top w:val="single" w:sz="8" w:space="0" w:color="B8CCE4"/>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rFonts w:cs="Calibri"/>
                <w:color w:val="000000"/>
                <w:sz w:val="16"/>
                <w:szCs w:val="20"/>
              </w:rPr>
              <w:t>67%</w:t>
            </w:r>
          </w:p>
        </w:tc>
        <w:tc>
          <w:tcPr>
            <w:tcW w:w="654" w:type="dxa"/>
            <w:tcBorders>
              <w:top w:val="single" w:sz="8" w:space="0" w:color="B8CCE4"/>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rFonts w:cs="Calibri"/>
                <w:color w:val="000000"/>
                <w:sz w:val="16"/>
                <w:szCs w:val="20"/>
              </w:rPr>
              <w:t>99%</w:t>
            </w:r>
          </w:p>
        </w:tc>
        <w:tc>
          <w:tcPr>
            <w:tcW w:w="720" w:type="dxa"/>
            <w:tcBorders>
              <w:top w:val="single" w:sz="8" w:space="0" w:color="B8CCE4"/>
              <w:left w:val="single" w:sz="8" w:space="0" w:color="B8CCE4"/>
              <w:bottom w:val="single" w:sz="8" w:space="0" w:color="B8CCE4"/>
              <w:right w:val="single" w:sz="8" w:space="0" w:color="B8CCE4"/>
            </w:tcBorders>
            <w:shd w:val="clear" w:color="auto" w:fill="auto"/>
            <w:vAlign w:val="center"/>
            <w:hideMark/>
          </w:tcPr>
          <w:p w:rsidR="002361F4" w:rsidRPr="00305A8F" w:rsidRDefault="002361F4" w:rsidP="002361F4">
            <w:pPr>
              <w:spacing w:before="0" w:line="240" w:lineRule="auto"/>
              <w:jc w:val="center"/>
              <w:rPr>
                <w:color w:val="000000"/>
                <w:sz w:val="16"/>
                <w:szCs w:val="20"/>
              </w:rPr>
            </w:pPr>
            <w:r w:rsidRPr="00305A8F">
              <w:rPr>
                <w:color w:val="000000"/>
                <w:sz w:val="16"/>
                <w:szCs w:val="20"/>
              </w:rPr>
              <w:t>82%</w:t>
            </w:r>
          </w:p>
        </w:tc>
      </w:tr>
      <w:tr w:rsidR="002361F4" w:rsidRPr="00305A8F" w:rsidTr="002361F4">
        <w:trPr>
          <w:trHeight w:val="330"/>
          <w:jc w:val="center"/>
        </w:trPr>
        <w:tc>
          <w:tcPr>
            <w:tcW w:w="3014" w:type="dxa"/>
            <w:tcBorders>
              <w:top w:val="nil"/>
              <w:left w:val="single" w:sz="8" w:space="0" w:color="B8CCE4"/>
              <w:bottom w:val="single" w:sz="8" w:space="0" w:color="B8CCE4"/>
              <w:right w:val="single" w:sz="8" w:space="0" w:color="B8CCE4"/>
            </w:tcBorders>
            <w:shd w:val="clear" w:color="000000" w:fill="365F91"/>
            <w:vAlign w:val="center"/>
            <w:hideMark/>
          </w:tcPr>
          <w:p w:rsidR="002361F4" w:rsidRPr="00305A8F" w:rsidRDefault="002361F4" w:rsidP="002361F4">
            <w:pPr>
              <w:spacing w:before="0" w:line="240" w:lineRule="auto"/>
              <w:jc w:val="center"/>
              <w:rPr>
                <w:b/>
                <w:bCs/>
                <w:color w:val="FFFFFF"/>
                <w:sz w:val="16"/>
                <w:szCs w:val="20"/>
              </w:rPr>
            </w:pPr>
            <w:r w:rsidRPr="00305A8F">
              <w:rPr>
                <w:b/>
                <w:bCs/>
                <w:color w:val="FFFFFF"/>
                <w:sz w:val="16"/>
                <w:szCs w:val="20"/>
                <w:lang w:val="sq-AL"/>
              </w:rPr>
              <w:t>Gjithsej</w:t>
            </w:r>
          </w:p>
        </w:tc>
        <w:tc>
          <w:tcPr>
            <w:tcW w:w="1975" w:type="dxa"/>
            <w:gridSpan w:val="2"/>
            <w:tcBorders>
              <w:top w:val="single" w:sz="8" w:space="0" w:color="B8CCE4"/>
              <w:left w:val="nil"/>
              <w:bottom w:val="single" w:sz="8" w:space="0" w:color="B8CCE4"/>
              <w:right w:val="single" w:sz="8" w:space="0" w:color="B8CCE4"/>
            </w:tcBorders>
            <w:shd w:val="clear" w:color="000000" w:fill="365F91"/>
            <w:vAlign w:val="center"/>
            <w:hideMark/>
          </w:tcPr>
          <w:p w:rsidR="002361F4" w:rsidRPr="00305A8F" w:rsidRDefault="002361F4" w:rsidP="002361F4">
            <w:pPr>
              <w:spacing w:before="0" w:line="240" w:lineRule="auto"/>
              <w:jc w:val="center"/>
              <w:rPr>
                <w:b/>
                <w:bCs/>
                <w:color w:val="FFFFFF"/>
                <w:sz w:val="16"/>
                <w:szCs w:val="20"/>
              </w:rPr>
            </w:pPr>
            <w:r w:rsidRPr="00305A8F">
              <w:rPr>
                <w:b/>
                <w:bCs/>
                <w:color w:val="FFFFFF"/>
                <w:sz w:val="16"/>
                <w:szCs w:val="20"/>
              </w:rPr>
              <w:t>20,860,868</w:t>
            </w:r>
          </w:p>
        </w:tc>
        <w:tc>
          <w:tcPr>
            <w:tcW w:w="1975" w:type="dxa"/>
            <w:gridSpan w:val="2"/>
            <w:tcBorders>
              <w:top w:val="single" w:sz="8" w:space="0" w:color="B8CCE4"/>
              <w:left w:val="nil"/>
              <w:bottom w:val="single" w:sz="8" w:space="0" w:color="B8CCE4"/>
              <w:right w:val="single" w:sz="8" w:space="0" w:color="B8CCE4"/>
            </w:tcBorders>
            <w:shd w:val="clear" w:color="000000" w:fill="365F91"/>
            <w:vAlign w:val="center"/>
            <w:hideMark/>
          </w:tcPr>
          <w:p w:rsidR="002361F4" w:rsidRPr="00305A8F" w:rsidRDefault="002361F4" w:rsidP="002361F4">
            <w:pPr>
              <w:spacing w:before="0" w:line="240" w:lineRule="auto"/>
              <w:jc w:val="center"/>
              <w:rPr>
                <w:b/>
                <w:bCs/>
                <w:color w:val="FFFFFF"/>
                <w:sz w:val="16"/>
                <w:szCs w:val="20"/>
              </w:rPr>
            </w:pPr>
            <w:r w:rsidRPr="00305A8F">
              <w:rPr>
                <w:b/>
                <w:bCs/>
                <w:color w:val="FFFFFF"/>
                <w:sz w:val="16"/>
                <w:szCs w:val="20"/>
              </w:rPr>
              <w:t>21,011,770</w:t>
            </w:r>
          </w:p>
        </w:tc>
        <w:tc>
          <w:tcPr>
            <w:tcW w:w="1975" w:type="dxa"/>
            <w:gridSpan w:val="2"/>
            <w:tcBorders>
              <w:top w:val="single" w:sz="8" w:space="0" w:color="B8CCE4"/>
              <w:left w:val="nil"/>
              <w:bottom w:val="single" w:sz="8" w:space="0" w:color="B8CCE4"/>
              <w:right w:val="single" w:sz="8" w:space="0" w:color="B8CCE4"/>
            </w:tcBorders>
            <w:shd w:val="clear" w:color="000000" w:fill="365F91"/>
            <w:vAlign w:val="center"/>
            <w:hideMark/>
          </w:tcPr>
          <w:p w:rsidR="002361F4" w:rsidRPr="00305A8F" w:rsidRDefault="002361F4" w:rsidP="002361F4">
            <w:pPr>
              <w:spacing w:before="0" w:line="240" w:lineRule="auto"/>
              <w:jc w:val="center"/>
              <w:rPr>
                <w:b/>
                <w:bCs/>
                <w:color w:val="FFFFFF"/>
                <w:sz w:val="16"/>
                <w:szCs w:val="20"/>
              </w:rPr>
            </w:pPr>
            <w:r w:rsidRPr="00305A8F">
              <w:rPr>
                <w:b/>
                <w:bCs/>
                <w:color w:val="FFFFFF"/>
                <w:sz w:val="16"/>
                <w:szCs w:val="20"/>
              </w:rPr>
              <w:t>20,644,860</w:t>
            </w:r>
          </w:p>
        </w:tc>
        <w:tc>
          <w:tcPr>
            <w:tcW w:w="1238" w:type="dxa"/>
            <w:gridSpan w:val="2"/>
            <w:tcBorders>
              <w:top w:val="single" w:sz="8" w:space="0" w:color="B8CCE4"/>
              <w:left w:val="nil"/>
              <w:bottom w:val="single" w:sz="8" w:space="0" w:color="B8CCE4"/>
              <w:right w:val="single" w:sz="8" w:space="0" w:color="B8CCE4"/>
            </w:tcBorders>
            <w:shd w:val="clear" w:color="000000" w:fill="365F91"/>
            <w:vAlign w:val="center"/>
            <w:hideMark/>
          </w:tcPr>
          <w:p w:rsidR="002361F4" w:rsidRPr="00305A8F" w:rsidRDefault="002361F4" w:rsidP="002361F4">
            <w:pPr>
              <w:spacing w:before="0" w:line="240" w:lineRule="auto"/>
              <w:jc w:val="center"/>
              <w:rPr>
                <w:b/>
                <w:bCs/>
                <w:color w:val="FFFFFF"/>
                <w:sz w:val="16"/>
                <w:szCs w:val="20"/>
              </w:rPr>
            </w:pPr>
            <w:r w:rsidRPr="00305A8F">
              <w:rPr>
                <w:b/>
                <w:bCs/>
                <w:color w:val="FFFFFF"/>
                <w:sz w:val="16"/>
                <w:szCs w:val="20"/>
              </w:rPr>
              <w:t>99%</w:t>
            </w:r>
          </w:p>
        </w:tc>
        <w:tc>
          <w:tcPr>
            <w:tcW w:w="1374" w:type="dxa"/>
            <w:gridSpan w:val="2"/>
            <w:tcBorders>
              <w:top w:val="single" w:sz="8" w:space="0" w:color="B8CCE4"/>
              <w:left w:val="nil"/>
              <w:bottom w:val="single" w:sz="8" w:space="0" w:color="B8CCE4"/>
              <w:right w:val="single" w:sz="8" w:space="0" w:color="B8CCE4"/>
            </w:tcBorders>
            <w:shd w:val="clear" w:color="000000" w:fill="365F91"/>
            <w:vAlign w:val="center"/>
            <w:hideMark/>
          </w:tcPr>
          <w:p w:rsidR="002361F4" w:rsidRPr="00305A8F" w:rsidRDefault="002361F4" w:rsidP="002361F4">
            <w:pPr>
              <w:spacing w:before="0" w:line="240" w:lineRule="auto"/>
              <w:jc w:val="center"/>
              <w:rPr>
                <w:b/>
                <w:bCs/>
                <w:color w:val="FFFFFF"/>
                <w:sz w:val="16"/>
                <w:szCs w:val="20"/>
              </w:rPr>
            </w:pPr>
            <w:r w:rsidRPr="00305A8F">
              <w:rPr>
                <w:b/>
                <w:bCs/>
                <w:color w:val="FFFFFF"/>
                <w:sz w:val="16"/>
                <w:szCs w:val="20"/>
              </w:rPr>
              <w:t>98%</w:t>
            </w:r>
          </w:p>
        </w:tc>
      </w:tr>
    </w:tbl>
    <w:p w:rsidR="002361F4" w:rsidRPr="00AB22B6" w:rsidRDefault="002361F4" w:rsidP="002361F4">
      <w:pPr>
        <w:jc w:val="center"/>
        <w:rPr>
          <w:sz w:val="8"/>
          <w:lang w:val="sq-AL"/>
        </w:rPr>
      </w:pPr>
    </w:p>
    <w:p w:rsidR="00AB22B6" w:rsidRDefault="00AB22B6" w:rsidP="00AB22B6">
      <w:pPr>
        <w:rPr>
          <w:rFonts w:cs="Calibri"/>
          <w:lang w:val="sq-AL"/>
        </w:rPr>
      </w:pPr>
      <w:r w:rsidRPr="00305A8F">
        <w:rPr>
          <w:lang w:val="sq-AL"/>
        </w:rPr>
        <w:t xml:space="preserve">Buxheti i Ministrisë së Brendshme u rishikua në rritje të lehtë gjatë vitit 2021 duke arritur në 21 miliardë lekë, nga të cilat u realizuan 20.6 miliardë </w:t>
      </w:r>
      <w:r w:rsidR="00F61F6A">
        <w:rPr>
          <w:lang w:val="sq-AL"/>
        </w:rPr>
        <w:t>lekë, ose 98 për</w:t>
      </w:r>
      <w:r w:rsidRPr="00305A8F">
        <w:rPr>
          <w:lang w:val="sq-AL"/>
        </w:rPr>
        <w:t xml:space="preserve">qind. </w:t>
      </w:r>
      <w:r w:rsidRPr="0028257F">
        <w:rPr>
          <w:lang w:val="sq-AL"/>
        </w:rPr>
        <w:t>Rritja i atribuohet kryesisht programit të  shpenzimeve p</w:t>
      </w:r>
      <w:r>
        <w:rPr>
          <w:lang w:val="sq-AL"/>
        </w:rPr>
        <w:t>ë</w:t>
      </w:r>
      <w:r w:rsidRPr="0028257F">
        <w:rPr>
          <w:lang w:val="sq-AL"/>
        </w:rPr>
        <w:t>r Gard</w:t>
      </w:r>
      <w:r>
        <w:rPr>
          <w:lang w:val="sq-AL"/>
        </w:rPr>
        <w:t>ë</w:t>
      </w:r>
      <w:r w:rsidRPr="0028257F">
        <w:rPr>
          <w:lang w:val="sq-AL"/>
        </w:rPr>
        <w:t>n e Republik</w:t>
      </w:r>
      <w:r>
        <w:rPr>
          <w:lang w:val="sq-AL"/>
        </w:rPr>
        <w:t>ë</w:t>
      </w:r>
      <w:r w:rsidRPr="0028257F">
        <w:rPr>
          <w:lang w:val="sq-AL"/>
        </w:rPr>
        <w:t>s, ku fondet u shtuan me 243 milion leke n</w:t>
      </w:r>
      <w:r>
        <w:rPr>
          <w:lang w:val="sq-AL"/>
        </w:rPr>
        <w:t>ë</w:t>
      </w:r>
      <w:r w:rsidRPr="0028257F">
        <w:rPr>
          <w:lang w:val="sq-AL"/>
        </w:rPr>
        <w:t xml:space="preserve"> shpenzimet korrente, nd</w:t>
      </w:r>
      <w:r>
        <w:rPr>
          <w:lang w:val="sq-AL"/>
        </w:rPr>
        <w:t>ë</w:t>
      </w:r>
      <w:r w:rsidRPr="0028257F">
        <w:rPr>
          <w:lang w:val="sq-AL"/>
        </w:rPr>
        <w:t>rsa buxheti për investime u pakësua në tërësi</w:t>
      </w:r>
      <w:r w:rsidRPr="00305A8F">
        <w:rPr>
          <w:rFonts w:cs="Calibri"/>
          <w:lang w:val="sq-AL"/>
        </w:rPr>
        <w:t xml:space="preserve"> </w:t>
      </w:r>
    </w:p>
    <w:p w:rsidR="00AB22B6" w:rsidRPr="00305A8F" w:rsidRDefault="00AB22B6" w:rsidP="00AB22B6">
      <w:pPr>
        <w:rPr>
          <w:rFonts w:cs="Calibri"/>
          <w:lang w:val="sq-AL"/>
        </w:rPr>
      </w:pPr>
      <w:r w:rsidRPr="00305A8F">
        <w:rPr>
          <w:rFonts w:cs="Calibri"/>
          <w:lang w:val="sq-AL"/>
        </w:rPr>
        <w:t>Në programin</w:t>
      </w:r>
      <w:r w:rsidRPr="00305A8F">
        <w:rPr>
          <w:rFonts w:cs="Calibri"/>
          <w:b/>
          <w:lang w:val="sq-AL"/>
        </w:rPr>
        <w:t xml:space="preserve"> “Policia e Shtetit</w:t>
      </w:r>
      <w:r w:rsidRPr="00305A8F">
        <w:rPr>
          <w:rFonts w:cs="Calibri"/>
          <w:lang w:val="sq-AL"/>
        </w:rPr>
        <w:t>”, u realizuan 97% e shpenzimeve ndaj planit vjetor për:</w:t>
      </w:r>
    </w:p>
    <w:p w:rsidR="00AB22B6" w:rsidRPr="00AB22B6" w:rsidRDefault="00AB22B6"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AB22B6">
        <w:rPr>
          <w:rFonts w:asciiTheme="majorHAnsi" w:hAnsiTheme="majorHAnsi" w:cs="Calibri Light"/>
          <w:bCs/>
          <w:i/>
          <w:szCs w:val="22"/>
          <w:lang w:val="sq-AL" w:eastAsia="en-GB"/>
        </w:rPr>
        <w:t>Rritja e hetimeve proaktive në luftën kundër krimit të organizuar, trafiqeve, korrupsionit, terrorizmit si dhe forcimi i koordinimit ndërinstitucional ndërkombëtar në luftën kundër krimit të organizuar e terrorizmit ku u kryen 180 operacione të posaçme; 38,932 operacione policore të hetuara apo sherbime; dhe 66 operacione policore ndaj ekstremisteve e grupeve terroriste, me realizim thuajs</w:t>
      </w:r>
      <w:r w:rsidR="0080198A">
        <w:rPr>
          <w:rFonts w:asciiTheme="majorHAnsi" w:hAnsiTheme="majorHAnsi" w:cs="Calibri Light"/>
          <w:bCs/>
          <w:i/>
          <w:szCs w:val="22"/>
          <w:lang w:val="sq-AL" w:eastAsia="en-GB"/>
        </w:rPr>
        <w:t>e</w:t>
      </w:r>
      <w:r w:rsidRPr="00AB22B6">
        <w:rPr>
          <w:rFonts w:asciiTheme="majorHAnsi" w:hAnsiTheme="majorHAnsi" w:cs="Calibri Light"/>
          <w:bCs/>
          <w:i/>
          <w:szCs w:val="22"/>
          <w:lang w:val="sq-AL" w:eastAsia="en-GB"/>
        </w:rPr>
        <w:t xml:space="preserve"> të plotë.</w:t>
      </w:r>
    </w:p>
    <w:p w:rsidR="00AB22B6" w:rsidRPr="00AB22B6" w:rsidRDefault="00AB22B6"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AB22B6">
        <w:rPr>
          <w:rFonts w:asciiTheme="majorHAnsi" w:hAnsiTheme="majorHAnsi" w:cs="Calibri Light"/>
          <w:bCs/>
          <w:i/>
          <w:szCs w:val="22"/>
          <w:lang w:val="sq-AL" w:eastAsia="en-GB"/>
        </w:rPr>
        <w:t>Rritja e sigurisë publike dhe sigurisë rrugore përmes patrullimeve në rrugë dhe forcimi i kontrollit të territorit me policimin në komunitet; duke realizuar 6,315 shërbime të policisë rrugore të kryera në rrugët nacionale; apo 100% e sasisë së rishikuar për vitin 2021, me një kosto totale prej 258 milionë lekë; 614 shërbime të Forcave Speciale dhe e NSH për sigurimin e rendit publik apo 100% e sasisë së planifikuar vjetore, me një kosto totale prej 1,068 milionë lekë; 1,728 raste asistence dhe trajnime për Policinë e Shtetit, me kosto prej 107 milionë lekë dhe janë punësuar 10% më shumë punonjëse të policisë rrugore gra ndaj totalit, krahasuar me një vit më parë.</w:t>
      </w:r>
    </w:p>
    <w:p w:rsidR="00AB22B6" w:rsidRPr="00AB22B6" w:rsidRDefault="00AB22B6"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AB22B6">
        <w:rPr>
          <w:rFonts w:asciiTheme="majorHAnsi" w:hAnsiTheme="majorHAnsi" w:cs="Calibri Light"/>
          <w:bCs/>
          <w:i/>
          <w:szCs w:val="22"/>
          <w:lang w:val="sq-AL" w:eastAsia="en-GB"/>
        </w:rPr>
        <w:t xml:space="preserve">Forcimi i masave për luftën kundë krimit ndërkufitar dhe trafiqeve të paligjshme me synim rritjen e standardeve të sigurisë së kufijve duke realizuar 31 operacione të sigurisë në kufirin blu, apo 86% e </w:t>
      </w:r>
      <w:r w:rsidRPr="00AB22B6">
        <w:rPr>
          <w:rFonts w:asciiTheme="majorHAnsi" w:hAnsiTheme="majorHAnsi" w:cs="Calibri Light"/>
          <w:bCs/>
          <w:i/>
          <w:szCs w:val="22"/>
          <w:lang w:val="sq-AL" w:eastAsia="en-GB"/>
        </w:rPr>
        <w:lastRenderedPageBreak/>
        <w:t>sasisë së planifikuar për vitin 2021, me një kosto totale prej 120 milionë lekë; janë procesuar 33,392,453 persona në PKK, kategoria I; II dhe e II-të (ajrore, detare, tokësore), apo 100% e sasisë së planifikuar për vitin 2021, me një kosto totale prej 2,102 milionë lekë dhe janë trajtuar 300 shtetas të huaj në Qendrën e pritjes Karec.</w:t>
      </w:r>
    </w:p>
    <w:p w:rsidR="00AB22B6" w:rsidRPr="00AB22B6" w:rsidRDefault="00AB22B6"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AB22B6">
        <w:rPr>
          <w:rFonts w:asciiTheme="majorHAnsi" w:hAnsiTheme="majorHAnsi" w:cs="Calibri Light"/>
          <w:bCs/>
          <w:i/>
          <w:szCs w:val="22"/>
          <w:lang w:val="sq-AL" w:eastAsia="en-GB"/>
        </w:rPr>
        <w:t>Përafrimi i standardeve të shërbimeve policore me ato të BE-së, u trajnuan 310 rekrutë të rinj, apo 95% e sasisë së planifikuar për vitin 2021, me një kosto totale prej 113 milionë lekë.</w:t>
      </w:r>
    </w:p>
    <w:p w:rsidR="00AB22B6" w:rsidRPr="00305A8F" w:rsidRDefault="00AB22B6" w:rsidP="00AB22B6">
      <w:pPr>
        <w:rPr>
          <w:rFonts w:cs="Calibri"/>
          <w:lang w:val="sq-AL"/>
        </w:rPr>
      </w:pPr>
      <w:r w:rsidRPr="00305A8F">
        <w:rPr>
          <w:rFonts w:cs="Calibri"/>
          <w:lang w:val="sq-AL"/>
        </w:rPr>
        <w:t xml:space="preserve">Programi </w:t>
      </w:r>
      <w:r w:rsidRPr="00305A8F">
        <w:rPr>
          <w:rFonts w:cs="Calibri"/>
          <w:b/>
          <w:lang w:val="sq-AL"/>
        </w:rPr>
        <w:t>“Garda e Republikës”</w:t>
      </w:r>
      <w:r w:rsidRPr="00305A8F">
        <w:rPr>
          <w:rFonts w:cs="Calibri"/>
          <w:lang w:val="sq-AL"/>
        </w:rPr>
        <w:t>,</w:t>
      </w:r>
      <w:r w:rsidRPr="00305A8F">
        <w:rPr>
          <w:rFonts w:cs="Calibri"/>
          <w:b/>
          <w:lang w:val="sq-AL"/>
        </w:rPr>
        <w:t xml:space="preserve"> </w:t>
      </w:r>
      <w:r w:rsidRPr="00305A8F">
        <w:rPr>
          <w:rFonts w:cs="Calibri"/>
          <w:lang w:val="sq-AL"/>
        </w:rPr>
        <w:t>me realizimin e fondeve me rreth 99% ndaj planit vjetor, me ndryshime, ka realizuar ruajtjen e 110 Personaliteteve VIP vendas dhe të huaj, me një kosto prej 1,763 milionë lekë.</w:t>
      </w:r>
    </w:p>
    <w:p w:rsidR="00AB22B6" w:rsidRPr="00305A8F" w:rsidRDefault="00AB22B6" w:rsidP="00AB22B6">
      <w:pPr>
        <w:rPr>
          <w:rFonts w:cs="Calibri"/>
          <w:lang w:val="sq-AL"/>
        </w:rPr>
      </w:pPr>
      <w:r w:rsidRPr="00305A8F">
        <w:rPr>
          <w:rFonts w:cs="Calibri"/>
          <w:lang w:val="sq-AL"/>
        </w:rPr>
        <w:t xml:space="preserve">Në programin </w:t>
      </w:r>
      <w:r w:rsidRPr="00305A8F">
        <w:rPr>
          <w:rFonts w:cs="Calibri"/>
          <w:b/>
          <w:lang w:val="sq-AL"/>
        </w:rPr>
        <w:t>“Shërbimi i Gjendjes Civile”</w:t>
      </w:r>
      <w:r w:rsidRPr="00305A8F">
        <w:rPr>
          <w:rFonts w:cs="Calibri"/>
          <w:lang w:val="sq-AL"/>
        </w:rPr>
        <w:t xml:space="preserve">, ka realizim të fondeve rreth 96% ndaj planit vjetor, duke realizuar kështu regjistrimin e 907,425 akteve dhe dokumenteve të lëshuara nga shërbimi i Gjendjes Civile, me kosto prej 395 milionë lekë. </w:t>
      </w:r>
    </w:p>
    <w:p w:rsidR="007B7B50" w:rsidRPr="00476D2E" w:rsidRDefault="00AB22B6" w:rsidP="00AB22B6">
      <w:pPr>
        <w:rPr>
          <w:rFonts w:cs="Calibri"/>
          <w:i/>
          <w:lang w:val="sq-AL"/>
        </w:rPr>
      </w:pPr>
      <w:r w:rsidRPr="00305A8F">
        <w:rPr>
          <w:rFonts w:cs="Calibri"/>
          <w:lang w:val="sq-AL"/>
        </w:rPr>
        <w:t xml:space="preserve">Programi </w:t>
      </w:r>
      <w:r w:rsidRPr="00305A8F">
        <w:rPr>
          <w:rFonts w:cs="Calibri"/>
          <w:b/>
          <w:lang w:val="sq-AL"/>
        </w:rPr>
        <w:t>“Prefektura dhe Funksionet e Deleguara”</w:t>
      </w:r>
      <w:r w:rsidRPr="00305A8F">
        <w:rPr>
          <w:rFonts w:cs="Calibri"/>
          <w:lang w:val="sq-AL"/>
        </w:rPr>
        <w:t>, ka realizuar fondet për vitin 2021 në masën 91%</w:t>
      </w:r>
      <w:r w:rsidR="007B7B50" w:rsidRPr="00476D2E">
        <w:rPr>
          <w:rFonts w:cs="Calibri"/>
          <w:lang w:val="sq-AL"/>
        </w:rPr>
        <w:t xml:space="preserve">. </w:t>
      </w:r>
    </w:p>
    <w:p w:rsidR="000703F6" w:rsidRPr="000703F6" w:rsidRDefault="007B7B50" w:rsidP="000703F6">
      <w:pPr>
        <w:rPr>
          <w:rFonts w:asciiTheme="majorHAnsi" w:hAnsiTheme="majorHAnsi" w:cs="Calibri Light"/>
          <w:szCs w:val="22"/>
          <w:lang w:val="sq-AL"/>
        </w:rPr>
      </w:pPr>
      <w:r w:rsidRPr="000703F6">
        <w:rPr>
          <w:rFonts w:eastAsiaTheme="minorHAnsi" w:cs="Calibri"/>
          <w:lang w:val="sq-AL"/>
        </w:rPr>
        <w:t xml:space="preserve">Për sa u përket </w:t>
      </w:r>
      <w:r w:rsidRPr="000703F6">
        <w:rPr>
          <w:rFonts w:eastAsiaTheme="minorHAnsi" w:cs="Calibri"/>
          <w:b/>
          <w:bCs/>
          <w:lang w:val="sq-AL"/>
        </w:rPr>
        <w:t>investimeve publike</w:t>
      </w:r>
      <w:r w:rsidRPr="000703F6">
        <w:rPr>
          <w:rFonts w:eastAsiaTheme="minorHAnsi" w:cs="Calibri"/>
          <w:lang w:val="sq-AL"/>
        </w:rPr>
        <w:t xml:space="preserve"> </w:t>
      </w:r>
      <w:r w:rsidR="000703F6" w:rsidRPr="000703F6">
        <w:rPr>
          <w:rFonts w:cs="Calibri"/>
          <w:lang w:val="sq-AL"/>
        </w:rPr>
        <w:t xml:space="preserve">realizimi në vitin 2021 ishte </w:t>
      </w:r>
      <w:r w:rsidR="001007C6">
        <w:rPr>
          <w:rFonts w:cs="Calibri"/>
          <w:lang w:val="sq-AL"/>
        </w:rPr>
        <w:t>88.2</w:t>
      </w:r>
      <w:r w:rsidR="000703F6" w:rsidRPr="000703F6">
        <w:rPr>
          <w:rFonts w:cs="Calibri"/>
          <w:lang w:val="sq-AL"/>
        </w:rPr>
        <w:t>% e buxhetit fillestar për projektet me financim të brendshëm (0.78 miliard lekë)</w:t>
      </w:r>
      <w:r w:rsidR="000703F6" w:rsidRPr="000703F6">
        <w:rPr>
          <w:rFonts w:cs="Calibri"/>
          <w:bCs/>
          <w:iCs/>
          <w:lang w:val="sq-AL"/>
        </w:rPr>
        <w:t xml:space="preserve"> (8</w:t>
      </w:r>
      <w:r w:rsidR="000703F6">
        <w:rPr>
          <w:rFonts w:cs="Calibri"/>
          <w:bCs/>
          <w:iCs/>
          <w:lang w:val="sq-AL"/>
        </w:rPr>
        <w:t>8.</w:t>
      </w:r>
      <w:r w:rsidR="000703F6" w:rsidRPr="000703F6">
        <w:rPr>
          <w:rFonts w:cs="Calibri"/>
          <w:bCs/>
          <w:iCs/>
          <w:lang w:val="sq-AL"/>
        </w:rPr>
        <w:t xml:space="preserve"> % të planit vjetor të ndryshuar me AN nr.34)</w:t>
      </w:r>
      <w:r w:rsidR="000703F6" w:rsidRPr="000703F6">
        <w:rPr>
          <w:rFonts w:cs="Calibri"/>
          <w:lang w:val="sq-AL"/>
        </w:rPr>
        <w:t xml:space="preserve"> dhe </w:t>
      </w:r>
      <w:r w:rsidR="001007C6">
        <w:rPr>
          <w:rFonts w:cs="Calibri"/>
          <w:lang w:val="sq-AL"/>
        </w:rPr>
        <w:t>37.9</w:t>
      </w:r>
      <w:r w:rsidR="000703F6" w:rsidRPr="000703F6">
        <w:rPr>
          <w:rFonts w:cs="Calibri"/>
          <w:lang w:val="sq-AL"/>
        </w:rPr>
        <w:t>% e buxhetit fillestar për projektet me financim të huaj (0.78 milard lekë)</w:t>
      </w:r>
      <w:r w:rsidR="000703F6" w:rsidRPr="000703F6">
        <w:rPr>
          <w:rFonts w:cs="Calibri"/>
          <w:bCs/>
          <w:iCs/>
          <w:lang w:val="sq-AL"/>
        </w:rPr>
        <w:t xml:space="preserve"> (</w:t>
      </w:r>
      <w:r w:rsidR="000703F6">
        <w:rPr>
          <w:rFonts w:cs="Calibri"/>
          <w:bCs/>
          <w:iCs/>
          <w:lang w:val="sq-AL"/>
        </w:rPr>
        <w:t>66.9</w:t>
      </w:r>
      <w:r w:rsidR="000703F6" w:rsidRPr="000703F6">
        <w:rPr>
          <w:rFonts w:cs="Calibri"/>
          <w:bCs/>
          <w:iCs/>
          <w:lang w:val="sq-AL"/>
        </w:rPr>
        <w:t>% të planit vjetor të ndryshuar me AN nr.34).</w:t>
      </w:r>
      <w:r w:rsidR="000703F6" w:rsidRPr="000703F6">
        <w:rPr>
          <w:rFonts w:cs="Calibri"/>
          <w:lang w:val="sq-AL"/>
        </w:rPr>
        <w:t xml:space="preserve"> </w:t>
      </w:r>
      <w:r w:rsidR="000703F6" w:rsidRPr="000703F6">
        <w:rPr>
          <w:rFonts w:asciiTheme="majorHAnsi" w:eastAsiaTheme="minorHAnsi" w:hAnsiTheme="majorHAnsi" w:cs="Calibri Light"/>
          <w:szCs w:val="22"/>
          <w:lang w:val="sq-AL"/>
        </w:rPr>
        <w:t xml:space="preserve">Janë mbyllur kontratat e investimit si më poshtë, ku ndër më kryesoret veçojmë rreth </w:t>
      </w:r>
      <w:r w:rsidR="000703F6" w:rsidRPr="000703F6">
        <w:rPr>
          <w:rFonts w:asciiTheme="majorHAnsi" w:hAnsiTheme="majorHAnsi" w:cs="Calibri Light"/>
          <w:szCs w:val="22"/>
          <w:lang w:val="sq-AL"/>
        </w:rPr>
        <w:t>6 kontrata me vlerë të plotë projektesh prej rreth 1.8 miliardë lekë. Gjithashtu, janë kryer pagesa TVSH, studime e kolaudime punimesh etj. Nga projektet e përfunduara veçojmë:</w:t>
      </w:r>
    </w:p>
    <w:p w:rsidR="000703F6" w:rsidRPr="000703F6" w:rsidRDefault="000703F6"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0703F6">
        <w:rPr>
          <w:rFonts w:asciiTheme="majorHAnsi" w:hAnsiTheme="majorHAnsi" w:cs="Calibri Light"/>
          <w:bCs/>
          <w:i/>
          <w:szCs w:val="22"/>
          <w:lang w:val="sq-AL" w:eastAsia="en-GB"/>
        </w:rPr>
        <w:t>Përshtatja e Mjediseve të Punës për Prokurorinë e Posaçme të Luftës Kundër Korrupsionit dhe Krimit të Organizuar dhe Byronë Kombëtare të Hetimit dhe sigurimi i mjeteve dhe pajisjeve të nevojshme për funksionimin e tyre me vlerë të plotë investimi prej 758 milionë lekë;</w:t>
      </w:r>
    </w:p>
    <w:p w:rsidR="000703F6" w:rsidRPr="000703F6" w:rsidRDefault="000703F6"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0703F6">
        <w:rPr>
          <w:rFonts w:asciiTheme="majorHAnsi" w:hAnsiTheme="majorHAnsi" w:cs="Calibri Light"/>
          <w:bCs/>
          <w:i/>
          <w:szCs w:val="22"/>
          <w:lang w:val="sq-AL" w:eastAsia="en-GB"/>
        </w:rPr>
        <w:t>Ndërtimi datacenter për sistemet e Policisë Shtetit- Salla e servave me vlerë të plotë investimi prej 467 milionë lekë;</w:t>
      </w:r>
    </w:p>
    <w:p w:rsidR="000703F6" w:rsidRPr="000703F6" w:rsidRDefault="000703F6"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0703F6">
        <w:rPr>
          <w:rFonts w:asciiTheme="majorHAnsi" w:hAnsiTheme="majorHAnsi" w:cs="Calibri Light"/>
          <w:bCs/>
          <w:i/>
          <w:szCs w:val="22"/>
          <w:lang w:val="sq-AL" w:eastAsia="en-GB"/>
        </w:rPr>
        <w:t>Ndërtim /Rikonstruksion i DVP Shkodër me vlerë të plotë investimi prej 430 milionë lekë;</w:t>
      </w:r>
    </w:p>
    <w:p w:rsidR="000703F6" w:rsidRPr="00DE49E2" w:rsidRDefault="000703F6" w:rsidP="000703F6">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0703F6">
        <w:rPr>
          <w:rFonts w:asciiTheme="majorHAnsi" w:hAnsiTheme="majorHAnsi" w:cs="Calibri Light"/>
          <w:bCs/>
          <w:i/>
          <w:szCs w:val="22"/>
          <w:lang w:val="sq-AL" w:eastAsia="en-GB"/>
        </w:rPr>
        <w:t>Pajisje speciale për Pol Rrugore me vlerë të plotë investimi prej 83 milionë lekë.</w:t>
      </w:r>
    </w:p>
    <w:p w:rsidR="000703F6" w:rsidRDefault="000703F6" w:rsidP="000703F6">
      <w:pPr>
        <w:rPr>
          <w:rFonts w:cs="Calibri"/>
          <w:lang w:val="sq-AL"/>
        </w:rPr>
      </w:pPr>
    </w:p>
    <w:p w:rsidR="0080198A" w:rsidRPr="00476D2E" w:rsidRDefault="0080198A" w:rsidP="000703F6">
      <w:pPr>
        <w:rPr>
          <w:rFonts w:cs="Calibri"/>
          <w:lang w:val="sq-AL"/>
        </w:rPr>
      </w:pPr>
    </w:p>
    <w:p w:rsidR="007B7B50" w:rsidRPr="00476D2E" w:rsidRDefault="007B7B50" w:rsidP="007B7B50">
      <w:pPr>
        <w:pStyle w:val="fiskale3"/>
        <w:rPr>
          <w:rFonts w:ascii="Calibri" w:hAnsi="Calibri" w:cs="Calibri"/>
          <w:b/>
        </w:rPr>
      </w:pPr>
      <w:bookmarkStart w:id="279" w:name="_Toc10033300"/>
      <w:bookmarkStart w:id="280" w:name="_Toc10721436"/>
      <w:bookmarkStart w:id="281" w:name="_Toc104980371"/>
      <w:r w:rsidRPr="00476D2E">
        <w:rPr>
          <w:rFonts w:ascii="Calibri" w:hAnsi="Calibri" w:cs="Calibri"/>
          <w:b/>
        </w:rPr>
        <w:t>Politika e Jashtme</w:t>
      </w:r>
      <w:bookmarkEnd w:id="279"/>
      <w:bookmarkEnd w:id="280"/>
      <w:bookmarkEnd w:id="281"/>
    </w:p>
    <w:p w:rsidR="007B7B50" w:rsidRDefault="007B7B50" w:rsidP="007B7B50">
      <w:pPr>
        <w:rPr>
          <w:rFonts w:cs="Calibri"/>
          <w:lang w:val="sq-AL"/>
        </w:rPr>
      </w:pPr>
      <w:r w:rsidRPr="00476D2E">
        <w:rPr>
          <w:rFonts w:cs="Calibri"/>
          <w:lang w:val="sq-AL"/>
        </w:rPr>
        <w:t>Performanca e treguesve buxhetorë për katër programet kryesore në Ministrinë për Evropën dhe Punët e Jashtme paraqitet si më poshtë:</w:t>
      </w:r>
    </w:p>
    <w:p w:rsidR="007B7B50" w:rsidRPr="00476D2E" w:rsidRDefault="007B7B50" w:rsidP="007B7B50">
      <w:pPr>
        <w:keepNext/>
        <w:rPr>
          <w:rFonts w:cs="Calibri"/>
          <w:i/>
          <w:iCs/>
          <w:color w:val="0B5294" w:themeColor="accent1" w:themeShade="BF"/>
          <w:sz w:val="18"/>
          <w:szCs w:val="18"/>
          <w:lang w:val="sq-AL"/>
        </w:rPr>
      </w:pPr>
      <w:bookmarkStart w:id="282" w:name="_Toc104984104"/>
      <w:r w:rsidRPr="00476D2E">
        <w:rPr>
          <w:rFonts w:cs="Calibri"/>
          <w:i/>
          <w:iCs/>
          <w:color w:val="0B5294" w:themeColor="accent1" w:themeShade="BF"/>
          <w:sz w:val="18"/>
          <w:szCs w:val="18"/>
          <w:lang w:val="sq-AL"/>
        </w:rPr>
        <w:t xml:space="preserve">Tabela </w:t>
      </w:r>
      <w:r w:rsidRPr="00476D2E">
        <w:rPr>
          <w:rFonts w:cs="Calibri"/>
          <w:i/>
          <w:iCs/>
          <w:color w:val="0B5294" w:themeColor="accent1" w:themeShade="BF"/>
          <w:sz w:val="18"/>
          <w:szCs w:val="18"/>
          <w:lang w:val="sq-AL"/>
        </w:rPr>
        <w:fldChar w:fldCharType="begin"/>
      </w:r>
      <w:r w:rsidRPr="00476D2E">
        <w:rPr>
          <w:rFonts w:cs="Calibri"/>
          <w:i/>
          <w:iCs/>
          <w:color w:val="0B5294" w:themeColor="accent1" w:themeShade="BF"/>
          <w:sz w:val="18"/>
          <w:szCs w:val="18"/>
          <w:lang w:val="sq-AL"/>
        </w:rPr>
        <w:instrText xml:space="preserve"> SEQ Tabela \* ARABIC </w:instrText>
      </w:r>
      <w:r w:rsidRPr="00476D2E">
        <w:rPr>
          <w:rFonts w:cs="Calibri"/>
          <w:i/>
          <w:iCs/>
          <w:color w:val="0B5294" w:themeColor="accent1" w:themeShade="BF"/>
          <w:sz w:val="18"/>
          <w:szCs w:val="18"/>
          <w:lang w:val="sq-AL"/>
        </w:rPr>
        <w:fldChar w:fldCharType="separate"/>
      </w:r>
      <w:r w:rsidR="00276062">
        <w:rPr>
          <w:rFonts w:cs="Calibri"/>
          <w:i/>
          <w:iCs/>
          <w:noProof/>
          <w:color w:val="0B5294" w:themeColor="accent1" w:themeShade="BF"/>
          <w:sz w:val="18"/>
          <w:szCs w:val="18"/>
          <w:lang w:val="sq-AL"/>
        </w:rPr>
        <w:t>32</w:t>
      </w:r>
      <w:r w:rsidRPr="00476D2E">
        <w:rPr>
          <w:rFonts w:cs="Calibri"/>
          <w:i/>
          <w:iCs/>
          <w:color w:val="0B5294" w:themeColor="accent1" w:themeShade="BF"/>
          <w:sz w:val="18"/>
          <w:szCs w:val="18"/>
          <w:lang w:val="sq-AL"/>
        </w:rPr>
        <w:fldChar w:fldCharType="end"/>
      </w:r>
      <w:r w:rsidRPr="00476D2E">
        <w:rPr>
          <w:rFonts w:cs="Calibri"/>
          <w:i/>
          <w:iCs/>
          <w:color w:val="0B5294" w:themeColor="accent1" w:themeShade="BF"/>
          <w:sz w:val="18"/>
          <w:szCs w:val="18"/>
          <w:lang w:val="sq-AL"/>
        </w:rPr>
        <w:t xml:space="preserve"> Realizimi i buxhetit 202</w:t>
      </w:r>
      <w:r w:rsidR="00AB22B6">
        <w:rPr>
          <w:rFonts w:cs="Calibri"/>
          <w:i/>
          <w:iCs/>
          <w:color w:val="0B5294" w:themeColor="accent1" w:themeShade="BF"/>
          <w:sz w:val="18"/>
          <w:szCs w:val="18"/>
          <w:lang w:val="sq-AL"/>
        </w:rPr>
        <w:t>1</w:t>
      </w:r>
      <w:r w:rsidRPr="00476D2E">
        <w:rPr>
          <w:rFonts w:cs="Calibri"/>
          <w:i/>
          <w:iCs/>
          <w:color w:val="0B5294" w:themeColor="accent1" w:themeShade="BF"/>
          <w:sz w:val="18"/>
          <w:szCs w:val="18"/>
          <w:lang w:val="sq-AL"/>
        </w:rPr>
        <w:t xml:space="preserve"> për Ministrinë për Evropën dhe Punët e Jashtme</w:t>
      </w:r>
      <w:bookmarkEnd w:id="282"/>
    </w:p>
    <w:tbl>
      <w:tblPr>
        <w:tblStyle w:val="GridTable1Light-Accent11"/>
        <w:tblW w:w="5596" w:type="pct"/>
        <w:jc w:val="center"/>
        <w:tblLook w:val="01E0" w:firstRow="1" w:lastRow="1" w:firstColumn="1" w:lastColumn="1" w:noHBand="0" w:noVBand="0"/>
      </w:tblPr>
      <w:tblGrid>
        <w:gridCol w:w="2860"/>
        <w:gridCol w:w="885"/>
        <w:gridCol w:w="908"/>
        <w:gridCol w:w="1091"/>
        <w:gridCol w:w="913"/>
        <w:gridCol w:w="999"/>
        <w:gridCol w:w="1005"/>
        <w:gridCol w:w="727"/>
        <w:gridCol w:w="729"/>
        <w:gridCol w:w="609"/>
        <w:gridCol w:w="596"/>
      </w:tblGrid>
      <w:tr w:rsidR="00AB22B6" w:rsidRPr="00BD6C06" w:rsidTr="00AB22B6">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263" w:type="pct"/>
            <w:vMerge w:val="restart"/>
            <w:shd w:val="clear" w:color="auto" w:fill="0B5294" w:themeFill="accent1" w:themeFillShade="BF"/>
          </w:tcPr>
          <w:p w:rsidR="00CC123A" w:rsidRDefault="00CC123A" w:rsidP="00AB22B6">
            <w:pPr>
              <w:spacing w:before="0" w:line="240" w:lineRule="auto"/>
              <w:jc w:val="center"/>
              <w:rPr>
                <w:rFonts w:asciiTheme="majorHAnsi" w:hAnsiTheme="majorHAnsi"/>
                <w:color w:val="FFFFFF" w:themeColor="background1"/>
                <w:sz w:val="16"/>
                <w:lang w:val="sq-AL"/>
              </w:rPr>
            </w:pPr>
          </w:p>
          <w:p w:rsidR="00AB22B6" w:rsidRPr="00BD6C06" w:rsidRDefault="00AB22B6" w:rsidP="00AB22B6">
            <w:pPr>
              <w:spacing w:before="0" w:line="240" w:lineRule="auto"/>
              <w:jc w:val="center"/>
              <w:rPr>
                <w:rFonts w:asciiTheme="majorHAnsi" w:hAnsiTheme="majorHAnsi"/>
                <w:color w:val="FFFFFF" w:themeColor="background1"/>
                <w:sz w:val="16"/>
                <w:lang w:val="sq-AL"/>
              </w:rPr>
            </w:pPr>
            <w:r w:rsidRPr="00BD6C06">
              <w:rPr>
                <w:rFonts w:asciiTheme="majorHAnsi" w:hAnsiTheme="majorHAnsi"/>
                <w:color w:val="FFFFFF" w:themeColor="background1"/>
                <w:sz w:val="16"/>
                <w:lang w:val="sq-AL"/>
              </w:rPr>
              <w:t>Programi buxhetor</w:t>
            </w:r>
          </w:p>
          <w:p w:rsidR="00AB22B6" w:rsidRPr="00BD6C06" w:rsidRDefault="00AB22B6" w:rsidP="00AB22B6">
            <w:pPr>
              <w:spacing w:before="0" w:line="240" w:lineRule="auto"/>
              <w:jc w:val="center"/>
              <w:rPr>
                <w:rFonts w:asciiTheme="majorHAnsi" w:hAnsiTheme="majorHAnsi"/>
                <w:b w:val="0"/>
                <w:i/>
                <w:color w:val="FFFFFF" w:themeColor="background1"/>
                <w:sz w:val="16"/>
                <w:lang w:val="sq-AL"/>
              </w:rPr>
            </w:pPr>
            <w:r w:rsidRPr="00BD6C06">
              <w:rPr>
                <w:rFonts w:asciiTheme="majorHAnsi" w:hAnsiTheme="majorHAnsi"/>
                <w:b w:val="0"/>
                <w:i/>
                <w:color w:val="FFFFFF" w:themeColor="background1"/>
                <w:sz w:val="16"/>
                <w:lang w:val="sq-AL"/>
              </w:rPr>
              <w:t>000 lekë</w:t>
            </w:r>
          </w:p>
        </w:tc>
        <w:tc>
          <w:tcPr>
            <w:tcW w:w="792" w:type="pct"/>
            <w:gridSpan w:val="2"/>
            <w:shd w:val="clear" w:color="auto" w:fill="0B5294" w:themeFill="accent1" w:themeFillShade="BF"/>
          </w:tcPr>
          <w:p w:rsidR="00CC123A" w:rsidRDefault="00CC123A" w:rsidP="00AB22B6">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16"/>
                <w:lang w:val="sq-AL"/>
              </w:rPr>
            </w:pPr>
          </w:p>
          <w:p w:rsidR="00AB22B6" w:rsidRPr="00BD6C06" w:rsidRDefault="00AB22B6" w:rsidP="00AB22B6">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16"/>
                <w:lang w:val="sq-AL"/>
              </w:rPr>
            </w:pPr>
            <w:r w:rsidRPr="00BD6C06">
              <w:rPr>
                <w:rFonts w:asciiTheme="majorHAnsi" w:hAnsiTheme="majorHAnsi"/>
                <w:color w:val="FFFFFF" w:themeColor="background1"/>
                <w:sz w:val="16"/>
                <w:lang w:val="sq-AL"/>
              </w:rPr>
              <w:t>Plani fillestar 2021</w:t>
            </w:r>
          </w:p>
        </w:tc>
        <w:tc>
          <w:tcPr>
            <w:tcW w:w="885" w:type="pct"/>
            <w:gridSpan w:val="2"/>
            <w:shd w:val="clear" w:color="auto" w:fill="0B5294" w:themeFill="accent1" w:themeFillShade="BF"/>
          </w:tcPr>
          <w:p w:rsidR="00CC123A" w:rsidRDefault="00CC123A" w:rsidP="00AB22B6">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16"/>
                <w:lang w:val="sq-AL"/>
              </w:rPr>
            </w:pPr>
          </w:p>
          <w:p w:rsidR="00AB22B6" w:rsidRPr="00BD6C06" w:rsidRDefault="00AB22B6" w:rsidP="00AB22B6">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16"/>
                <w:lang w:val="sq-AL"/>
              </w:rPr>
            </w:pPr>
            <w:r w:rsidRPr="00BD6C06">
              <w:rPr>
                <w:rFonts w:asciiTheme="majorHAnsi" w:hAnsiTheme="majorHAnsi"/>
                <w:color w:val="FFFFFF" w:themeColor="background1"/>
                <w:sz w:val="16"/>
                <w:lang w:val="sq-AL"/>
              </w:rPr>
              <w:t>Plani i rishikuar 2021</w:t>
            </w:r>
          </w:p>
        </w:tc>
        <w:tc>
          <w:tcPr>
            <w:tcW w:w="885" w:type="pct"/>
            <w:gridSpan w:val="2"/>
            <w:shd w:val="clear" w:color="auto" w:fill="0B5294" w:themeFill="accent1" w:themeFillShade="BF"/>
          </w:tcPr>
          <w:p w:rsidR="00CC123A" w:rsidRDefault="00CC123A" w:rsidP="00AB22B6">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16"/>
                <w:lang w:val="sq-AL"/>
              </w:rPr>
            </w:pPr>
          </w:p>
          <w:p w:rsidR="00AB22B6" w:rsidRPr="00BD6C06" w:rsidRDefault="00AB22B6" w:rsidP="00AB22B6">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sz w:val="16"/>
                <w:lang w:val="sq-AL"/>
              </w:rPr>
            </w:pPr>
            <w:r w:rsidRPr="00BD6C06">
              <w:rPr>
                <w:rFonts w:asciiTheme="majorHAnsi" w:hAnsiTheme="majorHAnsi"/>
                <w:color w:val="FFFFFF" w:themeColor="background1"/>
                <w:sz w:val="16"/>
                <w:lang w:val="sq-AL"/>
              </w:rPr>
              <w:t>Fakti 2021</w:t>
            </w:r>
          </w:p>
        </w:tc>
        <w:tc>
          <w:tcPr>
            <w:tcW w:w="643" w:type="pct"/>
            <w:gridSpan w:val="2"/>
            <w:shd w:val="clear" w:color="auto" w:fill="0B5294" w:themeFill="accent1" w:themeFillShade="BF"/>
          </w:tcPr>
          <w:p w:rsidR="00AB22B6" w:rsidRPr="00BD6C06" w:rsidRDefault="00AB22B6" w:rsidP="00AB22B6">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1"/>
                <w:sz w:val="16"/>
                <w:lang w:val="sq-AL"/>
              </w:rPr>
            </w:pPr>
            <w:r w:rsidRPr="00BD6C06">
              <w:rPr>
                <w:rFonts w:asciiTheme="majorHAnsi" w:hAnsiTheme="majorHAnsi"/>
                <w:b w:val="0"/>
                <w:bCs w:val="0"/>
                <w:color w:val="FFFFFF" w:themeColor="background1"/>
                <w:sz w:val="16"/>
                <w:szCs w:val="18"/>
              </w:rPr>
              <w:t>Diferenca në % me planin fillestar</w:t>
            </w:r>
          </w:p>
        </w:tc>
        <w:tc>
          <w:tcPr>
            <w:cnfStyle w:val="000100000000" w:firstRow="0" w:lastRow="0" w:firstColumn="0" w:lastColumn="1" w:oddVBand="0" w:evenVBand="0" w:oddHBand="0" w:evenHBand="0" w:firstRowFirstColumn="0" w:firstRowLastColumn="0" w:lastRowFirstColumn="0" w:lastRowLastColumn="0"/>
            <w:tcW w:w="532" w:type="pct"/>
            <w:gridSpan w:val="2"/>
            <w:shd w:val="clear" w:color="auto" w:fill="0B5294" w:themeFill="accent1" w:themeFillShade="BF"/>
          </w:tcPr>
          <w:p w:rsidR="00AB22B6" w:rsidRPr="00BD6C06" w:rsidRDefault="00AB22B6" w:rsidP="00AB22B6">
            <w:pPr>
              <w:spacing w:before="0" w:line="240" w:lineRule="auto"/>
              <w:jc w:val="center"/>
              <w:rPr>
                <w:rFonts w:asciiTheme="majorHAnsi" w:hAnsiTheme="majorHAnsi"/>
                <w:b w:val="0"/>
                <w:bCs w:val="0"/>
                <w:color w:val="FFFFFF" w:themeColor="background1"/>
                <w:sz w:val="16"/>
                <w:lang w:val="sq-AL"/>
              </w:rPr>
            </w:pPr>
            <w:r w:rsidRPr="00BD6C06">
              <w:rPr>
                <w:rFonts w:asciiTheme="majorHAnsi" w:hAnsiTheme="majorHAnsi"/>
                <w:b w:val="0"/>
                <w:bCs w:val="0"/>
                <w:color w:val="FFFFFF" w:themeColor="background1"/>
                <w:sz w:val="16"/>
                <w:szCs w:val="18"/>
              </w:rPr>
              <w:t>Diferenca në % me planin e rishikuar</w:t>
            </w:r>
          </w:p>
        </w:tc>
      </w:tr>
      <w:tr w:rsidR="00AB22B6" w:rsidRPr="00BD6C06" w:rsidTr="00AB22B6">
        <w:trPr>
          <w:trHeight w:val="284"/>
          <w:jc w:val="center"/>
        </w:trPr>
        <w:tc>
          <w:tcPr>
            <w:cnfStyle w:val="001000000000" w:firstRow="0" w:lastRow="0" w:firstColumn="1" w:lastColumn="0" w:oddVBand="0" w:evenVBand="0" w:oddHBand="0" w:evenHBand="0" w:firstRowFirstColumn="0" w:firstRowLastColumn="0" w:lastRowFirstColumn="0" w:lastRowLastColumn="0"/>
            <w:tcW w:w="1263" w:type="pct"/>
            <w:vMerge/>
            <w:shd w:val="clear" w:color="auto" w:fill="0B5294" w:themeFill="accent1" w:themeFillShade="BF"/>
          </w:tcPr>
          <w:p w:rsidR="00AB22B6" w:rsidRPr="00BD6C06" w:rsidRDefault="00AB22B6" w:rsidP="00AB22B6">
            <w:pPr>
              <w:spacing w:before="0" w:line="240" w:lineRule="auto"/>
              <w:jc w:val="center"/>
              <w:rPr>
                <w:rFonts w:asciiTheme="majorHAnsi" w:hAnsiTheme="majorHAnsi"/>
                <w:color w:val="FFFFFF" w:themeColor="background1"/>
                <w:sz w:val="16"/>
                <w:lang w:val="sq-AL"/>
              </w:rPr>
            </w:pPr>
          </w:p>
        </w:tc>
        <w:tc>
          <w:tcPr>
            <w:tcW w:w="391" w:type="pct"/>
            <w:shd w:val="clear" w:color="auto" w:fill="0B5294" w:themeFill="accent1" w:themeFillShade="BF"/>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themeColor="background1"/>
                <w:sz w:val="16"/>
                <w:lang w:val="sq-AL"/>
              </w:rPr>
            </w:pPr>
            <w:r w:rsidRPr="00BD6C06">
              <w:rPr>
                <w:rFonts w:asciiTheme="majorHAnsi" w:hAnsiTheme="majorHAnsi"/>
                <w:b/>
                <w:color w:val="FFFFFF" w:themeColor="background1"/>
                <w:sz w:val="16"/>
                <w:lang w:val="sq-AL"/>
              </w:rPr>
              <w:t>Korrente</w:t>
            </w:r>
          </w:p>
        </w:tc>
        <w:tc>
          <w:tcPr>
            <w:tcW w:w="401" w:type="pct"/>
            <w:shd w:val="clear" w:color="auto" w:fill="0B5294" w:themeFill="accent1" w:themeFillShade="BF"/>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color w:val="FFFFFF" w:themeColor="background1"/>
                <w:sz w:val="16"/>
                <w:lang w:val="sq-AL"/>
              </w:rPr>
            </w:pPr>
            <w:r w:rsidRPr="00BD6C06">
              <w:rPr>
                <w:rFonts w:asciiTheme="majorHAnsi" w:hAnsiTheme="majorHAnsi"/>
                <w:b/>
                <w:color w:val="FFFFFF" w:themeColor="background1"/>
                <w:sz w:val="16"/>
                <w:lang w:val="sq-AL"/>
              </w:rPr>
              <w:t>Investime</w:t>
            </w:r>
          </w:p>
        </w:tc>
        <w:tc>
          <w:tcPr>
            <w:tcW w:w="482" w:type="pct"/>
            <w:shd w:val="clear" w:color="auto" w:fill="0B5294" w:themeFill="accent1" w:themeFillShade="BF"/>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FFFFFF" w:themeColor="background1"/>
                <w:sz w:val="16"/>
                <w:lang w:val="sq-AL"/>
              </w:rPr>
            </w:pPr>
            <w:r w:rsidRPr="00BD6C06">
              <w:rPr>
                <w:rFonts w:asciiTheme="majorHAnsi" w:hAnsiTheme="majorHAnsi"/>
                <w:b/>
                <w:color w:val="FFFFFF" w:themeColor="background1"/>
                <w:sz w:val="16"/>
                <w:lang w:val="sq-AL"/>
              </w:rPr>
              <w:t>Korrente</w:t>
            </w:r>
          </w:p>
        </w:tc>
        <w:tc>
          <w:tcPr>
            <w:tcW w:w="403" w:type="pct"/>
            <w:shd w:val="clear" w:color="auto" w:fill="0B5294" w:themeFill="accent1" w:themeFillShade="BF"/>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FFFFFF" w:themeColor="background1"/>
                <w:sz w:val="16"/>
                <w:lang w:val="sq-AL"/>
              </w:rPr>
            </w:pPr>
            <w:r w:rsidRPr="00BD6C06">
              <w:rPr>
                <w:rFonts w:asciiTheme="majorHAnsi" w:hAnsiTheme="majorHAnsi"/>
                <w:b/>
                <w:color w:val="FFFFFF" w:themeColor="background1"/>
                <w:sz w:val="16"/>
                <w:lang w:val="sq-AL"/>
              </w:rPr>
              <w:t>Investime</w:t>
            </w:r>
          </w:p>
        </w:tc>
        <w:tc>
          <w:tcPr>
            <w:tcW w:w="441" w:type="pct"/>
            <w:shd w:val="clear" w:color="auto" w:fill="0B5294" w:themeFill="accent1" w:themeFillShade="BF"/>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FFFFFF" w:themeColor="background1"/>
                <w:sz w:val="16"/>
                <w:lang w:val="sq-AL"/>
              </w:rPr>
            </w:pPr>
            <w:r w:rsidRPr="00BD6C06">
              <w:rPr>
                <w:rFonts w:asciiTheme="majorHAnsi" w:hAnsiTheme="majorHAnsi"/>
                <w:b/>
                <w:color w:val="FFFFFF" w:themeColor="background1"/>
                <w:sz w:val="16"/>
                <w:lang w:val="sq-AL"/>
              </w:rPr>
              <w:t>Korrente</w:t>
            </w:r>
          </w:p>
        </w:tc>
        <w:tc>
          <w:tcPr>
            <w:tcW w:w="444" w:type="pct"/>
            <w:shd w:val="clear" w:color="auto" w:fill="0B5294" w:themeFill="accent1" w:themeFillShade="BF"/>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FFFFFF" w:themeColor="background1"/>
                <w:sz w:val="16"/>
                <w:lang w:val="sq-AL"/>
              </w:rPr>
            </w:pPr>
            <w:r w:rsidRPr="00BD6C06">
              <w:rPr>
                <w:rFonts w:asciiTheme="majorHAnsi" w:hAnsiTheme="majorHAnsi"/>
                <w:b/>
                <w:color w:val="FFFFFF" w:themeColor="background1"/>
                <w:sz w:val="16"/>
                <w:lang w:val="sq-AL"/>
              </w:rPr>
              <w:t>Investime</w:t>
            </w:r>
          </w:p>
        </w:tc>
        <w:tc>
          <w:tcPr>
            <w:tcW w:w="321" w:type="pct"/>
            <w:shd w:val="clear" w:color="auto" w:fill="0B5294" w:themeFill="accent1" w:themeFillShade="BF"/>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FFFFFF" w:themeColor="background1"/>
                <w:sz w:val="16"/>
                <w:lang w:val="sq-AL"/>
              </w:rPr>
            </w:pPr>
            <w:r w:rsidRPr="00BD6C06">
              <w:rPr>
                <w:rFonts w:asciiTheme="majorHAnsi" w:hAnsiTheme="majorHAnsi"/>
                <w:b/>
                <w:color w:val="FFFFFF" w:themeColor="background1"/>
                <w:sz w:val="16"/>
                <w:lang w:val="sq-AL"/>
              </w:rPr>
              <w:t>Korr.</w:t>
            </w:r>
          </w:p>
        </w:tc>
        <w:tc>
          <w:tcPr>
            <w:tcW w:w="322" w:type="pct"/>
            <w:shd w:val="clear" w:color="auto" w:fill="0B5294" w:themeFill="accent1" w:themeFillShade="BF"/>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FFFFFF" w:themeColor="background1"/>
                <w:sz w:val="16"/>
                <w:lang w:val="sq-AL"/>
              </w:rPr>
            </w:pPr>
            <w:r w:rsidRPr="00BD6C06">
              <w:rPr>
                <w:rFonts w:asciiTheme="majorHAnsi" w:hAnsiTheme="majorHAnsi"/>
                <w:bCs/>
                <w:color w:val="FFFFFF" w:themeColor="background1"/>
                <w:sz w:val="16"/>
                <w:lang w:val="sq-AL"/>
              </w:rPr>
              <w:t>Inv.</w:t>
            </w:r>
          </w:p>
        </w:tc>
        <w:tc>
          <w:tcPr>
            <w:tcW w:w="269" w:type="pct"/>
            <w:shd w:val="clear" w:color="auto" w:fill="0B5294" w:themeFill="accent1" w:themeFillShade="BF"/>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FFFFFF" w:themeColor="background1"/>
                <w:sz w:val="16"/>
                <w:lang w:val="sq-AL"/>
              </w:rPr>
            </w:pPr>
            <w:r w:rsidRPr="00BD6C06">
              <w:rPr>
                <w:rFonts w:asciiTheme="majorHAnsi" w:hAnsiTheme="majorHAnsi"/>
                <w:b/>
                <w:color w:val="FFFFFF" w:themeColor="background1"/>
                <w:sz w:val="16"/>
                <w:lang w:val="sq-AL"/>
              </w:rPr>
              <w:t>Korr.</w:t>
            </w:r>
          </w:p>
        </w:tc>
        <w:tc>
          <w:tcPr>
            <w:cnfStyle w:val="000100000000" w:firstRow="0" w:lastRow="0" w:firstColumn="0" w:lastColumn="1" w:oddVBand="0" w:evenVBand="0" w:oddHBand="0" w:evenHBand="0" w:firstRowFirstColumn="0" w:firstRowLastColumn="0" w:lastRowFirstColumn="0" w:lastRowLastColumn="0"/>
            <w:tcW w:w="262" w:type="pct"/>
            <w:shd w:val="clear" w:color="auto" w:fill="0B5294" w:themeFill="accent1" w:themeFillShade="BF"/>
          </w:tcPr>
          <w:p w:rsidR="00AB22B6" w:rsidRPr="00BD6C06" w:rsidRDefault="00AB22B6" w:rsidP="00AB22B6">
            <w:pPr>
              <w:spacing w:before="0" w:line="240" w:lineRule="auto"/>
              <w:jc w:val="center"/>
              <w:rPr>
                <w:rFonts w:asciiTheme="majorHAnsi" w:hAnsiTheme="majorHAnsi"/>
                <w:bCs w:val="0"/>
                <w:color w:val="FFFFFF" w:themeColor="background1"/>
                <w:sz w:val="16"/>
                <w:lang w:val="sq-AL"/>
              </w:rPr>
            </w:pPr>
            <w:r w:rsidRPr="00BD6C06">
              <w:rPr>
                <w:rFonts w:asciiTheme="majorHAnsi" w:hAnsiTheme="majorHAnsi"/>
                <w:bCs w:val="0"/>
                <w:color w:val="FFFFFF" w:themeColor="background1"/>
                <w:sz w:val="16"/>
                <w:lang w:val="sq-AL"/>
              </w:rPr>
              <w:t>Inv.</w:t>
            </w:r>
          </w:p>
        </w:tc>
      </w:tr>
      <w:tr w:rsidR="00AB22B6" w:rsidRPr="00BD6C06" w:rsidTr="00AB22B6">
        <w:trPr>
          <w:trHeight w:val="252"/>
          <w:jc w:val="center"/>
        </w:trPr>
        <w:tc>
          <w:tcPr>
            <w:cnfStyle w:val="001000000000" w:firstRow="0" w:lastRow="0" w:firstColumn="1" w:lastColumn="0" w:oddVBand="0" w:evenVBand="0" w:oddHBand="0" w:evenHBand="0" w:firstRowFirstColumn="0" w:firstRowLastColumn="0" w:lastRowFirstColumn="0" w:lastRowLastColumn="0"/>
            <w:tcW w:w="1263" w:type="pct"/>
            <w:shd w:val="clear" w:color="auto" w:fill="auto"/>
            <w:vAlign w:val="center"/>
          </w:tcPr>
          <w:p w:rsidR="00AB22B6" w:rsidRPr="00BD6C06" w:rsidRDefault="00AB22B6" w:rsidP="00AB22B6">
            <w:pPr>
              <w:spacing w:before="0" w:line="240" w:lineRule="auto"/>
              <w:jc w:val="center"/>
              <w:rPr>
                <w:rFonts w:asciiTheme="majorHAnsi" w:hAnsiTheme="majorHAnsi"/>
                <w:sz w:val="16"/>
                <w:szCs w:val="18"/>
                <w:lang w:val="sq-AL"/>
              </w:rPr>
            </w:pPr>
            <w:r w:rsidRPr="00BD6C06">
              <w:rPr>
                <w:rFonts w:asciiTheme="majorHAnsi" w:hAnsiTheme="majorHAnsi"/>
                <w:color w:val="000000"/>
                <w:sz w:val="16"/>
                <w:szCs w:val="18"/>
                <w:lang w:val="sq-AL"/>
              </w:rPr>
              <w:t>Planifikimi, Menaxhimi dhe Administrimi</w:t>
            </w:r>
          </w:p>
        </w:tc>
        <w:tc>
          <w:tcPr>
            <w:tcW w:w="391" w:type="pct"/>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132,600</w:t>
            </w:r>
          </w:p>
        </w:tc>
        <w:tc>
          <w:tcPr>
            <w:tcW w:w="401" w:type="pct"/>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7,000</w:t>
            </w:r>
          </w:p>
        </w:tc>
        <w:tc>
          <w:tcPr>
            <w:tcW w:w="482" w:type="pct"/>
            <w:shd w:val="clear" w:color="auto" w:fill="auto"/>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152,800</w:t>
            </w:r>
          </w:p>
        </w:tc>
        <w:tc>
          <w:tcPr>
            <w:tcW w:w="403" w:type="pct"/>
            <w:shd w:val="clear" w:color="auto" w:fill="auto"/>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7,000</w:t>
            </w:r>
          </w:p>
        </w:tc>
        <w:tc>
          <w:tcPr>
            <w:tcW w:w="441" w:type="pct"/>
            <w:shd w:val="clear" w:color="auto" w:fill="auto"/>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135,036</w:t>
            </w:r>
          </w:p>
        </w:tc>
        <w:tc>
          <w:tcPr>
            <w:tcW w:w="444" w:type="pct"/>
            <w:shd w:val="clear" w:color="auto" w:fill="auto"/>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6,659</w:t>
            </w:r>
          </w:p>
        </w:tc>
        <w:tc>
          <w:tcPr>
            <w:tcW w:w="321" w:type="pct"/>
            <w:shd w:val="clear" w:color="auto" w:fill="auto"/>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101.84</w:t>
            </w:r>
          </w:p>
        </w:tc>
        <w:tc>
          <w:tcPr>
            <w:tcW w:w="322" w:type="pct"/>
            <w:shd w:val="clear" w:color="auto" w:fill="auto"/>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95.13</w:t>
            </w:r>
          </w:p>
        </w:tc>
        <w:tc>
          <w:tcPr>
            <w:tcW w:w="269" w:type="pct"/>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88.4</w:t>
            </w:r>
          </w:p>
        </w:tc>
        <w:tc>
          <w:tcPr>
            <w:cnfStyle w:val="000100000000" w:firstRow="0" w:lastRow="0" w:firstColumn="0" w:lastColumn="1" w:oddVBand="0" w:evenVBand="0" w:oddHBand="0" w:evenHBand="0" w:firstRowFirstColumn="0" w:firstRowLastColumn="0" w:lastRowFirstColumn="0" w:lastRowLastColumn="0"/>
            <w:tcW w:w="262" w:type="pct"/>
          </w:tcPr>
          <w:p w:rsidR="00AB22B6" w:rsidRPr="00BD6C06" w:rsidRDefault="00AB22B6" w:rsidP="00AB22B6">
            <w:pPr>
              <w:spacing w:before="0" w:line="240" w:lineRule="auto"/>
              <w:jc w:val="center"/>
              <w:rPr>
                <w:rFonts w:asciiTheme="majorHAnsi" w:hAnsiTheme="majorHAnsi"/>
                <w:b w:val="0"/>
                <w:bCs w:val="0"/>
                <w:color w:val="000000"/>
                <w:sz w:val="16"/>
                <w:szCs w:val="18"/>
                <w:lang w:val="sq-AL"/>
              </w:rPr>
            </w:pPr>
            <w:r w:rsidRPr="00BD6C06">
              <w:rPr>
                <w:rFonts w:asciiTheme="majorHAnsi" w:hAnsiTheme="majorHAnsi"/>
                <w:b w:val="0"/>
                <w:bCs w:val="0"/>
                <w:color w:val="000000"/>
                <w:sz w:val="16"/>
                <w:szCs w:val="18"/>
                <w:lang w:val="sq-AL"/>
              </w:rPr>
              <w:t>95.1</w:t>
            </w:r>
          </w:p>
        </w:tc>
      </w:tr>
      <w:tr w:rsidR="00AB22B6" w:rsidRPr="00BD6C06" w:rsidTr="00AB22B6">
        <w:trPr>
          <w:trHeight w:val="252"/>
          <w:jc w:val="center"/>
        </w:trPr>
        <w:tc>
          <w:tcPr>
            <w:cnfStyle w:val="001000000000" w:firstRow="0" w:lastRow="0" w:firstColumn="1" w:lastColumn="0" w:oddVBand="0" w:evenVBand="0" w:oddHBand="0" w:evenHBand="0" w:firstRowFirstColumn="0" w:firstRowLastColumn="0" w:lastRowFirstColumn="0" w:lastRowLastColumn="0"/>
            <w:tcW w:w="1263" w:type="pct"/>
            <w:shd w:val="clear" w:color="auto" w:fill="auto"/>
            <w:vAlign w:val="center"/>
          </w:tcPr>
          <w:p w:rsidR="00AB22B6" w:rsidRPr="00BD6C06" w:rsidRDefault="00AB22B6" w:rsidP="00AB22B6">
            <w:pPr>
              <w:spacing w:before="0" w:line="240" w:lineRule="auto"/>
              <w:jc w:val="center"/>
              <w:rPr>
                <w:rFonts w:asciiTheme="majorHAnsi" w:hAnsiTheme="majorHAnsi"/>
                <w:sz w:val="16"/>
                <w:szCs w:val="18"/>
                <w:lang w:val="sq-AL"/>
              </w:rPr>
            </w:pPr>
            <w:r w:rsidRPr="00BD6C06">
              <w:rPr>
                <w:rFonts w:asciiTheme="majorHAnsi" w:hAnsiTheme="majorHAnsi"/>
                <w:color w:val="000000"/>
                <w:sz w:val="16"/>
                <w:szCs w:val="18"/>
                <w:lang w:val="sq-AL"/>
              </w:rPr>
              <w:t>Mbështetje diplomatike jashtë shtetit</w:t>
            </w:r>
          </w:p>
        </w:tc>
        <w:tc>
          <w:tcPr>
            <w:tcW w:w="391" w:type="pct"/>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2,123,776</w:t>
            </w:r>
          </w:p>
        </w:tc>
        <w:tc>
          <w:tcPr>
            <w:tcW w:w="401" w:type="pct"/>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15,000</w:t>
            </w:r>
          </w:p>
        </w:tc>
        <w:tc>
          <w:tcPr>
            <w:tcW w:w="482" w:type="pct"/>
            <w:shd w:val="clear" w:color="auto" w:fill="auto"/>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2,431,276</w:t>
            </w:r>
          </w:p>
        </w:tc>
        <w:tc>
          <w:tcPr>
            <w:tcW w:w="403" w:type="pct"/>
            <w:shd w:val="clear" w:color="auto" w:fill="auto"/>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31,000</w:t>
            </w:r>
          </w:p>
        </w:tc>
        <w:tc>
          <w:tcPr>
            <w:tcW w:w="441" w:type="pct"/>
            <w:shd w:val="clear" w:color="auto" w:fill="auto"/>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2,367,284</w:t>
            </w:r>
          </w:p>
        </w:tc>
        <w:tc>
          <w:tcPr>
            <w:tcW w:w="444" w:type="pct"/>
            <w:shd w:val="clear" w:color="auto" w:fill="auto"/>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31,000</w:t>
            </w:r>
          </w:p>
        </w:tc>
        <w:tc>
          <w:tcPr>
            <w:tcW w:w="321" w:type="pct"/>
            <w:shd w:val="clear" w:color="auto" w:fill="auto"/>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111.47</w:t>
            </w:r>
          </w:p>
        </w:tc>
        <w:tc>
          <w:tcPr>
            <w:tcW w:w="322" w:type="pct"/>
            <w:shd w:val="clear" w:color="auto" w:fill="auto"/>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206.67</w:t>
            </w:r>
          </w:p>
        </w:tc>
        <w:tc>
          <w:tcPr>
            <w:tcW w:w="269" w:type="pct"/>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97.4</w:t>
            </w:r>
          </w:p>
        </w:tc>
        <w:tc>
          <w:tcPr>
            <w:cnfStyle w:val="000100000000" w:firstRow="0" w:lastRow="0" w:firstColumn="0" w:lastColumn="1" w:oddVBand="0" w:evenVBand="0" w:oddHBand="0" w:evenHBand="0" w:firstRowFirstColumn="0" w:firstRowLastColumn="0" w:lastRowFirstColumn="0" w:lastRowLastColumn="0"/>
            <w:tcW w:w="262" w:type="pct"/>
          </w:tcPr>
          <w:p w:rsidR="00AB22B6" w:rsidRPr="00BD6C06" w:rsidRDefault="00AB22B6" w:rsidP="00AB22B6">
            <w:pPr>
              <w:spacing w:before="0" w:line="240" w:lineRule="auto"/>
              <w:jc w:val="center"/>
              <w:rPr>
                <w:rFonts w:asciiTheme="majorHAnsi" w:hAnsiTheme="majorHAnsi"/>
                <w:b w:val="0"/>
                <w:bCs w:val="0"/>
                <w:color w:val="000000"/>
                <w:sz w:val="16"/>
                <w:szCs w:val="18"/>
                <w:lang w:val="sq-AL"/>
              </w:rPr>
            </w:pPr>
            <w:r w:rsidRPr="00BD6C06">
              <w:rPr>
                <w:rFonts w:asciiTheme="majorHAnsi" w:hAnsiTheme="majorHAnsi"/>
                <w:b w:val="0"/>
                <w:bCs w:val="0"/>
                <w:color w:val="000000"/>
                <w:sz w:val="16"/>
                <w:szCs w:val="18"/>
                <w:lang w:val="sq-AL"/>
              </w:rPr>
              <w:t>100.0</w:t>
            </w:r>
          </w:p>
        </w:tc>
      </w:tr>
      <w:tr w:rsidR="00AB22B6" w:rsidRPr="00BD6C06" w:rsidTr="00AB22B6">
        <w:trPr>
          <w:trHeight w:val="131"/>
          <w:jc w:val="center"/>
        </w:trPr>
        <w:tc>
          <w:tcPr>
            <w:cnfStyle w:val="001000000000" w:firstRow="0" w:lastRow="0" w:firstColumn="1" w:lastColumn="0" w:oddVBand="0" w:evenVBand="0" w:oddHBand="0" w:evenHBand="0" w:firstRowFirstColumn="0" w:firstRowLastColumn="0" w:lastRowFirstColumn="0" w:lastRowLastColumn="0"/>
            <w:tcW w:w="1263" w:type="pct"/>
            <w:shd w:val="clear" w:color="auto" w:fill="auto"/>
            <w:vAlign w:val="center"/>
          </w:tcPr>
          <w:p w:rsidR="00AB22B6" w:rsidRPr="00BD6C06" w:rsidRDefault="00AB22B6" w:rsidP="00AB22B6">
            <w:pPr>
              <w:spacing w:before="0" w:line="240" w:lineRule="auto"/>
              <w:jc w:val="center"/>
              <w:rPr>
                <w:rFonts w:asciiTheme="majorHAnsi" w:hAnsiTheme="majorHAnsi"/>
                <w:bCs w:val="0"/>
                <w:sz w:val="16"/>
                <w:szCs w:val="18"/>
                <w:lang w:val="sq-AL"/>
              </w:rPr>
            </w:pPr>
            <w:r w:rsidRPr="00BD6C06">
              <w:rPr>
                <w:rFonts w:asciiTheme="majorHAnsi" w:hAnsiTheme="majorHAnsi"/>
                <w:color w:val="000000"/>
                <w:sz w:val="16"/>
                <w:szCs w:val="18"/>
                <w:lang w:val="sq-AL"/>
              </w:rPr>
              <w:t>Aktiviteti diplomatik dhe konsullor i MPJ</w:t>
            </w:r>
          </w:p>
        </w:tc>
        <w:tc>
          <w:tcPr>
            <w:tcW w:w="391" w:type="pct"/>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195,500</w:t>
            </w:r>
          </w:p>
        </w:tc>
        <w:tc>
          <w:tcPr>
            <w:tcW w:w="401" w:type="pct"/>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0</w:t>
            </w:r>
          </w:p>
        </w:tc>
        <w:tc>
          <w:tcPr>
            <w:tcW w:w="482" w:type="pct"/>
            <w:shd w:val="clear" w:color="auto" w:fill="auto"/>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196,000</w:t>
            </w:r>
          </w:p>
        </w:tc>
        <w:tc>
          <w:tcPr>
            <w:tcW w:w="403" w:type="pct"/>
            <w:shd w:val="clear" w:color="auto" w:fill="auto"/>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0</w:t>
            </w:r>
          </w:p>
        </w:tc>
        <w:tc>
          <w:tcPr>
            <w:tcW w:w="441" w:type="pct"/>
            <w:shd w:val="clear" w:color="auto" w:fill="auto"/>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174,547</w:t>
            </w:r>
          </w:p>
        </w:tc>
        <w:tc>
          <w:tcPr>
            <w:tcW w:w="444" w:type="pct"/>
            <w:shd w:val="clear" w:color="auto" w:fill="auto"/>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0</w:t>
            </w:r>
          </w:p>
        </w:tc>
        <w:tc>
          <w:tcPr>
            <w:tcW w:w="321" w:type="pct"/>
            <w:shd w:val="clear" w:color="auto" w:fill="auto"/>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89.28</w:t>
            </w:r>
          </w:p>
        </w:tc>
        <w:tc>
          <w:tcPr>
            <w:tcW w:w="322" w:type="pct"/>
            <w:shd w:val="clear" w:color="auto" w:fill="auto"/>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w:t>
            </w:r>
          </w:p>
        </w:tc>
        <w:tc>
          <w:tcPr>
            <w:tcW w:w="269" w:type="pct"/>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89.1</w:t>
            </w:r>
          </w:p>
        </w:tc>
        <w:tc>
          <w:tcPr>
            <w:cnfStyle w:val="000100000000" w:firstRow="0" w:lastRow="0" w:firstColumn="0" w:lastColumn="1" w:oddVBand="0" w:evenVBand="0" w:oddHBand="0" w:evenHBand="0" w:firstRowFirstColumn="0" w:firstRowLastColumn="0" w:lastRowFirstColumn="0" w:lastRowLastColumn="0"/>
            <w:tcW w:w="262" w:type="pct"/>
          </w:tcPr>
          <w:p w:rsidR="00AB22B6" w:rsidRPr="00BD6C06" w:rsidRDefault="00AB22B6" w:rsidP="00AB22B6">
            <w:pPr>
              <w:spacing w:before="0" w:line="240" w:lineRule="auto"/>
              <w:jc w:val="center"/>
              <w:rPr>
                <w:rFonts w:asciiTheme="majorHAnsi" w:hAnsiTheme="majorHAnsi"/>
                <w:b w:val="0"/>
                <w:bCs w:val="0"/>
                <w:color w:val="000000"/>
                <w:sz w:val="16"/>
                <w:szCs w:val="18"/>
                <w:lang w:val="sq-AL"/>
              </w:rPr>
            </w:pPr>
            <w:r w:rsidRPr="00BD6C06">
              <w:rPr>
                <w:rFonts w:asciiTheme="majorHAnsi" w:hAnsiTheme="majorHAnsi"/>
                <w:b w:val="0"/>
                <w:bCs w:val="0"/>
                <w:color w:val="000000"/>
                <w:sz w:val="16"/>
                <w:szCs w:val="18"/>
                <w:lang w:val="sq-AL"/>
              </w:rPr>
              <w:t>-</w:t>
            </w:r>
          </w:p>
        </w:tc>
      </w:tr>
      <w:tr w:rsidR="00AB22B6" w:rsidRPr="00BD6C06" w:rsidTr="00AB22B6">
        <w:trPr>
          <w:trHeight w:val="131"/>
          <w:jc w:val="center"/>
        </w:trPr>
        <w:tc>
          <w:tcPr>
            <w:cnfStyle w:val="001000000000" w:firstRow="0" w:lastRow="0" w:firstColumn="1" w:lastColumn="0" w:oddVBand="0" w:evenVBand="0" w:oddHBand="0" w:evenHBand="0" w:firstRowFirstColumn="0" w:firstRowLastColumn="0" w:lastRowFirstColumn="0" w:lastRowLastColumn="0"/>
            <w:tcW w:w="1263" w:type="pct"/>
            <w:shd w:val="clear" w:color="auto" w:fill="auto"/>
            <w:vAlign w:val="center"/>
          </w:tcPr>
          <w:p w:rsidR="00AB22B6" w:rsidRPr="00BD6C06" w:rsidRDefault="00AB22B6" w:rsidP="00AB22B6">
            <w:pPr>
              <w:spacing w:before="0" w:line="240" w:lineRule="auto"/>
              <w:jc w:val="center"/>
              <w:rPr>
                <w:rFonts w:asciiTheme="majorHAnsi" w:hAnsiTheme="majorHAnsi"/>
                <w:bCs w:val="0"/>
                <w:color w:val="000000"/>
                <w:sz w:val="16"/>
                <w:szCs w:val="18"/>
                <w:lang w:val="sq-AL"/>
              </w:rPr>
            </w:pPr>
            <w:r w:rsidRPr="00BD6C06">
              <w:rPr>
                <w:rFonts w:asciiTheme="majorHAnsi" w:hAnsiTheme="majorHAnsi"/>
                <w:color w:val="000000"/>
                <w:sz w:val="16"/>
                <w:szCs w:val="18"/>
                <w:lang w:val="sq-AL"/>
              </w:rPr>
              <w:t>Mbështetje për procesin e Integrimit</w:t>
            </w:r>
          </w:p>
        </w:tc>
        <w:tc>
          <w:tcPr>
            <w:tcW w:w="391" w:type="pct"/>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100,000</w:t>
            </w:r>
          </w:p>
        </w:tc>
        <w:tc>
          <w:tcPr>
            <w:tcW w:w="401" w:type="pct"/>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101,780</w:t>
            </w:r>
          </w:p>
        </w:tc>
        <w:tc>
          <w:tcPr>
            <w:tcW w:w="482" w:type="pct"/>
            <w:shd w:val="clear" w:color="auto" w:fill="auto"/>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100,300</w:t>
            </w:r>
          </w:p>
        </w:tc>
        <w:tc>
          <w:tcPr>
            <w:tcW w:w="403" w:type="pct"/>
            <w:shd w:val="clear" w:color="auto" w:fill="auto"/>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164,780</w:t>
            </w:r>
          </w:p>
        </w:tc>
        <w:tc>
          <w:tcPr>
            <w:tcW w:w="441" w:type="pct"/>
            <w:shd w:val="clear" w:color="auto" w:fill="auto"/>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80,509</w:t>
            </w:r>
          </w:p>
        </w:tc>
        <w:tc>
          <w:tcPr>
            <w:tcW w:w="444" w:type="pct"/>
            <w:shd w:val="clear" w:color="auto" w:fill="auto"/>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138,668</w:t>
            </w:r>
          </w:p>
        </w:tc>
        <w:tc>
          <w:tcPr>
            <w:tcW w:w="321" w:type="pct"/>
            <w:shd w:val="clear" w:color="auto" w:fill="auto"/>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80.51</w:t>
            </w:r>
          </w:p>
        </w:tc>
        <w:tc>
          <w:tcPr>
            <w:tcW w:w="322" w:type="pct"/>
            <w:shd w:val="clear" w:color="auto" w:fill="auto"/>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136.24</w:t>
            </w:r>
          </w:p>
        </w:tc>
        <w:tc>
          <w:tcPr>
            <w:tcW w:w="269" w:type="pct"/>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80.3</w:t>
            </w:r>
          </w:p>
        </w:tc>
        <w:tc>
          <w:tcPr>
            <w:cnfStyle w:val="000100000000" w:firstRow="0" w:lastRow="0" w:firstColumn="0" w:lastColumn="1" w:oddVBand="0" w:evenVBand="0" w:oddHBand="0" w:evenHBand="0" w:firstRowFirstColumn="0" w:firstRowLastColumn="0" w:lastRowFirstColumn="0" w:lastRowLastColumn="0"/>
            <w:tcW w:w="262" w:type="pct"/>
          </w:tcPr>
          <w:p w:rsidR="00AB22B6" w:rsidRPr="00BD6C06" w:rsidRDefault="00AB22B6" w:rsidP="00AB22B6">
            <w:pPr>
              <w:spacing w:before="0" w:line="240" w:lineRule="auto"/>
              <w:jc w:val="center"/>
              <w:rPr>
                <w:rFonts w:asciiTheme="majorHAnsi" w:hAnsiTheme="majorHAnsi"/>
                <w:b w:val="0"/>
                <w:bCs w:val="0"/>
                <w:color w:val="000000"/>
                <w:sz w:val="16"/>
                <w:szCs w:val="18"/>
                <w:lang w:val="sq-AL"/>
              </w:rPr>
            </w:pPr>
            <w:r w:rsidRPr="00BD6C06">
              <w:rPr>
                <w:rFonts w:asciiTheme="majorHAnsi" w:hAnsiTheme="majorHAnsi"/>
                <w:b w:val="0"/>
                <w:bCs w:val="0"/>
                <w:color w:val="000000"/>
                <w:sz w:val="16"/>
                <w:szCs w:val="18"/>
                <w:lang w:val="sq-AL"/>
              </w:rPr>
              <w:t>84.2</w:t>
            </w:r>
          </w:p>
        </w:tc>
      </w:tr>
      <w:tr w:rsidR="00AB22B6" w:rsidRPr="00BD6C06" w:rsidTr="00AB22B6">
        <w:trPr>
          <w:trHeight w:val="165"/>
          <w:jc w:val="center"/>
        </w:trPr>
        <w:tc>
          <w:tcPr>
            <w:cnfStyle w:val="001000000000" w:firstRow="0" w:lastRow="0" w:firstColumn="1" w:lastColumn="0" w:oddVBand="0" w:evenVBand="0" w:oddHBand="0" w:evenHBand="0" w:firstRowFirstColumn="0" w:firstRowLastColumn="0" w:lastRowFirstColumn="0" w:lastRowLastColumn="0"/>
            <w:tcW w:w="1263" w:type="pct"/>
            <w:tcBorders>
              <w:bottom w:val="double" w:sz="2" w:space="0" w:color="59A9F2" w:themeColor="accent1" w:themeTint="99"/>
            </w:tcBorders>
            <w:shd w:val="clear" w:color="auto" w:fill="auto"/>
            <w:vAlign w:val="bottom"/>
          </w:tcPr>
          <w:p w:rsidR="00AB22B6" w:rsidRPr="00BD6C06" w:rsidRDefault="00AB22B6" w:rsidP="00AB22B6">
            <w:pPr>
              <w:spacing w:before="0" w:line="240" w:lineRule="auto"/>
              <w:contextualSpacing/>
              <w:jc w:val="center"/>
              <w:rPr>
                <w:rFonts w:asciiTheme="majorHAnsi" w:hAnsiTheme="majorHAnsi"/>
                <w:i/>
                <w:sz w:val="16"/>
                <w:szCs w:val="18"/>
                <w:lang w:val="sq-AL"/>
              </w:rPr>
            </w:pPr>
            <w:r w:rsidRPr="00BD6C06">
              <w:rPr>
                <w:rFonts w:asciiTheme="majorHAnsi" w:hAnsiTheme="majorHAnsi"/>
                <w:i/>
                <w:sz w:val="16"/>
                <w:szCs w:val="18"/>
                <w:lang w:val="sq-AL"/>
              </w:rPr>
              <w:t>Gjithsej sipas natyrës</w:t>
            </w:r>
          </w:p>
        </w:tc>
        <w:tc>
          <w:tcPr>
            <w:tcW w:w="391" w:type="pct"/>
            <w:tcBorders>
              <w:bottom w:val="double" w:sz="2" w:space="0" w:color="59A9F2" w:themeColor="accent1" w:themeTint="99"/>
            </w:tcBorders>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2,551,876</w:t>
            </w:r>
          </w:p>
        </w:tc>
        <w:tc>
          <w:tcPr>
            <w:tcW w:w="401" w:type="pct"/>
            <w:tcBorders>
              <w:bottom w:val="double" w:sz="2" w:space="0" w:color="59A9F2" w:themeColor="accent1" w:themeTint="99"/>
            </w:tcBorders>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123,780</w:t>
            </w:r>
          </w:p>
        </w:tc>
        <w:tc>
          <w:tcPr>
            <w:tcW w:w="482" w:type="pct"/>
            <w:tcBorders>
              <w:bottom w:val="double" w:sz="2" w:space="0" w:color="59A9F2" w:themeColor="accent1" w:themeTint="99"/>
            </w:tcBorders>
            <w:shd w:val="clear" w:color="auto" w:fill="auto"/>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2,880,376</w:t>
            </w:r>
          </w:p>
        </w:tc>
        <w:tc>
          <w:tcPr>
            <w:tcW w:w="403" w:type="pct"/>
            <w:tcBorders>
              <w:bottom w:val="double" w:sz="2" w:space="0" w:color="59A9F2" w:themeColor="accent1" w:themeTint="99"/>
            </w:tcBorders>
            <w:shd w:val="clear" w:color="auto" w:fill="auto"/>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202,780</w:t>
            </w:r>
          </w:p>
        </w:tc>
        <w:tc>
          <w:tcPr>
            <w:tcW w:w="441" w:type="pct"/>
            <w:tcBorders>
              <w:bottom w:val="double" w:sz="2" w:space="0" w:color="59A9F2" w:themeColor="accent1" w:themeTint="99"/>
            </w:tcBorders>
            <w:shd w:val="clear" w:color="auto" w:fill="auto"/>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2,757,376</w:t>
            </w:r>
          </w:p>
        </w:tc>
        <w:tc>
          <w:tcPr>
            <w:tcW w:w="444" w:type="pct"/>
            <w:tcBorders>
              <w:bottom w:val="double" w:sz="2" w:space="0" w:color="59A9F2" w:themeColor="accent1" w:themeTint="99"/>
            </w:tcBorders>
            <w:shd w:val="clear" w:color="auto" w:fill="auto"/>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176,327</w:t>
            </w:r>
          </w:p>
        </w:tc>
        <w:tc>
          <w:tcPr>
            <w:tcW w:w="321" w:type="pct"/>
            <w:tcBorders>
              <w:bottom w:val="double" w:sz="2" w:space="0" w:color="59A9F2" w:themeColor="accent1" w:themeTint="99"/>
            </w:tcBorders>
            <w:shd w:val="clear" w:color="auto" w:fill="auto"/>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108.05</w:t>
            </w:r>
          </w:p>
        </w:tc>
        <w:tc>
          <w:tcPr>
            <w:tcW w:w="322" w:type="pct"/>
            <w:tcBorders>
              <w:bottom w:val="double" w:sz="2" w:space="0" w:color="59A9F2" w:themeColor="accent1" w:themeTint="99"/>
            </w:tcBorders>
            <w:shd w:val="clear" w:color="auto" w:fill="auto"/>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142.45</w:t>
            </w:r>
          </w:p>
        </w:tc>
        <w:tc>
          <w:tcPr>
            <w:tcW w:w="269" w:type="pct"/>
            <w:tcBorders>
              <w:bottom w:val="double" w:sz="2" w:space="0" w:color="59A9F2" w:themeColor="accent1" w:themeTint="99"/>
            </w:tcBorders>
          </w:tcPr>
          <w:p w:rsidR="00AB22B6" w:rsidRPr="00BD6C06" w:rsidRDefault="00AB22B6" w:rsidP="00AB22B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8"/>
                <w:lang w:val="sq-AL"/>
              </w:rPr>
            </w:pPr>
            <w:r w:rsidRPr="00BD6C06">
              <w:rPr>
                <w:rFonts w:asciiTheme="majorHAnsi" w:hAnsiTheme="majorHAnsi"/>
                <w:color w:val="000000"/>
                <w:sz w:val="16"/>
                <w:szCs w:val="18"/>
                <w:lang w:val="sq-AL"/>
              </w:rPr>
              <w:t>95.7</w:t>
            </w:r>
          </w:p>
        </w:tc>
        <w:tc>
          <w:tcPr>
            <w:cnfStyle w:val="000100000000" w:firstRow="0" w:lastRow="0" w:firstColumn="0" w:lastColumn="1" w:oddVBand="0" w:evenVBand="0" w:oddHBand="0" w:evenHBand="0" w:firstRowFirstColumn="0" w:firstRowLastColumn="0" w:lastRowFirstColumn="0" w:lastRowLastColumn="0"/>
            <w:tcW w:w="262" w:type="pct"/>
            <w:tcBorders>
              <w:bottom w:val="double" w:sz="2" w:space="0" w:color="59A9F2" w:themeColor="accent1" w:themeTint="99"/>
            </w:tcBorders>
          </w:tcPr>
          <w:p w:rsidR="00AB22B6" w:rsidRPr="00BD6C06" w:rsidRDefault="00AB22B6" w:rsidP="00AB22B6">
            <w:pPr>
              <w:spacing w:before="0" w:line="240" w:lineRule="auto"/>
              <w:jc w:val="center"/>
              <w:rPr>
                <w:rFonts w:asciiTheme="majorHAnsi" w:hAnsiTheme="majorHAnsi"/>
                <w:b w:val="0"/>
                <w:bCs w:val="0"/>
                <w:color w:val="000000"/>
                <w:sz w:val="16"/>
                <w:szCs w:val="18"/>
                <w:lang w:val="sq-AL"/>
              </w:rPr>
            </w:pPr>
            <w:r w:rsidRPr="00BD6C06">
              <w:rPr>
                <w:rFonts w:asciiTheme="majorHAnsi" w:hAnsiTheme="majorHAnsi"/>
                <w:b w:val="0"/>
                <w:bCs w:val="0"/>
                <w:color w:val="000000"/>
                <w:sz w:val="16"/>
                <w:szCs w:val="18"/>
                <w:lang w:val="sq-AL"/>
              </w:rPr>
              <w:t>87.0</w:t>
            </w:r>
          </w:p>
        </w:tc>
      </w:tr>
      <w:tr w:rsidR="00AB22B6" w:rsidRPr="00BD6C06" w:rsidTr="00CC123A">
        <w:trPr>
          <w:cnfStyle w:val="010000000000" w:firstRow="0" w:lastRow="1"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263" w:type="pct"/>
            <w:shd w:val="clear" w:color="auto" w:fill="0B5294" w:themeFill="accent1" w:themeFillShade="BF"/>
            <w:vAlign w:val="center"/>
          </w:tcPr>
          <w:p w:rsidR="00AB22B6" w:rsidRPr="00BD6C06" w:rsidRDefault="00AB22B6" w:rsidP="00AB22B6">
            <w:pPr>
              <w:spacing w:before="0" w:line="240" w:lineRule="auto"/>
              <w:contextualSpacing/>
              <w:jc w:val="center"/>
              <w:rPr>
                <w:rFonts w:asciiTheme="majorHAnsi" w:hAnsiTheme="majorHAnsi"/>
                <w:color w:val="FFFFFF" w:themeColor="background1"/>
                <w:sz w:val="16"/>
                <w:szCs w:val="18"/>
                <w:lang w:val="sq-AL"/>
              </w:rPr>
            </w:pPr>
            <w:r w:rsidRPr="00BD6C06">
              <w:rPr>
                <w:rFonts w:asciiTheme="majorHAnsi" w:hAnsiTheme="majorHAnsi"/>
                <w:color w:val="FFFFFF" w:themeColor="background1"/>
                <w:sz w:val="16"/>
                <w:lang w:val="sq-AL"/>
              </w:rPr>
              <w:t>Gjithsej</w:t>
            </w:r>
          </w:p>
        </w:tc>
        <w:tc>
          <w:tcPr>
            <w:tcW w:w="792" w:type="pct"/>
            <w:gridSpan w:val="2"/>
            <w:shd w:val="clear" w:color="auto" w:fill="0B5294" w:themeFill="accent1" w:themeFillShade="BF"/>
            <w:vAlign w:val="bottom"/>
          </w:tcPr>
          <w:p w:rsidR="00AB22B6" w:rsidRPr="00BD6C06" w:rsidRDefault="00AB22B6" w:rsidP="00AB22B6">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olor w:val="FFFFFF" w:themeColor="background1"/>
                <w:sz w:val="16"/>
                <w:szCs w:val="18"/>
                <w:lang w:val="sq-AL"/>
              </w:rPr>
            </w:pPr>
            <w:r w:rsidRPr="00BD6C06">
              <w:rPr>
                <w:rFonts w:asciiTheme="majorHAnsi" w:hAnsiTheme="majorHAnsi"/>
                <w:color w:val="FFFFFF" w:themeColor="background1"/>
                <w:sz w:val="16"/>
                <w:szCs w:val="18"/>
                <w:lang w:val="sq-AL"/>
              </w:rPr>
              <w:t>2,675,656</w:t>
            </w:r>
          </w:p>
        </w:tc>
        <w:tc>
          <w:tcPr>
            <w:tcW w:w="885" w:type="pct"/>
            <w:gridSpan w:val="2"/>
            <w:shd w:val="clear" w:color="auto" w:fill="0B5294" w:themeFill="accent1" w:themeFillShade="BF"/>
            <w:vAlign w:val="bottom"/>
          </w:tcPr>
          <w:p w:rsidR="00AB22B6" w:rsidRPr="00BD6C06" w:rsidRDefault="00AB22B6" w:rsidP="00AB22B6">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olor w:val="FFFFFF" w:themeColor="background1"/>
                <w:sz w:val="16"/>
                <w:szCs w:val="18"/>
                <w:lang w:val="sq-AL"/>
              </w:rPr>
            </w:pPr>
            <w:r w:rsidRPr="00BD6C06">
              <w:rPr>
                <w:rFonts w:asciiTheme="majorHAnsi" w:hAnsiTheme="majorHAnsi"/>
                <w:color w:val="FFFFFF" w:themeColor="background1"/>
                <w:sz w:val="16"/>
                <w:szCs w:val="18"/>
                <w:lang w:val="sq-AL"/>
              </w:rPr>
              <w:t>3,083,156</w:t>
            </w:r>
          </w:p>
        </w:tc>
        <w:tc>
          <w:tcPr>
            <w:tcW w:w="885" w:type="pct"/>
            <w:gridSpan w:val="2"/>
            <w:shd w:val="clear" w:color="auto" w:fill="0B5294" w:themeFill="accent1" w:themeFillShade="BF"/>
            <w:vAlign w:val="bottom"/>
          </w:tcPr>
          <w:p w:rsidR="00AB22B6" w:rsidRPr="00BD6C06" w:rsidRDefault="00AB22B6" w:rsidP="00AB22B6">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olor w:val="FFFFFF" w:themeColor="background1"/>
                <w:sz w:val="16"/>
                <w:szCs w:val="18"/>
                <w:lang w:val="sq-AL"/>
              </w:rPr>
            </w:pPr>
            <w:r w:rsidRPr="00BD6C06">
              <w:rPr>
                <w:rFonts w:asciiTheme="majorHAnsi" w:hAnsiTheme="majorHAnsi"/>
                <w:color w:val="FFFFFF" w:themeColor="background1"/>
                <w:sz w:val="16"/>
                <w:szCs w:val="18"/>
                <w:lang w:val="sq-AL"/>
              </w:rPr>
              <w:t>2,933,703</w:t>
            </w:r>
          </w:p>
        </w:tc>
        <w:tc>
          <w:tcPr>
            <w:tcW w:w="643" w:type="pct"/>
            <w:gridSpan w:val="2"/>
            <w:shd w:val="clear" w:color="auto" w:fill="0B5294" w:themeFill="accent1" w:themeFillShade="BF"/>
            <w:vAlign w:val="bottom"/>
          </w:tcPr>
          <w:p w:rsidR="00AB22B6" w:rsidRPr="00BD6C06" w:rsidRDefault="00AB22B6" w:rsidP="00AB22B6">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olor w:val="FFFFFF" w:themeColor="background1"/>
                <w:sz w:val="16"/>
                <w:szCs w:val="18"/>
                <w:lang w:val="sq-AL"/>
              </w:rPr>
            </w:pPr>
            <w:r w:rsidRPr="00BD6C06">
              <w:rPr>
                <w:rFonts w:asciiTheme="majorHAnsi" w:hAnsiTheme="majorHAnsi"/>
                <w:color w:val="FFFFFF" w:themeColor="background1"/>
                <w:sz w:val="16"/>
                <w:szCs w:val="18"/>
                <w:lang w:val="sq-AL"/>
              </w:rPr>
              <w:t>109.6</w:t>
            </w:r>
          </w:p>
        </w:tc>
        <w:tc>
          <w:tcPr>
            <w:cnfStyle w:val="000100000000" w:firstRow="0" w:lastRow="0" w:firstColumn="0" w:lastColumn="1" w:oddVBand="0" w:evenVBand="0" w:oddHBand="0" w:evenHBand="0" w:firstRowFirstColumn="0" w:firstRowLastColumn="0" w:lastRowFirstColumn="0" w:lastRowLastColumn="0"/>
            <w:tcW w:w="532" w:type="pct"/>
            <w:gridSpan w:val="2"/>
            <w:shd w:val="clear" w:color="auto" w:fill="0B5294" w:themeFill="accent1" w:themeFillShade="BF"/>
            <w:vAlign w:val="bottom"/>
          </w:tcPr>
          <w:p w:rsidR="00AB22B6" w:rsidRPr="00BD6C06" w:rsidRDefault="00AB22B6" w:rsidP="00AB22B6">
            <w:pPr>
              <w:spacing w:before="0" w:line="240" w:lineRule="auto"/>
              <w:jc w:val="center"/>
              <w:rPr>
                <w:rFonts w:asciiTheme="majorHAnsi" w:hAnsiTheme="majorHAnsi"/>
                <w:color w:val="FFFFFF" w:themeColor="background1"/>
                <w:sz w:val="16"/>
                <w:szCs w:val="18"/>
                <w:lang w:val="sq-AL"/>
              </w:rPr>
            </w:pPr>
            <w:r w:rsidRPr="00BD6C06">
              <w:rPr>
                <w:rFonts w:asciiTheme="majorHAnsi" w:hAnsiTheme="majorHAnsi"/>
                <w:color w:val="FFFFFF" w:themeColor="background1"/>
                <w:sz w:val="16"/>
                <w:szCs w:val="18"/>
                <w:lang w:val="sq-AL"/>
              </w:rPr>
              <w:t>95.2</w:t>
            </w:r>
          </w:p>
        </w:tc>
      </w:tr>
    </w:tbl>
    <w:p w:rsidR="00AB22B6" w:rsidRPr="00CC123A" w:rsidRDefault="00AB22B6" w:rsidP="00AB22B6">
      <w:pPr>
        <w:jc w:val="center"/>
        <w:rPr>
          <w:rFonts w:cs="Calibri"/>
          <w:noProof/>
          <w:sz w:val="4"/>
          <w:szCs w:val="8"/>
          <w:lang w:val="sq-AL"/>
        </w:rPr>
      </w:pPr>
    </w:p>
    <w:p w:rsidR="00CC123A" w:rsidRPr="00BD6C06" w:rsidRDefault="00CC123A" w:rsidP="00CC123A">
      <w:pPr>
        <w:rPr>
          <w:rFonts w:asciiTheme="majorHAnsi" w:hAnsiTheme="majorHAnsi"/>
          <w:noProof/>
          <w:szCs w:val="22"/>
          <w:lang w:val="sq-AL"/>
        </w:rPr>
      </w:pPr>
      <w:r w:rsidRPr="00BD6C06">
        <w:rPr>
          <w:rFonts w:asciiTheme="majorHAnsi" w:hAnsiTheme="majorHAnsi"/>
          <w:noProof/>
          <w:szCs w:val="22"/>
          <w:lang w:val="sq-AL"/>
        </w:rPr>
        <w:t>Programi “</w:t>
      </w:r>
      <w:r w:rsidRPr="00BD6C06">
        <w:rPr>
          <w:rFonts w:asciiTheme="majorHAnsi" w:hAnsiTheme="majorHAnsi"/>
          <w:b/>
          <w:noProof/>
          <w:szCs w:val="22"/>
          <w:lang w:val="sq-AL"/>
        </w:rPr>
        <w:t>Mbështetje diplomatike jashtë shteti</w:t>
      </w:r>
      <w:r>
        <w:rPr>
          <w:rFonts w:asciiTheme="majorHAnsi" w:hAnsiTheme="majorHAnsi"/>
          <w:b/>
          <w:noProof/>
          <w:szCs w:val="22"/>
          <w:lang w:val="sq-AL"/>
        </w:rPr>
        <w:t>t</w:t>
      </w:r>
      <w:r w:rsidRPr="00BD6C06">
        <w:rPr>
          <w:rFonts w:asciiTheme="majorHAnsi" w:hAnsiTheme="majorHAnsi"/>
          <w:noProof/>
          <w:szCs w:val="22"/>
          <w:lang w:val="sq-AL"/>
        </w:rPr>
        <w:t>”</w:t>
      </w:r>
      <w:r>
        <w:rPr>
          <w:rFonts w:asciiTheme="majorHAnsi" w:hAnsiTheme="majorHAnsi"/>
          <w:noProof/>
          <w:szCs w:val="22"/>
          <w:lang w:val="sq-AL"/>
        </w:rPr>
        <w:t xml:space="preserve">, </w:t>
      </w:r>
      <w:r w:rsidRPr="00BD6C06">
        <w:rPr>
          <w:rFonts w:asciiTheme="majorHAnsi" w:hAnsiTheme="majorHAnsi"/>
          <w:noProof/>
          <w:szCs w:val="22"/>
          <w:lang w:val="sq-AL"/>
        </w:rPr>
        <w:t xml:space="preserve"> zë vendin kryesor në realizimin e shpenzimeve për MEPJ me një vlerë prej 2.3 milardë lekë, në përmbushje të objektivave të këtij programi gjatë vitit 2021</w:t>
      </w:r>
      <w:r>
        <w:rPr>
          <w:rFonts w:asciiTheme="majorHAnsi" w:hAnsiTheme="majorHAnsi"/>
          <w:noProof/>
          <w:szCs w:val="22"/>
          <w:lang w:val="sq-AL"/>
        </w:rPr>
        <w:t>,</w:t>
      </w:r>
      <w:r w:rsidRPr="00BD6C06">
        <w:rPr>
          <w:rFonts w:asciiTheme="majorHAnsi" w:hAnsiTheme="majorHAnsi"/>
          <w:noProof/>
          <w:szCs w:val="22"/>
          <w:lang w:val="sq-AL"/>
        </w:rPr>
        <w:t xml:space="preserve"> </w:t>
      </w:r>
      <w:r w:rsidR="000703F6">
        <w:rPr>
          <w:rFonts w:asciiTheme="majorHAnsi" w:hAnsiTheme="majorHAnsi"/>
          <w:noProof/>
          <w:szCs w:val="22"/>
          <w:lang w:val="sq-AL"/>
        </w:rPr>
        <w:t>janë realizuar aktivietet si më</w:t>
      </w:r>
      <w:r w:rsidRPr="00BD6C06">
        <w:rPr>
          <w:rFonts w:asciiTheme="majorHAnsi" w:hAnsiTheme="majorHAnsi"/>
          <w:noProof/>
          <w:szCs w:val="22"/>
          <w:lang w:val="sq-AL"/>
        </w:rPr>
        <w:t>poshtë:</w:t>
      </w:r>
    </w:p>
    <w:p w:rsidR="00CC123A" w:rsidRPr="00CC123A" w:rsidRDefault="00CC123A"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CC123A">
        <w:rPr>
          <w:rFonts w:asciiTheme="majorHAnsi" w:hAnsiTheme="majorHAnsi" w:cs="Calibri Light"/>
          <w:bCs/>
          <w:i/>
          <w:szCs w:val="22"/>
          <w:lang w:val="sq-AL" w:eastAsia="en-GB"/>
        </w:rPr>
        <w:t xml:space="preserve">Janë shlyer detyrimet ndaj Organizatës së Kombeve të Bashkuara; Misioneve Paqeruajtëse; Frankofonisë; ANEA-s; UNIDO-s; UNESCO; Këshilli i Evropës, NATO-s; OSBE-së etj; </w:t>
      </w:r>
    </w:p>
    <w:p w:rsidR="00CC123A" w:rsidRPr="00CC123A" w:rsidRDefault="00CC123A"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CC123A">
        <w:rPr>
          <w:rFonts w:asciiTheme="majorHAnsi" w:hAnsiTheme="majorHAnsi" w:cs="Calibri Light"/>
          <w:bCs/>
          <w:i/>
          <w:szCs w:val="22"/>
          <w:lang w:val="sq-AL" w:eastAsia="en-GB"/>
        </w:rPr>
        <w:lastRenderedPageBreak/>
        <w:t>Janë realizuar raporte mbi zgjerimin e shërbimeve konsullore ku theksojmë procesin e lëshimit të certifikatave nga përfaqësitë diplomatike;</w:t>
      </w:r>
    </w:p>
    <w:p w:rsidR="00CC123A" w:rsidRPr="00CC123A" w:rsidRDefault="00CC123A"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CC123A">
        <w:rPr>
          <w:rFonts w:asciiTheme="majorHAnsi" w:hAnsiTheme="majorHAnsi" w:cs="Calibri Light"/>
          <w:bCs/>
          <w:i/>
          <w:szCs w:val="22"/>
          <w:lang w:val="sq-AL" w:eastAsia="en-GB"/>
        </w:rPr>
        <w:t>Janë shpërndarë falas nga ambasadat e RSh-së tekstet shkollore në gjuhën shqipe në të gjitha hapësirat ku jetojnë shqiptarë dhe janë kryere aktivitet me Diasporën Shqiptare;</w:t>
      </w:r>
    </w:p>
    <w:p w:rsidR="00CC123A" w:rsidRPr="00CC123A" w:rsidRDefault="00CC123A"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CC123A">
        <w:rPr>
          <w:rFonts w:asciiTheme="majorHAnsi" w:hAnsiTheme="majorHAnsi" w:cs="Calibri Light"/>
          <w:bCs/>
          <w:i/>
          <w:szCs w:val="22"/>
          <w:lang w:val="sq-AL" w:eastAsia="en-GB"/>
        </w:rPr>
        <w:t>Hapja e zyrave për pajisje me Pasaporta dhe ID të qytetarëve shqiptarë në Bari, Stamboll, Paris, Stokholm, Berlin dhe Vjenë si dhe është bërë implementimi i projektit “Ishujt” i cili  u mundëson shtetasve shqiptare që jetojnë dhe punojnë në Kretë dhe Rodos të aplikojnë për dokumente biometrike.</w:t>
      </w:r>
    </w:p>
    <w:p w:rsidR="007B7B50" w:rsidRPr="00CC123A" w:rsidRDefault="00CC123A" w:rsidP="00842F80">
      <w:pPr>
        <w:pStyle w:val="ListParagraph"/>
        <w:numPr>
          <w:ilvl w:val="0"/>
          <w:numId w:val="27"/>
        </w:numPr>
        <w:shd w:val="clear" w:color="auto" w:fill="FFFFFF" w:themeFill="background1"/>
        <w:spacing w:before="0" w:line="240" w:lineRule="auto"/>
        <w:ind w:left="630"/>
        <w:rPr>
          <w:rFonts w:asciiTheme="majorHAnsi" w:hAnsiTheme="majorHAnsi" w:cs="Calibri Light"/>
          <w:bCs/>
          <w:i/>
          <w:szCs w:val="22"/>
          <w:lang w:val="sq-AL" w:eastAsia="en-GB"/>
        </w:rPr>
      </w:pPr>
      <w:r w:rsidRPr="00CC123A">
        <w:rPr>
          <w:rFonts w:asciiTheme="majorHAnsi" w:hAnsiTheme="majorHAnsi" w:cs="Calibri Light"/>
          <w:bCs/>
          <w:i/>
          <w:szCs w:val="22"/>
          <w:lang w:val="sq-AL" w:eastAsia="en-GB"/>
        </w:rPr>
        <w:t>Gjatë vitit 2021, Shqipëria u zgjodh anëtare jo e përhershme e Këshillit të Sigurimit të OKB-së</w:t>
      </w:r>
      <w:r w:rsidR="007B7B50" w:rsidRPr="00CC123A">
        <w:rPr>
          <w:rFonts w:asciiTheme="majorHAnsi" w:hAnsiTheme="majorHAnsi" w:cs="Calibri Light"/>
          <w:bCs/>
          <w:i/>
          <w:szCs w:val="22"/>
          <w:lang w:val="sq-AL" w:eastAsia="en-GB"/>
        </w:rPr>
        <w:t>.</w:t>
      </w:r>
    </w:p>
    <w:p w:rsidR="00350CF6" w:rsidRDefault="007B7B50" w:rsidP="00350CF6">
      <w:pPr>
        <w:rPr>
          <w:rFonts w:cs="Calibri"/>
          <w:lang w:val="sq-AL"/>
        </w:rPr>
      </w:pPr>
      <w:r w:rsidRPr="000703F6">
        <w:rPr>
          <w:rFonts w:cs="Calibri"/>
          <w:lang w:val="sq-AL"/>
        </w:rPr>
        <w:t xml:space="preserve">Për sa </w:t>
      </w:r>
      <w:r w:rsidR="00374BB8" w:rsidRPr="000703F6">
        <w:rPr>
          <w:rFonts w:cs="Calibri"/>
          <w:lang w:val="sq-AL"/>
        </w:rPr>
        <w:t>i</w:t>
      </w:r>
      <w:r w:rsidRPr="000703F6">
        <w:rPr>
          <w:rFonts w:cs="Calibri"/>
          <w:lang w:val="sq-AL"/>
        </w:rPr>
        <w:t xml:space="preserve"> përket </w:t>
      </w:r>
      <w:r w:rsidRPr="000703F6">
        <w:rPr>
          <w:rFonts w:cs="Calibri"/>
          <w:b/>
          <w:lang w:val="sq-AL"/>
        </w:rPr>
        <w:t>investimeve publike</w:t>
      </w:r>
      <w:r w:rsidRPr="000703F6">
        <w:rPr>
          <w:rFonts w:cs="Calibri"/>
          <w:lang w:val="sq-AL"/>
        </w:rPr>
        <w:t xml:space="preserve">, </w:t>
      </w:r>
      <w:r w:rsidR="000703F6" w:rsidRPr="000703F6">
        <w:rPr>
          <w:rFonts w:cs="Calibri"/>
          <w:lang w:val="sq-AL"/>
        </w:rPr>
        <w:t xml:space="preserve">realizimi në vitin 2021 ishte </w:t>
      </w:r>
      <w:r w:rsidR="001007C6">
        <w:rPr>
          <w:rFonts w:cs="Calibri"/>
          <w:lang w:val="sq-AL"/>
        </w:rPr>
        <w:t>118.9</w:t>
      </w:r>
      <w:r w:rsidR="000703F6" w:rsidRPr="000703F6">
        <w:rPr>
          <w:rFonts w:cs="Calibri"/>
          <w:lang w:val="sq-AL"/>
        </w:rPr>
        <w:t>% e buxhetit fillestar për projektet me financim të brendshëm (0. 05miliard lekë)</w:t>
      </w:r>
      <w:r w:rsidR="000703F6">
        <w:rPr>
          <w:rFonts w:cs="Calibri"/>
          <w:bCs/>
          <w:iCs/>
          <w:lang w:val="sq-AL"/>
        </w:rPr>
        <w:t xml:space="preserve"> (86.7</w:t>
      </w:r>
      <w:r w:rsidR="000703F6" w:rsidRPr="000703F6">
        <w:rPr>
          <w:rFonts w:cs="Calibri"/>
          <w:bCs/>
          <w:iCs/>
          <w:lang w:val="sq-AL"/>
        </w:rPr>
        <w:t>% të planit vjetor të ndryshuar me AN nr.34)</w:t>
      </w:r>
      <w:r w:rsidR="000703F6" w:rsidRPr="000703F6">
        <w:rPr>
          <w:rFonts w:cs="Calibri"/>
          <w:lang w:val="sq-AL"/>
        </w:rPr>
        <w:t xml:space="preserve"> dhe 155% e buxhetit fillestar për projektet me financim të huaj (0.12 milard lekë)</w:t>
      </w:r>
      <w:r w:rsidR="000703F6">
        <w:rPr>
          <w:rFonts w:cs="Calibri"/>
          <w:bCs/>
          <w:iCs/>
          <w:lang w:val="sq-AL"/>
        </w:rPr>
        <w:t xml:space="preserve"> (87.1</w:t>
      </w:r>
      <w:r w:rsidR="000703F6" w:rsidRPr="000703F6">
        <w:rPr>
          <w:rFonts w:cs="Calibri"/>
          <w:bCs/>
          <w:iCs/>
          <w:lang w:val="sq-AL"/>
        </w:rPr>
        <w:t>% të planit vjetor të ndryshuar me AN nr.34).</w:t>
      </w:r>
      <w:r w:rsidR="000703F6" w:rsidRPr="000703F6">
        <w:rPr>
          <w:rFonts w:cs="Calibri"/>
          <w:lang w:val="sq-AL"/>
        </w:rPr>
        <w:t xml:space="preserve"> </w:t>
      </w:r>
      <w:r w:rsidR="000703F6" w:rsidRPr="000703F6">
        <w:rPr>
          <w:rFonts w:asciiTheme="majorHAnsi" w:eastAsiaTheme="minorHAnsi" w:hAnsiTheme="majorHAnsi" w:cs="Calibri Light"/>
          <w:szCs w:val="22"/>
          <w:lang w:val="sq-AL"/>
        </w:rPr>
        <w:t xml:space="preserve"> Për Ministrinë për Evropën dhe Punët e Jashtme janë paguar disa kontrata për blerje paisjesh për përfqësitë diplomatike, dhe pagesa në kuadër të projekteve të asistencës teknike.</w:t>
      </w:r>
      <w:r w:rsidRPr="00476D2E">
        <w:rPr>
          <w:rFonts w:cs="Calibri"/>
          <w:lang w:val="sq-AL"/>
        </w:rPr>
        <w:t xml:space="preserve"> </w:t>
      </w:r>
      <w:bookmarkEnd w:id="230"/>
      <w:bookmarkEnd w:id="231"/>
    </w:p>
    <w:p w:rsidR="000703F6" w:rsidRDefault="000703F6" w:rsidP="00350CF6">
      <w:pPr>
        <w:rPr>
          <w:rFonts w:cs="Calibri"/>
          <w:lang w:val="sq-AL"/>
        </w:rPr>
      </w:pPr>
    </w:p>
    <w:p w:rsidR="000703F6" w:rsidRDefault="000703F6" w:rsidP="00350CF6">
      <w:pPr>
        <w:rPr>
          <w:rFonts w:cs="Calibri"/>
          <w:lang w:val="sq-AL"/>
        </w:rPr>
      </w:pPr>
    </w:p>
    <w:p w:rsidR="0080198A" w:rsidRDefault="0080198A" w:rsidP="00350CF6">
      <w:pPr>
        <w:rPr>
          <w:rFonts w:cs="Calibri"/>
          <w:lang w:val="sq-AL"/>
        </w:rPr>
      </w:pPr>
    </w:p>
    <w:p w:rsidR="0080198A" w:rsidRDefault="0080198A" w:rsidP="00350CF6">
      <w:pPr>
        <w:rPr>
          <w:rFonts w:cs="Calibri"/>
          <w:lang w:val="sq-AL"/>
        </w:rPr>
      </w:pPr>
    </w:p>
    <w:p w:rsidR="0080198A" w:rsidRDefault="0080198A" w:rsidP="00350CF6">
      <w:pPr>
        <w:rPr>
          <w:rFonts w:cs="Calibri"/>
          <w:lang w:val="sq-AL"/>
        </w:rPr>
      </w:pPr>
    </w:p>
    <w:p w:rsidR="0080198A" w:rsidRDefault="0080198A" w:rsidP="00350CF6">
      <w:pPr>
        <w:rPr>
          <w:rFonts w:cs="Calibri"/>
          <w:lang w:val="sq-AL"/>
        </w:rPr>
      </w:pPr>
    </w:p>
    <w:p w:rsidR="0080198A" w:rsidRDefault="0080198A" w:rsidP="00350CF6">
      <w:pPr>
        <w:rPr>
          <w:rFonts w:cs="Calibri"/>
          <w:lang w:val="sq-AL"/>
        </w:rPr>
      </w:pPr>
    </w:p>
    <w:p w:rsidR="000703F6" w:rsidRPr="00476D2E" w:rsidRDefault="000703F6" w:rsidP="00350CF6">
      <w:pPr>
        <w:rPr>
          <w:rFonts w:eastAsia="SimSun" w:cs="Calibri"/>
          <w:sz w:val="20"/>
          <w:lang w:val="sq-AL"/>
        </w:rPr>
      </w:pPr>
    </w:p>
    <w:p w:rsidR="00801A29" w:rsidRDefault="00801A29" w:rsidP="00801A29">
      <w:pPr>
        <w:spacing w:line="360" w:lineRule="auto"/>
        <w:ind w:left="2880" w:firstLine="720"/>
        <w:rPr>
          <w:rFonts w:eastAsia="SimSun" w:cs="Calibri"/>
          <w:b/>
          <w:sz w:val="28"/>
          <w:lang w:val="sq-AL"/>
        </w:rPr>
      </w:pPr>
      <w:r w:rsidRPr="00476D2E">
        <w:rPr>
          <w:rFonts w:eastAsia="SimSun" w:cs="Calibri"/>
          <w:b/>
          <w:sz w:val="28"/>
          <w:lang w:val="sq-AL"/>
        </w:rPr>
        <w:t>MINISTRI I FINANCAVE DHE EKONOMIS</w:t>
      </w:r>
      <w:r w:rsidR="00071D89" w:rsidRPr="00476D2E">
        <w:rPr>
          <w:rFonts w:eastAsia="SimSun" w:cs="Calibri"/>
          <w:b/>
          <w:sz w:val="28"/>
          <w:lang w:val="sq-AL"/>
        </w:rPr>
        <w:t>Ë</w:t>
      </w:r>
    </w:p>
    <w:p w:rsidR="006B6B5D" w:rsidRPr="00476D2E" w:rsidRDefault="006B6B5D" w:rsidP="00801A29">
      <w:pPr>
        <w:spacing w:line="360" w:lineRule="auto"/>
        <w:ind w:left="2880" w:firstLine="720"/>
        <w:rPr>
          <w:rFonts w:eastAsia="SimSun" w:cs="Calibri"/>
          <w:b/>
          <w:sz w:val="28"/>
          <w:lang w:val="sq-AL"/>
        </w:rPr>
      </w:pPr>
    </w:p>
    <w:p w:rsidR="00801A29" w:rsidRPr="00001FA5" w:rsidRDefault="001007C6" w:rsidP="001007C6">
      <w:pPr>
        <w:spacing w:line="360" w:lineRule="auto"/>
        <w:ind w:left="3600" w:firstLine="720"/>
        <w:rPr>
          <w:rFonts w:eastAsia="SimSun" w:cs="Calibri"/>
          <w:sz w:val="18"/>
          <w:lang w:val="sq-AL"/>
        </w:rPr>
      </w:pPr>
      <w:r>
        <w:rPr>
          <w:rFonts w:eastAsia="SimSun" w:cs="Calibri"/>
          <w:b/>
          <w:sz w:val="28"/>
          <w:lang w:val="sq-AL"/>
        </w:rPr>
        <w:t xml:space="preserve">      </w:t>
      </w:r>
      <w:r w:rsidR="00374BB8">
        <w:rPr>
          <w:rFonts w:eastAsia="SimSun" w:cs="Calibri"/>
          <w:b/>
          <w:sz w:val="28"/>
          <w:lang w:val="sq-AL"/>
        </w:rPr>
        <w:t>DELINA IBRAHIMAJ</w:t>
      </w:r>
    </w:p>
    <w:sectPr w:rsidR="00801A29" w:rsidRPr="00001FA5" w:rsidSect="00D60122">
      <w:headerReference w:type="even" r:id="rId72"/>
      <w:headerReference w:type="default" r:id="rId73"/>
      <w:footerReference w:type="even" r:id="rId74"/>
      <w:footerReference w:type="default" r:id="rId75"/>
      <w:headerReference w:type="first" r:id="rId76"/>
      <w:footerReference w:type="first" r:id="rId77"/>
      <w:pgSz w:w="11907" w:h="16839" w:code="9"/>
      <w:pgMar w:top="201" w:right="1017" w:bottom="720" w:left="990" w:header="45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8E4" w:rsidRDefault="00EA28E4" w:rsidP="00BC6AC3">
      <w:r>
        <w:separator/>
      </w:r>
    </w:p>
  </w:endnote>
  <w:endnote w:type="continuationSeparator" w:id="0">
    <w:p w:rsidR="00EA28E4" w:rsidRDefault="00EA28E4" w:rsidP="00BC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20002A87" w:usb1="00000000" w:usb2="00000000" w:usb3="00000000" w:csb0="000001FF" w:csb1="00000000"/>
  </w:font>
  <w:font w:name="Arial Black">
    <w:panose1 w:val="020B0A04020102020204"/>
    <w:charset w:val="00"/>
    <w:family w:val="swiss"/>
    <w:pitch w:val="variable"/>
    <w:sig w:usb0="A00002AF" w:usb1="400078FB" w:usb2="00000000" w:usb3="00000000" w:csb0="0000009F" w:csb1="00000000"/>
  </w:font>
  <w:font w:name="Lucida Grande">
    <w:altName w:val="Arial"/>
    <w:charset w:val="00"/>
    <w:family w:val="swiss"/>
    <w:pitch w:val="variable"/>
    <w:sig w:usb0="00000000" w:usb1="5000A1FF" w:usb2="00000000" w:usb3="00000000" w:csb0="000001B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725484"/>
      <w:docPartObj>
        <w:docPartGallery w:val="Page Numbers (Bottom of Page)"/>
        <w:docPartUnique/>
      </w:docPartObj>
    </w:sdtPr>
    <w:sdtEndPr>
      <w:rPr>
        <w:noProof/>
      </w:rPr>
    </w:sdtEndPr>
    <w:sdtContent>
      <w:p w:rsidR="00243DA8" w:rsidRDefault="00243DA8">
        <w:pPr>
          <w:pStyle w:val="Footer"/>
          <w:jc w:val="right"/>
        </w:pPr>
        <w:r>
          <w:fldChar w:fldCharType="begin"/>
        </w:r>
        <w:r>
          <w:instrText xml:space="preserve"> PAGE   \* MERGEFORMAT </w:instrText>
        </w:r>
        <w:r>
          <w:fldChar w:fldCharType="separate"/>
        </w:r>
        <w:r w:rsidR="005B5BD5">
          <w:rPr>
            <w:noProof/>
          </w:rPr>
          <w:t>44</w:t>
        </w:r>
        <w:r>
          <w:rPr>
            <w:noProof/>
          </w:rPr>
          <w:fldChar w:fldCharType="end"/>
        </w:r>
      </w:p>
    </w:sdtContent>
  </w:sdt>
  <w:p w:rsidR="00243DA8" w:rsidRDefault="00243D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3426012"/>
      <w:docPartObj>
        <w:docPartGallery w:val="Page Numbers (Bottom of Page)"/>
        <w:docPartUnique/>
      </w:docPartObj>
    </w:sdtPr>
    <w:sdtEndPr>
      <w:rPr>
        <w:noProof/>
      </w:rPr>
    </w:sdtEndPr>
    <w:sdtContent>
      <w:p w:rsidR="00243DA8" w:rsidRDefault="00243DA8">
        <w:pPr>
          <w:pStyle w:val="Footer"/>
          <w:jc w:val="right"/>
        </w:pPr>
        <w:r>
          <w:fldChar w:fldCharType="begin"/>
        </w:r>
        <w:r>
          <w:instrText xml:space="preserve"> PAGE   \* MERGEFORMAT </w:instrText>
        </w:r>
        <w:r>
          <w:fldChar w:fldCharType="separate"/>
        </w:r>
        <w:r w:rsidR="005B5BD5">
          <w:rPr>
            <w:noProof/>
          </w:rPr>
          <w:t>45</w:t>
        </w:r>
        <w:r>
          <w:rPr>
            <w:noProof/>
          </w:rPr>
          <w:fldChar w:fldCharType="end"/>
        </w:r>
      </w:p>
    </w:sdtContent>
  </w:sdt>
  <w:p w:rsidR="00243DA8" w:rsidRDefault="00243D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738892"/>
      <w:docPartObj>
        <w:docPartGallery w:val="Page Numbers (Bottom of Page)"/>
        <w:docPartUnique/>
      </w:docPartObj>
    </w:sdtPr>
    <w:sdtEndPr>
      <w:rPr>
        <w:noProof/>
      </w:rPr>
    </w:sdtEndPr>
    <w:sdtContent>
      <w:p w:rsidR="00243DA8" w:rsidRDefault="00243DA8">
        <w:pPr>
          <w:pStyle w:val="Footer"/>
          <w:jc w:val="right"/>
        </w:pPr>
        <w:r>
          <w:fldChar w:fldCharType="begin"/>
        </w:r>
        <w:r>
          <w:instrText xml:space="preserve"> PAGE   \* MERGEFORMAT </w:instrText>
        </w:r>
        <w:r>
          <w:fldChar w:fldCharType="separate"/>
        </w:r>
        <w:r w:rsidR="005B5BD5">
          <w:rPr>
            <w:noProof/>
          </w:rPr>
          <w:t>84</w:t>
        </w:r>
        <w:r>
          <w:rPr>
            <w:noProof/>
          </w:rPr>
          <w:fldChar w:fldCharType="end"/>
        </w:r>
      </w:p>
    </w:sdtContent>
  </w:sdt>
  <w:p w:rsidR="00243DA8" w:rsidRDefault="00243DA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8415599"/>
      <w:docPartObj>
        <w:docPartGallery w:val="Page Numbers (Bottom of Page)"/>
        <w:docPartUnique/>
      </w:docPartObj>
    </w:sdtPr>
    <w:sdtEndPr/>
    <w:sdtContent>
      <w:p w:rsidR="00243DA8" w:rsidRDefault="00243DA8">
        <w:pPr>
          <w:pStyle w:val="Footer"/>
          <w:jc w:val="right"/>
        </w:pPr>
        <w:r>
          <w:fldChar w:fldCharType="begin"/>
        </w:r>
        <w:r>
          <w:instrText xml:space="preserve"> PAGE   \* MERGEFORMAT </w:instrText>
        </w:r>
        <w:r>
          <w:fldChar w:fldCharType="separate"/>
        </w:r>
        <w:r w:rsidR="005B5BD5">
          <w:rPr>
            <w:noProof/>
          </w:rPr>
          <w:t>85</w:t>
        </w:r>
        <w:r>
          <w:rPr>
            <w:noProof/>
          </w:rPr>
          <w:fldChar w:fldCharType="end"/>
        </w:r>
      </w:p>
    </w:sdtContent>
  </w:sdt>
  <w:p w:rsidR="00243DA8" w:rsidRDefault="00243DA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DA8" w:rsidRDefault="00243D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8E4" w:rsidRDefault="00EA28E4" w:rsidP="00BC6AC3">
      <w:r>
        <w:separator/>
      </w:r>
    </w:p>
  </w:footnote>
  <w:footnote w:type="continuationSeparator" w:id="0">
    <w:p w:rsidR="00EA28E4" w:rsidRDefault="00EA28E4" w:rsidP="00BC6AC3">
      <w:r>
        <w:continuationSeparator/>
      </w:r>
    </w:p>
  </w:footnote>
  <w:footnote w:id="1">
    <w:p w:rsidR="00243DA8" w:rsidRPr="008034A3" w:rsidRDefault="00243DA8" w:rsidP="00AA2795">
      <w:pPr>
        <w:pStyle w:val="FootnoteText"/>
        <w:spacing w:before="0" w:line="240" w:lineRule="auto"/>
        <w:rPr>
          <w:rFonts w:cs="Calibri"/>
          <w:i/>
          <w:sz w:val="16"/>
          <w:lang w:val="sq-AL"/>
        </w:rPr>
      </w:pPr>
      <w:r w:rsidRPr="008034A3">
        <w:rPr>
          <w:rStyle w:val="FootnoteReference"/>
          <w:rFonts w:cs="Calibri"/>
          <w:i/>
          <w:sz w:val="16"/>
        </w:rPr>
        <w:footnoteRef/>
      </w:r>
      <w:r w:rsidRPr="008034A3">
        <w:rPr>
          <w:rFonts w:cs="Calibri"/>
          <w:i/>
          <w:sz w:val="16"/>
        </w:rPr>
        <w:t xml:space="preserve"> </w:t>
      </w:r>
      <w:r w:rsidRPr="008034A3">
        <w:rPr>
          <w:rFonts w:cs="Calibri"/>
          <w:i/>
          <w:sz w:val="16"/>
          <w:lang w:val="sq-AL"/>
        </w:rPr>
        <w:t>Këto shifra i referohen një mesatare rrëshqitëse për 4 tremujorët</w:t>
      </w:r>
    </w:p>
    <w:p w:rsidR="00243DA8" w:rsidRPr="008034A3" w:rsidRDefault="00243DA8" w:rsidP="00AA2795">
      <w:pPr>
        <w:pStyle w:val="FootnoteText"/>
        <w:spacing w:before="0" w:line="240" w:lineRule="auto"/>
        <w:rPr>
          <w:rFonts w:cs="Calibri"/>
          <w:i/>
          <w:sz w:val="16"/>
          <w:lang w:val="sq-AL"/>
        </w:rPr>
      </w:pPr>
      <w:r w:rsidRPr="008034A3">
        <w:rPr>
          <w:rFonts w:cs="Calibri"/>
          <w:i/>
          <w:sz w:val="16"/>
          <w:lang w:val="sq-AL"/>
        </w:rPr>
        <w:t>** Këto shifra i referohen balancës tremujore pjestuar me PBB vjetore të vlerësuar</w:t>
      </w:r>
    </w:p>
    <w:p w:rsidR="00243DA8" w:rsidRPr="008034A3" w:rsidRDefault="00243DA8" w:rsidP="00AA2795">
      <w:pPr>
        <w:pStyle w:val="FootnoteText"/>
        <w:spacing w:before="0" w:line="240" w:lineRule="auto"/>
        <w:rPr>
          <w:rFonts w:cs="Calibri"/>
          <w:i/>
          <w:sz w:val="16"/>
          <w:lang w:val="sq-AL"/>
        </w:rPr>
      </w:pPr>
      <w:r w:rsidRPr="008034A3">
        <w:rPr>
          <w:rFonts w:cs="Calibri"/>
          <w:i/>
          <w:sz w:val="16"/>
          <w:lang w:val="sq-AL"/>
        </w:rPr>
        <w:t>*** Këto shifra i referohen balancës tremujore pjestuar me PBB tremujore</w:t>
      </w:r>
    </w:p>
  </w:footnote>
  <w:footnote w:id="2">
    <w:p w:rsidR="00243DA8" w:rsidRPr="00FD78DE" w:rsidRDefault="00243DA8" w:rsidP="008961B4">
      <w:pPr>
        <w:pStyle w:val="FootnoteText"/>
        <w:spacing w:line="240" w:lineRule="auto"/>
        <w:rPr>
          <w:rFonts w:cs="Calibri"/>
        </w:rPr>
      </w:pPr>
      <w:r w:rsidRPr="00FD78DE">
        <w:rPr>
          <w:rStyle w:val="FootnoteReference"/>
          <w:rFonts w:cs="Calibri"/>
        </w:rPr>
        <w:footnoteRef/>
      </w:r>
      <w:r w:rsidRPr="00FD78DE">
        <w:rPr>
          <w:rFonts w:cs="Calibri"/>
        </w:rPr>
        <w:t xml:space="preserve"> </w:t>
      </w:r>
      <w:r w:rsidRPr="00FD78DE">
        <w:rPr>
          <w:rFonts w:cs="Calibri"/>
          <w:noProof/>
          <w:lang w:val="sq-AL"/>
        </w:rPr>
        <w:t>Nuk përfshihen të ardhurat nga sigurimet shoqërore dhe shëndetësore</w:t>
      </w:r>
    </w:p>
  </w:footnote>
  <w:footnote w:id="3">
    <w:p w:rsidR="00243DA8" w:rsidRPr="00737045" w:rsidRDefault="00243DA8" w:rsidP="00B47B01">
      <w:pPr>
        <w:pStyle w:val="FootnoteText"/>
        <w:rPr>
          <w:i/>
          <w:sz w:val="18"/>
          <w:lang w:val="sq-AL"/>
        </w:rPr>
      </w:pPr>
      <w:r w:rsidRPr="00737045">
        <w:rPr>
          <w:rStyle w:val="FootnoteReference"/>
          <w:i/>
          <w:sz w:val="18"/>
        </w:rPr>
        <w:footnoteRef/>
      </w:r>
      <w:r w:rsidRPr="00737045">
        <w:rPr>
          <w:i/>
          <w:sz w:val="18"/>
          <w:lang w:val="sq-AL"/>
        </w:rPr>
        <w:t xml:space="preserve"> </w:t>
      </w:r>
      <w:r w:rsidR="004B7C48" w:rsidRPr="004B7C48">
        <w:rPr>
          <w:i/>
          <w:sz w:val="18"/>
          <w:lang w:val="sq-AL"/>
        </w:rPr>
        <w:t>Të dhënat financiare për OSHEE Group sh.a, për vitin 2021, janë paraprake (jo finale) të përcjella nga kompania</w:t>
      </w:r>
      <w:r w:rsidRPr="00737045">
        <w:rPr>
          <w:i/>
          <w:sz w:val="18"/>
          <w:lang w:val="sq-AL"/>
        </w:rPr>
        <w:t>.</w:t>
      </w:r>
    </w:p>
    <w:p w:rsidR="00243DA8" w:rsidRPr="000F2D01" w:rsidRDefault="00243DA8" w:rsidP="00B47B01">
      <w:pPr>
        <w:pStyle w:val="FootnoteText"/>
        <w:rPr>
          <w:lang w:val="sq-AL"/>
        </w:rPr>
      </w:pPr>
    </w:p>
  </w:footnote>
  <w:footnote w:id="4">
    <w:p w:rsidR="00243DA8" w:rsidRPr="008205C2" w:rsidRDefault="00243DA8" w:rsidP="003E3C6E">
      <w:pPr>
        <w:pStyle w:val="FootnoteText"/>
        <w:spacing w:before="0" w:line="240" w:lineRule="auto"/>
        <w:rPr>
          <w:i/>
          <w:sz w:val="18"/>
          <w:lang w:val="sq-AL"/>
        </w:rPr>
      </w:pPr>
      <w:r w:rsidRPr="008205C2">
        <w:rPr>
          <w:rStyle w:val="FootnoteReference"/>
          <w:i/>
          <w:sz w:val="18"/>
        </w:rPr>
        <w:footnoteRef/>
      </w:r>
      <w:r w:rsidRPr="008205C2">
        <w:rPr>
          <w:i/>
          <w:sz w:val="18"/>
          <w:lang w:val="sq-AL"/>
        </w:rPr>
        <w:t xml:space="preserve"> Pa përfshirë detyrimet e prapambetura të Ujësjellës Kanalizime dhe Universiteteve</w:t>
      </w:r>
    </w:p>
  </w:footnote>
  <w:footnote w:id="5">
    <w:p w:rsidR="00243DA8" w:rsidRPr="0065721A" w:rsidRDefault="00243DA8">
      <w:pPr>
        <w:pStyle w:val="FootnoteText"/>
        <w:rPr>
          <w:i/>
          <w:sz w:val="18"/>
        </w:rPr>
      </w:pPr>
      <w:r w:rsidRPr="0065721A">
        <w:rPr>
          <w:rStyle w:val="FootnoteReference"/>
          <w:i/>
          <w:sz w:val="18"/>
        </w:rPr>
        <w:footnoteRef/>
      </w:r>
      <w:r w:rsidRPr="0065721A">
        <w:rPr>
          <w:i/>
          <w:sz w:val="18"/>
        </w:rPr>
        <w:t xml:space="preserve"> Informacioni lidhur me pagesat p</w:t>
      </w:r>
      <w:r>
        <w:rPr>
          <w:i/>
          <w:sz w:val="18"/>
        </w:rPr>
        <w:t>ë</w:t>
      </w:r>
      <w:r w:rsidRPr="0065721A">
        <w:rPr>
          <w:i/>
          <w:sz w:val="18"/>
        </w:rPr>
        <w:t>r vendimet e Arbitrazhit Nd</w:t>
      </w:r>
      <w:r>
        <w:rPr>
          <w:i/>
          <w:sz w:val="18"/>
        </w:rPr>
        <w:t>ë</w:t>
      </w:r>
      <w:r w:rsidRPr="0065721A">
        <w:rPr>
          <w:i/>
          <w:sz w:val="18"/>
        </w:rPr>
        <w:t>rkomb</w:t>
      </w:r>
      <w:r>
        <w:rPr>
          <w:i/>
          <w:sz w:val="18"/>
        </w:rPr>
        <w:t>ë</w:t>
      </w:r>
      <w:r w:rsidRPr="0065721A">
        <w:rPr>
          <w:i/>
          <w:sz w:val="18"/>
        </w:rPr>
        <w:t>tar, bazohet n</w:t>
      </w:r>
      <w:r>
        <w:rPr>
          <w:i/>
          <w:sz w:val="18"/>
        </w:rPr>
        <w:t>ë</w:t>
      </w:r>
      <w:r w:rsidRPr="0065721A">
        <w:rPr>
          <w:i/>
          <w:sz w:val="18"/>
        </w:rPr>
        <w:t xml:space="preserve"> raportimet zyrtare t</w:t>
      </w:r>
      <w:r>
        <w:rPr>
          <w:i/>
          <w:sz w:val="18"/>
        </w:rPr>
        <w:t>ë</w:t>
      </w:r>
      <w:r w:rsidRPr="0065721A">
        <w:rPr>
          <w:i/>
          <w:sz w:val="18"/>
        </w:rPr>
        <w:t xml:space="preserve"> d</w:t>
      </w:r>
      <w:r>
        <w:rPr>
          <w:i/>
          <w:sz w:val="18"/>
        </w:rPr>
        <w:t>ë</w:t>
      </w:r>
      <w:r w:rsidRPr="0065721A">
        <w:rPr>
          <w:i/>
          <w:sz w:val="18"/>
        </w:rPr>
        <w:t>rguara n</w:t>
      </w:r>
      <w:r>
        <w:rPr>
          <w:i/>
          <w:sz w:val="18"/>
        </w:rPr>
        <w:t>ë</w:t>
      </w:r>
      <w:r w:rsidRPr="0065721A">
        <w:rPr>
          <w:i/>
          <w:sz w:val="18"/>
        </w:rPr>
        <w:t xml:space="preserve"> MFE nga Avokatura e Shtetit dhe institucionet p</w:t>
      </w:r>
      <w:r>
        <w:rPr>
          <w:i/>
          <w:sz w:val="18"/>
        </w:rPr>
        <w:t>ë</w:t>
      </w:r>
      <w:r w:rsidRPr="0065721A">
        <w:rPr>
          <w:i/>
          <w:sz w:val="18"/>
        </w:rPr>
        <w:t>rgjegj</w:t>
      </w:r>
      <w:r>
        <w:rPr>
          <w:i/>
          <w:sz w:val="18"/>
        </w:rPr>
        <w:t>ë</w:t>
      </w:r>
      <w:r w:rsidRPr="0065721A">
        <w:rPr>
          <w:i/>
          <w:sz w:val="18"/>
        </w:rPr>
        <w:t>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65" w:type="pct"/>
      <w:jc w:val="center"/>
      <w:tblBorders>
        <w:bottom w:val="single" w:sz="12" w:space="0" w:color="A6A6A6" w:themeColor="background1" w:themeShade="A6"/>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9202"/>
      <w:gridCol w:w="1910"/>
    </w:tblGrid>
    <w:tr w:rsidR="00243DA8" w:rsidRPr="005B570E" w:rsidTr="00D0175F">
      <w:trPr>
        <w:trHeight w:val="155"/>
        <w:jc w:val="center"/>
      </w:trPr>
      <w:sdt>
        <w:sdtPr>
          <w:rPr>
            <w:rFonts w:asciiTheme="majorHAnsi" w:eastAsiaTheme="majorEastAsia" w:hAnsiTheme="majorHAnsi" w:cstheme="majorBidi"/>
            <w:color w:val="A6A6A6" w:themeColor="background1" w:themeShade="A6"/>
            <w:sz w:val="18"/>
            <w:szCs w:val="18"/>
          </w:rPr>
          <w:alias w:val="Title"/>
          <w:id w:val="-796920042"/>
          <w:showingPlcHdr/>
          <w:dataBinding w:prefixMappings="xmlns:ns0='http://schemas.openxmlformats.org/package/2006/metadata/core-properties' xmlns:ns1='http://purl.org/dc/elements/1.1/'" w:xpath="/ns0:coreProperties[1]/ns1:title[1]" w:storeItemID="{6C3C8BC8-F283-45AE-878A-BAB7291924A1}"/>
          <w:text/>
        </w:sdtPr>
        <w:sdtEndPr/>
        <w:sdtContent>
          <w:tc>
            <w:tcPr>
              <w:tcW w:w="8665" w:type="dxa"/>
              <w:tcBorders>
                <w:right w:val="single" w:sz="12" w:space="0" w:color="A6A6A6" w:themeColor="background1" w:themeShade="A6"/>
              </w:tcBorders>
            </w:tcPr>
            <w:p w:rsidR="00243DA8" w:rsidRPr="008E7E7B" w:rsidRDefault="00243DA8" w:rsidP="00D0175F">
              <w:pPr>
                <w:pStyle w:val="Header"/>
                <w:jc w:val="right"/>
                <w:rPr>
                  <w:rFonts w:asciiTheme="majorHAnsi" w:eastAsiaTheme="majorEastAsia" w:hAnsiTheme="majorHAnsi" w:cstheme="majorBidi"/>
                  <w:color w:val="A6A6A6" w:themeColor="background1" w:themeShade="A6"/>
                  <w:sz w:val="18"/>
                  <w:szCs w:val="18"/>
                </w:rPr>
              </w:pPr>
              <w:r>
                <w:rPr>
                  <w:rFonts w:asciiTheme="majorHAnsi" w:eastAsiaTheme="majorEastAsia" w:hAnsiTheme="majorHAnsi" w:cstheme="majorBidi"/>
                  <w:color w:val="A6A6A6" w:themeColor="background1" w:themeShade="A6"/>
                  <w:sz w:val="18"/>
                  <w:szCs w:val="18"/>
                </w:rPr>
                <w:t xml:space="preserve">     </w:t>
              </w:r>
            </w:p>
          </w:tc>
        </w:sdtContent>
      </w:sdt>
      <w:tc>
        <w:tcPr>
          <w:tcW w:w="1799" w:type="dxa"/>
          <w:tcBorders>
            <w:left w:val="single" w:sz="12" w:space="0" w:color="A6A6A6" w:themeColor="background1" w:themeShade="A6"/>
          </w:tcBorders>
        </w:tcPr>
        <w:p w:rsidR="00243DA8" w:rsidRPr="00D0175F" w:rsidRDefault="00243DA8" w:rsidP="006469E4">
          <w:pPr>
            <w:pStyle w:val="Header"/>
            <w:rPr>
              <w:rFonts w:asciiTheme="majorHAnsi" w:eastAsiaTheme="majorEastAsia" w:hAnsiTheme="majorHAnsi" w:cstheme="majorBidi"/>
              <w:b/>
              <w:bCs/>
              <w:color w:val="A6A6A6" w:themeColor="background1" w:themeShade="A6"/>
              <w:sz w:val="18"/>
              <w:szCs w:val="18"/>
            </w:rPr>
          </w:pPr>
          <w:r w:rsidRPr="00D0175F">
            <w:rPr>
              <w:rFonts w:asciiTheme="majorHAnsi" w:eastAsiaTheme="majorEastAsia" w:hAnsiTheme="majorHAnsi" w:cstheme="majorBidi"/>
              <w:b/>
              <w:bCs/>
              <w:color w:val="A6A6A6" w:themeColor="background1" w:themeShade="A6"/>
              <w:sz w:val="18"/>
              <w:szCs w:val="18"/>
            </w:rPr>
            <w:t>Buxheti Faktik 20</w:t>
          </w:r>
          <w:r>
            <w:rPr>
              <w:rFonts w:asciiTheme="majorHAnsi" w:eastAsiaTheme="majorEastAsia" w:hAnsiTheme="majorHAnsi" w:cstheme="majorBidi"/>
              <w:b/>
              <w:bCs/>
              <w:color w:val="A6A6A6" w:themeColor="background1" w:themeShade="A6"/>
              <w:sz w:val="18"/>
              <w:szCs w:val="18"/>
            </w:rPr>
            <w:t>21</w:t>
          </w:r>
        </w:p>
      </w:tc>
    </w:tr>
  </w:tbl>
  <w:p w:rsidR="00243DA8" w:rsidRDefault="00243DA8" w:rsidP="00D017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65" w:type="pct"/>
      <w:jc w:val="center"/>
      <w:tblBorders>
        <w:bottom w:val="single" w:sz="12" w:space="0" w:color="A6A6A6" w:themeColor="background1" w:themeShade="A6"/>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9202"/>
      <w:gridCol w:w="1910"/>
    </w:tblGrid>
    <w:tr w:rsidR="00243DA8" w:rsidRPr="005B570E" w:rsidTr="00D0175F">
      <w:trPr>
        <w:trHeight w:val="155"/>
        <w:jc w:val="center"/>
      </w:trPr>
      <w:sdt>
        <w:sdtPr>
          <w:rPr>
            <w:rFonts w:asciiTheme="majorHAnsi" w:eastAsiaTheme="majorEastAsia" w:hAnsiTheme="majorHAnsi" w:cstheme="majorBidi"/>
            <w:color w:val="A6A6A6" w:themeColor="background1" w:themeShade="A6"/>
            <w:sz w:val="18"/>
            <w:szCs w:val="18"/>
          </w:rPr>
          <w:alias w:val="Title"/>
          <w:id w:val="1650703291"/>
          <w:showingPlcHdr/>
          <w:dataBinding w:prefixMappings="xmlns:ns0='http://schemas.openxmlformats.org/package/2006/metadata/core-properties' xmlns:ns1='http://purl.org/dc/elements/1.1/'" w:xpath="/ns0:coreProperties[1]/ns1:title[1]" w:storeItemID="{6C3C8BC8-F283-45AE-878A-BAB7291924A1}"/>
          <w:text/>
        </w:sdtPr>
        <w:sdtEndPr/>
        <w:sdtContent>
          <w:tc>
            <w:tcPr>
              <w:tcW w:w="8665" w:type="dxa"/>
              <w:tcBorders>
                <w:right w:val="single" w:sz="12" w:space="0" w:color="A6A6A6" w:themeColor="background1" w:themeShade="A6"/>
              </w:tcBorders>
            </w:tcPr>
            <w:p w:rsidR="00243DA8" w:rsidRPr="008E7E7B" w:rsidRDefault="00243DA8" w:rsidP="00D0175F">
              <w:pPr>
                <w:pStyle w:val="Header"/>
                <w:jc w:val="right"/>
                <w:rPr>
                  <w:rFonts w:asciiTheme="majorHAnsi" w:eastAsiaTheme="majorEastAsia" w:hAnsiTheme="majorHAnsi" w:cstheme="majorBidi"/>
                  <w:color w:val="A6A6A6" w:themeColor="background1" w:themeShade="A6"/>
                  <w:sz w:val="18"/>
                  <w:szCs w:val="18"/>
                </w:rPr>
              </w:pPr>
              <w:r>
                <w:rPr>
                  <w:rFonts w:asciiTheme="majorHAnsi" w:eastAsiaTheme="majorEastAsia" w:hAnsiTheme="majorHAnsi" w:cstheme="majorBidi"/>
                  <w:color w:val="A6A6A6" w:themeColor="background1" w:themeShade="A6"/>
                  <w:sz w:val="18"/>
                  <w:szCs w:val="18"/>
                </w:rPr>
                <w:t xml:space="preserve">     </w:t>
              </w:r>
            </w:p>
          </w:tc>
        </w:sdtContent>
      </w:sdt>
      <w:tc>
        <w:tcPr>
          <w:tcW w:w="1799" w:type="dxa"/>
          <w:tcBorders>
            <w:left w:val="single" w:sz="12" w:space="0" w:color="A6A6A6" w:themeColor="background1" w:themeShade="A6"/>
          </w:tcBorders>
        </w:tcPr>
        <w:p w:rsidR="00243DA8" w:rsidRPr="005F12D1" w:rsidRDefault="00243DA8" w:rsidP="006469E4">
          <w:pPr>
            <w:pStyle w:val="Header"/>
            <w:rPr>
              <w:rFonts w:asciiTheme="majorHAnsi" w:eastAsiaTheme="majorEastAsia" w:hAnsiTheme="majorHAnsi" w:cstheme="majorBidi"/>
              <w:b/>
              <w:bCs/>
              <w:color w:val="17406D" w:themeColor="text2"/>
              <w:sz w:val="18"/>
              <w:szCs w:val="18"/>
            </w:rPr>
          </w:pPr>
          <w:r w:rsidRPr="005F12D1">
            <w:rPr>
              <w:rFonts w:asciiTheme="majorHAnsi" w:eastAsiaTheme="majorEastAsia" w:hAnsiTheme="majorHAnsi" w:cstheme="majorBidi"/>
              <w:b/>
              <w:bCs/>
              <w:color w:val="17406D" w:themeColor="text2"/>
              <w:sz w:val="18"/>
              <w:szCs w:val="18"/>
            </w:rPr>
            <w:t>Buxheti Faktik 202</w:t>
          </w:r>
          <w:r>
            <w:rPr>
              <w:rFonts w:asciiTheme="majorHAnsi" w:eastAsiaTheme="majorEastAsia" w:hAnsiTheme="majorHAnsi" w:cstheme="majorBidi"/>
              <w:b/>
              <w:bCs/>
              <w:color w:val="17406D" w:themeColor="text2"/>
              <w:sz w:val="18"/>
              <w:szCs w:val="18"/>
            </w:rPr>
            <w:t>1</w:t>
          </w:r>
        </w:p>
      </w:tc>
      <w:bookmarkStart w:id="0" w:name="_Toc515446547"/>
    </w:tr>
    <w:bookmarkEnd w:id="0"/>
  </w:tbl>
  <w:p w:rsidR="00243DA8" w:rsidRDefault="00243DA8" w:rsidP="00D0175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65" w:type="pct"/>
      <w:jc w:val="center"/>
      <w:tblBorders>
        <w:bottom w:val="single" w:sz="12" w:space="0" w:color="A6A6A6" w:themeColor="background1" w:themeShade="A6"/>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665"/>
      <w:gridCol w:w="1799"/>
    </w:tblGrid>
    <w:tr w:rsidR="00243DA8" w:rsidRPr="005B570E" w:rsidTr="00276D93">
      <w:trPr>
        <w:trHeight w:val="155"/>
        <w:jc w:val="center"/>
      </w:trPr>
      <w:sdt>
        <w:sdtPr>
          <w:rPr>
            <w:rFonts w:asciiTheme="majorHAnsi" w:eastAsiaTheme="majorEastAsia" w:hAnsiTheme="majorHAnsi" w:cstheme="majorBidi"/>
            <w:color w:val="A6A6A6" w:themeColor="background1" w:themeShade="A6"/>
            <w:sz w:val="18"/>
            <w:szCs w:val="18"/>
          </w:rPr>
          <w:alias w:val="Title"/>
          <w:id w:val="-672183682"/>
          <w:showingPlcHdr/>
          <w:dataBinding w:prefixMappings="xmlns:ns0='http://schemas.openxmlformats.org/package/2006/metadata/core-properties' xmlns:ns1='http://purl.org/dc/elements/1.1/'" w:xpath="/ns0:coreProperties[1]/ns1:title[1]" w:storeItemID="{6C3C8BC8-F283-45AE-878A-BAB7291924A1}"/>
          <w:text/>
        </w:sdtPr>
        <w:sdtEndPr/>
        <w:sdtContent>
          <w:tc>
            <w:tcPr>
              <w:tcW w:w="8665" w:type="dxa"/>
              <w:tcBorders>
                <w:right w:val="single" w:sz="12" w:space="0" w:color="A6A6A6" w:themeColor="background1" w:themeShade="A6"/>
              </w:tcBorders>
            </w:tcPr>
            <w:p w:rsidR="00243DA8" w:rsidRPr="008E7E7B" w:rsidRDefault="00243DA8" w:rsidP="00276D93">
              <w:pPr>
                <w:pStyle w:val="Header"/>
                <w:jc w:val="right"/>
                <w:rPr>
                  <w:rFonts w:asciiTheme="majorHAnsi" w:eastAsiaTheme="majorEastAsia" w:hAnsiTheme="majorHAnsi" w:cstheme="majorBidi"/>
                  <w:color w:val="A6A6A6" w:themeColor="background1" w:themeShade="A6"/>
                  <w:sz w:val="18"/>
                  <w:szCs w:val="18"/>
                </w:rPr>
              </w:pPr>
              <w:r>
                <w:rPr>
                  <w:rFonts w:asciiTheme="majorHAnsi" w:eastAsiaTheme="majorEastAsia" w:hAnsiTheme="majorHAnsi" w:cstheme="majorBidi"/>
                  <w:color w:val="A6A6A6" w:themeColor="background1" w:themeShade="A6"/>
                  <w:sz w:val="18"/>
                  <w:szCs w:val="18"/>
                </w:rPr>
                <w:t xml:space="preserve">     </w:t>
              </w:r>
            </w:p>
          </w:tc>
        </w:sdtContent>
      </w:sdt>
      <w:tc>
        <w:tcPr>
          <w:tcW w:w="1799" w:type="dxa"/>
          <w:tcBorders>
            <w:left w:val="single" w:sz="12" w:space="0" w:color="A6A6A6" w:themeColor="background1" w:themeShade="A6"/>
          </w:tcBorders>
        </w:tcPr>
        <w:p w:rsidR="00243DA8" w:rsidRPr="00D0175F" w:rsidRDefault="00243DA8" w:rsidP="00CC123A">
          <w:pPr>
            <w:pStyle w:val="Header"/>
            <w:rPr>
              <w:rFonts w:asciiTheme="majorHAnsi" w:eastAsiaTheme="majorEastAsia" w:hAnsiTheme="majorHAnsi" w:cstheme="majorBidi"/>
              <w:b/>
              <w:bCs/>
              <w:color w:val="A6A6A6" w:themeColor="background1" w:themeShade="A6"/>
              <w:sz w:val="18"/>
              <w:szCs w:val="18"/>
            </w:rPr>
          </w:pPr>
          <w:r>
            <w:rPr>
              <w:rFonts w:asciiTheme="majorHAnsi" w:eastAsiaTheme="majorEastAsia" w:hAnsiTheme="majorHAnsi" w:cstheme="majorBidi"/>
              <w:b/>
              <w:bCs/>
              <w:color w:val="A6A6A6" w:themeColor="background1" w:themeShade="A6"/>
              <w:sz w:val="18"/>
              <w:szCs w:val="18"/>
            </w:rPr>
            <w:t>Buxheti Faktik 2021</w:t>
          </w:r>
        </w:p>
      </w:tc>
    </w:tr>
  </w:tbl>
  <w:p w:rsidR="00243DA8" w:rsidRDefault="00243DA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65" w:type="pct"/>
      <w:tblBorders>
        <w:bottom w:val="single" w:sz="12" w:space="0" w:color="A6A6A6" w:themeColor="background1" w:themeShade="A6"/>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665"/>
      <w:gridCol w:w="1799"/>
    </w:tblGrid>
    <w:tr w:rsidR="00243DA8" w:rsidRPr="005B570E" w:rsidTr="00D0175F">
      <w:trPr>
        <w:trHeight w:val="155"/>
      </w:trPr>
      <w:sdt>
        <w:sdtPr>
          <w:rPr>
            <w:rFonts w:asciiTheme="majorHAnsi" w:eastAsiaTheme="majorEastAsia" w:hAnsiTheme="majorHAnsi" w:cstheme="majorBidi"/>
            <w:color w:val="A6A6A6" w:themeColor="background1" w:themeShade="A6"/>
            <w:sz w:val="18"/>
            <w:szCs w:val="18"/>
          </w:rPr>
          <w:alias w:val="Title"/>
          <w:id w:val="127978099"/>
          <w:showingPlcHdr/>
          <w:dataBinding w:prefixMappings="xmlns:ns0='http://schemas.openxmlformats.org/package/2006/metadata/core-properties' xmlns:ns1='http://purl.org/dc/elements/1.1/'" w:xpath="/ns0:coreProperties[1]/ns1:title[1]" w:storeItemID="{6C3C8BC8-F283-45AE-878A-BAB7291924A1}"/>
          <w:text/>
        </w:sdtPr>
        <w:sdtEndPr/>
        <w:sdtContent>
          <w:tc>
            <w:tcPr>
              <w:tcW w:w="8665" w:type="dxa"/>
              <w:tcBorders>
                <w:right w:val="single" w:sz="12" w:space="0" w:color="A6A6A6" w:themeColor="background1" w:themeShade="A6"/>
              </w:tcBorders>
            </w:tcPr>
            <w:p w:rsidR="00243DA8" w:rsidRPr="008E7E7B" w:rsidRDefault="00243DA8" w:rsidP="003734A7">
              <w:pPr>
                <w:pStyle w:val="Header"/>
                <w:jc w:val="right"/>
                <w:rPr>
                  <w:rFonts w:asciiTheme="majorHAnsi" w:eastAsiaTheme="majorEastAsia" w:hAnsiTheme="majorHAnsi" w:cstheme="majorBidi"/>
                  <w:color w:val="A6A6A6" w:themeColor="background1" w:themeShade="A6"/>
                  <w:sz w:val="18"/>
                  <w:szCs w:val="18"/>
                </w:rPr>
              </w:pPr>
              <w:r>
                <w:rPr>
                  <w:rFonts w:asciiTheme="majorHAnsi" w:eastAsiaTheme="majorEastAsia" w:hAnsiTheme="majorHAnsi" w:cstheme="majorBidi"/>
                  <w:color w:val="A6A6A6" w:themeColor="background1" w:themeShade="A6"/>
                  <w:sz w:val="18"/>
                  <w:szCs w:val="18"/>
                </w:rPr>
                <w:t xml:space="preserve">     </w:t>
              </w:r>
            </w:p>
          </w:tc>
        </w:sdtContent>
      </w:sdt>
      <w:tc>
        <w:tcPr>
          <w:tcW w:w="1799" w:type="dxa"/>
          <w:tcBorders>
            <w:left w:val="single" w:sz="12" w:space="0" w:color="A6A6A6" w:themeColor="background1" w:themeShade="A6"/>
          </w:tcBorders>
        </w:tcPr>
        <w:p w:rsidR="00243DA8" w:rsidRPr="00D0175F" w:rsidRDefault="00243DA8" w:rsidP="00374BB8">
          <w:pPr>
            <w:pStyle w:val="Header"/>
            <w:rPr>
              <w:rFonts w:asciiTheme="majorHAnsi" w:eastAsiaTheme="majorEastAsia" w:hAnsiTheme="majorHAnsi" w:cstheme="majorBidi"/>
              <w:b/>
              <w:bCs/>
              <w:color w:val="A6A6A6" w:themeColor="background1" w:themeShade="A6"/>
              <w:sz w:val="18"/>
              <w:szCs w:val="18"/>
            </w:rPr>
          </w:pPr>
          <w:r>
            <w:rPr>
              <w:rFonts w:asciiTheme="majorHAnsi" w:eastAsiaTheme="majorEastAsia" w:hAnsiTheme="majorHAnsi" w:cstheme="majorBidi"/>
              <w:b/>
              <w:bCs/>
              <w:color w:val="A6A6A6" w:themeColor="background1" w:themeShade="A6"/>
              <w:sz w:val="18"/>
              <w:szCs w:val="18"/>
            </w:rPr>
            <w:t>Buxheti Faktik 2021</w:t>
          </w:r>
        </w:p>
      </w:tc>
    </w:tr>
  </w:tbl>
  <w:p w:rsidR="00243DA8" w:rsidRDefault="00243DA8" w:rsidP="003734A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65" w:type="pct"/>
      <w:jc w:val="center"/>
      <w:tblBorders>
        <w:bottom w:val="single" w:sz="12" w:space="0" w:color="A6A6A6" w:themeColor="background1" w:themeShade="A6"/>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665"/>
      <w:gridCol w:w="1799"/>
    </w:tblGrid>
    <w:tr w:rsidR="00243DA8" w:rsidRPr="005B570E" w:rsidTr="007D7D97">
      <w:trPr>
        <w:trHeight w:val="155"/>
        <w:jc w:val="center"/>
      </w:trPr>
      <w:sdt>
        <w:sdtPr>
          <w:rPr>
            <w:rFonts w:asciiTheme="majorHAnsi" w:eastAsiaTheme="majorEastAsia" w:hAnsiTheme="majorHAnsi" w:cstheme="majorBidi"/>
            <w:color w:val="A6A6A6" w:themeColor="background1" w:themeShade="A6"/>
            <w:sz w:val="18"/>
            <w:szCs w:val="18"/>
          </w:rPr>
          <w:alias w:val="Title"/>
          <w:id w:val="-2055081775"/>
          <w:showingPlcHdr/>
          <w:dataBinding w:prefixMappings="xmlns:ns0='http://schemas.openxmlformats.org/package/2006/metadata/core-properties' xmlns:ns1='http://purl.org/dc/elements/1.1/'" w:xpath="/ns0:coreProperties[1]/ns1:title[1]" w:storeItemID="{6C3C8BC8-F283-45AE-878A-BAB7291924A1}"/>
          <w:text/>
        </w:sdtPr>
        <w:sdtEndPr/>
        <w:sdtContent>
          <w:tc>
            <w:tcPr>
              <w:tcW w:w="8665" w:type="dxa"/>
              <w:tcBorders>
                <w:right w:val="single" w:sz="12" w:space="0" w:color="A6A6A6" w:themeColor="background1" w:themeShade="A6"/>
              </w:tcBorders>
            </w:tcPr>
            <w:p w:rsidR="00243DA8" w:rsidRPr="008E7E7B" w:rsidRDefault="00243DA8" w:rsidP="00EB3D5E">
              <w:pPr>
                <w:pStyle w:val="Header"/>
                <w:jc w:val="right"/>
                <w:rPr>
                  <w:rFonts w:asciiTheme="majorHAnsi" w:eastAsiaTheme="majorEastAsia" w:hAnsiTheme="majorHAnsi" w:cstheme="majorBidi"/>
                  <w:color w:val="A6A6A6" w:themeColor="background1" w:themeShade="A6"/>
                  <w:sz w:val="18"/>
                  <w:szCs w:val="18"/>
                </w:rPr>
              </w:pPr>
              <w:r>
                <w:rPr>
                  <w:rFonts w:asciiTheme="majorHAnsi" w:eastAsiaTheme="majorEastAsia" w:hAnsiTheme="majorHAnsi" w:cstheme="majorBidi"/>
                  <w:color w:val="A6A6A6" w:themeColor="background1" w:themeShade="A6"/>
                  <w:sz w:val="18"/>
                  <w:szCs w:val="18"/>
                </w:rPr>
                <w:t xml:space="preserve">     </w:t>
              </w:r>
            </w:p>
          </w:tc>
        </w:sdtContent>
      </w:sdt>
      <w:tc>
        <w:tcPr>
          <w:tcW w:w="1799" w:type="dxa"/>
          <w:tcBorders>
            <w:left w:val="single" w:sz="12" w:space="0" w:color="A6A6A6" w:themeColor="background1" w:themeShade="A6"/>
          </w:tcBorders>
        </w:tcPr>
        <w:p w:rsidR="00243DA8" w:rsidRPr="00D0175F" w:rsidRDefault="00243DA8" w:rsidP="00DD1FAF">
          <w:pPr>
            <w:pStyle w:val="Header"/>
            <w:rPr>
              <w:rFonts w:asciiTheme="majorHAnsi" w:eastAsiaTheme="majorEastAsia" w:hAnsiTheme="majorHAnsi" w:cstheme="majorBidi"/>
              <w:b/>
              <w:bCs/>
              <w:color w:val="A6A6A6" w:themeColor="background1" w:themeShade="A6"/>
              <w:sz w:val="18"/>
              <w:szCs w:val="18"/>
            </w:rPr>
          </w:pPr>
          <w:r>
            <w:rPr>
              <w:rFonts w:asciiTheme="majorHAnsi" w:eastAsiaTheme="majorEastAsia" w:hAnsiTheme="majorHAnsi" w:cstheme="majorBidi"/>
              <w:b/>
              <w:bCs/>
              <w:color w:val="A6A6A6" w:themeColor="background1" w:themeShade="A6"/>
              <w:sz w:val="18"/>
              <w:szCs w:val="18"/>
            </w:rPr>
            <w:t>Buxheti Faktik 2021</w:t>
          </w:r>
        </w:p>
      </w:tc>
    </w:tr>
  </w:tbl>
  <w:p w:rsidR="00243DA8" w:rsidRDefault="00243D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D55F6"/>
    <w:multiLevelType w:val="hybridMultilevel"/>
    <w:tmpl w:val="2FA65260"/>
    <w:lvl w:ilvl="0" w:tplc="04090003">
      <w:start w:val="1"/>
      <w:numFmt w:val="bullet"/>
      <w:lvlText w:val="o"/>
      <w:lvlJc w:val="left"/>
      <w:pPr>
        <w:ind w:left="99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41721AF"/>
    <w:multiLevelType w:val="hybridMultilevel"/>
    <w:tmpl w:val="C2C495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004418"/>
    <w:multiLevelType w:val="hybridMultilevel"/>
    <w:tmpl w:val="2B302992"/>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5C10B6"/>
    <w:multiLevelType w:val="hybridMultilevel"/>
    <w:tmpl w:val="AED22C02"/>
    <w:lvl w:ilvl="0" w:tplc="04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A906760"/>
    <w:multiLevelType w:val="hybridMultilevel"/>
    <w:tmpl w:val="493E446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0BF319E6"/>
    <w:multiLevelType w:val="hybridMultilevel"/>
    <w:tmpl w:val="7714AB6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7C2610"/>
    <w:multiLevelType w:val="multilevel"/>
    <w:tmpl w:val="2D188156"/>
    <w:lvl w:ilvl="0">
      <w:start w:val="1"/>
      <w:numFmt w:val="decimal"/>
      <w:pStyle w:val="Fiskale1"/>
      <w:lvlText w:val="%1."/>
      <w:lvlJc w:val="left"/>
      <w:pPr>
        <w:ind w:left="450" w:hanging="360"/>
      </w:pPr>
    </w:lvl>
    <w:lvl w:ilvl="1">
      <w:start w:val="1"/>
      <w:numFmt w:val="decimal"/>
      <w:pStyle w:val="Fiskale2"/>
      <w:isLgl/>
      <w:lvlText w:val="%1.%2"/>
      <w:lvlJc w:val="left"/>
      <w:pPr>
        <w:ind w:left="720" w:hanging="360"/>
      </w:pPr>
      <w:rPr>
        <w:rFonts w:hint="default"/>
      </w:rPr>
    </w:lvl>
    <w:lvl w:ilvl="2">
      <w:start w:val="1"/>
      <w:numFmt w:val="decimal"/>
      <w:pStyle w:val="fiskale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159E7A7C"/>
    <w:multiLevelType w:val="hybridMultilevel"/>
    <w:tmpl w:val="964EB1F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8245D15"/>
    <w:multiLevelType w:val="hybridMultilevel"/>
    <w:tmpl w:val="6DEEBF5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6A2126"/>
    <w:multiLevelType w:val="hybridMultilevel"/>
    <w:tmpl w:val="D646C00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7C59BA"/>
    <w:multiLevelType w:val="hybridMultilevel"/>
    <w:tmpl w:val="E38C3580"/>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nsid w:val="1D782C62"/>
    <w:multiLevelType w:val="hybridMultilevel"/>
    <w:tmpl w:val="F300E5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217D82"/>
    <w:multiLevelType w:val="hybridMultilevel"/>
    <w:tmpl w:val="6DC23268"/>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8824A9C"/>
    <w:multiLevelType w:val="hybridMultilevel"/>
    <w:tmpl w:val="34BA4D52"/>
    <w:lvl w:ilvl="0" w:tplc="A178EBB4">
      <w:start w:val="1"/>
      <w:numFmt w:val="lowerLetter"/>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2F3909"/>
    <w:multiLevelType w:val="hybridMultilevel"/>
    <w:tmpl w:val="314C97EA"/>
    <w:lvl w:ilvl="0" w:tplc="04090003">
      <w:start w:val="1"/>
      <w:numFmt w:val="bullet"/>
      <w:lvlText w:val="o"/>
      <w:lvlJc w:val="left"/>
      <w:pPr>
        <w:ind w:left="1170" w:hanging="360"/>
      </w:pPr>
      <w:rPr>
        <w:rFonts w:ascii="Courier New" w:hAnsi="Courier New" w:cs="Courier New"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15">
    <w:nsid w:val="29707570"/>
    <w:multiLevelType w:val="hybridMultilevel"/>
    <w:tmpl w:val="8BE8AE7C"/>
    <w:lvl w:ilvl="0" w:tplc="04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29C81DD4"/>
    <w:multiLevelType w:val="hybridMultilevel"/>
    <w:tmpl w:val="1BCCDF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5F0A47"/>
    <w:multiLevelType w:val="hybridMultilevel"/>
    <w:tmpl w:val="14684B9E"/>
    <w:lvl w:ilvl="0" w:tplc="04090003">
      <w:start w:val="1"/>
      <w:numFmt w:val="bullet"/>
      <w:lvlText w:val="o"/>
      <w:lvlJc w:val="left"/>
      <w:pPr>
        <w:ind w:left="90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306B37F7"/>
    <w:multiLevelType w:val="hybridMultilevel"/>
    <w:tmpl w:val="86B2E5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5955DB"/>
    <w:multiLevelType w:val="hybridMultilevel"/>
    <w:tmpl w:val="E69A312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30E6FD9"/>
    <w:multiLevelType w:val="hybridMultilevel"/>
    <w:tmpl w:val="42C4D76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62D2A37"/>
    <w:multiLevelType w:val="hybridMultilevel"/>
    <w:tmpl w:val="7A5209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DB2B22"/>
    <w:multiLevelType w:val="hybridMultilevel"/>
    <w:tmpl w:val="DAFA3BC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7126D4C"/>
    <w:multiLevelType w:val="hybridMultilevel"/>
    <w:tmpl w:val="E9FAB0A8"/>
    <w:lvl w:ilvl="0" w:tplc="9EEAF2B8">
      <w:start w:val="4"/>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3A492FF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nsid w:val="3C9436C6"/>
    <w:multiLevelType w:val="hybridMultilevel"/>
    <w:tmpl w:val="F00EF65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179790D"/>
    <w:multiLevelType w:val="hybridMultilevel"/>
    <w:tmpl w:val="748A42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B33002"/>
    <w:multiLevelType w:val="hybridMultilevel"/>
    <w:tmpl w:val="83B89556"/>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4A53F4"/>
    <w:multiLevelType w:val="hybridMultilevel"/>
    <w:tmpl w:val="E7D42CC8"/>
    <w:lvl w:ilvl="0" w:tplc="04090003">
      <w:start w:val="1"/>
      <w:numFmt w:val="bullet"/>
      <w:lvlText w:val="o"/>
      <w:lvlJc w:val="left"/>
      <w:pPr>
        <w:ind w:left="810" w:hanging="360"/>
      </w:pPr>
      <w:rPr>
        <w:rFonts w:ascii="Courier New" w:hAnsi="Courier New" w:cs="Courier New"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9">
    <w:nsid w:val="46D17C77"/>
    <w:multiLevelType w:val="hybridMultilevel"/>
    <w:tmpl w:val="9768F56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6E7A64"/>
    <w:multiLevelType w:val="hybridMultilevel"/>
    <w:tmpl w:val="5316FF1A"/>
    <w:lvl w:ilvl="0" w:tplc="0409000D">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E07949"/>
    <w:multiLevelType w:val="hybridMultilevel"/>
    <w:tmpl w:val="804E972E"/>
    <w:lvl w:ilvl="0" w:tplc="04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4B3E5562"/>
    <w:multiLevelType w:val="hybridMultilevel"/>
    <w:tmpl w:val="9200A914"/>
    <w:lvl w:ilvl="0" w:tplc="04090005">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BBC2445"/>
    <w:multiLevelType w:val="hybridMultilevel"/>
    <w:tmpl w:val="530414F8"/>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4CD14037"/>
    <w:multiLevelType w:val="hybridMultilevel"/>
    <w:tmpl w:val="D4EABB82"/>
    <w:lvl w:ilvl="0" w:tplc="0809000D">
      <w:start w:val="1"/>
      <w:numFmt w:val="bullet"/>
      <w:lvlText w:val=""/>
      <w:lvlJc w:val="left"/>
      <w:pPr>
        <w:ind w:left="630" w:hanging="360"/>
      </w:pPr>
      <w:rPr>
        <w:rFonts w:ascii="Wingdings" w:hAnsi="Wingdings" w:hint="default"/>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35">
    <w:nsid w:val="4F425AC4"/>
    <w:multiLevelType w:val="hybridMultilevel"/>
    <w:tmpl w:val="9768F56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3FA6F43"/>
    <w:multiLevelType w:val="hybridMultilevel"/>
    <w:tmpl w:val="5F6054B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860298D"/>
    <w:multiLevelType w:val="hybridMultilevel"/>
    <w:tmpl w:val="5C50BE2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8D9564D"/>
    <w:multiLevelType w:val="hybridMultilevel"/>
    <w:tmpl w:val="2BC465D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9E03C5E"/>
    <w:multiLevelType w:val="hybridMultilevel"/>
    <w:tmpl w:val="447A8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E373865"/>
    <w:multiLevelType w:val="hybridMultilevel"/>
    <w:tmpl w:val="8B965C74"/>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0706106"/>
    <w:multiLevelType w:val="hybridMultilevel"/>
    <w:tmpl w:val="06ECE92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48340D9"/>
    <w:multiLevelType w:val="hybridMultilevel"/>
    <w:tmpl w:val="B20043EC"/>
    <w:lvl w:ilvl="0" w:tplc="307EC1B0">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B94610C"/>
    <w:multiLevelType w:val="hybridMultilevel"/>
    <w:tmpl w:val="949A75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C1D748B"/>
    <w:multiLevelType w:val="hybridMultilevel"/>
    <w:tmpl w:val="E66C8456"/>
    <w:lvl w:ilvl="0" w:tplc="04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nsid w:val="6D564BC2"/>
    <w:multiLevelType w:val="hybridMultilevel"/>
    <w:tmpl w:val="35EAE2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E685046"/>
    <w:multiLevelType w:val="hybridMultilevel"/>
    <w:tmpl w:val="32FA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30B4AC9"/>
    <w:multiLevelType w:val="hybridMultilevel"/>
    <w:tmpl w:val="6136C7DE"/>
    <w:lvl w:ilvl="0" w:tplc="201C18C0">
      <w:start w:val="1"/>
      <w:numFmt w:val="decimal"/>
      <w:lvlText w:val="%1)"/>
      <w:lvlJc w:val="left"/>
      <w:pPr>
        <w:ind w:left="720" w:hanging="360"/>
      </w:pPr>
      <w:rPr>
        <w:rFonts w:hint="default"/>
        <w:b/>
        <w:i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73735C22"/>
    <w:multiLevelType w:val="hybridMultilevel"/>
    <w:tmpl w:val="937C8538"/>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6CE1F86"/>
    <w:multiLevelType w:val="hybridMultilevel"/>
    <w:tmpl w:val="24DA14AC"/>
    <w:lvl w:ilvl="0" w:tplc="04090003">
      <w:start w:val="1"/>
      <w:numFmt w:val="bullet"/>
      <w:lvlText w:val="o"/>
      <w:lvlJc w:val="left"/>
      <w:pPr>
        <w:ind w:left="900" w:hanging="360"/>
      </w:pPr>
      <w:rPr>
        <w:rFonts w:ascii="Courier New" w:hAnsi="Courier New" w:cs="Courier New"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50">
    <w:nsid w:val="78B2288E"/>
    <w:multiLevelType w:val="hybridMultilevel"/>
    <w:tmpl w:val="2C728264"/>
    <w:lvl w:ilvl="0" w:tplc="02CE0E2C">
      <w:start w:val="1"/>
      <w:numFmt w:val="lowerLetter"/>
      <w:lvlText w:val="%1)"/>
      <w:lvlJc w:val="left"/>
      <w:pPr>
        <w:ind w:left="720" w:hanging="360"/>
      </w:pPr>
      <w:rPr>
        <w:rFonts w:ascii="Times New Roman" w:eastAsia="Times New Roman" w:hAnsi="Times New Roman" w:cs="Times New Roman"/>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BBF3149"/>
    <w:multiLevelType w:val="hybridMultilevel"/>
    <w:tmpl w:val="D3EED23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7C0B017B"/>
    <w:multiLevelType w:val="hybridMultilevel"/>
    <w:tmpl w:val="0CE4C888"/>
    <w:lvl w:ilvl="0" w:tplc="0409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3">
    <w:nsid w:val="7C760EAA"/>
    <w:multiLevelType w:val="hybridMultilevel"/>
    <w:tmpl w:val="84764460"/>
    <w:lvl w:ilvl="0" w:tplc="04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3"/>
  </w:num>
  <w:num w:numId="2">
    <w:abstractNumId w:val="33"/>
  </w:num>
  <w:num w:numId="3">
    <w:abstractNumId w:val="6"/>
  </w:num>
  <w:num w:numId="4">
    <w:abstractNumId w:val="24"/>
  </w:num>
  <w:num w:numId="5">
    <w:abstractNumId w:val="32"/>
  </w:num>
  <w:num w:numId="6">
    <w:abstractNumId w:val="46"/>
  </w:num>
  <w:num w:numId="7">
    <w:abstractNumId w:val="7"/>
  </w:num>
  <w:num w:numId="8">
    <w:abstractNumId w:val="41"/>
  </w:num>
  <w:num w:numId="9">
    <w:abstractNumId w:val="39"/>
  </w:num>
  <w:num w:numId="10">
    <w:abstractNumId w:val="38"/>
  </w:num>
  <w:num w:numId="11">
    <w:abstractNumId w:val="29"/>
  </w:num>
  <w:num w:numId="12">
    <w:abstractNumId w:val="27"/>
  </w:num>
  <w:num w:numId="13">
    <w:abstractNumId w:val="18"/>
  </w:num>
  <w:num w:numId="14">
    <w:abstractNumId w:val="8"/>
  </w:num>
  <w:num w:numId="15">
    <w:abstractNumId w:val="35"/>
  </w:num>
  <w:num w:numId="16">
    <w:abstractNumId w:val="25"/>
  </w:num>
  <w:num w:numId="17">
    <w:abstractNumId w:val="13"/>
  </w:num>
  <w:num w:numId="18">
    <w:abstractNumId w:val="34"/>
  </w:num>
  <w:num w:numId="19">
    <w:abstractNumId w:val="44"/>
  </w:num>
  <w:num w:numId="20">
    <w:abstractNumId w:val="36"/>
  </w:num>
  <w:num w:numId="21">
    <w:abstractNumId w:val="53"/>
  </w:num>
  <w:num w:numId="22">
    <w:abstractNumId w:val="14"/>
  </w:num>
  <w:num w:numId="23">
    <w:abstractNumId w:val="19"/>
  </w:num>
  <w:num w:numId="24">
    <w:abstractNumId w:val="45"/>
  </w:num>
  <w:num w:numId="25">
    <w:abstractNumId w:val="31"/>
  </w:num>
  <w:num w:numId="26">
    <w:abstractNumId w:val="15"/>
  </w:num>
  <w:num w:numId="27">
    <w:abstractNumId w:val="22"/>
  </w:num>
  <w:num w:numId="28">
    <w:abstractNumId w:val="3"/>
  </w:num>
  <w:num w:numId="29">
    <w:abstractNumId w:val="48"/>
  </w:num>
  <w:num w:numId="30">
    <w:abstractNumId w:val="17"/>
  </w:num>
  <w:num w:numId="31">
    <w:abstractNumId w:val="0"/>
  </w:num>
  <w:num w:numId="32">
    <w:abstractNumId w:val="49"/>
  </w:num>
  <w:num w:numId="33">
    <w:abstractNumId w:val="28"/>
  </w:num>
  <w:num w:numId="34">
    <w:abstractNumId w:val="40"/>
  </w:num>
  <w:num w:numId="35">
    <w:abstractNumId w:val="42"/>
  </w:num>
  <w:num w:numId="36">
    <w:abstractNumId w:val="11"/>
  </w:num>
  <w:num w:numId="37">
    <w:abstractNumId w:val="26"/>
  </w:num>
  <w:num w:numId="38">
    <w:abstractNumId w:val="52"/>
  </w:num>
  <w:num w:numId="39">
    <w:abstractNumId w:val="5"/>
  </w:num>
  <w:num w:numId="40">
    <w:abstractNumId w:val="21"/>
  </w:num>
  <w:num w:numId="41">
    <w:abstractNumId w:val="1"/>
  </w:num>
  <w:num w:numId="42">
    <w:abstractNumId w:val="43"/>
  </w:num>
  <w:num w:numId="43">
    <w:abstractNumId w:val="30"/>
  </w:num>
  <w:num w:numId="44">
    <w:abstractNumId w:val="16"/>
  </w:num>
  <w:num w:numId="45">
    <w:abstractNumId w:val="4"/>
  </w:num>
  <w:num w:numId="46">
    <w:abstractNumId w:val="10"/>
  </w:num>
  <w:num w:numId="47">
    <w:abstractNumId w:val="37"/>
  </w:num>
  <w:num w:numId="48">
    <w:abstractNumId w:val="2"/>
  </w:num>
  <w:num w:numId="49">
    <w:abstractNumId w:val="9"/>
  </w:num>
  <w:num w:numId="50">
    <w:abstractNumId w:val="12"/>
  </w:num>
  <w:num w:numId="51">
    <w:abstractNumId w:val="50"/>
  </w:num>
  <w:num w:numId="52">
    <w:abstractNumId w:val="47"/>
  </w:num>
  <w:num w:numId="53">
    <w:abstractNumId w:val="51"/>
  </w:num>
  <w:num w:numId="54">
    <w:abstractNumId w:val="2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670"/>
    <w:rsid w:val="00000518"/>
    <w:rsid w:val="00001FA5"/>
    <w:rsid w:val="000064FD"/>
    <w:rsid w:val="0000713F"/>
    <w:rsid w:val="000077B5"/>
    <w:rsid w:val="00007D36"/>
    <w:rsid w:val="000124AC"/>
    <w:rsid w:val="00012DFB"/>
    <w:rsid w:val="000156B7"/>
    <w:rsid w:val="00015B80"/>
    <w:rsid w:val="000168EF"/>
    <w:rsid w:val="00017DE1"/>
    <w:rsid w:val="00020F57"/>
    <w:rsid w:val="00025D7B"/>
    <w:rsid w:val="000279F1"/>
    <w:rsid w:val="00030985"/>
    <w:rsid w:val="00030C57"/>
    <w:rsid w:val="00031470"/>
    <w:rsid w:val="00031CAC"/>
    <w:rsid w:val="00032B8A"/>
    <w:rsid w:val="00035363"/>
    <w:rsid w:val="00040978"/>
    <w:rsid w:val="00042892"/>
    <w:rsid w:val="00043D27"/>
    <w:rsid w:val="00044EFE"/>
    <w:rsid w:val="0004548D"/>
    <w:rsid w:val="0005125A"/>
    <w:rsid w:val="000527CB"/>
    <w:rsid w:val="00052968"/>
    <w:rsid w:val="0005367A"/>
    <w:rsid w:val="0005408D"/>
    <w:rsid w:val="00057746"/>
    <w:rsid w:val="00060EC4"/>
    <w:rsid w:val="0006149D"/>
    <w:rsid w:val="00062D5D"/>
    <w:rsid w:val="000641F7"/>
    <w:rsid w:val="000643E7"/>
    <w:rsid w:val="00065CCC"/>
    <w:rsid w:val="000661E2"/>
    <w:rsid w:val="0006797B"/>
    <w:rsid w:val="00067A2D"/>
    <w:rsid w:val="000703F6"/>
    <w:rsid w:val="00070F3E"/>
    <w:rsid w:val="00071D89"/>
    <w:rsid w:val="00076DF5"/>
    <w:rsid w:val="00077771"/>
    <w:rsid w:val="000804E3"/>
    <w:rsid w:val="000804FA"/>
    <w:rsid w:val="000807FD"/>
    <w:rsid w:val="00083EB3"/>
    <w:rsid w:val="000853C2"/>
    <w:rsid w:val="00085C53"/>
    <w:rsid w:val="00086626"/>
    <w:rsid w:val="00087712"/>
    <w:rsid w:val="00090BD1"/>
    <w:rsid w:val="000936EC"/>
    <w:rsid w:val="00093E30"/>
    <w:rsid w:val="000964B4"/>
    <w:rsid w:val="0009715F"/>
    <w:rsid w:val="00097BD7"/>
    <w:rsid w:val="000A14BC"/>
    <w:rsid w:val="000A215B"/>
    <w:rsid w:val="000A44A9"/>
    <w:rsid w:val="000A6CB0"/>
    <w:rsid w:val="000A6FCE"/>
    <w:rsid w:val="000A70B6"/>
    <w:rsid w:val="000A737D"/>
    <w:rsid w:val="000A7445"/>
    <w:rsid w:val="000B327D"/>
    <w:rsid w:val="000B5D5E"/>
    <w:rsid w:val="000B7167"/>
    <w:rsid w:val="000C1E84"/>
    <w:rsid w:val="000C27BF"/>
    <w:rsid w:val="000C2F27"/>
    <w:rsid w:val="000C49C1"/>
    <w:rsid w:val="000C55BB"/>
    <w:rsid w:val="000C7A4E"/>
    <w:rsid w:val="000D0539"/>
    <w:rsid w:val="000D1F68"/>
    <w:rsid w:val="000D79FB"/>
    <w:rsid w:val="000E085A"/>
    <w:rsid w:val="000E093D"/>
    <w:rsid w:val="000E34AF"/>
    <w:rsid w:val="000E45B8"/>
    <w:rsid w:val="000E6B77"/>
    <w:rsid w:val="000E6D69"/>
    <w:rsid w:val="000F27FD"/>
    <w:rsid w:val="000F3F3E"/>
    <w:rsid w:val="001007C6"/>
    <w:rsid w:val="001012FE"/>
    <w:rsid w:val="0010282F"/>
    <w:rsid w:val="00102D8C"/>
    <w:rsid w:val="00103D33"/>
    <w:rsid w:val="00106495"/>
    <w:rsid w:val="001106AA"/>
    <w:rsid w:val="00110CDC"/>
    <w:rsid w:val="001114A6"/>
    <w:rsid w:val="001119D4"/>
    <w:rsid w:val="00112782"/>
    <w:rsid w:val="00113685"/>
    <w:rsid w:val="001216DB"/>
    <w:rsid w:val="00127222"/>
    <w:rsid w:val="00127994"/>
    <w:rsid w:val="00127C01"/>
    <w:rsid w:val="00130001"/>
    <w:rsid w:val="00130577"/>
    <w:rsid w:val="001319B0"/>
    <w:rsid w:val="001323FC"/>
    <w:rsid w:val="00133A19"/>
    <w:rsid w:val="001348DF"/>
    <w:rsid w:val="00135292"/>
    <w:rsid w:val="001364FD"/>
    <w:rsid w:val="00140052"/>
    <w:rsid w:val="0014089E"/>
    <w:rsid w:val="001409FB"/>
    <w:rsid w:val="00142C19"/>
    <w:rsid w:val="00146BA4"/>
    <w:rsid w:val="00146CA5"/>
    <w:rsid w:val="00146E22"/>
    <w:rsid w:val="001509BA"/>
    <w:rsid w:val="00151804"/>
    <w:rsid w:val="001535B2"/>
    <w:rsid w:val="001550B0"/>
    <w:rsid w:val="00156B9F"/>
    <w:rsid w:val="00162011"/>
    <w:rsid w:val="001628DB"/>
    <w:rsid w:val="00163A5D"/>
    <w:rsid w:val="00164344"/>
    <w:rsid w:val="00165883"/>
    <w:rsid w:val="00171404"/>
    <w:rsid w:val="001766F3"/>
    <w:rsid w:val="00176A40"/>
    <w:rsid w:val="00176A9A"/>
    <w:rsid w:val="001779A0"/>
    <w:rsid w:val="00177F3C"/>
    <w:rsid w:val="001808E9"/>
    <w:rsid w:val="00181D61"/>
    <w:rsid w:val="001846AE"/>
    <w:rsid w:val="001854AF"/>
    <w:rsid w:val="00186099"/>
    <w:rsid w:val="00187EEE"/>
    <w:rsid w:val="001916CC"/>
    <w:rsid w:val="001949C8"/>
    <w:rsid w:val="00195EEB"/>
    <w:rsid w:val="001A13A5"/>
    <w:rsid w:val="001A1B6A"/>
    <w:rsid w:val="001A1CA9"/>
    <w:rsid w:val="001A3391"/>
    <w:rsid w:val="001A5052"/>
    <w:rsid w:val="001A5183"/>
    <w:rsid w:val="001A68C5"/>
    <w:rsid w:val="001B123B"/>
    <w:rsid w:val="001B16B9"/>
    <w:rsid w:val="001B491F"/>
    <w:rsid w:val="001B5558"/>
    <w:rsid w:val="001B5814"/>
    <w:rsid w:val="001B6B1A"/>
    <w:rsid w:val="001B7769"/>
    <w:rsid w:val="001B7BED"/>
    <w:rsid w:val="001C245C"/>
    <w:rsid w:val="001C2548"/>
    <w:rsid w:val="001C259E"/>
    <w:rsid w:val="001C2B47"/>
    <w:rsid w:val="001C3103"/>
    <w:rsid w:val="001C3F86"/>
    <w:rsid w:val="001C6F84"/>
    <w:rsid w:val="001D05F8"/>
    <w:rsid w:val="001D1528"/>
    <w:rsid w:val="001D1FB4"/>
    <w:rsid w:val="001D35B2"/>
    <w:rsid w:val="001D3D8F"/>
    <w:rsid w:val="001D4BD5"/>
    <w:rsid w:val="001D536D"/>
    <w:rsid w:val="001D54B0"/>
    <w:rsid w:val="001D56FA"/>
    <w:rsid w:val="001D7413"/>
    <w:rsid w:val="001D7807"/>
    <w:rsid w:val="001D7ECF"/>
    <w:rsid w:val="001E236B"/>
    <w:rsid w:val="001E63C0"/>
    <w:rsid w:val="001E681B"/>
    <w:rsid w:val="001F026B"/>
    <w:rsid w:val="001F0EA8"/>
    <w:rsid w:val="001F12F7"/>
    <w:rsid w:val="001F2244"/>
    <w:rsid w:val="001F256B"/>
    <w:rsid w:val="001F28BA"/>
    <w:rsid w:val="001F4829"/>
    <w:rsid w:val="001F5636"/>
    <w:rsid w:val="001F6930"/>
    <w:rsid w:val="001F75C7"/>
    <w:rsid w:val="001F7E47"/>
    <w:rsid w:val="00200A44"/>
    <w:rsid w:val="00201B36"/>
    <w:rsid w:val="00201E9C"/>
    <w:rsid w:val="00203A54"/>
    <w:rsid w:val="002051A5"/>
    <w:rsid w:val="002059F2"/>
    <w:rsid w:val="00206876"/>
    <w:rsid w:val="00206AB0"/>
    <w:rsid w:val="00207711"/>
    <w:rsid w:val="00207749"/>
    <w:rsid w:val="0020776D"/>
    <w:rsid w:val="00207EB8"/>
    <w:rsid w:val="002100DE"/>
    <w:rsid w:val="002108AB"/>
    <w:rsid w:val="002111DF"/>
    <w:rsid w:val="0021138B"/>
    <w:rsid w:val="00213041"/>
    <w:rsid w:val="0021306B"/>
    <w:rsid w:val="00213EFC"/>
    <w:rsid w:val="00214036"/>
    <w:rsid w:val="0021491A"/>
    <w:rsid w:val="00214DF1"/>
    <w:rsid w:val="00215A42"/>
    <w:rsid w:val="00215ABD"/>
    <w:rsid w:val="00216E70"/>
    <w:rsid w:val="002174D9"/>
    <w:rsid w:val="00221442"/>
    <w:rsid w:val="00226516"/>
    <w:rsid w:val="00226751"/>
    <w:rsid w:val="00226833"/>
    <w:rsid w:val="00232B0E"/>
    <w:rsid w:val="00232F76"/>
    <w:rsid w:val="00233F66"/>
    <w:rsid w:val="00234461"/>
    <w:rsid w:val="002350D2"/>
    <w:rsid w:val="00235F4C"/>
    <w:rsid w:val="002361F4"/>
    <w:rsid w:val="00236222"/>
    <w:rsid w:val="0023750F"/>
    <w:rsid w:val="0023797C"/>
    <w:rsid w:val="002400BB"/>
    <w:rsid w:val="00241417"/>
    <w:rsid w:val="00241BB6"/>
    <w:rsid w:val="00243DA8"/>
    <w:rsid w:val="0024447E"/>
    <w:rsid w:val="002464D3"/>
    <w:rsid w:val="00250349"/>
    <w:rsid w:val="00251DB0"/>
    <w:rsid w:val="002521DC"/>
    <w:rsid w:val="00252CB2"/>
    <w:rsid w:val="0025634D"/>
    <w:rsid w:val="00257F1A"/>
    <w:rsid w:val="00261182"/>
    <w:rsid w:val="00261811"/>
    <w:rsid w:val="00261FA8"/>
    <w:rsid w:val="002654D7"/>
    <w:rsid w:val="00265528"/>
    <w:rsid w:val="002719F2"/>
    <w:rsid w:val="00273F12"/>
    <w:rsid w:val="002755E8"/>
    <w:rsid w:val="00276062"/>
    <w:rsid w:val="00276D93"/>
    <w:rsid w:val="00277CFC"/>
    <w:rsid w:val="00281910"/>
    <w:rsid w:val="00281C6E"/>
    <w:rsid w:val="002822DF"/>
    <w:rsid w:val="0028312F"/>
    <w:rsid w:val="00283D5D"/>
    <w:rsid w:val="00284FFE"/>
    <w:rsid w:val="00293720"/>
    <w:rsid w:val="0029617C"/>
    <w:rsid w:val="0029730B"/>
    <w:rsid w:val="002A00BD"/>
    <w:rsid w:val="002A27D5"/>
    <w:rsid w:val="002A593E"/>
    <w:rsid w:val="002A6746"/>
    <w:rsid w:val="002A74B0"/>
    <w:rsid w:val="002B200F"/>
    <w:rsid w:val="002B21AB"/>
    <w:rsid w:val="002B318B"/>
    <w:rsid w:val="002B34A1"/>
    <w:rsid w:val="002B365E"/>
    <w:rsid w:val="002B370B"/>
    <w:rsid w:val="002B4496"/>
    <w:rsid w:val="002B5B6C"/>
    <w:rsid w:val="002B740E"/>
    <w:rsid w:val="002C01FC"/>
    <w:rsid w:val="002C152C"/>
    <w:rsid w:val="002C2DD9"/>
    <w:rsid w:val="002C4DD7"/>
    <w:rsid w:val="002C4FAF"/>
    <w:rsid w:val="002C600D"/>
    <w:rsid w:val="002C7095"/>
    <w:rsid w:val="002D01B2"/>
    <w:rsid w:val="002D2658"/>
    <w:rsid w:val="002D3766"/>
    <w:rsid w:val="002D6FA3"/>
    <w:rsid w:val="002E06C4"/>
    <w:rsid w:val="002E0B72"/>
    <w:rsid w:val="002E135E"/>
    <w:rsid w:val="002E1EE1"/>
    <w:rsid w:val="002E2899"/>
    <w:rsid w:val="002E4773"/>
    <w:rsid w:val="002E6CA1"/>
    <w:rsid w:val="002F029D"/>
    <w:rsid w:val="002F0D82"/>
    <w:rsid w:val="002F31B6"/>
    <w:rsid w:val="002F3257"/>
    <w:rsid w:val="002F50D2"/>
    <w:rsid w:val="002F6176"/>
    <w:rsid w:val="002F71CA"/>
    <w:rsid w:val="002F7463"/>
    <w:rsid w:val="002F75BC"/>
    <w:rsid w:val="002F7DBC"/>
    <w:rsid w:val="003039FA"/>
    <w:rsid w:val="00304DF6"/>
    <w:rsid w:val="00307C6F"/>
    <w:rsid w:val="003101B1"/>
    <w:rsid w:val="003135D4"/>
    <w:rsid w:val="00313D60"/>
    <w:rsid w:val="00316AE2"/>
    <w:rsid w:val="00317AD6"/>
    <w:rsid w:val="00320584"/>
    <w:rsid w:val="00321F99"/>
    <w:rsid w:val="003221E6"/>
    <w:rsid w:val="003228F8"/>
    <w:rsid w:val="00322905"/>
    <w:rsid w:val="00323E94"/>
    <w:rsid w:val="003256DA"/>
    <w:rsid w:val="00325806"/>
    <w:rsid w:val="00326412"/>
    <w:rsid w:val="00333B0E"/>
    <w:rsid w:val="00334B7C"/>
    <w:rsid w:val="0033511C"/>
    <w:rsid w:val="0033539C"/>
    <w:rsid w:val="0033564E"/>
    <w:rsid w:val="00335A3A"/>
    <w:rsid w:val="00335DB8"/>
    <w:rsid w:val="00341B3C"/>
    <w:rsid w:val="0034438D"/>
    <w:rsid w:val="00350A9F"/>
    <w:rsid w:val="00350CF6"/>
    <w:rsid w:val="00351572"/>
    <w:rsid w:val="0035253D"/>
    <w:rsid w:val="003560F2"/>
    <w:rsid w:val="00356552"/>
    <w:rsid w:val="00357FD1"/>
    <w:rsid w:val="00360A79"/>
    <w:rsid w:val="0036334C"/>
    <w:rsid w:val="00364143"/>
    <w:rsid w:val="00364D41"/>
    <w:rsid w:val="00364F55"/>
    <w:rsid w:val="00365BD3"/>
    <w:rsid w:val="00366408"/>
    <w:rsid w:val="00366E32"/>
    <w:rsid w:val="00370140"/>
    <w:rsid w:val="00371F22"/>
    <w:rsid w:val="00372C43"/>
    <w:rsid w:val="00372CDC"/>
    <w:rsid w:val="00372F41"/>
    <w:rsid w:val="0037316F"/>
    <w:rsid w:val="003734A7"/>
    <w:rsid w:val="003739C3"/>
    <w:rsid w:val="00374BB8"/>
    <w:rsid w:val="00375A25"/>
    <w:rsid w:val="00376C0C"/>
    <w:rsid w:val="00377806"/>
    <w:rsid w:val="00377962"/>
    <w:rsid w:val="00380C50"/>
    <w:rsid w:val="00382115"/>
    <w:rsid w:val="00382236"/>
    <w:rsid w:val="00384E5B"/>
    <w:rsid w:val="00386C45"/>
    <w:rsid w:val="00390006"/>
    <w:rsid w:val="003933CD"/>
    <w:rsid w:val="00393657"/>
    <w:rsid w:val="0039456F"/>
    <w:rsid w:val="003956FF"/>
    <w:rsid w:val="0039583E"/>
    <w:rsid w:val="003A4E50"/>
    <w:rsid w:val="003A4FF8"/>
    <w:rsid w:val="003A7E93"/>
    <w:rsid w:val="003B22D8"/>
    <w:rsid w:val="003B2AF7"/>
    <w:rsid w:val="003B39CA"/>
    <w:rsid w:val="003B3A33"/>
    <w:rsid w:val="003B5B12"/>
    <w:rsid w:val="003B65F9"/>
    <w:rsid w:val="003B6EC7"/>
    <w:rsid w:val="003B6F24"/>
    <w:rsid w:val="003B75A6"/>
    <w:rsid w:val="003C0BE3"/>
    <w:rsid w:val="003C4271"/>
    <w:rsid w:val="003C5CDD"/>
    <w:rsid w:val="003D0C75"/>
    <w:rsid w:val="003D1223"/>
    <w:rsid w:val="003D1D3B"/>
    <w:rsid w:val="003D2134"/>
    <w:rsid w:val="003D27AD"/>
    <w:rsid w:val="003D3302"/>
    <w:rsid w:val="003D3813"/>
    <w:rsid w:val="003D5164"/>
    <w:rsid w:val="003D7D6D"/>
    <w:rsid w:val="003E010E"/>
    <w:rsid w:val="003E3C6E"/>
    <w:rsid w:val="003E4F38"/>
    <w:rsid w:val="003E52B1"/>
    <w:rsid w:val="003E54CE"/>
    <w:rsid w:val="003E5F73"/>
    <w:rsid w:val="003E608B"/>
    <w:rsid w:val="003F1A83"/>
    <w:rsid w:val="003F3B2D"/>
    <w:rsid w:val="003F5ECF"/>
    <w:rsid w:val="003F6966"/>
    <w:rsid w:val="00400FC0"/>
    <w:rsid w:val="00401CD5"/>
    <w:rsid w:val="0040396E"/>
    <w:rsid w:val="00405A27"/>
    <w:rsid w:val="00405E64"/>
    <w:rsid w:val="004101C5"/>
    <w:rsid w:val="00413093"/>
    <w:rsid w:val="00413B5B"/>
    <w:rsid w:val="00413C45"/>
    <w:rsid w:val="004143A0"/>
    <w:rsid w:val="004163D4"/>
    <w:rsid w:val="004167C8"/>
    <w:rsid w:val="00417AAD"/>
    <w:rsid w:val="00421C4B"/>
    <w:rsid w:val="00426D6A"/>
    <w:rsid w:val="00430C1D"/>
    <w:rsid w:val="00430DCC"/>
    <w:rsid w:val="00434988"/>
    <w:rsid w:val="00434B08"/>
    <w:rsid w:val="0043521D"/>
    <w:rsid w:val="00435492"/>
    <w:rsid w:val="00437CC4"/>
    <w:rsid w:val="00441FF6"/>
    <w:rsid w:val="00442452"/>
    <w:rsid w:val="0044331B"/>
    <w:rsid w:val="004437B8"/>
    <w:rsid w:val="00443A7E"/>
    <w:rsid w:val="00445C7D"/>
    <w:rsid w:val="004479DD"/>
    <w:rsid w:val="00450CC7"/>
    <w:rsid w:val="00450CD8"/>
    <w:rsid w:val="00452070"/>
    <w:rsid w:val="0045266E"/>
    <w:rsid w:val="00453DA8"/>
    <w:rsid w:val="0046078E"/>
    <w:rsid w:val="0046374E"/>
    <w:rsid w:val="00463755"/>
    <w:rsid w:val="00464A3C"/>
    <w:rsid w:val="004671AF"/>
    <w:rsid w:val="00470455"/>
    <w:rsid w:val="0047328B"/>
    <w:rsid w:val="00473E24"/>
    <w:rsid w:val="004741E3"/>
    <w:rsid w:val="00474274"/>
    <w:rsid w:val="00474F9D"/>
    <w:rsid w:val="00475B98"/>
    <w:rsid w:val="00476D2E"/>
    <w:rsid w:val="00476DCB"/>
    <w:rsid w:val="00477915"/>
    <w:rsid w:val="00481F1A"/>
    <w:rsid w:val="004820FF"/>
    <w:rsid w:val="004821A6"/>
    <w:rsid w:val="00482E89"/>
    <w:rsid w:val="00483509"/>
    <w:rsid w:val="00483CF6"/>
    <w:rsid w:val="00484AAA"/>
    <w:rsid w:val="0048642D"/>
    <w:rsid w:val="00487791"/>
    <w:rsid w:val="004878D4"/>
    <w:rsid w:val="00490709"/>
    <w:rsid w:val="0049325D"/>
    <w:rsid w:val="00494EAD"/>
    <w:rsid w:val="0049548B"/>
    <w:rsid w:val="00497022"/>
    <w:rsid w:val="00497A19"/>
    <w:rsid w:val="004A6E7A"/>
    <w:rsid w:val="004B06BA"/>
    <w:rsid w:val="004B2FC0"/>
    <w:rsid w:val="004B41B1"/>
    <w:rsid w:val="004B7C48"/>
    <w:rsid w:val="004C1EB3"/>
    <w:rsid w:val="004C217D"/>
    <w:rsid w:val="004C2202"/>
    <w:rsid w:val="004C380C"/>
    <w:rsid w:val="004C4B71"/>
    <w:rsid w:val="004C5626"/>
    <w:rsid w:val="004C5DBF"/>
    <w:rsid w:val="004C6892"/>
    <w:rsid w:val="004C70E7"/>
    <w:rsid w:val="004D03CD"/>
    <w:rsid w:val="004D0CC0"/>
    <w:rsid w:val="004D114F"/>
    <w:rsid w:val="004D1D1D"/>
    <w:rsid w:val="004D2D98"/>
    <w:rsid w:val="004D2E8B"/>
    <w:rsid w:val="004D353D"/>
    <w:rsid w:val="004D3D10"/>
    <w:rsid w:val="004D43B0"/>
    <w:rsid w:val="004D5C3A"/>
    <w:rsid w:val="004D6548"/>
    <w:rsid w:val="004E017B"/>
    <w:rsid w:val="004E027F"/>
    <w:rsid w:val="004E0DC2"/>
    <w:rsid w:val="004E15B6"/>
    <w:rsid w:val="004E22C1"/>
    <w:rsid w:val="004E25CC"/>
    <w:rsid w:val="004E7254"/>
    <w:rsid w:val="004F05D2"/>
    <w:rsid w:val="004F0FA0"/>
    <w:rsid w:val="004F1049"/>
    <w:rsid w:val="004F15E5"/>
    <w:rsid w:val="004F2FEF"/>
    <w:rsid w:val="004F698A"/>
    <w:rsid w:val="004F78E1"/>
    <w:rsid w:val="004F78E5"/>
    <w:rsid w:val="00502E37"/>
    <w:rsid w:val="00503385"/>
    <w:rsid w:val="00504D51"/>
    <w:rsid w:val="00504FC9"/>
    <w:rsid w:val="0050555B"/>
    <w:rsid w:val="005057DC"/>
    <w:rsid w:val="0050611D"/>
    <w:rsid w:val="0051084E"/>
    <w:rsid w:val="00512A7B"/>
    <w:rsid w:val="005139C5"/>
    <w:rsid w:val="00513D2E"/>
    <w:rsid w:val="005140E3"/>
    <w:rsid w:val="005150A4"/>
    <w:rsid w:val="0051589C"/>
    <w:rsid w:val="00516438"/>
    <w:rsid w:val="00517BE0"/>
    <w:rsid w:val="00520560"/>
    <w:rsid w:val="005209FF"/>
    <w:rsid w:val="0052275F"/>
    <w:rsid w:val="00524D6E"/>
    <w:rsid w:val="0052551F"/>
    <w:rsid w:val="00526C04"/>
    <w:rsid w:val="00531015"/>
    <w:rsid w:val="005338B2"/>
    <w:rsid w:val="0053605E"/>
    <w:rsid w:val="00537BF7"/>
    <w:rsid w:val="00540920"/>
    <w:rsid w:val="00543C22"/>
    <w:rsid w:val="00543C81"/>
    <w:rsid w:val="00544538"/>
    <w:rsid w:val="00545459"/>
    <w:rsid w:val="00545E5E"/>
    <w:rsid w:val="0054609E"/>
    <w:rsid w:val="005465D6"/>
    <w:rsid w:val="00546C92"/>
    <w:rsid w:val="00551EC1"/>
    <w:rsid w:val="00552F70"/>
    <w:rsid w:val="00553C04"/>
    <w:rsid w:val="00554B94"/>
    <w:rsid w:val="00554F56"/>
    <w:rsid w:val="00556319"/>
    <w:rsid w:val="00556872"/>
    <w:rsid w:val="0055755A"/>
    <w:rsid w:val="00560062"/>
    <w:rsid w:val="005616CC"/>
    <w:rsid w:val="005624B6"/>
    <w:rsid w:val="00562D7C"/>
    <w:rsid w:val="0056303A"/>
    <w:rsid w:val="005650DF"/>
    <w:rsid w:val="00571A04"/>
    <w:rsid w:val="00575D3C"/>
    <w:rsid w:val="00575DE7"/>
    <w:rsid w:val="005772D9"/>
    <w:rsid w:val="00577E9F"/>
    <w:rsid w:val="00581819"/>
    <w:rsid w:val="00581B53"/>
    <w:rsid w:val="005827FC"/>
    <w:rsid w:val="00584AC2"/>
    <w:rsid w:val="00584F66"/>
    <w:rsid w:val="005915C5"/>
    <w:rsid w:val="005931B3"/>
    <w:rsid w:val="00593E3B"/>
    <w:rsid w:val="00593F3B"/>
    <w:rsid w:val="005A06E2"/>
    <w:rsid w:val="005A0F02"/>
    <w:rsid w:val="005A184C"/>
    <w:rsid w:val="005A1EC1"/>
    <w:rsid w:val="005A1F52"/>
    <w:rsid w:val="005A2B25"/>
    <w:rsid w:val="005A34D3"/>
    <w:rsid w:val="005A3996"/>
    <w:rsid w:val="005A3AB9"/>
    <w:rsid w:val="005A3EE8"/>
    <w:rsid w:val="005A48B8"/>
    <w:rsid w:val="005A57B2"/>
    <w:rsid w:val="005A5874"/>
    <w:rsid w:val="005A5D0D"/>
    <w:rsid w:val="005A7BA7"/>
    <w:rsid w:val="005B0142"/>
    <w:rsid w:val="005B1BD0"/>
    <w:rsid w:val="005B52B4"/>
    <w:rsid w:val="005B5BD5"/>
    <w:rsid w:val="005B6F8D"/>
    <w:rsid w:val="005C4D37"/>
    <w:rsid w:val="005C579A"/>
    <w:rsid w:val="005C6E2E"/>
    <w:rsid w:val="005C6FA4"/>
    <w:rsid w:val="005D3AB6"/>
    <w:rsid w:val="005E1F7E"/>
    <w:rsid w:val="005E343F"/>
    <w:rsid w:val="005E54DC"/>
    <w:rsid w:val="005E6CFD"/>
    <w:rsid w:val="005F0D6E"/>
    <w:rsid w:val="005F12D1"/>
    <w:rsid w:val="005F1700"/>
    <w:rsid w:val="005F21B4"/>
    <w:rsid w:val="005F6C69"/>
    <w:rsid w:val="005F7576"/>
    <w:rsid w:val="005F773F"/>
    <w:rsid w:val="00610215"/>
    <w:rsid w:val="006158FC"/>
    <w:rsid w:val="0061709A"/>
    <w:rsid w:val="00617B1B"/>
    <w:rsid w:val="00623CE1"/>
    <w:rsid w:val="0062455C"/>
    <w:rsid w:val="00626069"/>
    <w:rsid w:val="00627FF9"/>
    <w:rsid w:val="006308C7"/>
    <w:rsid w:val="00630904"/>
    <w:rsid w:val="006310A3"/>
    <w:rsid w:val="00631B41"/>
    <w:rsid w:val="006335AB"/>
    <w:rsid w:val="00633A7A"/>
    <w:rsid w:val="00635D0E"/>
    <w:rsid w:val="006360DC"/>
    <w:rsid w:val="006366DF"/>
    <w:rsid w:val="00636D95"/>
    <w:rsid w:val="00637CCA"/>
    <w:rsid w:val="0064011A"/>
    <w:rsid w:val="0064074A"/>
    <w:rsid w:val="00641116"/>
    <w:rsid w:val="00641278"/>
    <w:rsid w:val="00641747"/>
    <w:rsid w:val="00642782"/>
    <w:rsid w:val="006465CC"/>
    <w:rsid w:val="006469E4"/>
    <w:rsid w:val="00647042"/>
    <w:rsid w:val="00651DF4"/>
    <w:rsid w:val="00654365"/>
    <w:rsid w:val="0065593B"/>
    <w:rsid w:val="006559C4"/>
    <w:rsid w:val="006562E3"/>
    <w:rsid w:val="0065721A"/>
    <w:rsid w:val="00662FCB"/>
    <w:rsid w:val="0066327E"/>
    <w:rsid w:val="00663DB1"/>
    <w:rsid w:val="0066571B"/>
    <w:rsid w:val="0066605F"/>
    <w:rsid w:val="0066618F"/>
    <w:rsid w:val="006715A1"/>
    <w:rsid w:val="00672CFB"/>
    <w:rsid w:val="00672F62"/>
    <w:rsid w:val="006739B9"/>
    <w:rsid w:val="00674235"/>
    <w:rsid w:val="00675507"/>
    <w:rsid w:val="006764A7"/>
    <w:rsid w:val="00676751"/>
    <w:rsid w:val="006801BB"/>
    <w:rsid w:val="00680D98"/>
    <w:rsid w:val="0068175B"/>
    <w:rsid w:val="00683EED"/>
    <w:rsid w:val="006841DB"/>
    <w:rsid w:val="00691C1E"/>
    <w:rsid w:val="00692262"/>
    <w:rsid w:val="0069237D"/>
    <w:rsid w:val="0069258E"/>
    <w:rsid w:val="00693614"/>
    <w:rsid w:val="00694021"/>
    <w:rsid w:val="006960DB"/>
    <w:rsid w:val="00696131"/>
    <w:rsid w:val="006A1D2A"/>
    <w:rsid w:val="006A24CE"/>
    <w:rsid w:val="006A2BEC"/>
    <w:rsid w:val="006A2EC9"/>
    <w:rsid w:val="006A4362"/>
    <w:rsid w:val="006A57F3"/>
    <w:rsid w:val="006A619D"/>
    <w:rsid w:val="006A69AA"/>
    <w:rsid w:val="006B0654"/>
    <w:rsid w:val="006B1099"/>
    <w:rsid w:val="006B3031"/>
    <w:rsid w:val="006B4944"/>
    <w:rsid w:val="006B5C51"/>
    <w:rsid w:val="006B6B5D"/>
    <w:rsid w:val="006B7133"/>
    <w:rsid w:val="006B7599"/>
    <w:rsid w:val="006C0253"/>
    <w:rsid w:val="006C1CEA"/>
    <w:rsid w:val="006C27F0"/>
    <w:rsid w:val="006C5937"/>
    <w:rsid w:val="006C630D"/>
    <w:rsid w:val="006C653F"/>
    <w:rsid w:val="006D089B"/>
    <w:rsid w:val="006D2CC4"/>
    <w:rsid w:val="006D2F9F"/>
    <w:rsid w:val="006D3C14"/>
    <w:rsid w:val="006D5155"/>
    <w:rsid w:val="006D573A"/>
    <w:rsid w:val="006D577E"/>
    <w:rsid w:val="006D58CD"/>
    <w:rsid w:val="006D6CD5"/>
    <w:rsid w:val="006D6D0A"/>
    <w:rsid w:val="006D7370"/>
    <w:rsid w:val="006E055E"/>
    <w:rsid w:val="006E1920"/>
    <w:rsid w:val="006E3070"/>
    <w:rsid w:val="006E4EB6"/>
    <w:rsid w:val="006E5463"/>
    <w:rsid w:val="006E5C89"/>
    <w:rsid w:val="006F10EA"/>
    <w:rsid w:val="006F2305"/>
    <w:rsid w:val="006F2EE9"/>
    <w:rsid w:val="006F5C44"/>
    <w:rsid w:val="006F5EFF"/>
    <w:rsid w:val="006F69EC"/>
    <w:rsid w:val="007005C1"/>
    <w:rsid w:val="00701758"/>
    <w:rsid w:val="0070205E"/>
    <w:rsid w:val="00702893"/>
    <w:rsid w:val="00703D97"/>
    <w:rsid w:val="007047DE"/>
    <w:rsid w:val="007048F7"/>
    <w:rsid w:val="00704EC5"/>
    <w:rsid w:val="00711B9D"/>
    <w:rsid w:val="00711D30"/>
    <w:rsid w:val="0071248C"/>
    <w:rsid w:val="00714180"/>
    <w:rsid w:val="00714B16"/>
    <w:rsid w:val="0072111D"/>
    <w:rsid w:val="007223E1"/>
    <w:rsid w:val="007253E8"/>
    <w:rsid w:val="00726DE8"/>
    <w:rsid w:val="007302EB"/>
    <w:rsid w:val="00731151"/>
    <w:rsid w:val="0073216C"/>
    <w:rsid w:val="007331F3"/>
    <w:rsid w:val="00733C08"/>
    <w:rsid w:val="00734BC6"/>
    <w:rsid w:val="00735CC6"/>
    <w:rsid w:val="00737045"/>
    <w:rsid w:val="00737253"/>
    <w:rsid w:val="00741C6D"/>
    <w:rsid w:val="00746150"/>
    <w:rsid w:val="0074673D"/>
    <w:rsid w:val="00746995"/>
    <w:rsid w:val="00746FCF"/>
    <w:rsid w:val="00751B54"/>
    <w:rsid w:val="00752031"/>
    <w:rsid w:val="0075268F"/>
    <w:rsid w:val="00754769"/>
    <w:rsid w:val="00757148"/>
    <w:rsid w:val="00762818"/>
    <w:rsid w:val="0076336C"/>
    <w:rsid w:val="0076564D"/>
    <w:rsid w:val="00772BF0"/>
    <w:rsid w:val="007739F3"/>
    <w:rsid w:val="007760EB"/>
    <w:rsid w:val="0077678B"/>
    <w:rsid w:val="00777EB2"/>
    <w:rsid w:val="0078341E"/>
    <w:rsid w:val="00786E22"/>
    <w:rsid w:val="00787063"/>
    <w:rsid w:val="00787591"/>
    <w:rsid w:val="00787F0C"/>
    <w:rsid w:val="00790724"/>
    <w:rsid w:val="00790A8E"/>
    <w:rsid w:val="0079121D"/>
    <w:rsid w:val="0079130E"/>
    <w:rsid w:val="00792A3B"/>
    <w:rsid w:val="007933C7"/>
    <w:rsid w:val="00794895"/>
    <w:rsid w:val="00795885"/>
    <w:rsid w:val="00796BF1"/>
    <w:rsid w:val="00797534"/>
    <w:rsid w:val="007A3DB6"/>
    <w:rsid w:val="007A5192"/>
    <w:rsid w:val="007A5DCB"/>
    <w:rsid w:val="007B0DB8"/>
    <w:rsid w:val="007B3DF7"/>
    <w:rsid w:val="007B5DED"/>
    <w:rsid w:val="007B5FA8"/>
    <w:rsid w:val="007B6437"/>
    <w:rsid w:val="007B7B50"/>
    <w:rsid w:val="007C51DF"/>
    <w:rsid w:val="007C609F"/>
    <w:rsid w:val="007D083F"/>
    <w:rsid w:val="007D2EA4"/>
    <w:rsid w:val="007D3088"/>
    <w:rsid w:val="007D3B5F"/>
    <w:rsid w:val="007D4C4E"/>
    <w:rsid w:val="007D6E17"/>
    <w:rsid w:val="007D7D97"/>
    <w:rsid w:val="007E0F26"/>
    <w:rsid w:val="007E1BCD"/>
    <w:rsid w:val="007E29D9"/>
    <w:rsid w:val="007E3116"/>
    <w:rsid w:val="007E397B"/>
    <w:rsid w:val="007E67EA"/>
    <w:rsid w:val="007E683E"/>
    <w:rsid w:val="007E68C1"/>
    <w:rsid w:val="007E774E"/>
    <w:rsid w:val="007F11D7"/>
    <w:rsid w:val="007F2203"/>
    <w:rsid w:val="007F25C9"/>
    <w:rsid w:val="007F2A17"/>
    <w:rsid w:val="007F2B8C"/>
    <w:rsid w:val="007F3A35"/>
    <w:rsid w:val="007F40F2"/>
    <w:rsid w:val="007F44B9"/>
    <w:rsid w:val="007F68A7"/>
    <w:rsid w:val="007F6A96"/>
    <w:rsid w:val="007F737B"/>
    <w:rsid w:val="0080198A"/>
    <w:rsid w:val="00801A1A"/>
    <w:rsid w:val="00801A29"/>
    <w:rsid w:val="00802414"/>
    <w:rsid w:val="008034A3"/>
    <w:rsid w:val="008043A0"/>
    <w:rsid w:val="0080471C"/>
    <w:rsid w:val="0080499B"/>
    <w:rsid w:val="00805195"/>
    <w:rsid w:val="00807E1E"/>
    <w:rsid w:val="00810C22"/>
    <w:rsid w:val="008134E0"/>
    <w:rsid w:val="00814B55"/>
    <w:rsid w:val="00815C0C"/>
    <w:rsid w:val="008205C2"/>
    <w:rsid w:val="008216B6"/>
    <w:rsid w:val="0082321F"/>
    <w:rsid w:val="0082464B"/>
    <w:rsid w:val="008249D9"/>
    <w:rsid w:val="00824B19"/>
    <w:rsid w:val="0082521A"/>
    <w:rsid w:val="008260A8"/>
    <w:rsid w:val="008312AD"/>
    <w:rsid w:val="0083288B"/>
    <w:rsid w:val="00833EC1"/>
    <w:rsid w:val="0083420F"/>
    <w:rsid w:val="00835D0F"/>
    <w:rsid w:val="0083794F"/>
    <w:rsid w:val="00840C91"/>
    <w:rsid w:val="00842D6E"/>
    <w:rsid w:val="00842F80"/>
    <w:rsid w:val="008447BF"/>
    <w:rsid w:val="00845C50"/>
    <w:rsid w:val="0084689F"/>
    <w:rsid w:val="00850001"/>
    <w:rsid w:val="00850AED"/>
    <w:rsid w:val="00850BFB"/>
    <w:rsid w:val="00851D57"/>
    <w:rsid w:val="0085397E"/>
    <w:rsid w:val="00854DE1"/>
    <w:rsid w:val="00854F96"/>
    <w:rsid w:val="00857F60"/>
    <w:rsid w:val="00860251"/>
    <w:rsid w:val="0086346E"/>
    <w:rsid w:val="00865F63"/>
    <w:rsid w:val="00866102"/>
    <w:rsid w:val="00867D58"/>
    <w:rsid w:val="00875E7E"/>
    <w:rsid w:val="00876BCA"/>
    <w:rsid w:val="008810C6"/>
    <w:rsid w:val="00881259"/>
    <w:rsid w:val="00882763"/>
    <w:rsid w:val="008868EB"/>
    <w:rsid w:val="00887CC8"/>
    <w:rsid w:val="00891C97"/>
    <w:rsid w:val="00891E8D"/>
    <w:rsid w:val="008939F4"/>
    <w:rsid w:val="0089454D"/>
    <w:rsid w:val="008961B4"/>
    <w:rsid w:val="00897758"/>
    <w:rsid w:val="008A03FF"/>
    <w:rsid w:val="008A2AE6"/>
    <w:rsid w:val="008A32EC"/>
    <w:rsid w:val="008A3A82"/>
    <w:rsid w:val="008B00DE"/>
    <w:rsid w:val="008B12E4"/>
    <w:rsid w:val="008B38B8"/>
    <w:rsid w:val="008B4882"/>
    <w:rsid w:val="008B6B58"/>
    <w:rsid w:val="008B709D"/>
    <w:rsid w:val="008C2787"/>
    <w:rsid w:val="008C3C77"/>
    <w:rsid w:val="008D19CE"/>
    <w:rsid w:val="008D3462"/>
    <w:rsid w:val="008D7A39"/>
    <w:rsid w:val="008E1CBE"/>
    <w:rsid w:val="008E253E"/>
    <w:rsid w:val="008E527B"/>
    <w:rsid w:val="008E5AD8"/>
    <w:rsid w:val="008F10E8"/>
    <w:rsid w:val="008F3D09"/>
    <w:rsid w:val="008F404A"/>
    <w:rsid w:val="008F4AF9"/>
    <w:rsid w:val="008F4BCF"/>
    <w:rsid w:val="008F52F3"/>
    <w:rsid w:val="008F621A"/>
    <w:rsid w:val="008F65C7"/>
    <w:rsid w:val="008F6F59"/>
    <w:rsid w:val="00900762"/>
    <w:rsid w:val="00900887"/>
    <w:rsid w:val="00900D65"/>
    <w:rsid w:val="00900FAD"/>
    <w:rsid w:val="0090391B"/>
    <w:rsid w:val="009047E7"/>
    <w:rsid w:val="00904889"/>
    <w:rsid w:val="009062F2"/>
    <w:rsid w:val="00906C01"/>
    <w:rsid w:val="00907261"/>
    <w:rsid w:val="00907CDE"/>
    <w:rsid w:val="00915690"/>
    <w:rsid w:val="00915768"/>
    <w:rsid w:val="009158B4"/>
    <w:rsid w:val="00916F40"/>
    <w:rsid w:val="0092055B"/>
    <w:rsid w:val="009219BC"/>
    <w:rsid w:val="00921C57"/>
    <w:rsid w:val="00923139"/>
    <w:rsid w:val="00924303"/>
    <w:rsid w:val="00925051"/>
    <w:rsid w:val="0092506C"/>
    <w:rsid w:val="00925174"/>
    <w:rsid w:val="009270BF"/>
    <w:rsid w:val="00933441"/>
    <w:rsid w:val="00934ACD"/>
    <w:rsid w:val="0093551A"/>
    <w:rsid w:val="0093676D"/>
    <w:rsid w:val="00937DB4"/>
    <w:rsid w:val="009418FC"/>
    <w:rsid w:val="00943BE2"/>
    <w:rsid w:val="00943E6E"/>
    <w:rsid w:val="00944546"/>
    <w:rsid w:val="00944EA2"/>
    <w:rsid w:val="00947471"/>
    <w:rsid w:val="009475E3"/>
    <w:rsid w:val="009517A4"/>
    <w:rsid w:val="00953C0C"/>
    <w:rsid w:val="00960A6A"/>
    <w:rsid w:val="009640A1"/>
    <w:rsid w:val="009652AA"/>
    <w:rsid w:val="00965ECE"/>
    <w:rsid w:val="00971CDE"/>
    <w:rsid w:val="009721FD"/>
    <w:rsid w:val="00973B4A"/>
    <w:rsid w:val="00974140"/>
    <w:rsid w:val="00975E90"/>
    <w:rsid w:val="00977C9F"/>
    <w:rsid w:val="00981B5B"/>
    <w:rsid w:val="00981E8B"/>
    <w:rsid w:val="00983049"/>
    <w:rsid w:val="00987E13"/>
    <w:rsid w:val="009918EF"/>
    <w:rsid w:val="00991D2C"/>
    <w:rsid w:val="00991D6E"/>
    <w:rsid w:val="00992E51"/>
    <w:rsid w:val="00992E93"/>
    <w:rsid w:val="0099405B"/>
    <w:rsid w:val="009947C8"/>
    <w:rsid w:val="00995EFF"/>
    <w:rsid w:val="00996193"/>
    <w:rsid w:val="00996342"/>
    <w:rsid w:val="00996ADE"/>
    <w:rsid w:val="00996D95"/>
    <w:rsid w:val="00997145"/>
    <w:rsid w:val="009973BD"/>
    <w:rsid w:val="00997B29"/>
    <w:rsid w:val="009A2497"/>
    <w:rsid w:val="009A26AF"/>
    <w:rsid w:val="009A4089"/>
    <w:rsid w:val="009A526E"/>
    <w:rsid w:val="009A63FB"/>
    <w:rsid w:val="009B07E1"/>
    <w:rsid w:val="009B211D"/>
    <w:rsid w:val="009B39DF"/>
    <w:rsid w:val="009B5557"/>
    <w:rsid w:val="009B5CB0"/>
    <w:rsid w:val="009B6CF8"/>
    <w:rsid w:val="009B6FF6"/>
    <w:rsid w:val="009C06A1"/>
    <w:rsid w:val="009C26BF"/>
    <w:rsid w:val="009C466A"/>
    <w:rsid w:val="009C50AD"/>
    <w:rsid w:val="009C625B"/>
    <w:rsid w:val="009D3195"/>
    <w:rsid w:val="009D39D6"/>
    <w:rsid w:val="009D3A52"/>
    <w:rsid w:val="009D524F"/>
    <w:rsid w:val="009D690D"/>
    <w:rsid w:val="009E1009"/>
    <w:rsid w:val="009E2F9F"/>
    <w:rsid w:val="009E465B"/>
    <w:rsid w:val="009E604E"/>
    <w:rsid w:val="009E64BA"/>
    <w:rsid w:val="009E68D0"/>
    <w:rsid w:val="009E7292"/>
    <w:rsid w:val="009F07BB"/>
    <w:rsid w:val="009F086A"/>
    <w:rsid w:val="009F1868"/>
    <w:rsid w:val="009F2179"/>
    <w:rsid w:val="009F2B80"/>
    <w:rsid w:val="009F3F84"/>
    <w:rsid w:val="009F5E92"/>
    <w:rsid w:val="009F732C"/>
    <w:rsid w:val="009F7E20"/>
    <w:rsid w:val="00A05448"/>
    <w:rsid w:val="00A06CDF"/>
    <w:rsid w:val="00A06D8C"/>
    <w:rsid w:val="00A11249"/>
    <w:rsid w:val="00A11F89"/>
    <w:rsid w:val="00A13597"/>
    <w:rsid w:val="00A13DB0"/>
    <w:rsid w:val="00A13ECC"/>
    <w:rsid w:val="00A151EB"/>
    <w:rsid w:val="00A17736"/>
    <w:rsid w:val="00A2035E"/>
    <w:rsid w:val="00A2193A"/>
    <w:rsid w:val="00A21AF4"/>
    <w:rsid w:val="00A221FC"/>
    <w:rsid w:val="00A2716B"/>
    <w:rsid w:val="00A275D9"/>
    <w:rsid w:val="00A3115A"/>
    <w:rsid w:val="00A35358"/>
    <w:rsid w:val="00A353F3"/>
    <w:rsid w:val="00A37E3F"/>
    <w:rsid w:val="00A41D44"/>
    <w:rsid w:val="00A44495"/>
    <w:rsid w:val="00A45283"/>
    <w:rsid w:val="00A5026D"/>
    <w:rsid w:val="00A5095F"/>
    <w:rsid w:val="00A50D31"/>
    <w:rsid w:val="00A52C02"/>
    <w:rsid w:val="00A538D2"/>
    <w:rsid w:val="00A53D29"/>
    <w:rsid w:val="00A5416C"/>
    <w:rsid w:val="00A555E0"/>
    <w:rsid w:val="00A57647"/>
    <w:rsid w:val="00A62F05"/>
    <w:rsid w:val="00A6459F"/>
    <w:rsid w:val="00A64602"/>
    <w:rsid w:val="00A664DE"/>
    <w:rsid w:val="00A679FE"/>
    <w:rsid w:val="00A67A55"/>
    <w:rsid w:val="00A70E29"/>
    <w:rsid w:val="00A711C8"/>
    <w:rsid w:val="00A7344E"/>
    <w:rsid w:val="00A73B69"/>
    <w:rsid w:val="00A75FE0"/>
    <w:rsid w:val="00A8013C"/>
    <w:rsid w:val="00A837D2"/>
    <w:rsid w:val="00A85766"/>
    <w:rsid w:val="00A86857"/>
    <w:rsid w:val="00A91283"/>
    <w:rsid w:val="00A92C47"/>
    <w:rsid w:val="00A938B3"/>
    <w:rsid w:val="00A940A5"/>
    <w:rsid w:val="00A94670"/>
    <w:rsid w:val="00A94C6B"/>
    <w:rsid w:val="00A94F2C"/>
    <w:rsid w:val="00A959E1"/>
    <w:rsid w:val="00A97E29"/>
    <w:rsid w:val="00AA0674"/>
    <w:rsid w:val="00AA06F2"/>
    <w:rsid w:val="00AA2795"/>
    <w:rsid w:val="00AA33B8"/>
    <w:rsid w:val="00AA4467"/>
    <w:rsid w:val="00AB222B"/>
    <w:rsid w:val="00AB22B6"/>
    <w:rsid w:val="00AB34EE"/>
    <w:rsid w:val="00AB4424"/>
    <w:rsid w:val="00AB609E"/>
    <w:rsid w:val="00AB7A2C"/>
    <w:rsid w:val="00AB7A7C"/>
    <w:rsid w:val="00AB7A9F"/>
    <w:rsid w:val="00AC045F"/>
    <w:rsid w:val="00AC21A7"/>
    <w:rsid w:val="00AC2DD4"/>
    <w:rsid w:val="00AC50ED"/>
    <w:rsid w:val="00AC51AD"/>
    <w:rsid w:val="00AC7CD6"/>
    <w:rsid w:val="00AD14BF"/>
    <w:rsid w:val="00AD1F13"/>
    <w:rsid w:val="00AD32CD"/>
    <w:rsid w:val="00AD5800"/>
    <w:rsid w:val="00AD5BF5"/>
    <w:rsid w:val="00AD5C81"/>
    <w:rsid w:val="00AD5E49"/>
    <w:rsid w:val="00AD5E77"/>
    <w:rsid w:val="00AD60EB"/>
    <w:rsid w:val="00AE0384"/>
    <w:rsid w:val="00AE12D9"/>
    <w:rsid w:val="00AE36FF"/>
    <w:rsid w:val="00AE438D"/>
    <w:rsid w:val="00AE53DF"/>
    <w:rsid w:val="00AE6D34"/>
    <w:rsid w:val="00AE7093"/>
    <w:rsid w:val="00AF1C20"/>
    <w:rsid w:val="00AF1CAF"/>
    <w:rsid w:val="00AF230B"/>
    <w:rsid w:val="00AF6BAB"/>
    <w:rsid w:val="00AF7139"/>
    <w:rsid w:val="00B022E2"/>
    <w:rsid w:val="00B04FB7"/>
    <w:rsid w:val="00B0563E"/>
    <w:rsid w:val="00B059C1"/>
    <w:rsid w:val="00B05CE2"/>
    <w:rsid w:val="00B07461"/>
    <w:rsid w:val="00B102F9"/>
    <w:rsid w:val="00B11087"/>
    <w:rsid w:val="00B11CB6"/>
    <w:rsid w:val="00B12251"/>
    <w:rsid w:val="00B1463C"/>
    <w:rsid w:val="00B148CB"/>
    <w:rsid w:val="00B16C4A"/>
    <w:rsid w:val="00B203A6"/>
    <w:rsid w:val="00B20A3C"/>
    <w:rsid w:val="00B265AB"/>
    <w:rsid w:val="00B275FD"/>
    <w:rsid w:val="00B307A1"/>
    <w:rsid w:val="00B31402"/>
    <w:rsid w:val="00B3225B"/>
    <w:rsid w:val="00B336DB"/>
    <w:rsid w:val="00B33EAF"/>
    <w:rsid w:val="00B36E81"/>
    <w:rsid w:val="00B41DC6"/>
    <w:rsid w:val="00B421BD"/>
    <w:rsid w:val="00B42681"/>
    <w:rsid w:val="00B4447A"/>
    <w:rsid w:val="00B47B01"/>
    <w:rsid w:val="00B5018C"/>
    <w:rsid w:val="00B518A4"/>
    <w:rsid w:val="00B5322F"/>
    <w:rsid w:val="00B534F8"/>
    <w:rsid w:val="00B538BA"/>
    <w:rsid w:val="00B538DD"/>
    <w:rsid w:val="00B54029"/>
    <w:rsid w:val="00B553D1"/>
    <w:rsid w:val="00B55C95"/>
    <w:rsid w:val="00B55D13"/>
    <w:rsid w:val="00B564F9"/>
    <w:rsid w:val="00B56560"/>
    <w:rsid w:val="00B611D2"/>
    <w:rsid w:val="00B66C03"/>
    <w:rsid w:val="00B67E2B"/>
    <w:rsid w:val="00B70037"/>
    <w:rsid w:val="00B70516"/>
    <w:rsid w:val="00B711F9"/>
    <w:rsid w:val="00B7482B"/>
    <w:rsid w:val="00B75870"/>
    <w:rsid w:val="00B75F45"/>
    <w:rsid w:val="00B7647A"/>
    <w:rsid w:val="00B7698C"/>
    <w:rsid w:val="00B77671"/>
    <w:rsid w:val="00B83536"/>
    <w:rsid w:val="00B83D4A"/>
    <w:rsid w:val="00B84ED2"/>
    <w:rsid w:val="00B863AA"/>
    <w:rsid w:val="00B87D5F"/>
    <w:rsid w:val="00B9148C"/>
    <w:rsid w:val="00B9341E"/>
    <w:rsid w:val="00B96A8D"/>
    <w:rsid w:val="00B97DC7"/>
    <w:rsid w:val="00BA04E1"/>
    <w:rsid w:val="00BA2CF0"/>
    <w:rsid w:val="00BB4893"/>
    <w:rsid w:val="00BB4AF5"/>
    <w:rsid w:val="00BB54B8"/>
    <w:rsid w:val="00BB7030"/>
    <w:rsid w:val="00BB7CDC"/>
    <w:rsid w:val="00BC02E6"/>
    <w:rsid w:val="00BC23B7"/>
    <w:rsid w:val="00BC24E0"/>
    <w:rsid w:val="00BC25A0"/>
    <w:rsid w:val="00BC3D2E"/>
    <w:rsid w:val="00BC41C3"/>
    <w:rsid w:val="00BC505F"/>
    <w:rsid w:val="00BC59AE"/>
    <w:rsid w:val="00BC6AC3"/>
    <w:rsid w:val="00BC71CC"/>
    <w:rsid w:val="00BC7971"/>
    <w:rsid w:val="00BD03E1"/>
    <w:rsid w:val="00BD1FA0"/>
    <w:rsid w:val="00BD43DB"/>
    <w:rsid w:val="00BD566A"/>
    <w:rsid w:val="00BD696C"/>
    <w:rsid w:val="00BE0E06"/>
    <w:rsid w:val="00BE21B4"/>
    <w:rsid w:val="00BE3757"/>
    <w:rsid w:val="00BE5CC6"/>
    <w:rsid w:val="00BE6326"/>
    <w:rsid w:val="00BE72B0"/>
    <w:rsid w:val="00BE77BB"/>
    <w:rsid w:val="00BF0575"/>
    <w:rsid w:val="00BF0874"/>
    <w:rsid w:val="00BF2EC5"/>
    <w:rsid w:val="00BF350A"/>
    <w:rsid w:val="00BF4111"/>
    <w:rsid w:val="00BF6197"/>
    <w:rsid w:val="00C0085E"/>
    <w:rsid w:val="00C00CB7"/>
    <w:rsid w:val="00C033ED"/>
    <w:rsid w:val="00C03938"/>
    <w:rsid w:val="00C039B8"/>
    <w:rsid w:val="00C0459D"/>
    <w:rsid w:val="00C06BAD"/>
    <w:rsid w:val="00C07CC2"/>
    <w:rsid w:val="00C10249"/>
    <w:rsid w:val="00C10558"/>
    <w:rsid w:val="00C138F7"/>
    <w:rsid w:val="00C161B0"/>
    <w:rsid w:val="00C16428"/>
    <w:rsid w:val="00C16FCE"/>
    <w:rsid w:val="00C247F9"/>
    <w:rsid w:val="00C249D3"/>
    <w:rsid w:val="00C2766F"/>
    <w:rsid w:val="00C3051C"/>
    <w:rsid w:val="00C317F8"/>
    <w:rsid w:val="00C33B16"/>
    <w:rsid w:val="00C3489F"/>
    <w:rsid w:val="00C35845"/>
    <w:rsid w:val="00C358E8"/>
    <w:rsid w:val="00C35AE6"/>
    <w:rsid w:val="00C367BA"/>
    <w:rsid w:val="00C37319"/>
    <w:rsid w:val="00C375B8"/>
    <w:rsid w:val="00C40AFA"/>
    <w:rsid w:val="00C4258E"/>
    <w:rsid w:val="00C45CA1"/>
    <w:rsid w:val="00C51102"/>
    <w:rsid w:val="00C52DFD"/>
    <w:rsid w:val="00C5408D"/>
    <w:rsid w:val="00C55233"/>
    <w:rsid w:val="00C55AB6"/>
    <w:rsid w:val="00C6090D"/>
    <w:rsid w:val="00C611E7"/>
    <w:rsid w:val="00C617AD"/>
    <w:rsid w:val="00C61A7A"/>
    <w:rsid w:val="00C61DCA"/>
    <w:rsid w:val="00C627B0"/>
    <w:rsid w:val="00C64C48"/>
    <w:rsid w:val="00C67F27"/>
    <w:rsid w:val="00C73EE9"/>
    <w:rsid w:val="00C73F4F"/>
    <w:rsid w:val="00C74005"/>
    <w:rsid w:val="00C75B77"/>
    <w:rsid w:val="00C76A56"/>
    <w:rsid w:val="00C84A9E"/>
    <w:rsid w:val="00C86485"/>
    <w:rsid w:val="00C87230"/>
    <w:rsid w:val="00C8789F"/>
    <w:rsid w:val="00C878DB"/>
    <w:rsid w:val="00C87F41"/>
    <w:rsid w:val="00C9116F"/>
    <w:rsid w:val="00C92F51"/>
    <w:rsid w:val="00C93227"/>
    <w:rsid w:val="00C94495"/>
    <w:rsid w:val="00C9479F"/>
    <w:rsid w:val="00C94BC7"/>
    <w:rsid w:val="00C962C0"/>
    <w:rsid w:val="00C97456"/>
    <w:rsid w:val="00CA0B15"/>
    <w:rsid w:val="00CA3AFB"/>
    <w:rsid w:val="00CA43B5"/>
    <w:rsid w:val="00CA4D3D"/>
    <w:rsid w:val="00CB1FA7"/>
    <w:rsid w:val="00CB28E1"/>
    <w:rsid w:val="00CB4134"/>
    <w:rsid w:val="00CB5DF2"/>
    <w:rsid w:val="00CC0147"/>
    <w:rsid w:val="00CC0F51"/>
    <w:rsid w:val="00CC0FAB"/>
    <w:rsid w:val="00CC123A"/>
    <w:rsid w:val="00CC1C5C"/>
    <w:rsid w:val="00CC1DAE"/>
    <w:rsid w:val="00CC4902"/>
    <w:rsid w:val="00CC50CE"/>
    <w:rsid w:val="00CD2B0A"/>
    <w:rsid w:val="00CD720B"/>
    <w:rsid w:val="00CE5074"/>
    <w:rsid w:val="00CE6E28"/>
    <w:rsid w:val="00CE77D0"/>
    <w:rsid w:val="00CF1C75"/>
    <w:rsid w:val="00CF1DAE"/>
    <w:rsid w:val="00CF3000"/>
    <w:rsid w:val="00CF3933"/>
    <w:rsid w:val="00CF4BD1"/>
    <w:rsid w:val="00CF660F"/>
    <w:rsid w:val="00D0175F"/>
    <w:rsid w:val="00D01A51"/>
    <w:rsid w:val="00D02C67"/>
    <w:rsid w:val="00D02CAB"/>
    <w:rsid w:val="00D03900"/>
    <w:rsid w:val="00D03EA1"/>
    <w:rsid w:val="00D0519A"/>
    <w:rsid w:val="00D06183"/>
    <w:rsid w:val="00D071D8"/>
    <w:rsid w:val="00D073F8"/>
    <w:rsid w:val="00D07982"/>
    <w:rsid w:val="00D14633"/>
    <w:rsid w:val="00D14D15"/>
    <w:rsid w:val="00D22A37"/>
    <w:rsid w:val="00D23258"/>
    <w:rsid w:val="00D23FBB"/>
    <w:rsid w:val="00D30931"/>
    <w:rsid w:val="00D3198F"/>
    <w:rsid w:val="00D341DE"/>
    <w:rsid w:val="00D34511"/>
    <w:rsid w:val="00D356C8"/>
    <w:rsid w:val="00D359FF"/>
    <w:rsid w:val="00D36022"/>
    <w:rsid w:val="00D374AC"/>
    <w:rsid w:val="00D3796C"/>
    <w:rsid w:val="00D437B6"/>
    <w:rsid w:val="00D460C4"/>
    <w:rsid w:val="00D46685"/>
    <w:rsid w:val="00D4683F"/>
    <w:rsid w:val="00D468EE"/>
    <w:rsid w:val="00D46A5E"/>
    <w:rsid w:val="00D475BD"/>
    <w:rsid w:val="00D50F63"/>
    <w:rsid w:val="00D510BD"/>
    <w:rsid w:val="00D51350"/>
    <w:rsid w:val="00D5205C"/>
    <w:rsid w:val="00D5285F"/>
    <w:rsid w:val="00D53A8B"/>
    <w:rsid w:val="00D554AB"/>
    <w:rsid w:val="00D60122"/>
    <w:rsid w:val="00D613F6"/>
    <w:rsid w:val="00D61C01"/>
    <w:rsid w:val="00D62CAB"/>
    <w:rsid w:val="00D64464"/>
    <w:rsid w:val="00D654BF"/>
    <w:rsid w:val="00D65B13"/>
    <w:rsid w:val="00D66723"/>
    <w:rsid w:val="00D70B2B"/>
    <w:rsid w:val="00D71DB3"/>
    <w:rsid w:val="00D7441F"/>
    <w:rsid w:val="00D74E6F"/>
    <w:rsid w:val="00D76212"/>
    <w:rsid w:val="00D80404"/>
    <w:rsid w:val="00D80BC1"/>
    <w:rsid w:val="00D84A96"/>
    <w:rsid w:val="00D85E35"/>
    <w:rsid w:val="00D86700"/>
    <w:rsid w:val="00D90F7B"/>
    <w:rsid w:val="00D92766"/>
    <w:rsid w:val="00D9348D"/>
    <w:rsid w:val="00D944BC"/>
    <w:rsid w:val="00D971C7"/>
    <w:rsid w:val="00D978DA"/>
    <w:rsid w:val="00DA2076"/>
    <w:rsid w:val="00DA4AE7"/>
    <w:rsid w:val="00DA5997"/>
    <w:rsid w:val="00DA6046"/>
    <w:rsid w:val="00DA636E"/>
    <w:rsid w:val="00DA712C"/>
    <w:rsid w:val="00DB1E60"/>
    <w:rsid w:val="00DB1F40"/>
    <w:rsid w:val="00DB304D"/>
    <w:rsid w:val="00DB5097"/>
    <w:rsid w:val="00DB689F"/>
    <w:rsid w:val="00DC0C6F"/>
    <w:rsid w:val="00DC15F4"/>
    <w:rsid w:val="00DC1EAE"/>
    <w:rsid w:val="00DC1ED4"/>
    <w:rsid w:val="00DC2B59"/>
    <w:rsid w:val="00DC382E"/>
    <w:rsid w:val="00DC6319"/>
    <w:rsid w:val="00DD078A"/>
    <w:rsid w:val="00DD139E"/>
    <w:rsid w:val="00DD1551"/>
    <w:rsid w:val="00DD1FAF"/>
    <w:rsid w:val="00DD2182"/>
    <w:rsid w:val="00DD369F"/>
    <w:rsid w:val="00DD5520"/>
    <w:rsid w:val="00DD76EF"/>
    <w:rsid w:val="00DD7D21"/>
    <w:rsid w:val="00DE0B52"/>
    <w:rsid w:val="00DE0B90"/>
    <w:rsid w:val="00DE138F"/>
    <w:rsid w:val="00DE24DE"/>
    <w:rsid w:val="00DE3483"/>
    <w:rsid w:val="00DE3CDE"/>
    <w:rsid w:val="00DE3E3B"/>
    <w:rsid w:val="00DE49E2"/>
    <w:rsid w:val="00DE5664"/>
    <w:rsid w:val="00DF0CA4"/>
    <w:rsid w:val="00DF0EA3"/>
    <w:rsid w:val="00DF1136"/>
    <w:rsid w:val="00DF11EF"/>
    <w:rsid w:val="00DF2457"/>
    <w:rsid w:val="00DF5F3E"/>
    <w:rsid w:val="00DF734A"/>
    <w:rsid w:val="00DF7B1D"/>
    <w:rsid w:val="00E007DD"/>
    <w:rsid w:val="00E0091E"/>
    <w:rsid w:val="00E01307"/>
    <w:rsid w:val="00E03144"/>
    <w:rsid w:val="00E0365D"/>
    <w:rsid w:val="00E04811"/>
    <w:rsid w:val="00E07090"/>
    <w:rsid w:val="00E1111C"/>
    <w:rsid w:val="00E17082"/>
    <w:rsid w:val="00E20B9A"/>
    <w:rsid w:val="00E226E8"/>
    <w:rsid w:val="00E22D5C"/>
    <w:rsid w:val="00E22DED"/>
    <w:rsid w:val="00E27DDF"/>
    <w:rsid w:val="00E3018C"/>
    <w:rsid w:val="00E3134E"/>
    <w:rsid w:val="00E315BE"/>
    <w:rsid w:val="00E342AB"/>
    <w:rsid w:val="00E346B9"/>
    <w:rsid w:val="00E3556F"/>
    <w:rsid w:val="00E367A2"/>
    <w:rsid w:val="00E37806"/>
    <w:rsid w:val="00E37D7D"/>
    <w:rsid w:val="00E40422"/>
    <w:rsid w:val="00E40AFC"/>
    <w:rsid w:val="00E4310E"/>
    <w:rsid w:val="00E4475E"/>
    <w:rsid w:val="00E45519"/>
    <w:rsid w:val="00E473BD"/>
    <w:rsid w:val="00E55964"/>
    <w:rsid w:val="00E60624"/>
    <w:rsid w:val="00E60B0A"/>
    <w:rsid w:val="00E61050"/>
    <w:rsid w:val="00E63079"/>
    <w:rsid w:val="00E638DE"/>
    <w:rsid w:val="00E6747D"/>
    <w:rsid w:val="00E703B0"/>
    <w:rsid w:val="00E72080"/>
    <w:rsid w:val="00E737DD"/>
    <w:rsid w:val="00E75A4C"/>
    <w:rsid w:val="00E777A6"/>
    <w:rsid w:val="00E7785B"/>
    <w:rsid w:val="00E807CB"/>
    <w:rsid w:val="00E81459"/>
    <w:rsid w:val="00E81F0C"/>
    <w:rsid w:val="00E825C5"/>
    <w:rsid w:val="00E83343"/>
    <w:rsid w:val="00E8360D"/>
    <w:rsid w:val="00E8414C"/>
    <w:rsid w:val="00E841D1"/>
    <w:rsid w:val="00E84DCD"/>
    <w:rsid w:val="00E87752"/>
    <w:rsid w:val="00E87F6B"/>
    <w:rsid w:val="00E90120"/>
    <w:rsid w:val="00E92B09"/>
    <w:rsid w:val="00EA0749"/>
    <w:rsid w:val="00EA1E1E"/>
    <w:rsid w:val="00EA28E4"/>
    <w:rsid w:val="00EA3493"/>
    <w:rsid w:val="00EA3861"/>
    <w:rsid w:val="00EA45EC"/>
    <w:rsid w:val="00EA51C8"/>
    <w:rsid w:val="00EA5A89"/>
    <w:rsid w:val="00EA65E0"/>
    <w:rsid w:val="00EA69A7"/>
    <w:rsid w:val="00EA7019"/>
    <w:rsid w:val="00EA73DE"/>
    <w:rsid w:val="00EA7802"/>
    <w:rsid w:val="00EB0713"/>
    <w:rsid w:val="00EB0AF4"/>
    <w:rsid w:val="00EB0DB3"/>
    <w:rsid w:val="00EB1E75"/>
    <w:rsid w:val="00EB250F"/>
    <w:rsid w:val="00EB3521"/>
    <w:rsid w:val="00EB3D5E"/>
    <w:rsid w:val="00EB5163"/>
    <w:rsid w:val="00EB525F"/>
    <w:rsid w:val="00EB7837"/>
    <w:rsid w:val="00EC0844"/>
    <w:rsid w:val="00EC33B8"/>
    <w:rsid w:val="00EC41D1"/>
    <w:rsid w:val="00EC5756"/>
    <w:rsid w:val="00EC6E95"/>
    <w:rsid w:val="00EC7349"/>
    <w:rsid w:val="00EC7A21"/>
    <w:rsid w:val="00ED0086"/>
    <w:rsid w:val="00ED06EB"/>
    <w:rsid w:val="00ED403D"/>
    <w:rsid w:val="00ED6BAE"/>
    <w:rsid w:val="00EE1763"/>
    <w:rsid w:val="00EE6F52"/>
    <w:rsid w:val="00EE7216"/>
    <w:rsid w:val="00EF1477"/>
    <w:rsid w:val="00EF1752"/>
    <w:rsid w:val="00EF1EEE"/>
    <w:rsid w:val="00EF20CF"/>
    <w:rsid w:val="00EF3A1E"/>
    <w:rsid w:val="00EF3A26"/>
    <w:rsid w:val="00EF48A6"/>
    <w:rsid w:val="00EF505C"/>
    <w:rsid w:val="00EF645B"/>
    <w:rsid w:val="00EF6C9B"/>
    <w:rsid w:val="00EF75ED"/>
    <w:rsid w:val="00EF7C8D"/>
    <w:rsid w:val="00F01AFF"/>
    <w:rsid w:val="00F04A00"/>
    <w:rsid w:val="00F04B32"/>
    <w:rsid w:val="00F1402E"/>
    <w:rsid w:val="00F14D33"/>
    <w:rsid w:val="00F14DD0"/>
    <w:rsid w:val="00F1685B"/>
    <w:rsid w:val="00F20CE9"/>
    <w:rsid w:val="00F20FBD"/>
    <w:rsid w:val="00F21132"/>
    <w:rsid w:val="00F2132D"/>
    <w:rsid w:val="00F22706"/>
    <w:rsid w:val="00F22EAD"/>
    <w:rsid w:val="00F243F1"/>
    <w:rsid w:val="00F25A6D"/>
    <w:rsid w:val="00F263AD"/>
    <w:rsid w:val="00F2680F"/>
    <w:rsid w:val="00F325BB"/>
    <w:rsid w:val="00F33212"/>
    <w:rsid w:val="00F360C4"/>
    <w:rsid w:val="00F3796D"/>
    <w:rsid w:val="00F44EB9"/>
    <w:rsid w:val="00F452D8"/>
    <w:rsid w:val="00F45B6C"/>
    <w:rsid w:val="00F46CBE"/>
    <w:rsid w:val="00F46CD5"/>
    <w:rsid w:val="00F47266"/>
    <w:rsid w:val="00F47646"/>
    <w:rsid w:val="00F50E4A"/>
    <w:rsid w:val="00F5379B"/>
    <w:rsid w:val="00F53FF5"/>
    <w:rsid w:val="00F541AA"/>
    <w:rsid w:val="00F562A2"/>
    <w:rsid w:val="00F5773C"/>
    <w:rsid w:val="00F61F6A"/>
    <w:rsid w:val="00F634CD"/>
    <w:rsid w:val="00F6501B"/>
    <w:rsid w:val="00F652FF"/>
    <w:rsid w:val="00F6684C"/>
    <w:rsid w:val="00F746E1"/>
    <w:rsid w:val="00F74CA9"/>
    <w:rsid w:val="00F76656"/>
    <w:rsid w:val="00F76C40"/>
    <w:rsid w:val="00F775ED"/>
    <w:rsid w:val="00F80DB6"/>
    <w:rsid w:val="00F8213A"/>
    <w:rsid w:val="00F82416"/>
    <w:rsid w:val="00F82491"/>
    <w:rsid w:val="00F8274C"/>
    <w:rsid w:val="00F827AD"/>
    <w:rsid w:val="00F82F26"/>
    <w:rsid w:val="00F82F45"/>
    <w:rsid w:val="00F83EE8"/>
    <w:rsid w:val="00F86BD0"/>
    <w:rsid w:val="00F90F81"/>
    <w:rsid w:val="00F91005"/>
    <w:rsid w:val="00F93319"/>
    <w:rsid w:val="00F933B2"/>
    <w:rsid w:val="00F969E2"/>
    <w:rsid w:val="00F97AB9"/>
    <w:rsid w:val="00FA0BF8"/>
    <w:rsid w:val="00FA1136"/>
    <w:rsid w:val="00FA68A6"/>
    <w:rsid w:val="00FA70E8"/>
    <w:rsid w:val="00FB34AC"/>
    <w:rsid w:val="00FB4015"/>
    <w:rsid w:val="00FB730A"/>
    <w:rsid w:val="00FC0A43"/>
    <w:rsid w:val="00FC14A7"/>
    <w:rsid w:val="00FC175F"/>
    <w:rsid w:val="00FC441B"/>
    <w:rsid w:val="00FD1603"/>
    <w:rsid w:val="00FD1FFC"/>
    <w:rsid w:val="00FD4292"/>
    <w:rsid w:val="00FD477B"/>
    <w:rsid w:val="00FD59D8"/>
    <w:rsid w:val="00FD5B8E"/>
    <w:rsid w:val="00FD78DE"/>
    <w:rsid w:val="00FE16D4"/>
    <w:rsid w:val="00FE3043"/>
    <w:rsid w:val="00FE30FC"/>
    <w:rsid w:val="00FE405A"/>
    <w:rsid w:val="00FE45AE"/>
    <w:rsid w:val="00FE523F"/>
    <w:rsid w:val="00FE66EC"/>
    <w:rsid w:val="00FF189E"/>
    <w:rsid w:val="00FF1ACE"/>
    <w:rsid w:val="00FF247A"/>
    <w:rsid w:val="00FF3BAF"/>
    <w:rsid w:val="00FF5928"/>
    <w:rsid w:val="00FF61B7"/>
    <w:rsid w:val="00FF6331"/>
    <w:rsid w:val="00FF68C7"/>
    <w:rsid w:val="00FF7A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45119E4C-FFC0-470B-AE65-F0A5E6005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5870"/>
    <w:pPr>
      <w:spacing w:before="120" w:line="276" w:lineRule="auto"/>
      <w:jc w:val="both"/>
    </w:pPr>
    <w:rPr>
      <w:rFonts w:ascii="Calibri" w:eastAsia="Times New Roman" w:hAnsi="Calibri" w:cs="Times New Roman"/>
      <w:sz w:val="22"/>
    </w:rPr>
  </w:style>
  <w:style w:type="paragraph" w:styleId="Heading1">
    <w:name w:val="heading 1"/>
    <w:basedOn w:val="Normal"/>
    <w:next w:val="Normal"/>
    <w:link w:val="Heading1Char"/>
    <w:uiPriority w:val="9"/>
    <w:qFormat/>
    <w:rsid w:val="00C86485"/>
    <w:pPr>
      <w:keepNext/>
      <w:keepLines/>
      <w:numPr>
        <w:numId w:val="4"/>
      </w:numPr>
      <w:spacing w:before="240"/>
      <w:outlineLvl w:val="0"/>
    </w:pPr>
    <w:rPr>
      <w:rFonts w:asciiTheme="majorHAnsi" w:eastAsiaTheme="majorEastAsia" w:hAnsiTheme="majorHAnsi" w:cstheme="majorBidi"/>
      <w:color w:val="0B5294" w:themeColor="accent1" w:themeShade="BF"/>
      <w:sz w:val="32"/>
      <w:szCs w:val="32"/>
    </w:rPr>
  </w:style>
  <w:style w:type="paragraph" w:styleId="Heading2">
    <w:name w:val="heading 2"/>
    <w:basedOn w:val="Normal"/>
    <w:next w:val="Normal"/>
    <w:link w:val="Heading2Char"/>
    <w:uiPriority w:val="9"/>
    <w:unhideWhenUsed/>
    <w:qFormat/>
    <w:rsid w:val="00C86485"/>
    <w:pPr>
      <w:keepNext/>
      <w:keepLines/>
      <w:numPr>
        <w:ilvl w:val="1"/>
        <w:numId w:val="4"/>
      </w:numPr>
      <w:spacing w:before="200"/>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nhideWhenUsed/>
    <w:qFormat/>
    <w:rsid w:val="00DA2076"/>
    <w:pPr>
      <w:keepNext/>
      <w:keepLines/>
      <w:numPr>
        <w:ilvl w:val="2"/>
        <w:numId w:val="4"/>
      </w:numPr>
      <w:spacing w:before="40"/>
      <w:outlineLvl w:val="2"/>
    </w:pPr>
    <w:rPr>
      <w:rFonts w:asciiTheme="majorHAnsi" w:eastAsiaTheme="majorEastAsia" w:hAnsiTheme="majorHAnsi" w:cstheme="majorBidi"/>
      <w:color w:val="073662" w:themeColor="accent1" w:themeShade="7F"/>
    </w:rPr>
  </w:style>
  <w:style w:type="paragraph" w:styleId="Heading4">
    <w:name w:val="heading 4"/>
    <w:basedOn w:val="Normal"/>
    <w:next w:val="Normal"/>
    <w:link w:val="Heading4Char"/>
    <w:unhideWhenUsed/>
    <w:qFormat/>
    <w:rsid w:val="00DA2076"/>
    <w:pPr>
      <w:keepNext/>
      <w:keepLines/>
      <w:numPr>
        <w:ilvl w:val="3"/>
        <w:numId w:val="4"/>
      </w:numPr>
      <w:spacing w:before="40"/>
      <w:outlineLvl w:val="3"/>
    </w:pPr>
    <w:rPr>
      <w:rFonts w:asciiTheme="majorHAnsi" w:eastAsiaTheme="majorEastAsia" w:hAnsiTheme="majorHAnsi" w:cstheme="majorBidi"/>
      <w:i/>
      <w:iCs/>
      <w:color w:val="0B5294" w:themeColor="accent1" w:themeShade="BF"/>
    </w:rPr>
  </w:style>
  <w:style w:type="paragraph" w:styleId="Heading5">
    <w:name w:val="heading 5"/>
    <w:basedOn w:val="Normal"/>
    <w:next w:val="Normal"/>
    <w:link w:val="Heading5Char"/>
    <w:uiPriority w:val="9"/>
    <w:semiHidden/>
    <w:unhideWhenUsed/>
    <w:qFormat/>
    <w:rsid w:val="00DA2076"/>
    <w:pPr>
      <w:keepNext/>
      <w:keepLines/>
      <w:numPr>
        <w:ilvl w:val="4"/>
        <w:numId w:val="4"/>
      </w:numPr>
      <w:spacing w:before="40"/>
      <w:outlineLvl w:val="4"/>
    </w:pPr>
    <w:rPr>
      <w:rFonts w:asciiTheme="majorHAnsi" w:eastAsiaTheme="majorEastAsia" w:hAnsiTheme="majorHAnsi" w:cstheme="majorBidi"/>
      <w:color w:val="0B5294" w:themeColor="accent1" w:themeShade="BF"/>
    </w:rPr>
  </w:style>
  <w:style w:type="paragraph" w:styleId="Heading6">
    <w:name w:val="heading 6"/>
    <w:basedOn w:val="Normal"/>
    <w:next w:val="Normal"/>
    <w:link w:val="Heading6Char"/>
    <w:uiPriority w:val="9"/>
    <w:semiHidden/>
    <w:unhideWhenUsed/>
    <w:qFormat/>
    <w:rsid w:val="00DA2076"/>
    <w:pPr>
      <w:keepNext/>
      <w:keepLines/>
      <w:numPr>
        <w:ilvl w:val="5"/>
        <w:numId w:val="4"/>
      </w:numPr>
      <w:spacing w:before="40"/>
      <w:outlineLvl w:val="5"/>
    </w:pPr>
    <w:rPr>
      <w:rFonts w:asciiTheme="majorHAnsi" w:eastAsiaTheme="majorEastAsia" w:hAnsiTheme="majorHAnsi" w:cstheme="majorBidi"/>
      <w:color w:val="073662" w:themeColor="accent1" w:themeShade="7F"/>
    </w:rPr>
  </w:style>
  <w:style w:type="paragraph" w:styleId="Heading7">
    <w:name w:val="heading 7"/>
    <w:basedOn w:val="Normal"/>
    <w:next w:val="Normal"/>
    <w:link w:val="Heading7Char"/>
    <w:uiPriority w:val="9"/>
    <w:semiHidden/>
    <w:unhideWhenUsed/>
    <w:qFormat/>
    <w:rsid w:val="00DA2076"/>
    <w:pPr>
      <w:keepNext/>
      <w:keepLines/>
      <w:numPr>
        <w:ilvl w:val="6"/>
        <w:numId w:val="4"/>
      </w:numPr>
      <w:spacing w:before="40"/>
      <w:outlineLvl w:val="6"/>
    </w:pPr>
    <w:rPr>
      <w:rFonts w:asciiTheme="majorHAnsi" w:eastAsiaTheme="majorEastAsia" w:hAnsiTheme="majorHAnsi" w:cstheme="majorBidi"/>
      <w:i/>
      <w:iCs/>
      <w:color w:val="073662" w:themeColor="accent1" w:themeShade="7F"/>
    </w:rPr>
  </w:style>
  <w:style w:type="paragraph" w:styleId="Heading8">
    <w:name w:val="heading 8"/>
    <w:basedOn w:val="Normal"/>
    <w:next w:val="Normal"/>
    <w:link w:val="Heading8Char"/>
    <w:uiPriority w:val="9"/>
    <w:semiHidden/>
    <w:unhideWhenUsed/>
    <w:qFormat/>
    <w:rsid w:val="00DA2076"/>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A2076"/>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Normal 1,List Paragraph 1,Akapit z listą BS,Bullets,List Paragraph1,Bullet1,NumberedParas,Dot pt,F5 List Paragraph,List Paragraph Char Char Char,Indicator Text,Numbered Para 1,Bullet 1,Bullet Points"/>
    <w:basedOn w:val="Normal"/>
    <w:link w:val="ListParagraphChar"/>
    <w:uiPriority w:val="34"/>
    <w:qFormat/>
    <w:rsid w:val="00A94670"/>
    <w:pPr>
      <w:ind w:left="720"/>
      <w:contextualSpacing/>
    </w:pPr>
  </w:style>
  <w:style w:type="paragraph" w:styleId="NormalWeb">
    <w:name w:val="Normal (Web)"/>
    <w:basedOn w:val="Normal"/>
    <w:uiPriority w:val="99"/>
    <w:unhideWhenUsed/>
    <w:rsid w:val="00A94670"/>
    <w:pPr>
      <w:spacing w:before="100" w:beforeAutospacing="1" w:after="100" w:afterAutospacing="1"/>
    </w:pPr>
    <w:rPr>
      <w:rFonts w:ascii="Times" w:hAnsi="Times"/>
      <w:sz w:val="20"/>
      <w:szCs w:val="20"/>
    </w:rPr>
  </w:style>
  <w:style w:type="character" w:customStyle="1" w:styleId="Heading2Char">
    <w:name w:val="Heading 2 Char"/>
    <w:basedOn w:val="DefaultParagraphFont"/>
    <w:link w:val="Heading2"/>
    <w:uiPriority w:val="9"/>
    <w:rsid w:val="00C86485"/>
    <w:rPr>
      <w:rFonts w:asciiTheme="majorHAnsi" w:eastAsiaTheme="majorEastAsia" w:hAnsiTheme="majorHAnsi" w:cstheme="majorBidi"/>
      <w:b/>
      <w:bCs/>
      <w:sz w:val="22"/>
      <w:szCs w:val="26"/>
    </w:rPr>
  </w:style>
  <w:style w:type="character" w:customStyle="1" w:styleId="tlid-translation">
    <w:name w:val="tlid-translation"/>
    <w:basedOn w:val="DefaultParagraphFont"/>
    <w:rsid w:val="00C86485"/>
  </w:style>
  <w:style w:type="character" w:customStyle="1" w:styleId="Heading1Char">
    <w:name w:val="Heading 1 Char"/>
    <w:basedOn w:val="DefaultParagraphFont"/>
    <w:link w:val="Heading1"/>
    <w:uiPriority w:val="9"/>
    <w:rsid w:val="00C86485"/>
    <w:rPr>
      <w:rFonts w:asciiTheme="majorHAnsi" w:eastAsiaTheme="majorEastAsia" w:hAnsiTheme="majorHAnsi" w:cstheme="majorBidi"/>
      <w:color w:val="0B5294" w:themeColor="accent1" w:themeShade="BF"/>
      <w:sz w:val="32"/>
      <w:szCs w:val="32"/>
    </w:rPr>
  </w:style>
  <w:style w:type="character" w:customStyle="1" w:styleId="ListParagraphChar">
    <w:name w:val="List Paragraph Char"/>
    <w:aliases w:val="List Paragraph (numbered (a)) Char,Normal 1 Char,List Paragraph 1 Char,Akapit z listą BS Char,Bullets Char,List Paragraph1 Char,Bullet1 Char,NumberedParas Char,Dot pt Char,F5 List Paragraph Char,List Paragraph Char Char Char Char"/>
    <w:link w:val="ListParagraph"/>
    <w:uiPriority w:val="34"/>
    <w:qFormat/>
    <w:locked/>
    <w:rsid w:val="00C86485"/>
  </w:style>
  <w:style w:type="character" w:customStyle="1" w:styleId="MessageHeaderLabel">
    <w:name w:val="Message Header Label"/>
    <w:uiPriority w:val="99"/>
    <w:rsid w:val="00C86485"/>
    <w:rPr>
      <w:rFonts w:ascii="Arial Black" w:hAnsi="Arial Black" w:cs="Arial Black"/>
      <w:spacing w:val="-10"/>
      <w:sz w:val="18"/>
      <w:szCs w:val="18"/>
    </w:rPr>
  </w:style>
  <w:style w:type="paragraph" w:customStyle="1" w:styleId="Normal1">
    <w:name w:val="Normal1"/>
    <w:basedOn w:val="Normal"/>
    <w:rsid w:val="00C86485"/>
    <w:rPr>
      <w:rFonts w:ascii="Times New Roman" w:eastAsiaTheme="minorHAnsi" w:hAnsi="Times New Roman"/>
    </w:rPr>
  </w:style>
  <w:style w:type="paragraph" w:styleId="Quote">
    <w:name w:val="Quote"/>
    <w:basedOn w:val="Normal"/>
    <w:next w:val="Normal"/>
    <w:link w:val="QuoteChar"/>
    <w:uiPriority w:val="29"/>
    <w:qFormat/>
    <w:rsid w:val="00C86485"/>
    <w:rPr>
      <w:rFonts w:ascii="Times New Roman" w:hAnsi="Times New Roman"/>
      <w:i/>
      <w:iCs/>
      <w:color w:val="000000" w:themeColor="text1"/>
    </w:rPr>
  </w:style>
  <w:style w:type="character" w:customStyle="1" w:styleId="QuoteChar">
    <w:name w:val="Quote Char"/>
    <w:basedOn w:val="DefaultParagraphFont"/>
    <w:link w:val="Quote"/>
    <w:uiPriority w:val="29"/>
    <w:rsid w:val="00C86485"/>
    <w:rPr>
      <w:rFonts w:ascii="Times New Roman" w:eastAsia="Times New Roman" w:hAnsi="Times New Roman" w:cs="Times New Roman"/>
      <w:i/>
      <w:iCs/>
      <w:color w:val="000000" w:themeColor="text1"/>
    </w:rPr>
  </w:style>
  <w:style w:type="character" w:customStyle="1" w:styleId="Heading3Char">
    <w:name w:val="Heading 3 Char"/>
    <w:basedOn w:val="DefaultParagraphFont"/>
    <w:link w:val="Heading3"/>
    <w:rsid w:val="00DA2076"/>
    <w:rPr>
      <w:rFonts w:asciiTheme="majorHAnsi" w:eastAsiaTheme="majorEastAsia" w:hAnsiTheme="majorHAnsi" w:cstheme="majorBidi"/>
      <w:color w:val="073662" w:themeColor="accent1" w:themeShade="7F"/>
      <w:sz w:val="22"/>
    </w:rPr>
  </w:style>
  <w:style w:type="character" w:customStyle="1" w:styleId="Heading4Char">
    <w:name w:val="Heading 4 Char"/>
    <w:basedOn w:val="DefaultParagraphFont"/>
    <w:link w:val="Heading4"/>
    <w:rsid w:val="00DA2076"/>
    <w:rPr>
      <w:rFonts w:asciiTheme="majorHAnsi" w:eastAsiaTheme="majorEastAsia" w:hAnsiTheme="majorHAnsi" w:cstheme="majorBidi"/>
      <w:i/>
      <w:iCs/>
      <w:color w:val="0B5294" w:themeColor="accent1" w:themeShade="BF"/>
      <w:sz w:val="22"/>
    </w:rPr>
  </w:style>
  <w:style w:type="character" w:customStyle="1" w:styleId="Heading5Char">
    <w:name w:val="Heading 5 Char"/>
    <w:basedOn w:val="DefaultParagraphFont"/>
    <w:link w:val="Heading5"/>
    <w:uiPriority w:val="9"/>
    <w:semiHidden/>
    <w:rsid w:val="00DA2076"/>
    <w:rPr>
      <w:rFonts w:asciiTheme="majorHAnsi" w:eastAsiaTheme="majorEastAsia" w:hAnsiTheme="majorHAnsi" w:cstheme="majorBidi"/>
      <w:color w:val="0B5294" w:themeColor="accent1" w:themeShade="BF"/>
      <w:sz w:val="22"/>
    </w:rPr>
  </w:style>
  <w:style w:type="character" w:customStyle="1" w:styleId="Heading6Char">
    <w:name w:val="Heading 6 Char"/>
    <w:basedOn w:val="DefaultParagraphFont"/>
    <w:link w:val="Heading6"/>
    <w:uiPriority w:val="9"/>
    <w:semiHidden/>
    <w:rsid w:val="00DA2076"/>
    <w:rPr>
      <w:rFonts w:asciiTheme="majorHAnsi" w:eastAsiaTheme="majorEastAsia" w:hAnsiTheme="majorHAnsi" w:cstheme="majorBidi"/>
      <w:color w:val="073662" w:themeColor="accent1" w:themeShade="7F"/>
      <w:sz w:val="22"/>
    </w:rPr>
  </w:style>
  <w:style w:type="character" w:customStyle="1" w:styleId="Heading7Char">
    <w:name w:val="Heading 7 Char"/>
    <w:basedOn w:val="DefaultParagraphFont"/>
    <w:link w:val="Heading7"/>
    <w:uiPriority w:val="9"/>
    <w:semiHidden/>
    <w:rsid w:val="00DA2076"/>
    <w:rPr>
      <w:rFonts w:asciiTheme="majorHAnsi" w:eastAsiaTheme="majorEastAsia" w:hAnsiTheme="majorHAnsi" w:cstheme="majorBidi"/>
      <w:i/>
      <w:iCs/>
      <w:color w:val="073662" w:themeColor="accent1" w:themeShade="7F"/>
      <w:sz w:val="22"/>
    </w:rPr>
  </w:style>
  <w:style w:type="character" w:customStyle="1" w:styleId="Heading8Char">
    <w:name w:val="Heading 8 Char"/>
    <w:basedOn w:val="DefaultParagraphFont"/>
    <w:link w:val="Heading8"/>
    <w:uiPriority w:val="9"/>
    <w:semiHidden/>
    <w:rsid w:val="00DA207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A2076"/>
    <w:rPr>
      <w:rFonts w:asciiTheme="majorHAnsi" w:eastAsiaTheme="majorEastAsia" w:hAnsiTheme="majorHAnsi" w:cstheme="majorBidi"/>
      <w:i/>
      <w:iCs/>
      <w:color w:val="272727" w:themeColor="text1" w:themeTint="D8"/>
      <w:sz w:val="21"/>
      <w:szCs w:val="21"/>
    </w:rPr>
  </w:style>
  <w:style w:type="paragraph" w:styleId="FootnoteText">
    <w:name w:val="footnote text"/>
    <w:aliases w:val="single space,fn,FOOTNOTES,Fußnotentext Char,ADB,Footnote text,ft,Footnote Text Char1,Footnote Text Char2 Char,Footnote Text Char1 Char Char,Footnote Text Char2 Char Char Char,Footnote Text Char1 Char,Footn,footnote text,Fußnote,Footnote,FA"/>
    <w:basedOn w:val="Normal"/>
    <w:link w:val="FootnoteTextChar"/>
    <w:uiPriority w:val="99"/>
    <w:unhideWhenUsed/>
    <w:qFormat/>
    <w:rsid w:val="00BC6AC3"/>
    <w:rPr>
      <w:sz w:val="20"/>
      <w:szCs w:val="20"/>
    </w:rPr>
  </w:style>
  <w:style w:type="character" w:customStyle="1" w:styleId="FootnoteTextChar">
    <w:name w:val="Footnote Text Char"/>
    <w:aliases w:val="single space Char,fn Char,FOOTNOTES Char,Fußnotentext Char Char,ADB Char,Footnote text Char,ft Char,Footnote Text Char1 Char1,Footnote Text Char2 Char Char,Footnote Text Char1 Char Char Char,Footnote Text Char2 Char Char Char Char"/>
    <w:basedOn w:val="DefaultParagraphFont"/>
    <w:link w:val="FootnoteText"/>
    <w:uiPriority w:val="99"/>
    <w:rsid w:val="00BC6AC3"/>
    <w:rPr>
      <w:sz w:val="20"/>
      <w:szCs w:val="20"/>
    </w:rPr>
  </w:style>
  <w:style w:type="character" w:styleId="FootnoteReference">
    <w:name w:val="footnote reference"/>
    <w:aliases w:val="ftref,BVI fnr,16 Point,Superscript 6 Point,fr,Footnote symbol,Footnote Reference Arial,nota pié di pagina,Footnote reference number,Times 10 Point,Exposant 3 Point,EN Footnote Reference,note TESI,Footnote Reference Char Char Char,R"/>
    <w:basedOn w:val="DefaultParagraphFont"/>
    <w:link w:val="BVIfnrCarCarCarCarChar"/>
    <w:uiPriority w:val="99"/>
    <w:unhideWhenUsed/>
    <w:qFormat/>
    <w:rsid w:val="00BC6AC3"/>
    <w:rPr>
      <w:vertAlign w:val="superscript"/>
    </w:rPr>
  </w:style>
  <w:style w:type="paragraph" w:styleId="Caption">
    <w:name w:val="caption"/>
    <w:basedOn w:val="Normal"/>
    <w:next w:val="Normal"/>
    <w:uiPriority w:val="35"/>
    <w:unhideWhenUsed/>
    <w:qFormat/>
    <w:rsid w:val="0033539C"/>
    <w:pPr>
      <w:spacing w:after="200"/>
    </w:pPr>
    <w:rPr>
      <w:i/>
      <w:iCs/>
      <w:color w:val="17406D" w:themeColor="text2"/>
      <w:sz w:val="18"/>
      <w:szCs w:val="18"/>
    </w:rPr>
  </w:style>
  <w:style w:type="paragraph" w:styleId="BalloonText">
    <w:name w:val="Balloon Text"/>
    <w:basedOn w:val="Normal"/>
    <w:link w:val="BalloonTextChar"/>
    <w:uiPriority w:val="99"/>
    <w:unhideWhenUsed/>
    <w:rsid w:val="00E87752"/>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E87752"/>
    <w:rPr>
      <w:rFonts w:ascii="Lucida Grande" w:hAnsi="Lucida Grande" w:cs="Lucida Grande"/>
      <w:sz w:val="18"/>
      <w:szCs w:val="18"/>
    </w:rPr>
  </w:style>
  <w:style w:type="table" w:styleId="TableGrid">
    <w:name w:val="Table Grid"/>
    <w:basedOn w:val="TableNormal"/>
    <w:uiPriority w:val="59"/>
    <w:rsid w:val="00865F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787591"/>
    <w:rPr>
      <w:sz w:val="16"/>
      <w:szCs w:val="16"/>
    </w:rPr>
  </w:style>
  <w:style w:type="paragraph" w:styleId="CommentText">
    <w:name w:val="annotation text"/>
    <w:basedOn w:val="Normal"/>
    <w:link w:val="CommentTextChar"/>
    <w:uiPriority w:val="99"/>
    <w:unhideWhenUsed/>
    <w:rsid w:val="00787591"/>
    <w:rPr>
      <w:sz w:val="20"/>
      <w:szCs w:val="20"/>
    </w:rPr>
  </w:style>
  <w:style w:type="character" w:customStyle="1" w:styleId="CommentTextChar">
    <w:name w:val="Comment Text Char"/>
    <w:basedOn w:val="DefaultParagraphFont"/>
    <w:link w:val="CommentText"/>
    <w:uiPriority w:val="99"/>
    <w:rsid w:val="00787591"/>
    <w:rPr>
      <w:sz w:val="20"/>
      <w:szCs w:val="20"/>
    </w:rPr>
  </w:style>
  <w:style w:type="paragraph" w:styleId="CommentSubject">
    <w:name w:val="annotation subject"/>
    <w:basedOn w:val="CommentText"/>
    <w:next w:val="CommentText"/>
    <w:link w:val="CommentSubjectChar"/>
    <w:uiPriority w:val="99"/>
    <w:semiHidden/>
    <w:unhideWhenUsed/>
    <w:rsid w:val="00787591"/>
    <w:rPr>
      <w:b/>
      <w:bCs/>
    </w:rPr>
  </w:style>
  <w:style w:type="character" w:customStyle="1" w:styleId="CommentSubjectChar">
    <w:name w:val="Comment Subject Char"/>
    <w:basedOn w:val="CommentTextChar"/>
    <w:link w:val="CommentSubject"/>
    <w:uiPriority w:val="99"/>
    <w:semiHidden/>
    <w:rsid w:val="00787591"/>
    <w:rPr>
      <w:b/>
      <w:bCs/>
      <w:sz w:val="20"/>
      <w:szCs w:val="20"/>
    </w:rPr>
  </w:style>
  <w:style w:type="table" w:customStyle="1" w:styleId="GridTable4-Accent11">
    <w:name w:val="Grid Table 4 - Accent 11"/>
    <w:basedOn w:val="TableNormal"/>
    <w:uiPriority w:val="49"/>
    <w:rsid w:val="0035253D"/>
    <w:tblPr>
      <w:tblStyleRowBandSize w:val="1"/>
      <w:tblStyleColBandSize w:val="1"/>
      <w:tblInd w:w="0" w:type="dxa"/>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character" w:styleId="Hyperlink">
    <w:name w:val="Hyperlink"/>
    <w:basedOn w:val="DefaultParagraphFont"/>
    <w:uiPriority w:val="99"/>
    <w:unhideWhenUsed/>
    <w:rsid w:val="002350D2"/>
    <w:rPr>
      <w:color w:val="F49100" w:themeColor="hyperlink"/>
      <w:u w:val="single"/>
    </w:rPr>
  </w:style>
  <w:style w:type="table" w:customStyle="1" w:styleId="ListTable3-Accent51">
    <w:name w:val="List Table 3 - Accent 51"/>
    <w:basedOn w:val="TableNormal"/>
    <w:next w:val="ListTable3-Accent52"/>
    <w:uiPriority w:val="48"/>
    <w:rsid w:val="00DC2B59"/>
    <w:rPr>
      <w:rFonts w:ascii="Times New Roman" w:eastAsiaTheme="minorHAnsi" w:hAnsi="Times New Roman" w:cs="Times New Roman"/>
      <w:sz w:val="20"/>
      <w:szCs w:val="20"/>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ListTable3-Accent52">
    <w:name w:val="List Table 3 - Accent 52"/>
    <w:basedOn w:val="TableNormal"/>
    <w:uiPriority w:val="48"/>
    <w:rsid w:val="00DC2B59"/>
    <w:tblPr>
      <w:tblStyleRowBandSize w:val="1"/>
      <w:tblStyleColBandSize w:val="1"/>
      <w:tblInd w:w="0" w:type="dxa"/>
      <w:tblBorders>
        <w:top w:val="single" w:sz="4" w:space="0" w:color="7CCA62" w:themeColor="accent5"/>
        <w:left w:val="single" w:sz="4" w:space="0" w:color="7CCA62" w:themeColor="accent5"/>
        <w:bottom w:val="single" w:sz="4" w:space="0" w:color="7CCA62" w:themeColor="accent5"/>
        <w:right w:val="single" w:sz="4" w:space="0" w:color="7CCA62" w:themeColor="accent5"/>
      </w:tblBorders>
      <w:tblCellMar>
        <w:top w:w="0" w:type="dxa"/>
        <w:left w:w="108" w:type="dxa"/>
        <w:bottom w:w="0" w:type="dxa"/>
        <w:right w:w="108" w:type="dxa"/>
      </w:tblCellMar>
    </w:tblPr>
    <w:tblStylePr w:type="firstRow">
      <w:rPr>
        <w:b/>
        <w:bCs/>
        <w:color w:val="FFFFFF" w:themeColor="background1"/>
      </w:rPr>
      <w:tblPr/>
      <w:tcPr>
        <w:shd w:val="clear" w:color="auto" w:fill="7CCA62" w:themeFill="accent5"/>
      </w:tcPr>
    </w:tblStylePr>
    <w:tblStylePr w:type="lastRow">
      <w:rPr>
        <w:b/>
        <w:bCs/>
      </w:rPr>
      <w:tblPr/>
      <w:tcPr>
        <w:tcBorders>
          <w:top w:val="double" w:sz="4" w:space="0" w:color="7CCA6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CA62" w:themeColor="accent5"/>
          <w:right w:val="single" w:sz="4" w:space="0" w:color="7CCA62" w:themeColor="accent5"/>
        </w:tcBorders>
      </w:tcPr>
    </w:tblStylePr>
    <w:tblStylePr w:type="band1Horz">
      <w:tblPr/>
      <w:tcPr>
        <w:tcBorders>
          <w:top w:val="single" w:sz="4" w:space="0" w:color="7CCA62" w:themeColor="accent5"/>
          <w:bottom w:val="single" w:sz="4" w:space="0" w:color="7CCA6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A62" w:themeColor="accent5"/>
          <w:left w:val="nil"/>
        </w:tcBorders>
      </w:tcPr>
    </w:tblStylePr>
    <w:tblStylePr w:type="swCell">
      <w:tblPr/>
      <w:tcPr>
        <w:tcBorders>
          <w:top w:val="double" w:sz="4" w:space="0" w:color="7CCA62" w:themeColor="accent5"/>
          <w:right w:val="nil"/>
        </w:tcBorders>
      </w:tcPr>
    </w:tblStylePr>
  </w:style>
  <w:style w:type="paragraph" w:styleId="Footer">
    <w:name w:val="footer"/>
    <w:basedOn w:val="Normal"/>
    <w:link w:val="FooterChar"/>
    <w:uiPriority w:val="99"/>
    <w:rsid w:val="00DC2B59"/>
    <w:pPr>
      <w:tabs>
        <w:tab w:val="center" w:pos="4680"/>
        <w:tab w:val="right" w:pos="9360"/>
      </w:tabs>
    </w:pPr>
    <w:rPr>
      <w:rFonts w:ascii="Times New Roman" w:hAnsi="Times New Roman"/>
    </w:rPr>
  </w:style>
  <w:style w:type="character" w:customStyle="1" w:styleId="FooterChar">
    <w:name w:val="Footer Char"/>
    <w:basedOn w:val="DefaultParagraphFont"/>
    <w:link w:val="Footer"/>
    <w:uiPriority w:val="99"/>
    <w:rsid w:val="00DC2B59"/>
    <w:rPr>
      <w:rFonts w:ascii="Times New Roman" w:eastAsia="Times New Roman" w:hAnsi="Times New Roman" w:cs="Times New Roman"/>
    </w:rPr>
  </w:style>
  <w:style w:type="paragraph" w:customStyle="1" w:styleId="Default">
    <w:name w:val="Default"/>
    <w:rsid w:val="003734A7"/>
    <w:pPr>
      <w:autoSpaceDE w:val="0"/>
      <w:autoSpaceDN w:val="0"/>
      <w:adjustRightInd w:val="0"/>
    </w:pPr>
    <w:rPr>
      <w:rFonts w:ascii="Times New Roman" w:eastAsia="Batang" w:hAnsi="Times New Roman" w:cs="Times New Roman"/>
      <w:color w:val="000000"/>
      <w:lang w:eastAsia="ko-KR"/>
    </w:rPr>
  </w:style>
  <w:style w:type="paragraph" w:styleId="Subtitle">
    <w:name w:val="Subtitle"/>
    <w:basedOn w:val="Normal"/>
    <w:next w:val="Normal"/>
    <w:link w:val="SubtitleChar"/>
    <w:uiPriority w:val="11"/>
    <w:qFormat/>
    <w:rsid w:val="003734A7"/>
    <w:pPr>
      <w:numPr>
        <w:ilvl w:val="1"/>
      </w:numPr>
    </w:pPr>
    <w:rPr>
      <w:rFonts w:ascii="Times New Roman" w:eastAsiaTheme="majorEastAsia" w:hAnsi="Times New Roman" w:cstheme="majorBidi"/>
      <w:i/>
      <w:iCs/>
      <w:spacing w:val="15"/>
    </w:rPr>
  </w:style>
  <w:style w:type="character" w:customStyle="1" w:styleId="SubtitleChar">
    <w:name w:val="Subtitle Char"/>
    <w:basedOn w:val="DefaultParagraphFont"/>
    <w:link w:val="Subtitle"/>
    <w:uiPriority w:val="11"/>
    <w:rsid w:val="003734A7"/>
    <w:rPr>
      <w:rFonts w:ascii="Times New Roman" w:eastAsiaTheme="majorEastAsia" w:hAnsi="Times New Roman" w:cstheme="majorBidi"/>
      <w:i/>
      <w:iCs/>
      <w:spacing w:val="15"/>
    </w:rPr>
  </w:style>
  <w:style w:type="paragraph" w:styleId="Header">
    <w:name w:val="header"/>
    <w:basedOn w:val="Normal"/>
    <w:link w:val="HeaderChar"/>
    <w:uiPriority w:val="99"/>
    <w:rsid w:val="003734A7"/>
    <w:pPr>
      <w:tabs>
        <w:tab w:val="center" w:pos="4680"/>
        <w:tab w:val="right" w:pos="9360"/>
      </w:tabs>
    </w:pPr>
    <w:rPr>
      <w:rFonts w:ascii="Times New Roman" w:hAnsi="Times New Roman"/>
    </w:rPr>
  </w:style>
  <w:style w:type="character" w:customStyle="1" w:styleId="HeaderChar">
    <w:name w:val="Header Char"/>
    <w:basedOn w:val="DefaultParagraphFont"/>
    <w:link w:val="Header"/>
    <w:uiPriority w:val="99"/>
    <w:rsid w:val="003734A7"/>
    <w:rPr>
      <w:rFonts w:ascii="Times New Roman" w:eastAsia="Times New Roman" w:hAnsi="Times New Roman" w:cs="Times New Roman"/>
    </w:rPr>
  </w:style>
  <w:style w:type="paragraph" w:styleId="EndnoteText">
    <w:name w:val="endnote text"/>
    <w:basedOn w:val="Normal"/>
    <w:link w:val="EndnoteTextChar"/>
    <w:rsid w:val="003734A7"/>
    <w:rPr>
      <w:rFonts w:ascii="Times New Roman" w:hAnsi="Times New Roman"/>
      <w:sz w:val="20"/>
      <w:szCs w:val="20"/>
    </w:rPr>
  </w:style>
  <w:style w:type="character" w:customStyle="1" w:styleId="EndnoteTextChar">
    <w:name w:val="Endnote Text Char"/>
    <w:basedOn w:val="DefaultParagraphFont"/>
    <w:link w:val="EndnoteText"/>
    <w:rsid w:val="003734A7"/>
    <w:rPr>
      <w:rFonts w:ascii="Times New Roman" w:eastAsia="Times New Roman" w:hAnsi="Times New Roman" w:cs="Times New Roman"/>
      <w:sz w:val="20"/>
      <w:szCs w:val="20"/>
    </w:rPr>
  </w:style>
  <w:style w:type="character" w:styleId="EndnoteReference">
    <w:name w:val="endnote reference"/>
    <w:basedOn w:val="DefaultParagraphFont"/>
    <w:rsid w:val="003734A7"/>
    <w:rPr>
      <w:vertAlign w:val="superscript"/>
    </w:rPr>
  </w:style>
  <w:style w:type="paragraph" w:styleId="TOCHeading">
    <w:name w:val="TOC Heading"/>
    <w:basedOn w:val="Heading1"/>
    <w:next w:val="Normal"/>
    <w:uiPriority w:val="39"/>
    <w:unhideWhenUsed/>
    <w:qFormat/>
    <w:rsid w:val="003734A7"/>
    <w:pPr>
      <w:numPr>
        <w:numId w:val="0"/>
      </w:numPr>
      <w:spacing w:before="480"/>
      <w:outlineLvl w:val="9"/>
    </w:pPr>
    <w:rPr>
      <w:b/>
      <w:bCs/>
      <w:sz w:val="28"/>
      <w:szCs w:val="28"/>
    </w:rPr>
  </w:style>
  <w:style w:type="paragraph" w:styleId="TOC1">
    <w:name w:val="toc 1"/>
    <w:basedOn w:val="Normal"/>
    <w:next w:val="Normal"/>
    <w:autoRedefine/>
    <w:uiPriority w:val="39"/>
    <w:qFormat/>
    <w:rsid w:val="00390006"/>
    <w:pPr>
      <w:tabs>
        <w:tab w:val="right" w:leader="dot" w:pos="480"/>
        <w:tab w:val="right" w:leader="dot" w:pos="9090"/>
        <w:tab w:val="right" w:leader="dot" w:pos="10518"/>
      </w:tabs>
      <w:spacing w:line="240" w:lineRule="auto"/>
    </w:pPr>
    <w:rPr>
      <w:rFonts w:asciiTheme="majorHAnsi" w:hAnsiTheme="majorHAnsi"/>
      <w:b/>
      <w:noProof/>
      <w:color w:val="0070C0"/>
      <w:sz w:val="28"/>
      <w:lang w:val="sq-AL"/>
    </w:rPr>
  </w:style>
  <w:style w:type="paragraph" w:styleId="TOC2">
    <w:name w:val="toc 2"/>
    <w:basedOn w:val="Normal"/>
    <w:next w:val="Normal"/>
    <w:autoRedefine/>
    <w:uiPriority w:val="39"/>
    <w:qFormat/>
    <w:rsid w:val="00C247F9"/>
    <w:pPr>
      <w:tabs>
        <w:tab w:val="left" w:pos="880"/>
        <w:tab w:val="right" w:leader="dot" w:pos="9270"/>
        <w:tab w:val="right" w:leader="dot" w:pos="10518"/>
      </w:tabs>
      <w:spacing w:after="100" w:line="240" w:lineRule="auto"/>
    </w:pPr>
    <w:rPr>
      <w:rFonts w:cs="Calibri"/>
      <w:b/>
      <w:noProof/>
      <w:szCs w:val="22"/>
      <w:lang w:val="sq-AL"/>
    </w:rPr>
  </w:style>
  <w:style w:type="paragraph" w:styleId="TOC3">
    <w:name w:val="toc 3"/>
    <w:basedOn w:val="Normal"/>
    <w:next w:val="Normal"/>
    <w:autoRedefine/>
    <w:uiPriority w:val="39"/>
    <w:qFormat/>
    <w:rsid w:val="001D56FA"/>
    <w:pPr>
      <w:tabs>
        <w:tab w:val="left" w:pos="1320"/>
        <w:tab w:val="left" w:pos="4706"/>
        <w:tab w:val="right" w:leader="dot" w:pos="10520"/>
      </w:tabs>
      <w:spacing w:after="100" w:line="240" w:lineRule="auto"/>
    </w:pPr>
    <w:rPr>
      <w:rFonts w:asciiTheme="majorHAnsi" w:hAnsiTheme="majorHAnsi" w:cs="Calibri"/>
      <w:b/>
      <w:i/>
      <w:noProof/>
      <w:color w:val="0070C0"/>
      <w:sz w:val="20"/>
    </w:rPr>
  </w:style>
  <w:style w:type="paragraph" w:styleId="TOC4">
    <w:name w:val="toc 4"/>
    <w:basedOn w:val="Normal"/>
    <w:next w:val="Normal"/>
    <w:autoRedefine/>
    <w:uiPriority w:val="39"/>
    <w:rsid w:val="003734A7"/>
    <w:pPr>
      <w:spacing w:after="100"/>
      <w:ind w:left="720"/>
    </w:pPr>
    <w:rPr>
      <w:rFonts w:ascii="Times New Roman" w:hAnsi="Times New Roman"/>
    </w:rPr>
  </w:style>
  <w:style w:type="paragraph" w:styleId="NoSpacing">
    <w:name w:val="No Spacing"/>
    <w:uiPriority w:val="1"/>
    <w:qFormat/>
    <w:rsid w:val="003734A7"/>
    <w:rPr>
      <w:rFonts w:eastAsiaTheme="minorHAnsi"/>
      <w:sz w:val="22"/>
      <w:szCs w:val="22"/>
    </w:rPr>
  </w:style>
  <w:style w:type="character" w:customStyle="1" w:styleId="hps">
    <w:name w:val="hps"/>
    <w:basedOn w:val="DefaultParagraphFont"/>
    <w:uiPriority w:val="99"/>
    <w:rsid w:val="003734A7"/>
  </w:style>
  <w:style w:type="table" w:customStyle="1" w:styleId="TableGridLight1">
    <w:name w:val="Table Grid Light1"/>
    <w:basedOn w:val="TableNormal"/>
    <w:uiPriority w:val="40"/>
    <w:rsid w:val="003734A7"/>
    <w:rPr>
      <w:rFonts w:eastAsiaTheme="minorHAns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3734A7"/>
    <w:pPr>
      <w:pBdr>
        <w:top w:val="nil"/>
        <w:left w:val="nil"/>
        <w:bottom w:val="single" w:sz="8" w:space="4" w:color="0F6FC6" w:themeColor="accent1"/>
        <w:right w:val="nil"/>
        <w:between w:val="nil"/>
        <w:bar w:val="nil"/>
      </w:pBdr>
      <w:spacing w:after="300"/>
      <w:contextualSpacing/>
    </w:pPr>
    <w:rPr>
      <w:rFonts w:asciiTheme="majorHAnsi" w:eastAsiaTheme="majorEastAsia" w:hAnsiTheme="majorHAnsi" w:cstheme="majorBidi"/>
      <w:color w:val="112F51" w:themeColor="text2" w:themeShade="BF"/>
      <w:spacing w:val="5"/>
      <w:kern w:val="28"/>
      <w:sz w:val="52"/>
      <w:szCs w:val="52"/>
      <w:bdr w:val="nil"/>
      <w:lang w:val="hr-HR"/>
    </w:rPr>
  </w:style>
  <w:style w:type="character" w:customStyle="1" w:styleId="TitleChar">
    <w:name w:val="Title Char"/>
    <w:basedOn w:val="DefaultParagraphFont"/>
    <w:link w:val="Title"/>
    <w:uiPriority w:val="10"/>
    <w:rsid w:val="003734A7"/>
    <w:rPr>
      <w:rFonts w:asciiTheme="majorHAnsi" w:eastAsiaTheme="majorEastAsia" w:hAnsiTheme="majorHAnsi" w:cstheme="majorBidi"/>
      <w:color w:val="112F51" w:themeColor="text2" w:themeShade="BF"/>
      <w:spacing w:val="5"/>
      <w:kern w:val="28"/>
      <w:sz w:val="52"/>
      <w:szCs w:val="52"/>
      <w:bdr w:val="nil"/>
      <w:lang w:val="hr-HR"/>
    </w:rPr>
  </w:style>
  <w:style w:type="paragraph" w:styleId="TableofFigures">
    <w:name w:val="table of figures"/>
    <w:basedOn w:val="Normal"/>
    <w:next w:val="Normal"/>
    <w:uiPriority w:val="99"/>
    <w:unhideWhenUsed/>
    <w:rsid w:val="003734A7"/>
    <w:rPr>
      <w:rFonts w:ascii="Times New Roman" w:hAnsi="Times New Roman"/>
    </w:rPr>
  </w:style>
  <w:style w:type="table" w:customStyle="1" w:styleId="PlainTable11">
    <w:name w:val="Plain Table 11"/>
    <w:basedOn w:val="TableNormal"/>
    <w:uiPriority w:val="41"/>
    <w:rsid w:val="003734A7"/>
    <w:rPr>
      <w:rFonts w:ascii="Times New Roman" w:eastAsiaTheme="minorHAnsi" w:hAnsi="Times New Roman" w:cs="Times New Roman"/>
      <w:sz w:val="20"/>
      <w:szCs w:val="20"/>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3734A7"/>
    <w:rPr>
      <w:rFonts w:ascii="Times New Roman" w:eastAsia="Times New Roman" w:hAnsi="Times New Roman" w:cs="Times New Roman"/>
    </w:rPr>
  </w:style>
  <w:style w:type="table" w:customStyle="1" w:styleId="ListTable3-Accent11">
    <w:name w:val="List Table 3 - Accent 11"/>
    <w:basedOn w:val="TableNormal"/>
    <w:uiPriority w:val="48"/>
    <w:rsid w:val="003734A7"/>
    <w:tblPr>
      <w:tblStyleRowBandSize w:val="1"/>
      <w:tblStyleColBandSize w:val="1"/>
      <w:tblInd w:w="0" w:type="dxa"/>
      <w:tblBorders>
        <w:top w:val="single" w:sz="4" w:space="0" w:color="0F6FC6" w:themeColor="accent1"/>
        <w:left w:val="single" w:sz="4" w:space="0" w:color="0F6FC6" w:themeColor="accent1"/>
        <w:bottom w:val="single" w:sz="4" w:space="0" w:color="0F6FC6" w:themeColor="accent1"/>
        <w:right w:val="single" w:sz="4" w:space="0" w:color="0F6FC6" w:themeColor="accent1"/>
      </w:tblBorders>
      <w:tblCellMar>
        <w:top w:w="0" w:type="dxa"/>
        <w:left w:w="108" w:type="dxa"/>
        <w:bottom w:w="0" w:type="dxa"/>
        <w:right w:w="108" w:type="dxa"/>
      </w:tblCellMar>
    </w:tblPr>
    <w:tblStylePr w:type="firstRow">
      <w:rPr>
        <w:b/>
        <w:bCs/>
        <w:color w:val="FFFFFF" w:themeColor="background1"/>
      </w:rPr>
      <w:tblPr/>
      <w:tcPr>
        <w:shd w:val="clear" w:color="auto" w:fill="0F6FC6" w:themeFill="accent1"/>
      </w:tcPr>
    </w:tblStylePr>
    <w:tblStylePr w:type="lastRow">
      <w:rPr>
        <w:b/>
        <w:bCs/>
      </w:rPr>
      <w:tblPr/>
      <w:tcPr>
        <w:tcBorders>
          <w:top w:val="double" w:sz="4" w:space="0" w:color="0F6F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6FC6" w:themeColor="accent1"/>
          <w:right w:val="single" w:sz="4" w:space="0" w:color="0F6FC6" w:themeColor="accent1"/>
        </w:tcBorders>
      </w:tcPr>
    </w:tblStylePr>
    <w:tblStylePr w:type="band1Horz">
      <w:tblPr/>
      <w:tcPr>
        <w:tcBorders>
          <w:top w:val="single" w:sz="4" w:space="0" w:color="0F6FC6" w:themeColor="accent1"/>
          <w:bottom w:val="single" w:sz="4" w:space="0" w:color="0F6F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themeColor="accent1"/>
          <w:left w:val="nil"/>
        </w:tcBorders>
      </w:tcPr>
    </w:tblStylePr>
    <w:tblStylePr w:type="swCell">
      <w:tblPr/>
      <w:tcPr>
        <w:tcBorders>
          <w:top w:val="double" w:sz="4" w:space="0" w:color="0F6FC6" w:themeColor="accent1"/>
          <w:right w:val="nil"/>
        </w:tcBorders>
      </w:tcPr>
    </w:tblStylePr>
  </w:style>
  <w:style w:type="table" w:customStyle="1" w:styleId="GridTable5Dark-Accent11">
    <w:name w:val="Grid Table 5 Dark - Accent 11"/>
    <w:basedOn w:val="TableNormal"/>
    <w:uiPriority w:val="50"/>
    <w:rsid w:val="003734A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customStyle="1" w:styleId="GridTable1Light-Accent11">
    <w:name w:val="Grid Table 1 Light - Accent 11"/>
    <w:basedOn w:val="TableNormal"/>
    <w:uiPriority w:val="46"/>
    <w:rsid w:val="00386C45"/>
    <w:tblPr>
      <w:tblStyleRowBandSize w:val="1"/>
      <w:tblStyleColBandSize w:val="1"/>
      <w:tblInd w:w="0" w:type="dxa"/>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CellMar>
        <w:top w:w="0" w:type="dxa"/>
        <w:left w:w="108" w:type="dxa"/>
        <w:bottom w:w="0" w:type="dxa"/>
        <w:right w:w="108" w:type="dxa"/>
      </w:tblCellMar>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table" w:customStyle="1" w:styleId="GridTable4-Accent51">
    <w:name w:val="Grid Table 4 - Accent 51"/>
    <w:basedOn w:val="TableNormal"/>
    <w:uiPriority w:val="49"/>
    <w:rsid w:val="00C2766F"/>
    <w:tblPr>
      <w:tblStyleRowBandSize w:val="1"/>
      <w:tblStyleColBandSize w:val="1"/>
      <w:tblInd w:w="0" w:type="dxa"/>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character" w:customStyle="1" w:styleId="Heading4Char1">
    <w:name w:val="Heading 4 Char1"/>
    <w:basedOn w:val="DefaultParagraphFont"/>
    <w:uiPriority w:val="9"/>
    <w:semiHidden/>
    <w:rsid w:val="00D70B2B"/>
    <w:rPr>
      <w:rFonts w:asciiTheme="majorHAnsi" w:eastAsiaTheme="majorEastAsia" w:hAnsiTheme="majorHAnsi" w:cstheme="majorBidi"/>
      <w:i/>
      <w:iCs/>
      <w:color w:val="0B5294" w:themeColor="accent1" w:themeShade="BF"/>
    </w:rPr>
  </w:style>
  <w:style w:type="table" w:customStyle="1" w:styleId="TableGridLight11">
    <w:name w:val="Table Grid Light11"/>
    <w:basedOn w:val="TableNormal"/>
    <w:next w:val="TableNormal"/>
    <w:uiPriority w:val="40"/>
    <w:rsid w:val="00D70B2B"/>
    <w:rPr>
      <w:rFonts w:eastAsiaTheme="minorHAns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2">
    <w:name w:val="Table Grid Light12"/>
    <w:basedOn w:val="TableNormal"/>
    <w:next w:val="TableNormal"/>
    <w:uiPriority w:val="40"/>
    <w:rsid w:val="00D70B2B"/>
    <w:rPr>
      <w:rFonts w:eastAsiaTheme="minorHAns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3">
    <w:name w:val="Table Grid Light13"/>
    <w:basedOn w:val="TableNormal"/>
    <w:next w:val="TableNormal"/>
    <w:uiPriority w:val="40"/>
    <w:rsid w:val="00C611E7"/>
    <w:rPr>
      <w:rFonts w:eastAsiaTheme="minorHAns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4">
    <w:name w:val="Table Grid Light14"/>
    <w:basedOn w:val="TableNormal"/>
    <w:next w:val="TableNormal"/>
    <w:uiPriority w:val="40"/>
    <w:rsid w:val="00AD5C81"/>
    <w:rPr>
      <w:rFonts w:eastAsiaTheme="minorHAns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5">
    <w:name w:val="Table Grid Light15"/>
    <w:basedOn w:val="TableNormal"/>
    <w:next w:val="TableNormal"/>
    <w:uiPriority w:val="40"/>
    <w:rsid w:val="009D3195"/>
    <w:rPr>
      <w:rFonts w:eastAsiaTheme="minorHAns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1Light1">
    <w:name w:val="Grid Table 1 Light1"/>
    <w:basedOn w:val="TableNormal"/>
    <w:uiPriority w:val="46"/>
    <w:rsid w:val="00737253"/>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iskale2">
    <w:name w:val="Fiskale 2"/>
    <w:basedOn w:val="Heading2"/>
    <w:link w:val="Fiskale2Char"/>
    <w:qFormat/>
    <w:rsid w:val="005150A4"/>
    <w:pPr>
      <w:numPr>
        <w:numId w:val="3"/>
      </w:numPr>
      <w:spacing w:before="0"/>
    </w:pPr>
    <w:rPr>
      <w:rFonts w:ascii="Calibri Light" w:hAnsi="Calibri Light" w:cs="Times New Roman"/>
      <w:noProof/>
      <w:color w:val="0F6FC6" w:themeColor="accent1"/>
      <w:lang w:val="sq-AL"/>
    </w:rPr>
  </w:style>
  <w:style w:type="paragraph" w:customStyle="1" w:styleId="Fiskale1">
    <w:name w:val="Fiskale 1"/>
    <w:basedOn w:val="Heading1"/>
    <w:link w:val="Fiskale1Char"/>
    <w:qFormat/>
    <w:rsid w:val="00B77671"/>
    <w:pPr>
      <w:numPr>
        <w:numId w:val="3"/>
      </w:numPr>
      <w:spacing w:before="0"/>
      <w:ind w:left="720"/>
    </w:pPr>
    <w:rPr>
      <w:rFonts w:ascii="Calibri Light" w:hAnsi="Calibri Light" w:cs="Times New Roman"/>
      <w:b/>
      <w:lang w:val="sq-AL"/>
    </w:rPr>
  </w:style>
  <w:style w:type="character" w:customStyle="1" w:styleId="Fiskale2Char">
    <w:name w:val="Fiskale 2 Char"/>
    <w:basedOn w:val="Heading2Char"/>
    <w:link w:val="Fiskale2"/>
    <w:rsid w:val="005150A4"/>
    <w:rPr>
      <w:rFonts w:ascii="Calibri Light" w:eastAsiaTheme="majorEastAsia" w:hAnsi="Calibri Light" w:cs="Times New Roman"/>
      <w:b/>
      <w:bCs/>
      <w:noProof/>
      <w:color w:val="0F6FC6" w:themeColor="accent1"/>
      <w:sz w:val="22"/>
      <w:szCs w:val="26"/>
      <w:lang w:val="sq-AL"/>
    </w:rPr>
  </w:style>
  <w:style w:type="paragraph" w:customStyle="1" w:styleId="fiskale3">
    <w:name w:val="fiskale 3"/>
    <w:basedOn w:val="Heading3"/>
    <w:link w:val="fiskale3Char"/>
    <w:qFormat/>
    <w:rsid w:val="008A03FF"/>
    <w:pPr>
      <w:numPr>
        <w:numId w:val="3"/>
      </w:numPr>
      <w:tabs>
        <w:tab w:val="right" w:leader="dot" w:pos="10518"/>
      </w:tabs>
    </w:pPr>
    <w:rPr>
      <w:rFonts w:ascii="Calibri Light" w:hAnsi="Calibri Light" w:cs="Times New Roman"/>
      <w:noProof/>
      <w:lang w:val="sq-AL"/>
    </w:rPr>
  </w:style>
  <w:style w:type="character" w:customStyle="1" w:styleId="Fiskale1Char">
    <w:name w:val="Fiskale 1 Char"/>
    <w:basedOn w:val="Heading1Char"/>
    <w:link w:val="Fiskale1"/>
    <w:rsid w:val="00B77671"/>
    <w:rPr>
      <w:rFonts w:ascii="Calibri Light" w:eastAsiaTheme="majorEastAsia" w:hAnsi="Calibri Light" w:cs="Times New Roman"/>
      <w:b/>
      <w:color w:val="0B5294" w:themeColor="accent1" w:themeShade="BF"/>
      <w:sz w:val="32"/>
      <w:szCs w:val="32"/>
      <w:lang w:val="sq-AL"/>
    </w:rPr>
  </w:style>
  <w:style w:type="character" w:customStyle="1" w:styleId="fiskale3Char">
    <w:name w:val="fiskale 3 Char"/>
    <w:basedOn w:val="Heading3Char"/>
    <w:link w:val="fiskale3"/>
    <w:rsid w:val="008A03FF"/>
    <w:rPr>
      <w:rFonts w:ascii="Calibri Light" w:eastAsiaTheme="majorEastAsia" w:hAnsi="Calibri Light" w:cs="Times New Roman"/>
      <w:noProof/>
      <w:color w:val="073662" w:themeColor="accent1" w:themeShade="7F"/>
      <w:sz w:val="22"/>
      <w:lang w:val="sq-AL"/>
    </w:rPr>
  </w:style>
  <w:style w:type="table" w:customStyle="1" w:styleId="ListTable3-Accent12">
    <w:name w:val="List Table 3 - Accent 12"/>
    <w:basedOn w:val="TableNormal"/>
    <w:uiPriority w:val="48"/>
    <w:rsid w:val="00752031"/>
    <w:rPr>
      <w:rFonts w:eastAsiaTheme="minorHAnsi"/>
      <w:sz w:val="22"/>
      <w:szCs w:val="22"/>
    </w:rPr>
    <w:tblPr>
      <w:tblStyleRowBandSize w:val="1"/>
      <w:tblStyleColBandSize w:val="1"/>
      <w:tblInd w:w="0" w:type="dxa"/>
      <w:tblBorders>
        <w:top w:val="single" w:sz="4" w:space="0" w:color="0F6FC6" w:themeColor="accent1"/>
        <w:left w:val="single" w:sz="4" w:space="0" w:color="0F6FC6" w:themeColor="accent1"/>
        <w:bottom w:val="single" w:sz="4" w:space="0" w:color="0F6FC6" w:themeColor="accent1"/>
        <w:right w:val="single" w:sz="4" w:space="0" w:color="0F6FC6" w:themeColor="accent1"/>
      </w:tblBorders>
      <w:tblCellMar>
        <w:top w:w="0" w:type="dxa"/>
        <w:left w:w="108" w:type="dxa"/>
        <w:bottom w:w="0" w:type="dxa"/>
        <w:right w:w="108" w:type="dxa"/>
      </w:tblCellMar>
    </w:tblPr>
    <w:tblStylePr w:type="firstRow">
      <w:rPr>
        <w:b/>
        <w:bCs/>
        <w:color w:val="FFFFFF" w:themeColor="background1"/>
      </w:rPr>
      <w:tblPr/>
      <w:tcPr>
        <w:shd w:val="clear" w:color="auto" w:fill="0F6FC6" w:themeFill="accent1"/>
      </w:tcPr>
    </w:tblStylePr>
    <w:tblStylePr w:type="lastRow">
      <w:rPr>
        <w:b/>
        <w:bCs/>
      </w:rPr>
      <w:tblPr/>
      <w:tcPr>
        <w:tcBorders>
          <w:top w:val="double" w:sz="4" w:space="0" w:color="0F6F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6FC6" w:themeColor="accent1"/>
          <w:right w:val="single" w:sz="4" w:space="0" w:color="0F6FC6" w:themeColor="accent1"/>
        </w:tcBorders>
      </w:tcPr>
    </w:tblStylePr>
    <w:tblStylePr w:type="band1Horz">
      <w:tblPr/>
      <w:tcPr>
        <w:tcBorders>
          <w:top w:val="single" w:sz="4" w:space="0" w:color="0F6FC6" w:themeColor="accent1"/>
          <w:bottom w:val="single" w:sz="4" w:space="0" w:color="0F6F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themeColor="accent1"/>
          <w:left w:val="nil"/>
        </w:tcBorders>
      </w:tcPr>
    </w:tblStylePr>
    <w:tblStylePr w:type="swCell">
      <w:tblPr/>
      <w:tcPr>
        <w:tcBorders>
          <w:top w:val="double" w:sz="4" w:space="0" w:color="0F6FC6" w:themeColor="accent1"/>
          <w:right w:val="nil"/>
        </w:tcBorders>
      </w:tcPr>
    </w:tblStylePr>
  </w:style>
  <w:style w:type="table" w:customStyle="1" w:styleId="GridTable5Dark-Accent12">
    <w:name w:val="Grid Table 5 Dark - Accent 12"/>
    <w:basedOn w:val="TableNormal"/>
    <w:uiPriority w:val="50"/>
    <w:rsid w:val="006A2EC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customStyle="1" w:styleId="GridTable4-Accent12">
    <w:name w:val="Grid Table 4 - Accent 12"/>
    <w:basedOn w:val="TableNormal"/>
    <w:uiPriority w:val="49"/>
    <w:rsid w:val="006A2EC9"/>
    <w:tblPr>
      <w:tblStyleRowBandSize w:val="1"/>
      <w:tblStyleColBandSize w:val="1"/>
      <w:tblInd w:w="0" w:type="dxa"/>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GridTable21">
    <w:name w:val="Grid Table 21"/>
    <w:basedOn w:val="TableNormal"/>
    <w:uiPriority w:val="47"/>
    <w:rsid w:val="006A2EC9"/>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2">
    <w:name w:val="Grid Table 1 Light2"/>
    <w:basedOn w:val="TableNormal"/>
    <w:uiPriority w:val="46"/>
    <w:rsid w:val="006A2EC9"/>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1">
    <w:name w:val="Grid Table 41"/>
    <w:basedOn w:val="TableNormal"/>
    <w:uiPriority w:val="49"/>
    <w:rsid w:val="006A2EC9"/>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Accent11">
    <w:name w:val="Grid Table 3 - Accent 11"/>
    <w:basedOn w:val="TableNormal"/>
    <w:uiPriority w:val="48"/>
    <w:rsid w:val="006A2EC9"/>
    <w:tblPr>
      <w:tblStyleRowBandSize w:val="1"/>
      <w:tblStyleColBandSize w:val="1"/>
      <w:tblInd w:w="0" w:type="dxa"/>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bottom w:val="single" w:sz="4" w:space="0" w:color="59A9F2" w:themeColor="accent1" w:themeTint="99"/>
        </w:tcBorders>
      </w:tcPr>
    </w:tblStylePr>
    <w:tblStylePr w:type="nwCell">
      <w:tblPr/>
      <w:tcPr>
        <w:tcBorders>
          <w:bottom w:val="single" w:sz="4" w:space="0" w:color="59A9F2" w:themeColor="accent1" w:themeTint="99"/>
        </w:tcBorders>
      </w:tcPr>
    </w:tblStylePr>
    <w:tblStylePr w:type="seCell">
      <w:tblPr/>
      <w:tcPr>
        <w:tcBorders>
          <w:top w:val="single" w:sz="4" w:space="0" w:color="59A9F2" w:themeColor="accent1" w:themeTint="99"/>
        </w:tcBorders>
      </w:tcPr>
    </w:tblStylePr>
    <w:tblStylePr w:type="swCell">
      <w:tblPr/>
      <w:tcPr>
        <w:tcBorders>
          <w:top w:val="single" w:sz="4" w:space="0" w:color="59A9F2" w:themeColor="accent1" w:themeTint="99"/>
        </w:tcBorders>
      </w:tcPr>
    </w:tblStylePr>
  </w:style>
  <w:style w:type="table" w:customStyle="1" w:styleId="GridTable2-Accent11">
    <w:name w:val="Grid Table 2 - Accent 11"/>
    <w:basedOn w:val="TableNormal"/>
    <w:uiPriority w:val="47"/>
    <w:rsid w:val="006A2EC9"/>
    <w:tblPr>
      <w:tblStyleRowBandSize w:val="1"/>
      <w:tblStyleColBandSize w:val="1"/>
      <w:tblInd w:w="0" w:type="dxa"/>
      <w:tblBorders>
        <w:top w:val="single" w:sz="2" w:space="0" w:color="59A9F2" w:themeColor="accent1" w:themeTint="99"/>
        <w:bottom w:val="single" w:sz="2" w:space="0" w:color="59A9F2" w:themeColor="accent1" w:themeTint="99"/>
        <w:insideH w:val="single" w:sz="2" w:space="0" w:color="59A9F2" w:themeColor="accent1" w:themeTint="99"/>
        <w:insideV w:val="single" w:sz="2" w:space="0" w:color="59A9F2" w:themeColor="accent1" w:themeTint="99"/>
      </w:tblBorders>
      <w:tblCellMar>
        <w:top w:w="0" w:type="dxa"/>
        <w:left w:w="108" w:type="dxa"/>
        <w:bottom w:w="0" w:type="dxa"/>
        <w:right w:w="108" w:type="dxa"/>
      </w:tblCellMar>
    </w:tblPr>
    <w:tblStylePr w:type="firstRow">
      <w:rPr>
        <w:b/>
        <w:bCs/>
      </w:rPr>
      <w:tblPr/>
      <w:tcPr>
        <w:tcBorders>
          <w:top w:val="nil"/>
          <w:bottom w:val="single" w:sz="12" w:space="0" w:color="59A9F2" w:themeColor="accent1" w:themeTint="99"/>
          <w:insideH w:val="nil"/>
          <w:insideV w:val="nil"/>
        </w:tcBorders>
        <w:shd w:val="clear" w:color="auto" w:fill="FFFFFF" w:themeFill="background1"/>
      </w:tcPr>
    </w:tblStylePr>
    <w:tblStylePr w:type="lastRow">
      <w:rPr>
        <w:b/>
        <w:bCs/>
      </w:rPr>
      <w:tblPr/>
      <w:tcPr>
        <w:tcBorders>
          <w:top w:val="double" w:sz="2" w:space="0" w:color="59A9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GridTable3-Accent61">
    <w:name w:val="Grid Table 3 - Accent 61"/>
    <w:basedOn w:val="TableNormal"/>
    <w:uiPriority w:val="48"/>
    <w:rsid w:val="006A2EC9"/>
    <w:tblPr>
      <w:tblStyleRowBandSize w:val="1"/>
      <w:tblStyleColBandSize w:val="1"/>
      <w:tblInd w:w="0" w:type="dxa"/>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bottom w:val="single" w:sz="4" w:space="0" w:color="C8DA91" w:themeColor="accent6" w:themeTint="99"/>
        </w:tcBorders>
      </w:tcPr>
    </w:tblStylePr>
    <w:tblStylePr w:type="nwCell">
      <w:tblPr/>
      <w:tcPr>
        <w:tcBorders>
          <w:bottom w:val="single" w:sz="4" w:space="0" w:color="C8DA91" w:themeColor="accent6" w:themeTint="99"/>
        </w:tcBorders>
      </w:tcPr>
    </w:tblStylePr>
    <w:tblStylePr w:type="seCell">
      <w:tblPr/>
      <w:tcPr>
        <w:tcBorders>
          <w:top w:val="single" w:sz="4" w:space="0" w:color="C8DA91" w:themeColor="accent6" w:themeTint="99"/>
        </w:tcBorders>
      </w:tcPr>
    </w:tblStylePr>
    <w:tblStylePr w:type="swCell">
      <w:tblPr/>
      <w:tcPr>
        <w:tcBorders>
          <w:top w:val="single" w:sz="4" w:space="0" w:color="C8DA91" w:themeColor="accent6" w:themeTint="99"/>
        </w:tcBorders>
      </w:tcPr>
    </w:tblStylePr>
  </w:style>
  <w:style w:type="table" w:customStyle="1" w:styleId="GridTable1Light-Accent12">
    <w:name w:val="Grid Table 1 Light - Accent 12"/>
    <w:basedOn w:val="TableNormal"/>
    <w:uiPriority w:val="46"/>
    <w:rsid w:val="00497022"/>
    <w:tblPr>
      <w:tblStyleRowBandSize w:val="1"/>
      <w:tblStyleColBandSize w:val="1"/>
      <w:tblInd w:w="0" w:type="dxa"/>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CellMar>
        <w:top w:w="0" w:type="dxa"/>
        <w:left w:w="108" w:type="dxa"/>
        <w:bottom w:w="0" w:type="dxa"/>
        <w:right w:w="108" w:type="dxa"/>
      </w:tblCellMar>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paragraph" w:customStyle="1" w:styleId="BVIfnrCarCarCarCarChar">
    <w:name w:val="BVI fnr Car Car Car Car Char"/>
    <w:basedOn w:val="Normal"/>
    <w:link w:val="FootnoteReference"/>
    <w:uiPriority w:val="99"/>
    <w:rsid w:val="00FF247A"/>
    <w:pPr>
      <w:spacing w:before="0" w:after="160" w:line="240" w:lineRule="exact"/>
    </w:pPr>
    <w:rPr>
      <w:rFonts w:asciiTheme="minorHAnsi" w:eastAsiaTheme="minorEastAsia" w:hAnsiTheme="minorHAnsi" w:cstheme="minorBidi"/>
      <w:sz w:val="24"/>
      <w:vertAlign w:val="superscript"/>
    </w:rPr>
  </w:style>
  <w:style w:type="character" w:customStyle="1" w:styleId="viiyi">
    <w:name w:val="viiyi"/>
    <w:basedOn w:val="DefaultParagraphFont"/>
    <w:rsid w:val="00A97E29"/>
  </w:style>
  <w:style w:type="character" w:customStyle="1" w:styleId="q4iawc">
    <w:name w:val="q4iawc"/>
    <w:basedOn w:val="DefaultParagraphFont"/>
    <w:rsid w:val="00A97E29"/>
  </w:style>
  <w:style w:type="table" w:customStyle="1" w:styleId="TableGridLight16">
    <w:name w:val="Table Grid Light16"/>
    <w:basedOn w:val="TableNormal"/>
    <w:uiPriority w:val="40"/>
    <w:rsid w:val="0034438D"/>
    <w:rPr>
      <w:rFonts w:eastAsiaTheme="minorHAns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Accent111">
    <w:name w:val="Grid Table 1 Light - Accent 111"/>
    <w:basedOn w:val="TableNormal"/>
    <w:uiPriority w:val="46"/>
    <w:rsid w:val="009C50AD"/>
    <w:tblPr>
      <w:tblStyleRowBandSize w:val="1"/>
      <w:tblStyleColBandSize w:val="1"/>
      <w:tblInd w:w="0" w:type="dxa"/>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CellMar>
        <w:top w:w="0" w:type="dxa"/>
        <w:left w:w="108" w:type="dxa"/>
        <w:bottom w:w="0" w:type="dxa"/>
        <w:right w:w="108" w:type="dxa"/>
      </w:tblCellMar>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table" w:customStyle="1" w:styleId="GridTable4-Accent111">
    <w:name w:val="Grid Table 4 - Accent 111"/>
    <w:basedOn w:val="TableNormal"/>
    <w:uiPriority w:val="49"/>
    <w:rsid w:val="000B327D"/>
    <w:rPr>
      <w:rFonts w:eastAsia="Calibri"/>
      <w:sz w:val="22"/>
      <w:szCs w:val="22"/>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64292">
      <w:bodyDiv w:val="1"/>
      <w:marLeft w:val="0"/>
      <w:marRight w:val="0"/>
      <w:marTop w:val="0"/>
      <w:marBottom w:val="0"/>
      <w:divBdr>
        <w:top w:val="none" w:sz="0" w:space="0" w:color="auto"/>
        <w:left w:val="none" w:sz="0" w:space="0" w:color="auto"/>
        <w:bottom w:val="none" w:sz="0" w:space="0" w:color="auto"/>
        <w:right w:val="none" w:sz="0" w:space="0" w:color="auto"/>
      </w:divBdr>
    </w:div>
    <w:div w:id="34043638">
      <w:bodyDiv w:val="1"/>
      <w:marLeft w:val="0"/>
      <w:marRight w:val="0"/>
      <w:marTop w:val="0"/>
      <w:marBottom w:val="0"/>
      <w:divBdr>
        <w:top w:val="none" w:sz="0" w:space="0" w:color="auto"/>
        <w:left w:val="none" w:sz="0" w:space="0" w:color="auto"/>
        <w:bottom w:val="none" w:sz="0" w:space="0" w:color="auto"/>
        <w:right w:val="none" w:sz="0" w:space="0" w:color="auto"/>
      </w:divBdr>
    </w:div>
    <w:div w:id="65614817">
      <w:bodyDiv w:val="1"/>
      <w:marLeft w:val="0"/>
      <w:marRight w:val="0"/>
      <w:marTop w:val="0"/>
      <w:marBottom w:val="0"/>
      <w:divBdr>
        <w:top w:val="none" w:sz="0" w:space="0" w:color="auto"/>
        <w:left w:val="none" w:sz="0" w:space="0" w:color="auto"/>
        <w:bottom w:val="none" w:sz="0" w:space="0" w:color="auto"/>
        <w:right w:val="none" w:sz="0" w:space="0" w:color="auto"/>
      </w:divBdr>
      <w:divsChild>
        <w:div w:id="779449836">
          <w:marLeft w:val="0"/>
          <w:marRight w:val="0"/>
          <w:marTop w:val="0"/>
          <w:marBottom w:val="0"/>
          <w:divBdr>
            <w:top w:val="none" w:sz="0" w:space="0" w:color="auto"/>
            <w:left w:val="none" w:sz="0" w:space="0" w:color="auto"/>
            <w:bottom w:val="none" w:sz="0" w:space="0" w:color="auto"/>
            <w:right w:val="none" w:sz="0" w:space="0" w:color="auto"/>
          </w:divBdr>
          <w:divsChild>
            <w:div w:id="191966739">
              <w:marLeft w:val="0"/>
              <w:marRight w:val="0"/>
              <w:marTop w:val="0"/>
              <w:marBottom w:val="0"/>
              <w:divBdr>
                <w:top w:val="none" w:sz="0" w:space="0" w:color="auto"/>
                <w:left w:val="none" w:sz="0" w:space="0" w:color="auto"/>
                <w:bottom w:val="none" w:sz="0" w:space="0" w:color="auto"/>
                <w:right w:val="none" w:sz="0" w:space="0" w:color="auto"/>
              </w:divBdr>
              <w:divsChild>
                <w:div w:id="1778518440">
                  <w:marLeft w:val="0"/>
                  <w:marRight w:val="0"/>
                  <w:marTop w:val="0"/>
                  <w:marBottom w:val="0"/>
                  <w:divBdr>
                    <w:top w:val="none" w:sz="0" w:space="0" w:color="auto"/>
                    <w:left w:val="none" w:sz="0" w:space="0" w:color="auto"/>
                    <w:bottom w:val="none" w:sz="0" w:space="0" w:color="auto"/>
                    <w:right w:val="none" w:sz="0" w:space="0" w:color="auto"/>
                  </w:divBdr>
                  <w:divsChild>
                    <w:div w:id="581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20984">
      <w:bodyDiv w:val="1"/>
      <w:marLeft w:val="0"/>
      <w:marRight w:val="0"/>
      <w:marTop w:val="0"/>
      <w:marBottom w:val="0"/>
      <w:divBdr>
        <w:top w:val="none" w:sz="0" w:space="0" w:color="auto"/>
        <w:left w:val="none" w:sz="0" w:space="0" w:color="auto"/>
        <w:bottom w:val="none" w:sz="0" w:space="0" w:color="auto"/>
        <w:right w:val="none" w:sz="0" w:space="0" w:color="auto"/>
      </w:divBdr>
    </w:div>
    <w:div w:id="153837409">
      <w:bodyDiv w:val="1"/>
      <w:marLeft w:val="0"/>
      <w:marRight w:val="0"/>
      <w:marTop w:val="0"/>
      <w:marBottom w:val="0"/>
      <w:divBdr>
        <w:top w:val="none" w:sz="0" w:space="0" w:color="auto"/>
        <w:left w:val="none" w:sz="0" w:space="0" w:color="auto"/>
        <w:bottom w:val="none" w:sz="0" w:space="0" w:color="auto"/>
        <w:right w:val="none" w:sz="0" w:space="0" w:color="auto"/>
      </w:divBdr>
    </w:div>
    <w:div w:id="158233444">
      <w:bodyDiv w:val="1"/>
      <w:marLeft w:val="0"/>
      <w:marRight w:val="0"/>
      <w:marTop w:val="0"/>
      <w:marBottom w:val="0"/>
      <w:divBdr>
        <w:top w:val="none" w:sz="0" w:space="0" w:color="auto"/>
        <w:left w:val="none" w:sz="0" w:space="0" w:color="auto"/>
        <w:bottom w:val="none" w:sz="0" w:space="0" w:color="auto"/>
        <w:right w:val="none" w:sz="0" w:space="0" w:color="auto"/>
      </w:divBdr>
    </w:div>
    <w:div w:id="163131077">
      <w:bodyDiv w:val="1"/>
      <w:marLeft w:val="0"/>
      <w:marRight w:val="0"/>
      <w:marTop w:val="0"/>
      <w:marBottom w:val="0"/>
      <w:divBdr>
        <w:top w:val="none" w:sz="0" w:space="0" w:color="auto"/>
        <w:left w:val="none" w:sz="0" w:space="0" w:color="auto"/>
        <w:bottom w:val="none" w:sz="0" w:space="0" w:color="auto"/>
        <w:right w:val="none" w:sz="0" w:space="0" w:color="auto"/>
      </w:divBdr>
    </w:div>
    <w:div w:id="235213065">
      <w:bodyDiv w:val="1"/>
      <w:marLeft w:val="0"/>
      <w:marRight w:val="0"/>
      <w:marTop w:val="0"/>
      <w:marBottom w:val="0"/>
      <w:divBdr>
        <w:top w:val="none" w:sz="0" w:space="0" w:color="auto"/>
        <w:left w:val="none" w:sz="0" w:space="0" w:color="auto"/>
        <w:bottom w:val="none" w:sz="0" w:space="0" w:color="auto"/>
        <w:right w:val="none" w:sz="0" w:space="0" w:color="auto"/>
      </w:divBdr>
      <w:divsChild>
        <w:div w:id="924997869">
          <w:marLeft w:val="0"/>
          <w:marRight w:val="0"/>
          <w:marTop w:val="0"/>
          <w:marBottom w:val="0"/>
          <w:divBdr>
            <w:top w:val="none" w:sz="0" w:space="0" w:color="auto"/>
            <w:left w:val="none" w:sz="0" w:space="0" w:color="auto"/>
            <w:bottom w:val="none" w:sz="0" w:space="0" w:color="auto"/>
            <w:right w:val="none" w:sz="0" w:space="0" w:color="auto"/>
          </w:divBdr>
          <w:divsChild>
            <w:div w:id="1199930021">
              <w:marLeft w:val="0"/>
              <w:marRight w:val="0"/>
              <w:marTop w:val="0"/>
              <w:marBottom w:val="0"/>
              <w:divBdr>
                <w:top w:val="none" w:sz="0" w:space="0" w:color="auto"/>
                <w:left w:val="none" w:sz="0" w:space="0" w:color="auto"/>
                <w:bottom w:val="none" w:sz="0" w:space="0" w:color="auto"/>
                <w:right w:val="none" w:sz="0" w:space="0" w:color="auto"/>
              </w:divBdr>
              <w:divsChild>
                <w:div w:id="106884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053972">
      <w:bodyDiv w:val="1"/>
      <w:marLeft w:val="0"/>
      <w:marRight w:val="0"/>
      <w:marTop w:val="0"/>
      <w:marBottom w:val="0"/>
      <w:divBdr>
        <w:top w:val="none" w:sz="0" w:space="0" w:color="auto"/>
        <w:left w:val="none" w:sz="0" w:space="0" w:color="auto"/>
        <w:bottom w:val="none" w:sz="0" w:space="0" w:color="auto"/>
        <w:right w:val="none" w:sz="0" w:space="0" w:color="auto"/>
      </w:divBdr>
      <w:divsChild>
        <w:div w:id="1515148091">
          <w:marLeft w:val="0"/>
          <w:marRight w:val="0"/>
          <w:marTop w:val="0"/>
          <w:marBottom w:val="0"/>
          <w:divBdr>
            <w:top w:val="none" w:sz="0" w:space="0" w:color="auto"/>
            <w:left w:val="none" w:sz="0" w:space="0" w:color="auto"/>
            <w:bottom w:val="none" w:sz="0" w:space="0" w:color="auto"/>
            <w:right w:val="none" w:sz="0" w:space="0" w:color="auto"/>
          </w:divBdr>
          <w:divsChild>
            <w:div w:id="689457793">
              <w:marLeft w:val="0"/>
              <w:marRight w:val="0"/>
              <w:marTop w:val="0"/>
              <w:marBottom w:val="0"/>
              <w:divBdr>
                <w:top w:val="none" w:sz="0" w:space="0" w:color="auto"/>
                <w:left w:val="none" w:sz="0" w:space="0" w:color="auto"/>
                <w:bottom w:val="none" w:sz="0" w:space="0" w:color="auto"/>
                <w:right w:val="none" w:sz="0" w:space="0" w:color="auto"/>
              </w:divBdr>
              <w:divsChild>
                <w:div w:id="1040012098">
                  <w:marLeft w:val="0"/>
                  <w:marRight w:val="0"/>
                  <w:marTop w:val="0"/>
                  <w:marBottom w:val="0"/>
                  <w:divBdr>
                    <w:top w:val="none" w:sz="0" w:space="0" w:color="auto"/>
                    <w:left w:val="none" w:sz="0" w:space="0" w:color="auto"/>
                    <w:bottom w:val="none" w:sz="0" w:space="0" w:color="auto"/>
                    <w:right w:val="none" w:sz="0" w:space="0" w:color="auto"/>
                  </w:divBdr>
                  <w:divsChild>
                    <w:div w:id="163486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789847">
      <w:bodyDiv w:val="1"/>
      <w:marLeft w:val="0"/>
      <w:marRight w:val="0"/>
      <w:marTop w:val="0"/>
      <w:marBottom w:val="0"/>
      <w:divBdr>
        <w:top w:val="none" w:sz="0" w:space="0" w:color="auto"/>
        <w:left w:val="none" w:sz="0" w:space="0" w:color="auto"/>
        <w:bottom w:val="none" w:sz="0" w:space="0" w:color="auto"/>
        <w:right w:val="none" w:sz="0" w:space="0" w:color="auto"/>
      </w:divBdr>
    </w:div>
    <w:div w:id="341977720">
      <w:bodyDiv w:val="1"/>
      <w:marLeft w:val="0"/>
      <w:marRight w:val="0"/>
      <w:marTop w:val="0"/>
      <w:marBottom w:val="0"/>
      <w:divBdr>
        <w:top w:val="none" w:sz="0" w:space="0" w:color="auto"/>
        <w:left w:val="none" w:sz="0" w:space="0" w:color="auto"/>
        <w:bottom w:val="none" w:sz="0" w:space="0" w:color="auto"/>
        <w:right w:val="none" w:sz="0" w:space="0" w:color="auto"/>
      </w:divBdr>
    </w:div>
    <w:div w:id="445738174">
      <w:bodyDiv w:val="1"/>
      <w:marLeft w:val="0"/>
      <w:marRight w:val="0"/>
      <w:marTop w:val="0"/>
      <w:marBottom w:val="0"/>
      <w:divBdr>
        <w:top w:val="none" w:sz="0" w:space="0" w:color="auto"/>
        <w:left w:val="none" w:sz="0" w:space="0" w:color="auto"/>
        <w:bottom w:val="none" w:sz="0" w:space="0" w:color="auto"/>
        <w:right w:val="none" w:sz="0" w:space="0" w:color="auto"/>
      </w:divBdr>
    </w:div>
    <w:div w:id="473714546">
      <w:bodyDiv w:val="1"/>
      <w:marLeft w:val="0"/>
      <w:marRight w:val="0"/>
      <w:marTop w:val="0"/>
      <w:marBottom w:val="0"/>
      <w:divBdr>
        <w:top w:val="none" w:sz="0" w:space="0" w:color="auto"/>
        <w:left w:val="none" w:sz="0" w:space="0" w:color="auto"/>
        <w:bottom w:val="none" w:sz="0" w:space="0" w:color="auto"/>
        <w:right w:val="none" w:sz="0" w:space="0" w:color="auto"/>
      </w:divBdr>
    </w:div>
    <w:div w:id="480580863">
      <w:bodyDiv w:val="1"/>
      <w:marLeft w:val="0"/>
      <w:marRight w:val="0"/>
      <w:marTop w:val="0"/>
      <w:marBottom w:val="0"/>
      <w:divBdr>
        <w:top w:val="none" w:sz="0" w:space="0" w:color="auto"/>
        <w:left w:val="none" w:sz="0" w:space="0" w:color="auto"/>
        <w:bottom w:val="none" w:sz="0" w:space="0" w:color="auto"/>
        <w:right w:val="none" w:sz="0" w:space="0" w:color="auto"/>
      </w:divBdr>
    </w:div>
    <w:div w:id="483666337">
      <w:bodyDiv w:val="1"/>
      <w:marLeft w:val="0"/>
      <w:marRight w:val="0"/>
      <w:marTop w:val="0"/>
      <w:marBottom w:val="0"/>
      <w:divBdr>
        <w:top w:val="none" w:sz="0" w:space="0" w:color="auto"/>
        <w:left w:val="none" w:sz="0" w:space="0" w:color="auto"/>
        <w:bottom w:val="none" w:sz="0" w:space="0" w:color="auto"/>
        <w:right w:val="none" w:sz="0" w:space="0" w:color="auto"/>
      </w:divBdr>
    </w:div>
    <w:div w:id="535199585">
      <w:bodyDiv w:val="1"/>
      <w:marLeft w:val="0"/>
      <w:marRight w:val="0"/>
      <w:marTop w:val="0"/>
      <w:marBottom w:val="0"/>
      <w:divBdr>
        <w:top w:val="none" w:sz="0" w:space="0" w:color="auto"/>
        <w:left w:val="none" w:sz="0" w:space="0" w:color="auto"/>
        <w:bottom w:val="none" w:sz="0" w:space="0" w:color="auto"/>
        <w:right w:val="none" w:sz="0" w:space="0" w:color="auto"/>
      </w:divBdr>
    </w:div>
    <w:div w:id="542599532">
      <w:bodyDiv w:val="1"/>
      <w:marLeft w:val="0"/>
      <w:marRight w:val="0"/>
      <w:marTop w:val="0"/>
      <w:marBottom w:val="0"/>
      <w:divBdr>
        <w:top w:val="none" w:sz="0" w:space="0" w:color="auto"/>
        <w:left w:val="none" w:sz="0" w:space="0" w:color="auto"/>
        <w:bottom w:val="none" w:sz="0" w:space="0" w:color="auto"/>
        <w:right w:val="none" w:sz="0" w:space="0" w:color="auto"/>
      </w:divBdr>
    </w:div>
    <w:div w:id="559942677">
      <w:bodyDiv w:val="1"/>
      <w:marLeft w:val="0"/>
      <w:marRight w:val="0"/>
      <w:marTop w:val="0"/>
      <w:marBottom w:val="0"/>
      <w:divBdr>
        <w:top w:val="none" w:sz="0" w:space="0" w:color="auto"/>
        <w:left w:val="none" w:sz="0" w:space="0" w:color="auto"/>
        <w:bottom w:val="none" w:sz="0" w:space="0" w:color="auto"/>
        <w:right w:val="none" w:sz="0" w:space="0" w:color="auto"/>
      </w:divBdr>
    </w:div>
    <w:div w:id="603999868">
      <w:bodyDiv w:val="1"/>
      <w:marLeft w:val="0"/>
      <w:marRight w:val="0"/>
      <w:marTop w:val="0"/>
      <w:marBottom w:val="0"/>
      <w:divBdr>
        <w:top w:val="none" w:sz="0" w:space="0" w:color="auto"/>
        <w:left w:val="none" w:sz="0" w:space="0" w:color="auto"/>
        <w:bottom w:val="none" w:sz="0" w:space="0" w:color="auto"/>
        <w:right w:val="none" w:sz="0" w:space="0" w:color="auto"/>
      </w:divBdr>
      <w:divsChild>
        <w:div w:id="304315418">
          <w:marLeft w:val="0"/>
          <w:marRight w:val="0"/>
          <w:marTop w:val="0"/>
          <w:marBottom w:val="0"/>
          <w:divBdr>
            <w:top w:val="none" w:sz="0" w:space="0" w:color="auto"/>
            <w:left w:val="none" w:sz="0" w:space="0" w:color="auto"/>
            <w:bottom w:val="none" w:sz="0" w:space="0" w:color="auto"/>
            <w:right w:val="none" w:sz="0" w:space="0" w:color="auto"/>
          </w:divBdr>
          <w:divsChild>
            <w:div w:id="1834680901">
              <w:marLeft w:val="0"/>
              <w:marRight w:val="0"/>
              <w:marTop w:val="0"/>
              <w:marBottom w:val="0"/>
              <w:divBdr>
                <w:top w:val="none" w:sz="0" w:space="0" w:color="auto"/>
                <w:left w:val="none" w:sz="0" w:space="0" w:color="auto"/>
                <w:bottom w:val="none" w:sz="0" w:space="0" w:color="auto"/>
                <w:right w:val="none" w:sz="0" w:space="0" w:color="auto"/>
              </w:divBdr>
              <w:divsChild>
                <w:div w:id="155774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4721">
      <w:bodyDiv w:val="1"/>
      <w:marLeft w:val="0"/>
      <w:marRight w:val="0"/>
      <w:marTop w:val="0"/>
      <w:marBottom w:val="0"/>
      <w:divBdr>
        <w:top w:val="none" w:sz="0" w:space="0" w:color="auto"/>
        <w:left w:val="none" w:sz="0" w:space="0" w:color="auto"/>
        <w:bottom w:val="none" w:sz="0" w:space="0" w:color="auto"/>
        <w:right w:val="none" w:sz="0" w:space="0" w:color="auto"/>
      </w:divBdr>
      <w:divsChild>
        <w:div w:id="216747255">
          <w:marLeft w:val="0"/>
          <w:marRight w:val="0"/>
          <w:marTop w:val="0"/>
          <w:marBottom w:val="0"/>
          <w:divBdr>
            <w:top w:val="none" w:sz="0" w:space="0" w:color="auto"/>
            <w:left w:val="none" w:sz="0" w:space="0" w:color="auto"/>
            <w:bottom w:val="none" w:sz="0" w:space="0" w:color="auto"/>
            <w:right w:val="none" w:sz="0" w:space="0" w:color="auto"/>
          </w:divBdr>
          <w:divsChild>
            <w:div w:id="675618461">
              <w:marLeft w:val="0"/>
              <w:marRight w:val="0"/>
              <w:marTop w:val="0"/>
              <w:marBottom w:val="0"/>
              <w:divBdr>
                <w:top w:val="none" w:sz="0" w:space="0" w:color="auto"/>
                <w:left w:val="none" w:sz="0" w:space="0" w:color="auto"/>
                <w:bottom w:val="none" w:sz="0" w:space="0" w:color="auto"/>
                <w:right w:val="none" w:sz="0" w:space="0" w:color="auto"/>
              </w:divBdr>
              <w:divsChild>
                <w:div w:id="934745030">
                  <w:marLeft w:val="0"/>
                  <w:marRight w:val="0"/>
                  <w:marTop w:val="0"/>
                  <w:marBottom w:val="0"/>
                  <w:divBdr>
                    <w:top w:val="none" w:sz="0" w:space="0" w:color="auto"/>
                    <w:left w:val="none" w:sz="0" w:space="0" w:color="auto"/>
                    <w:bottom w:val="none" w:sz="0" w:space="0" w:color="auto"/>
                    <w:right w:val="none" w:sz="0" w:space="0" w:color="auto"/>
                  </w:divBdr>
                  <w:divsChild>
                    <w:div w:id="912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305127">
      <w:bodyDiv w:val="1"/>
      <w:marLeft w:val="0"/>
      <w:marRight w:val="0"/>
      <w:marTop w:val="0"/>
      <w:marBottom w:val="0"/>
      <w:divBdr>
        <w:top w:val="none" w:sz="0" w:space="0" w:color="auto"/>
        <w:left w:val="none" w:sz="0" w:space="0" w:color="auto"/>
        <w:bottom w:val="none" w:sz="0" w:space="0" w:color="auto"/>
        <w:right w:val="none" w:sz="0" w:space="0" w:color="auto"/>
      </w:divBdr>
      <w:divsChild>
        <w:div w:id="1943952672">
          <w:marLeft w:val="0"/>
          <w:marRight w:val="0"/>
          <w:marTop w:val="0"/>
          <w:marBottom w:val="0"/>
          <w:divBdr>
            <w:top w:val="none" w:sz="0" w:space="0" w:color="auto"/>
            <w:left w:val="none" w:sz="0" w:space="0" w:color="auto"/>
            <w:bottom w:val="none" w:sz="0" w:space="0" w:color="auto"/>
            <w:right w:val="none" w:sz="0" w:space="0" w:color="auto"/>
          </w:divBdr>
          <w:divsChild>
            <w:div w:id="505747527">
              <w:marLeft w:val="0"/>
              <w:marRight w:val="0"/>
              <w:marTop w:val="0"/>
              <w:marBottom w:val="0"/>
              <w:divBdr>
                <w:top w:val="none" w:sz="0" w:space="0" w:color="auto"/>
                <w:left w:val="none" w:sz="0" w:space="0" w:color="auto"/>
                <w:bottom w:val="none" w:sz="0" w:space="0" w:color="auto"/>
                <w:right w:val="none" w:sz="0" w:space="0" w:color="auto"/>
              </w:divBdr>
              <w:divsChild>
                <w:div w:id="1116169317">
                  <w:marLeft w:val="0"/>
                  <w:marRight w:val="0"/>
                  <w:marTop w:val="0"/>
                  <w:marBottom w:val="0"/>
                  <w:divBdr>
                    <w:top w:val="none" w:sz="0" w:space="0" w:color="auto"/>
                    <w:left w:val="none" w:sz="0" w:space="0" w:color="auto"/>
                    <w:bottom w:val="none" w:sz="0" w:space="0" w:color="auto"/>
                    <w:right w:val="none" w:sz="0" w:space="0" w:color="auto"/>
                  </w:divBdr>
                  <w:divsChild>
                    <w:div w:id="54945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618518">
      <w:bodyDiv w:val="1"/>
      <w:marLeft w:val="0"/>
      <w:marRight w:val="0"/>
      <w:marTop w:val="0"/>
      <w:marBottom w:val="0"/>
      <w:divBdr>
        <w:top w:val="none" w:sz="0" w:space="0" w:color="auto"/>
        <w:left w:val="none" w:sz="0" w:space="0" w:color="auto"/>
        <w:bottom w:val="none" w:sz="0" w:space="0" w:color="auto"/>
        <w:right w:val="none" w:sz="0" w:space="0" w:color="auto"/>
      </w:divBdr>
    </w:div>
    <w:div w:id="845365307">
      <w:bodyDiv w:val="1"/>
      <w:marLeft w:val="0"/>
      <w:marRight w:val="0"/>
      <w:marTop w:val="0"/>
      <w:marBottom w:val="0"/>
      <w:divBdr>
        <w:top w:val="none" w:sz="0" w:space="0" w:color="auto"/>
        <w:left w:val="none" w:sz="0" w:space="0" w:color="auto"/>
        <w:bottom w:val="none" w:sz="0" w:space="0" w:color="auto"/>
        <w:right w:val="none" w:sz="0" w:space="0" w:color="auto"/>
      </w:divBdr>
    </w:div>
    <w:div w:id="895045236">
      <w:bodyDiv w:val="1"/>
      <w:marLeft w:val="0"/>
      <w:marRight w:val="0"/>
      <w:marTop w:val="0"/>
      <w:marBottom w:val="0"/>
      <w:divBdr>
        <w:top w:val="none" w:sz="0" w:space="0" w:color="auto"/>
        <w:left w:val="none" w:sz="0" w:space="0" w:color="auto"/>
        <w:bottom w:val="none" w:sz="0" w:space="0" w:color="auto"/>
        <w:right w:val="none" w:sz="0" w:space="0" w:color="auto"/>
      </w:divBdr>
    </w:div>
    <w:div w:id="928735473">
      <w:bodyDiv w:val="1"/>
      <w:marLeft w:val="0"/>
      <w:marRight w:val="0"/>
      <w:marTop w:val="0"/>
      <w:marBottom w:val="0"/>
      <w:divBdr>
        <w:top w:val="none" w:sz="0" w:space="0" w:color="auto"/>
        <w:left w:val="none" w:sz="0" w:space="0" w:color="auto"/>
        <w:bottom w:val="none" w:sz="0" w:space="0" w:color="auto"/>
        <w:right w:val="none" w:sz="0" w:space="0" w:color="auto"/>
      </w:divBdr>
    </w:div>
    <w:div w:id="992560184">
      <w:bodyDiv w:val="1"/>
      <w:marLeft w:val="0"/>
      <w:marRight w:val="0"/>
      <w:marTop w:val="0"/>
      <w:marBottom w:val="0"/>
      <w:divBdr>
        <w:top w:val="none" w:sz="0" w:space="0" w:color="auto"/>
        <w:left w:val="none" w:sz="0" w:space="0" w:color="auto"/>
        <w:bottom w:val="none" w:sz="0" w:space="0" w:color="auto"/>
        <w:right w:val="none" w:sz="0" w:space="0" w:color="auto"/>
      </w:divBdr>
      <w:divsChild>
        <w:div w:id="1419593141">
          <w:marLeft w:val="0"/>
          <w:marRight w:val="0"/>
          <w:marTop w:val="0"/>
          <w:marBottom w:val="0"/>
          <w:divBdr>
            <w:top w:val="none" w:sz="0" w:space="0" w:color="auto"/>
            <w:left w:val="none" w:sz="0" w:space="0" w:color="auto"/>
            <w:bottom w:val="none" w:sz="0" w:space="0" w:color="auto"/>
            <w:right w:val="none" w:sz="0" w:space="0" w:color="auto"/>
          </w:divBdr>
          <w:divsChild>
            <w:div w:id="1922369525">
              <w:marLeft w:val="0"/>
              <w:marRight w:val="0"/>
              <w:marTop w:val="0"/>
              <w:marBottom w:val="0"/>
              <w:divBdr>
                <w:top w:val="none" w:sz="0" w:space="0" w:color="auto"/>
                <w:left w:val="none" w:sz="0" w:space="0" w:color="auto"/>
                <w:bottom w:val="none" w:sz="0" w:space="0" w:color="auto"/>
                <w:right w:val="none" w:sz="0" w:space="0" w:color="auto"/>
              </w:divBdr>
              <w:divsChild>
                <w:div w:id="734206480">
                  <w:marLeft w:val="0"/>
                  <w:marRight w:val="0"/>
                  <w:marTop w:val="0"/>
                  <w:marBottom w:val="0"/>
                  <w:divBdr>
                    <w:top w:val="none" w:sz="0" w:space="0" w:color="auto"/>
                    <w:left w:val="none" w:sz="0" w:space="0" w:color="auto"/>
                    <w:bottom w:val="none" w:sz="0" w:space="0" w:color="auto"/>
                    <w:right w:val="none" w:sz="0" w:space="0" w:color="auto"/>
                  </w:divBdr>
                  <w:divsChild>
                    <w:div w:id="4438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910">
      <w:bodyDiv w:val="1"/>
      <w:marLeft w:val="0"/>
      <w:marRight w:val="0"/>
      <w:marTop w:val="0"/>
      <w:marBottom w:val="0"/>
      <w:divBdr>
        <w:top w:val="none" w:sz="0" w:space="0" w:color="auto"/>
        <w:left w:val="none" w:sz="0" w:space="0" w:color="auto"/>
        <w:bottom w:val="none" w:sz="0" w:space="0" w:color="auto"/>
        <w:right w:val="none" w:sz="0" w:space="0" w:color="auto"/>
      </w:divBdr>
    </w:div>
    <w:div w:id="1113668361">
      <w:bodyDiv w:val="1"/>
      <w:marLeft w:val="0"/>
      <w:marRight w:val="0"/>
      <w:marTop w:val="0"/>
      <w:marBottom w:val="0"/>
      <w:divBdr>
        <w:top w:val="none" w:sz="0" w:space="0" w:color="auto"/>
        <w:left w:val="none" w:sz="0" w:space="0" w:color="auto"/>
        <w:bottom w:val="none" w:sz="0" w:space="0" w:color="auto"/>
        <w:right w:val="none" w:sz="0" w:space="0" w:color="auto"/>
      </w:divBdr>
      <w:divsChild>
        <w:div w:id="1374891650">
          <w:marLeft w:val="0"/>
          <w:marRight w:val="0"/>
          <w:marTop w:val="0"/>
          <w:marBottom w:val="0"/>
          <w:divBdr>
            <w:top w:val="none" w:sz="0" w:space="0" w:color="auto"/>
            <w:left w:val="none" w:sz="0" w:space="0" w:color="auto"/>
            <w:bottom w:val="none" w:sz="0" w:space="0" w:color="auto"/>
            <w:right w:val="none" w:sz="0" w:space="0" w:color="auto"/>
          </w:divBdr>
          <w:divsChild>
            <w:div w:id="54547080">
              <w:marLeft w:val="0"/>
              <w:marRight w:val="0"/>
              <w:marTop w:val="0"/>
              <w:marBottom w:val="0"/>
              <w:divBdr>
                <w:top w:val="none" w:sz="0" w:space="0" w:color="auto"/>
                <w:left w:val="none" w:sz="0" w:space="0" w:color="auto"/>
                <w:bottom w:val="none" w:sz="0" w:space="0" w:color="auto"/>
                <w:right w:val="none" w:sz="0" w:space="0" w:color="auto"/>
              </w:divBdr>
              <w:divsChild>
                <w:div w:id="603610242">
                  <w:marLeft w:val="0"/>
                  <w:marRight w:val="0"/>
                  <w:marTop w:val="0"/>
                  <w:marBottom w:val="0"/>
                  <w:divBdr>
                    <w:top w:val="none" w:sz="0" w:space="0" w:color="auto"/>
                    <w:left w:val="none" w:sz="0" w:space="0" w:color="auto"/>
                    <w:bottom w:val="none" w:sz="0" w:space="0" w:color="auto"/>
                    <w:right w:val="none" w:sz="0" w:space="0" w:color="auto"/>
                  </w:divBdr>
                  <w:divsChild>
                    <w:div w:id="153919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527610">
      <w:bodyDiv w:val="1"/>
      <w:marLeft w:val="0"/>
      <w:marRight w:val="0"/>
      <w:marTop w:val="0"/>
      <w:marBottom w:val="0"/>
      <w:divBdr>
        <w:top w:val="none" w:sz="0" w:space="0" w:color="auto"/>
        <w:left w:val="none" w:sz="0" w:space="0" w:color="auto"/>
        <w:bottom w:val="none" w:sz="0" w:space="0" w:color="auto"/>
        <w:right w:val="none" w:sz="0" w:space="0" w:color="auto"/>
      </w:divBdr>
    </w:div>
    <w:div w:id="1253932084">
      <w:bodyDiv w:val="1"/>
      <w:marLeft w:val="0"/>
      <w:marRight w:val="0"/>
      <w:marTop w:val="0"/>
      <w:marBottom w:val="0"/>
      <w:divBdr>
        <w:top w:val="none" w:sz="0" w:space="0" w:color="auto"/>
        <w:left w:val="none" w:sz="0" w:space="0" w:color="auto"/>
        <w:bottom w:val="none" w:sz="0" w:space="0" w:color="auto"/>
        <w:right w:val="none" w:sz="0" w:space="0" w:color="auto"/>
      </w:divBdr>
    </w:div>
    <w:div w:id="1271817368">
      <w:bodyDiv w:val="1"/>
      <w:marLeft w:val="0"/>
      <w:marRight w:val="0"/>
      <w:marTop w:val="0"/>
      <w:marBottom w:val="0"/>
      <w:divBdr>
        <w:top w:val="none" w:sz="0" w:space="0" w:color="auto"/>
        <w:left w:val="none" w:sz="0" w:space="0" w:color="auto"/>
        <w:bottom w:val="none" w:sz="0" w:space="0" w:color="auto"/>
        <w:right w:val="none" w:sz="0" w:space="0" w:color="auto"/>
      </w:divBdr>
    </w:div>
    <w:div w:id="1320231834">
      <w:bodyDiv w:val="1"/>
      <w:marLeft w:val="0"/>
      <w:marRight w:val="0"/>
      <w:marTop w:val="0"/>
      <w:marBottom w:val="0"/>
      <w:divBdr>
        <w:top w:val="none" w:sz="0" w:space="0" w:color="auto"/>
        <w:left w:val="none" w:sz="0" w:space="0" w:color="auto"/>
        <w:bottom w:val="none" w:sz="0" w:space="0" w:color="auto"/>
        <w:right w:val="none" w:sz="0" w:space="0" w:color="auto"/>
      </w:divBdr>
    </w:div>
    <w:div w:id="1381441450">
      <w:bodyDiv w:val="1"/>
      <w:marLeft w:val="0"/>
      <w:marRight w:val="0"/>
      <w:marTop w:val="0"/>
      <w:marBottom w:val="0"/>
      <w:divBdr>
        <w:top w:val="none" w:sz="0" w:space="0" w:color="auto"/>
        <w:left w:val="none" w:sz="0" w:space="0" w:color="auto"/>
        <w:bottom w:val="none" w:sz="0" w:space="0" w:color="auto"/>
        <w:right w:val="none" w:sz="0" w:space="0" w:color="auto"/>
      </w:divBdr>
    </w:div>
    <w:div w:id="1439328997">
      <w:bodyDiv w:val="1"/>
      <w:marLeft w:val="0"/>
      <w:marRight w:val="0"/>
      <w:marTop w:val="0"/>
      <w:marBottom w:val="0"/>
      <w:divBdr>
        <w:top w:val="none" w:sz="0" w:space="0" w:color="auto"/>
        <w:left w:val="none" w:sz="0" w:space="0" w:color="auto"/>
        <w:bottom w:val="none" w:sz="0" w:space="0" w:color="auto"/>
        <w:right w:val="none" w:sz="0" w:space="0" w:color="auto"/>
      </w:divBdr>
    </w:div>
    <w:div w:id="1536774619">
      <w:bodyDiv w:val="1"/>
      <w:marLeft w:val="0"/>
      <w:marRight w:val="0"/>
      <w:marTop w:val="0"/>
      <w:marBottom w:val="0"/>
      <w:divBdr>
        <w:top w:val="none" w:sz="0" w:space="0" w:color="auto"/>
        <w:left w:val="none" w:sz="0" w:space="0" w:color="auto"/>
        <w:bottom w:val="none" w:sz="0" w:space="0" w:color="auto"/>
        <w:right w:val="none" w:sz="0" w:space="0" w:color="auto"/>
      </w:divBdr>
    </w:div>
    <w:div w:id="1588155935">
      <w:bodyDiv w:val="1"/>
      <w:marLeft w:val="0"/>
      <w:marRight w:val="0"/>
      <w:marTop w:val="0"/>
      <w:marBottom w:val="0"/>
      <w:divBdr>
        <w:top w:val="none" w:sz="0" w:space="0" w:color="auto"/>
        <w:left w:val="none" w:sz="0" w:space="0" w:color="auto"/>
        <w:bottom w:val="none" w:sz="0" w:space="0" w:color="auto"/>
        <w:right w:val="none" w:sz="0" w:space="0" w:color="auto"/>
      </w:divBdr>
      <w:divsChild>
        <w:div w:id="815993753">
          <w:marLeft w:val="0"/>
          <w:marRight w:val="0"/>
          <w:marTop w:val="0"/>
          <w:marBottom w:val="0"/>
          <w:divBdr>
            <w:top w:val="none" w:sz="0" w:space="0" w:color="auto"/>
            <w:left w:val="none" w:sz="0" w:space="0" w:color="auto"/>
            <w:bottom w:val="none" w:sz="0" w:space="0" w:color="auto"/>
            <w:right w:val="none" w:sz="0" w:space="0" w:color="auto"/>
          </w:divBdr>
          <w:divsChild>
            <w:div w:id="397939941">
              <w:marLeft w:val="0"/>
              <w:marRight w:val="0"/>
              <w:marTop w:val="0"/>
              <w:marBottom w:val="0"/>
              <w:divBdr>
                <w:top w:val="none" w:sz="0" w:space="0" w:color="auto"/>
                <w:left w:val="none" w:sz="0" w:space="0" w:color="auto"/>
                <w:bottom w:val="none" w:sz="0" w:space="0" w:color="auto"/>
                <w:right w:val="none" w:sz="0" w:space="0" w:color="auto"/>
              </w:divBdr>
              <w:divsChild>
                <w:div w:id="2040158081">
                  <w:marLeft w:val="0"/>
                  <w:marRight w:val="0"/>
                  <w:marTop w:val="0"/>
                  <w:marBottom w:val="0"/>
                  <w:divBdr>
                    <w:top w:val="none" w:sz="0" w:space="0" w:color="auto"/>
                    <w:left w:val="none" w:sz="0" w:space="0" w:color="auto"/>
                    <w:bottom w:val="none" w:sz="0" w:space="0" w:color="auto"/>
                    <w:right w:val="none" w:sz="0" w:space="0" w:color="auto"/>
                  </w:divBdr>
                  <w:divsChild>
                    <w:div w:id="14398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997483">
      <w:bodyDiv w:val="1"/>
      <w:marLeft w:val="0"/>
      <w:marRight w:val="0"/>
      <w:marTop w:val="0"/>
      <w:marBottom w:val="0"/>
      <w:divBdr>
        <w:top w:val="none" w:sz="0" w:space="0" w:color="auto"/>
        <w:left w:val="none" w:sz="0" w:space="0" w:color="auto"/>
        <w:bottom w:val="none" w:sz="0" w:space="0" w:color="auto"/>
        <w:right w:val="none" w:sz="0" w:space="0" w:color="auto"/>
      </w:divBdr>
      <w:divsChild>
        <w:div w:id="613252147">
          <w:marLeft w:val="547"/>
          <w:marRight w:val="0"/>
          <w:marTop w:val="0"/>
          <w:marBottom w:val="0"/>
          <w:divBdr>
            <w:top w:val="none" w:sz="0" w:space="0" w:color="auto"/>
            <w:left w:val="none" w:sz="0" w:space="0" w:color="auto"/>
            <w:bottom w:val="none" w:sz="0" w:space="0" w:color="auto"/>
            <w:right w:val="none" w:sz="0" w:space="0" w:color="auto"/>
          </w:divBdr>
        </w:div>
        <w:div w:id="1025131616">
          <w:marLeft w:val="547"/>
          <w:marRight w:val="0"/>
          <w:marTop w:val="0"/>
          <w:marBottom w:val="0"/>
          <w:divBdr>
            <w:top w:val="none" w:sz="0" w:space="0" w:color="auto"/>
            <w:left w:val="none" w:sz="0" w:space="0" w:color="auto"/>
            <w:bottom w:val="none" w:sz="0" w:space="0" w:color="auto"/>
            <w:right w:val="none" w:sz="0" w:space="0" w:color="auto"/>
          </w:divBdr>
        </w:div>
        <w:div w:id="1163817127">
          <w:marLeft w:val="547"/>
          <w:marRight w:val="0"/>
          <w:marTop w:val="0"/>
          <w:marBottom w:val="0"/>
          <w:divBdr>
            <w:top w:val="none" w:sz="0" w:space="0" w:color="auto"/>
            <w:left w:val="none" w:sz="0" w:space="0" w:color="auto"/>
            <w:bottom w:val="none" w:sz="0" w:space="0" w:color="auto"/>
            <w:right w:val="none" w:sz="0" w:space="0" w:color="auto"/>
          </w:divBdr>
        </w:div>
      </w:divsChild>
    </w:div>
    <w:div w:id="1740245640">
      <w:bodyDiv w:val="1"/>
      <w:marLeft w:val="0"/>
      <w:marRight w:val="0"/>
      <w:marTop w:val="0"/>
      <w:marBottom w:val="0"/>
      <w:divBdr>
        <w:top w:val="none" w:sz="0" w:space="0" w:color="auto"/>
        <w:left w:val="none" w:sz="0" w:space="0" w:color="auto"/>
        <w:bottom w:val="none" w:sz="0" w:space="0" w:color="auto"/>
        <w:right w:val="none" w:sz="0" w:space="0" w:color="auto"/>
      </w:divBdr>
      <w:divsChild>
        <w:div w:id="828521419">
          <w:marLeft w:val="0"/>
          <w:marRight w:val="0"/>
          <w:marTop w:val="0"/>
          <w:marBottom w:val="0"/>
          <w:divBdr>
            <w:top w:val="none" w:sz="0" w:space="0" w:color="auto"/>
            <w:left w:val="none" w:sz="0" w:space="0" w:color="auto"/>
            <w:bottom w:val="none" w:sz="0" w:space="0" w:color="auto"/>
            <w:right w:val="none" w:sz="0" w:space="0" w:color="auto"/>
          </w:divBdr>
          <w:divsChild>
            <w:div w:id="1935823472">
              <w:marLeft w:val="0"/>
              <w:marRight w:val="0"/>
              <w:marTop w:val="0"/>
              <w:marBottom w:val="0"/>
              <w:divBdr>
                <w:top w:val="none" w:sz="0" w:space="0" w:color="auto"/>
                <w:left w:val="none" w:sz="0" w:space="0" w:color="auto"/>
                <w:bottom w:val="none" w:sz="0" w:space="0" w:color="auto"/>
                <w:right w:val="none" w:sz="0" w:space="0" w:color="auto"/>
              </w:divBdr>
              <w:divsChild>
                <w:div w:id="1773012365">
                  <w:marLeft w:val="0"/>
                  <w:marRight w:val="0"/>
                  <w:marTop w:val="0"/>
                  <w:marBottom w:val="0"/>
                  <w:divBdr>
                    <w:top w:val="none" w:sz="0" w:space="0" w:color="auto"/>
                    <w:left w:val="none" w:sz="0" w:space="0" w:color="auto"/>
                    <w:bottom w:val="none" w:sz="0" w:space="0" w:color="auto"/>
                    <w:right w:val="none" w:sz="0" w:space="0" w:color="auto"/>
                  </w:divBdr>
                  <w:divsChild>
                    <w:div w:id="6070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7393">
      <w:bodyDiv w:val="1"/>
      <w:marLeft w:val="0"/>
      <w:marRight w:val="0"/>
      <w:marTop w:val="0"/>
      <w:marBottom w:val="0"/>
      <w:divBdr>
        <w:top w:val="none" w:sz="0" w:space="0" w:color="auto"/>
        <w:left w:val="none" w:sz="0" w:space="0" w:color="auto"/>
        <w:bottom w:val="none" w:sz="0" w:space="0" w:color="auto"/>
        <w:right w:val="none" w:sz="0" w:space="0" w:color="auto"/>
      </w:divBdr>
    </w:div>
    <w:div w:id="1783451315">
      <w:bodyDiv w:val="1"/>
      <w:marLeft w:val="0"/>
      <w:marRight w:val="0"/>
      <w:marTop w:val="0"/>
      <w:marBottom w:val="0"/>
      <w:divBdr>
        <w:top w:val="none" w:sz="0" w:space="0" w:color="auto"/>
        <w:left w:val="none" w:sz="0" w:space="0" w:color="auto"/>
        <w:bottom w:val="none" w:sz="0" w:space="0" w:color="auto"/>
        <w:right w:val="none" w:sz="0" w:space="0" w:color="auto"/>
      </w:divBdr>
    </w:div>
    <w:div w:id="1788351360">
      <w:bodyDiv w:val="1"/>
      <w:marLeft w:val="0"/>
      <w:marRight w:val="0"/>
      <w:marTop w:val="0"/>
      <w:marBottom w:val="0"/>
      <w:divBdr>
        <w:top w:val="none" w:sz="0" w:space="0" w:color="auto"/>
        <w:left w:val="none" w:sz="0" w:space="0" w:color="auto"/>
        <w:bottom w:val="none" w:sz="0" w:space="0" w:color="auto"/>
        <w:right w:val="none" w:sz="0" w:space="0" w:color="auto"/>
      </w:divBdr>
    </w:div>
    <w:div w:id="1924366314">
      <w:bodyDiv w:val="1"/>
      <w:marLeft w:val="0"/>
      <w:marRight w:val="0"/>
      <w:marTop w:val="0"/>
      <w:marBottom w:val="0"/>
      <w:divBdr>
        <w:top w:val="none" w:sz="0" w:space="0" w:color="auto"/>
        <w:left w:val="none" w:sz="0" w:space="0" w:color="auto"/>
        <w:bottom w:val="none" w:sz="0" w:space="0" w:color="auto"/>
        <w:right w:val="none" w:sz="0" w:space="0" w:color="auto"/>
      </w:divBdr>
      <w:divsChild>
        <w:div w:id="462041097">
          <w:marLeft w:val="0"/>
          <w:marRight w:val="0"/>
          <w:marTop w:val="0"/>
          <w:marBottom w:val="0"/>
          <w:divBdr>
            <w:top w:val="none" w:sz="0" w:space="0" w:color="auto"/>
            <w:left w:val="none" w:sz="0" w:space="0" w:color="auto"/>
            <w:bottom w:val="none" w:sz="0" w:space="0" w:color="auto"/>
            <w:right w:val="none" w:sz="0" w:space="0" w:color="auto"/>
          </w:divBdr>
          <w:divsChild>
            <w:div w:id="1609048487">
              <w:marLeft w:val="0"/>
              <w:marRight w:val="0"/>
              <w:marTop w:val="0"/>
              <w:marBottom w:val="0"/>
              <w:divBdr>
                <w:top w:val="none" w:sz="0" w:space="0" w:color="auto"/>
                <w:left w:val="none" w:sz="0" w:space="0" w:color="auto"/>
                <w:bottom w:val="none" w:sz="0" w:space="0" w:color="auto"/>
                <w:right w:val="none" w:sz="0" w:space="0" w:color="auto"/>
              </w:divBdr>
              <w:divsChild>
                <w:div w:id="55184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367961">
      <w:bodyDiv w:val="1"/>
      <w:marLeft w:val="0"/>
      <w:marRight w:val="0"/>
      <w:marTop w:val="0"/>
      <w:marBottom w:val="0"/>
      <w:divBdr>
        <w:top w:val="none" w:sz="0" w:space="0" w:color="auto"/>
        <w:left w:val="none" w:sz="0" w:space="0" w:color="auto"/>
        <w:bottom w:val="none" w:sz="0" w:space="0" w:color="auto"/>
        <w:right w:val="none" w:sz="0" w:space="0" w:color="auto"/>
      </w:divBdr>
    </w:div>
    <w:div w:id="1965690916">
      <w:bodyDiv w:val="1"/>
      <w:marLeft w:val="0"/>
      <w:marRight w:val="0"/>
      <w:marTop w:val="0"/>
      <w:marBottom w:val="0"/>
      <w:divBdr>
        <w:top w:val="none" w:sz="0" w:space="0" w:color="auto"/>
        <w:left w:val="none" w:sz="0" w:space="0" w:color="auto"/>
        <w:bottom w:val="none" w:sz="0" w:space="0" w:color="auto"/>
        <w:right w:val="none" w:sz="0" w:space="0" w:color="auto"/>
      </w:divBdr>
    </w:div>
    <w:div w:id="1966159210">
      <w:bodyDiv w:val="1"/>
      <w:marLeft w:val="0"/>
      <w:marRight w:val="0"/>
      <w:marTop w:val="0"/>
      <w:marBottom w:val="0"/>
      <w:divBdr>
        <w:top w:val="none" w:sz="0" w:space="0" w:color="auto"/>
        <w:left w:val="none" w:sz="0" w:space="0" w:color="auto"/>
        <w:bottom w:val="none" w:sz="0" w:space="0" w:color="auto"/>
        <w:right w:val="none" w:sz="0" w:space="0" w:color="auto"/>
      </w:divBdr>
    </w:div>
    <w:div w:id="1978997837">
      <w:bodyDiv w:val="1"/>
      <w:marLeft w:val="0"/>
      <w:marRight w:val="0"/>
      <w:marTop w:val="0"/>
      <w:marBottom w:val="0"/>
      <w:divBdr>
        <w:top w:val="none" w:sz="0" w:space="0" w:color="auto"/>
        <w:left w:val="none" w:sz="0" w:space="0" w:color="auto"/>
        <w:bottom w:val="none" w:sz="0" w:space="0" w:color="auto"/>
        <w:right w:val="none" w:sz="0" w:space="0" w:color="auto"/>
      </w:divBdr>
    </w:div>
    <w:div w:id="1988510583">
      <w:bodyDiv w:val="1"/>
      <w:marLeft w:val="0"/>
      <w:marRight w:val="0"/>
      <w:marTop w:val="0"/>
      <w:marBottom w:val="0"/>
      <w:divBdr>
        <w:top w:val="none" w:sz="0" w:space="0" w:color="auto"/>
        <w:left w:val="none" w:sz="0" w:space="0" w:color="auto"/>
        <w:bottom w:val="none" w:sz="0" w:space="0" w:color="auto"/>
        <w:right w:val="none" w:sz="0" w:space="0" w:color="auto"/>
      </w:divBdr>
    </w:div>
    <w:div w:id="2014870742">
      <w:bodyDiv w:val="1"/>
      <w:marLeft w:val="0"/>
      <w:marRight w:val="0"/>
      <w:marTop w:val="0"/>
      <w:marBottom w:val="0"/>
      <w:divBdr>
        <w:top w:val="none" w:sz="0" w:space="0" w:color="auto"/>
        <w:left w:val="none" w:sz="0" w:space="0" w:color="auto"/>
        <w:bottom w:val="none" w:sz="0" w:space="0" w:color="auto"/>
        <w:right w:val="none" w:sz="0" w:space="0" w:color="auto"/>
      </w:divBdr>
    </w:div>
    <w:div w:id="2068650881">
      <w:bodyDiv w:val="1"/>
      <w:marLeft w:val="0"/>
      <w:marRight w:val="0"/>
      <w:marTop w:val="0"/>
      <w:marBottom w:val="0"/>
      <w:divBdr>
        <w:top w:val="none" w:sz="0" w:space="0" w:color="auto"/>
        <w:left w:val="none" w:sz="0" w:space="0" w:color="auto"/>
        <w:bottom w:val="none" w:sz="0" w:space="0" w:color="auto"/>
        <w:right w:val="none" w:sz="0" w:space="0" w:color="auto"/>
      </w:divBdr>
    </w:div>
    <w:div w:id="2145806974">
      <w:bodyDiv w:val="1"/>
      <w:marLeft w:val="0"/>
      <w:marRight w:val="0"/>
      <w:marTop w:val="0"/>
      <w:marBottom w:val="0"/>
      <w:divBdr>
        <w:top w:val="none" w:sz="0" w:space="0" w:color="auto"/>
        <w:left w:val="none" w:sz="0" w:space="0" w:color="auto"/>
        <w:bottom w:val="none" w:sz="0" w:space="0" w:color="auto"/>
        <w:right w:val="none" w:sz="0" w:space="0" w:color="auto"/>
      </w:divBdr>
      <w:divsChild>
        <w:div w:id="1746760512">
          <w:marLeft w:val="547"/>
          <w:marRight w:val="0"/>
          <w:marTop w:val="0"/>
          <w:marBottom w:val="0"/>
          <w:divBdr>
            <w:top w:val="none" w:sz="0" w:space="0" w:color="auto"/>
            <w:left w:val="none" w:sz="0" w:space="0" w:color="auto"/>
            <w:bottom w:val="none" w:sz="0" w:space="0" w:color="auto"/>
            <w:right w:val="none" w:sz="0" w:space="0" w:color="auto"/>
          </w:divBdr>
        </w:div>
        <w:div w:id="2108114599">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21" Type="http://schemas.openxmlformats.org/officeDocument/2006/relationships/chart" Target="charts/chart9.xml"/><Relationship Id="rId42" Type="http://schemas.openxmlformats.org/officeDocument/2006/relationships/image" Target="media/image7.png"/><Relationship Id="rId47" Type="http://schemas.openxmlformats.org/officeDocument/2006/relationships/image" Target="media/image12.png"/><Relationship Id="rId63" Type="http://schemas.openxmlformats.org/officeDocument/2006/relationships/chart" Target="charts/chart36.xml"/><Relationship Id="rId68" Type="http://schemas.openxmlformats.org/officeDocument/2006/relationships/image" Target="media/image19.emf"/><Relationship Id="rId16" Type="http://schemas.openxmlformats.org/officeDocument/2006/relationships/chart" Target="charts/chart4.xml"/><Relationship Id="rId11" Type="http://schemas.openxmlformats.org/officeDocument/2006/relationships/footer" Target="footer1.xm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chart" Target="charts/chart28.xml"/><Relationship Id="rId58" Type="http://schemas.openxmlformats.org/officeDocument/2006/relationships/image" Target="media/image15.png"/><Relationship Id="rId66" Type="http://schemas.openxmlformats.org/officeDocument/2006/relationships/image" Target="media/image17.png"/><Relationship Id="rId74" Type="http://schemas.openxmlformats.org/officeDocument/2006/relationships/footer" Target="footer3.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6.emf"/><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chart" Target="charts/chart31.xml"/><Relationship Id="rId64" Type="http://schemas.openxmlformats.org/officeDocument/2006/relationships/chart" Target="charts/chart37.xml"/><Relationship Id="rId69" Type="http://schemas.openxmlformats.org/officeDocument/2006/relationships/image" Target="media/image20.emf"/><Relationship Id="rId77"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chart" Target="charts/chart26.xm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image" Target="media/image3.png"/><Relationship Id="rId46" Type="http://schemas.openxmlformats.org/officeDocument/2006/relationships/image" Target="media/image11.png"/><Relationship Id="rId59" Type="http://schemas.openxmlformats.org/officeDocument/2006/relationships/chart" Target="charts/chart33.xml"/><Relationship Id="rId67" Type="http://schemas.openxmlformats.org/officeDocument/2006/relationships/image" Target="media/image18.emf"/><Relationship Id="rId20" Type="http://schemas.openxmlformats.org/officeDocument/2006/relationships/chart" Target="charts/chart8.xml"/><Relationship Id="rId41" Type="http://schemas.openxmlformats.org/officeDocument/2006/relationships/image" Target="media/image6.png"/><Relationship Id="rId54" Type="http://schemas.openxmlformats.org/officeDocument/2006/relationships/chart" Target="charts/chart29.xml"/><Relationship Id="rId62" Type="http://schemas.openxmlformats.org/officeDocument/2006/relationships/chart" Target="charts/chart35.xml"/><Relationship Id="rId70" Type="http://schemas.openxmlformats.org/officeDocument/2006/relationships/image" Target="media/image21.emf"/><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image" Target="media/image14.emf"/><Relationship Id="rId57" Type="http://schemas.openxmlformats.org/officeDocument/2006/relationships/chart" Target="charts/chart32.xml"/><Relationship Id="rId10" Type="http://schemas.openxmlformats.org/officeDocument/2006/relationships/header" Target="header2.xml"/><Relationship Id="rId31" Type="http://schemas.openxmlformats.org/officeDocument/2006/relationships/chart" Target="charts/chart19.xml"/><Relationship Id="rId44" Type="http://schemas.openxmlformats.org/officeDocument/2006/relationships/image" Target="media/image9.png"/><Relationship Id="rId52" Type="http://schemas.openxmlformats.org/officeDocument/2006/relationships/chart" Target="charts/chart27.xml"/><Relationship Id="rId60" Type="http://schemas.openxmlformats.org/officeDocument/2006/relationships/chart" Target="charts/chart34.xml"/><Relationship Id="rId65" Type="http://schemas.openxmlformats.org/officeDocument/2006/relationships/chart" Target="charts/chart38.xml"/><Relationship Id="rId73" Type="http://schemas.openxmlformats.org/officeDocument/2006/relationships/header" Target="header4.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image" Target="media/image4.png"/><Relationship Id="rId34" Type="http://schemas.openxmlformats.org/officeDocument/2006/relationships/chart" Target="charts/chart22.xml"/><Relationship Id="rId50" Type="http://schemas.openxmlformats.org/officeDocument/2006/relationships/chart" Target="charts/chart25.xml"/><Relationship Id="rId55" Type="http://schemas.openxmlformats.org/officeDocument/2006/relationships/chart" Target="charts/chart30.xml"/><Relationship Id="rId7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22.emf"/><Relationship Id="rId2" Type="http://schemas.openxmlformats.org/officeDocument/2006/relationships/numbering" Target="numbering.xml"/><Relationship Id="rId29" Type="http://schemas.openxmlformats.org/officeDocument/2006/relationships/chart" Target="charts/chart1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11.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9.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21.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13.xml"/></Relationships>
</file>

<file path=word/charts/_rels/chart22.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23.xml.rels><?xml version="1.0" encoding="UTF-8" standalone="yes"?>
<Relationships xmlns="http://schemas.openxmlformats.org/package/2006/relationships"><Relationship Id="rId1" Type="http://schemas.openxmlformats.org/officeDocument/2006/relationships/oleObject" Target="../embeddings/oleObject9.bin"/></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5.xml.rels><?xml version="1.0" encoding="UTF-8" standalone="yes"?>
<Relationships xmlns="http://schemas.openxmlformats.org/package/2006/relationships"><Relationship Id="rId2" Type="http://schemas.openxmlformats.org/officeDocument/2006/relationships/oleObject" Target="file:///C:\Users\ardita.xhyheri.GOV\Desktop\Raporti%20vjetor%202021\buxheti%20faktik\Te%20dhenat%20e%20analizes%20vjetore%20te%20zbatimit%20te%20buxhetit%20vendor%202021.xlsx" TargetMode="External"/><Relationship Id="rId1" Type="http://schemas.openxmlformats.org/officeDocument/2006/relationships/themeOverride" Target="../theme/themeOverride14.xml"/></Relationships>
</file>

<file path=word/charts/_rels/chart26.xml.rels><?xml version="1.0" encoding="UTF-8" standalone="yes"?>
<Relationships xmlns="http://schemas.openxmlformats.org/package/2006/relationships"><Relationship Id="rId1" Type="http://schemas.openxmlformats.org/officeDocument/2006/relationships/oleObject" Target="file:///C:\Users\ardita.xhyheri.GOV\Desktop\Raporti%20vjetor%202021\buxheti%20faktik\Te%20dhenat%20e%20analizes%20vjetore%20te%20zbatimit%20te%20buxhetit%20vendor%202021.xlsx" TargetMode="External"/></Relationships>
</file>

<file path=word/charts/_rels/chart27.xml.rels><?xml version="1.0" encoding="UTF-8" standalone="yes"?>
<Relationships xmlns="http://schemas.openxmlformats.org/package/2006/relationships"><Relationship Id="rId2" Type="http://schemas.openxmlformats.org/officeDocument/2006/relationships/oleObject" Target="file:///C:\Users\ardita.xhyheri.GOV\Desktop\Raporti%20vjetor%202021\Analiza%20e%20pergjithshme%202021.xlsx" TargetMode="External"/><Relationship Id="rId1" Type="http://schemas.openxmlformats.org/officeDocument/2006/relationships/themeOverride" Target="../theme/themeOverride15.xml"/></Relationships>
</file>

<file path=word/charts/_rels/chart28.xml.rels><?xml version="1.0" encoding="UTF-8" standalone="yes"?>
<Relationships xmlns="http://schemas.openxmlformats.org/package/2006/relationships"><Relationship Id="rId1" Type="http://schemas.openxmlformats.org/officeDocument/2006/relationships/oleObject" Target="file:///C:\Users\ardita.xhyheri.GOV\Desktop\Raporti%20vjetor%202021\Analiza%20e%20pergjithshme%202021.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ardita.xhyheri.GOV\Desktop\Raporti%20vjetor%202021\Analiza%20e%20pergjithshme%202021.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1" Type="http://schemas.openxmlformats.org/officeDocument/2006/relationships/oleObject" Target="file:///C:\Users\ardita.xhyheri.GOV\Desktop\Raporti%20vjetor%202021\Analiza%20e%20pergjithshme%202021.xlsx" TargetMode="External"/></Relationships>
</file>

<file path=word/charts/_rels/chart31.xml.rels><?xml version="1.0" encoding="UTF-8" standalone="yes"?>
<Relationships xmlns="http://schemas.openxmlformats.org/package/2006/relationships"><Relationship Id="rId2" Type="http://schemas.openxmlformats.org/officeDocument/2006/relationships/oleObject" Target="file:///C:\Users\ardita.xhyheri.GOV\Desktop\Raporti%20vjetor%202021\buxheti%20faktik\Te%20dhenat%20e%20analizes%20vjetore%20te%20zbatimit%20te%20buxhetit%20vendor%202021.xlsx" TargetMode="External"/><Relationship Id="rId1" Type="http://schemas.openxmlformats.org/officeDocument/2006/relationships/themeOverride" Target="../theme/themeOverride16.xml"/></Relationships>
</file>

<file path=word/charts/_rels/chart32.xml.rels><?xml version="1.0" encoding="UTF-8" standalone="yes"?>
<Relationships xmlns="http://schemas.openxmlformats.org/package/2006/relationships"><Relationship Id="rId1" Type="http://schemas.openxmlformats.org/officeDocument/2006/relationships/oleObject" Target="file:///C:\Users\ardita.xhyheri.GOV\Desktop\Raporti%20vjetor%202021\buxheti%20faktik\Te%20dhenat%20e%20analizes%20vjetore%20te%20zbatimit%20te%20buxhetit%20vendor%202021.xlsx" TargetMode="External"/></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7.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8.xml"/></Relationships>
</file>

<file path=word/charts/_rels/chart37.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19.xml"/></Relationships>
</file>

<file path=word/charts/_rels/chart38.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20.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ardita.xhyheri.GOV\Desktop\Raporti%20vjetor%202021\buxheti%20faktik\Te%20dhenat%20e%20analizes%20vjetore%20te%20zbatimit%20te%20buxhetit%20vendor%202021.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ardita.xhyheri.GOV\Desktop\Raporti%20vjetor%202021\buxheti%20faktik\Te%20dhenat%20e%20analizes%20vjetore%20te%20zbatimit%20te%20buxhetit%20vendor%202021.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82810103282544"/>
          <c:y val="5.2293796054195388E-2"/>
          <c:w val="0.53315011759893649"/>
          <c:h val="0.76324449828386831"/>
        </c:manualLayout>
      </c:layout>
      <c:barChart>
        <c:barDir val="col"/>
        <c:grouping val="clustered"/>
        <c:varyColors val="0"/>
        <c:ser>
          <c:idx val="0"/>
          <c:order val="0"/>
          <c:tx>
            <c:strRef>
              <c:f>Sheet1!$C$6</c:f>
              <c:strCache>
                <c:ptCount val="1"/>
                <c:pt idx="0">
                  <c:v>PBB</c:v>
                </c:pt>
              </c:strCache>
            </c:strRef>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Sheet1!$D$4:$L$5</c:f>
              <c:strCache>
                <c:ptCount val="9"/>
                <c:pt idx="0">
                  <c:v>2013 </c:v>
                </c:pt>
                <c:pt idx="1">
                  <c:v>2014 </c:v>
                </c:pt>
                <c:pt idx="2">
                  <c:v>2015 </c:v>
                </c:pt>
                <c:pt idx="3">
                  <c:v>2016 </c:v>
                </c:pt>
                <c:pt idx="4">
                  <c:v>2017 </c:v>
                </c:pt>
                <c:pt idx="5">
                  <c:v>2018 </c:v>
                </c:pt>
                <c:pt idx="6">
                  <c:v>2019 </c:v>
                </c:pt>
                <c:pt idx="7">
                  <c:v>2020 </c:v>
                </c:pt>
                <c:pt idx="8">
                  <c:v>2021 </c:v>
                </c:pt>
              </c:strCache>
            </c:strRef>
          </c:cat>
          <c:val>
            <c:numRef>
              <c:f>Sheet1!$D$6:$L$6</c:f>
              <c:numCache>
                <c:formatCode>_(* #,##0_);_(* \(#,##0\);_(* "-"??_);_(@_)</c:formatCode>
                <c:ptCount val="9"/>
                <c:pt idx="0">
                  <c:v>1350052.6</c:v>
                </c:pt>
                <c:pt idx="1">
                  <c:v>1395304.6570594683</c:v>
                </c:pt>
                <c:pt idx="2">
                  <c:v>1434306.541077273</c:v>
                </c:pt>
                <c:pt idx="3">
                  <c:v>1472479.1299999997</c:v>
                </c:pt>
                <c:pt idx="4">
                  <c:v>1550645.49</c:v>
                </c:pt>
                <c:pt idx="5">
                  <c:v>1636729.6080747731</c:v>
                </c:pt>
                <c:pt idx="6">
                  <c:v>1691903.4297675418</c:v>
                </c:pt>
                <c:pt idx="7">
                  <c:v>1644077.2703210572</c:v>
                </c:pt>
                <c:pt idx="8">
                  <c:v>1890279.7031260503</c:v>
                </c:pt>
              </c:numCache>
            </c:numRef>
          </c:val>
        </c:ser>
        <c:ser>
          <c:idx val="1"/>
          <c:order val="1"/>
          <c:tx>
            <c:strRef>
              <c:f>Sheet1!$C$7</c:f>
              <c:strCache>
                <c:ptCount val="1"/>
                <c:pt idx="0">
                  <c:v>Shpenzimet e Përgjithshme</c:v>
                </c:pt>
              </c:strCache>
            </c:strRef>
          </c:tx>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Sheet1!$D$4:$L$5</c:f>
              <c:strCache>
                <c:ptCount val="9"/>
                <c:pt idx="0">
                  <c:v>2013 </c:v>
                </c:pt>
                <c:pt idx="1">
                  <c:v>2014 </c:v>
                </c:pt>
                <c:pt idx="2">
                  <c:v>2015 </c:v>
                </c:pt>
                <c:pt idx="3">
                  <c:v>2016 </c:v>
                </c:pt>
                <c:pt idx="4">
                  <c:v>2017 </c:v>
                </c:pt>
                <c:pt idx="5">
                  <c:v>2018 </c:v>
                </c:pt>
                <c:pt idx="6">
                  <c:v>2019 </c:v>
                </c:pt>
                <c:pt idx="7">
                  <c:v>2020 </c:v>
                </c:pt>
                <c:pt idx="8">
                  <c:v>2021 </c:v>
                </c:pt>
              </c:strCache>
            </c:strRef>
          </c:cat>
          <c:val>
            <c:numRef>
              <c:f>Sheet1!$D$7:$L$7</c:f>
              <c:numCache>
                <c:formatCode>_(* #,##0_);_(* \(#,##0\);_(* "-"??_);_(@_)</c:formatCode>
                <c:ptCount val="9"/>
                <c:pt idx="0">
                  <c:v>394118</c:v>
                </c:pt>
                <c:pt idx="1">
                  <c:v>438849</c:v>
                </c:pt>
                <c:pt idx="2">
                  <c:v>437408</c:v>
                </c:pt>
                <c:pt idx="3">
                  <c:v>433697</c:v>
                </c:pt>
                <c:pt idx="4">
                  <c:v>461409.56000000006</c:v>
                </c:pt>
                <c:pt idx="5">
                  <c:v>476147.14000000007</c:v>
                </c:pt>
                <c:pt idx="6">
                  <c:v>491897.24000000005</c:v>
                </c:pt>
                <c:pt idx="7">
                  <c:v>536278.6</c:v>
                </c:pt>
                <c:pt idx="8">
                  <c:v>596279.39000000013</c:v>
                </c:pt>
              </c:numCache>
            </c:numRef>
          </c:val>
        </c:ser>
        <c:dLbls>
          <c:showLegendKey val="0"/>
          <c:showVal val="0"/>
          <c:showCatName val="0"/>
          <c:showSerName val="0"/>
          <c:showPercent val="0"/>
          <c:showBubbleSize val="0"/>
        </c:dLbls>
        <c:gapWidth val="87"/>
        <c:axId val="-2059268800"/>
        <c:axId val="-2059258464"/>
      </c:barChart>
      <c:lineChart>
        <c:grouping val="standard"/>
        <c:varyColors val="0"/>
        <c:ser>
          <c:idx val="2"/>
          <c:order val="2"/>
          <c:tx>
            <c:strRef>
              <c:f>Sheet1!$C$8</c:f>
              <c:strCache>
                <c:ptCount val="1"/>
                <c:pt idx="0">
                  <c:v>Shpenzimet e Përgjithshme (% PBB) </c:v>
                </c:pt>
              </c:strCache>
            </c:strRef>
          </c:tx>
          <c:spPr>
            <a:ln w="34925" cap="rnd">
              <a:solidFill>
                <a:schemeClr val="accent3"/>
              </a:solidFill>
              <a:round/>
            </a:ln>
            <a:effectLst>
              <a:outerShdw blurRad="40000" dist="23000" dir="5400000" rotWithShape="0">
                <a:srgbClr val="000000">
                  <a:alpha val="35000"/>
                </a:srgbClr>
              </a:outerShdw>
            </a:effectLst>
          </c:spPr>
          <c:marker>
            <c:symbol val="none"/>
          </c:marker>
          <c:dPt>
            <c:idx val="6"/>
            <c:bubble3D val="0"/>
          </c:dPt>
          <c:dLbls>
            <c:dLbl>
              <c:idx val="0"/>
              <c:layout>
                <c:manualLayout>
                  <c:x val="-5.8333333333333334E-2"/>
                  <c:y val="-3.703703703703703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3888888888888884E-2"/>
                  <c:y val="-3.240740740740740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1111111111111109E-2"/>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8333333333333334E-2"/>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05"/>
                  <c:y val="-4.629629629629629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2777777777777882E-2"/>
                  <c:y val="-4.166666666666668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5555555555555657E-2"/>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5.5555555555555552E-2"/>
                  <c:y val="-3.7037037037037035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4444444444444446E-2"/>
                  <c:y val="-5.55555555555555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Sheet1!$D$4:$L$5</c:f>
              <c:strCache>
                <c:ptCount val="9"/>
                <c:pt idx="0">
                  <c:v>2013 </c:v>
                </c:pt>
                <c:pt idx="1">
                  <c:v>2014 </c:v>
                </c:pt>
                <c:pt idx="2">
                  <c:v>2015 </c:v>
                </c:pt>
                <c:pt idx="3">
                  <c:v>2016 </c:v>
                </c:pt>
                <c:pt idx="4">
                  <c:v>2017 </c:v>
                </c:pt>
                <c:pt idx="5">
                  <c:v>2018 </c:v>
                </c:pt>
                <c:pt idx="6">
                  <c:v>2019 </c:v>
                </c:pt>
                <c:pt idx="7">
                  <c:v>2020 </c:v>
                </c:pt>
                <c:pt idx="8">
                  <c:v>2021 </c:v>
                </c:pt>
              </c:strCache>
            </c:strRef>
          </c:cat>
          <c:val>
            <c:numRef>
              <c:f>Sheet1!$D$8:$L$8</c:f>
              <c:numCache>
                <c:formatCode>#,##0.0</c:formatCode>
                <c:ptCount val="9"/>
                <c:pt idx="0">
                  <c:v>29.192788488389265</c:v>
                </c:pt>
                <c:pt idx="1">
                  <c:v>31.451840842046018</c:v>
                </c:pt>
                <c:pt idx="2">
                  <c:v>30.496130880883626</c:v>
                </c:pt>
                <c:pt idx="3">
                  <c:v>29.453524410902865</c:v>
                </c:pt>
                <c:pt idx="4">
                  <c:v>29.755966981208587</c:v>
                </c:pt>
                <c:pt idx="5">
                  <c:v>29.091374509933566</c:v>
                </c:pt>
                <c:pt idx="6">
                  <c:v>29.073600262609787</c:v>
                </c:pt>
                <c:pt idx="7">
                  <c:v>32.618819667476757</c:v>
                </c:pt>
                <c:pt idx="8">
                  <c:v>31.544505768850133</c:v>
                </c:pt>
              </c:numCache>
            </c:numRef>
          </c:val>
          <c:smooth val="0"/>
        </c:ser>
        <c:ser>
          <c:idx val="3"/>
          <c:order val="3"/>
          <c:tx>
            <c:strRef>
              <c:f>Sheet1!$C$9</c:f>
              <c:strCache>
                <c:ptCount val="1"/>
                <c:pt idx="0">
                  <c:v>Deficiti Buxhetor (% PBB)</c:v>
                </c:pt>
              </c:strCache>
            </c:strRef>
          </c:tx>
          <c:spPr>
            <a:ln w="34925" cap="rnd">
              <a:solidFill>
                <a:schemeClr val="accent4"/>
              </a:solidFill>
              <a:round/>
            </a:ln>
            <a:effectLst>
              <a:outerShdw blurRad="40000" dist="23000" dir="5400000" rotWithShape="0">
                <a:srgbClr val="000000">
                  <a:alpha val="35000"/>
                </a:srgbClr>
              </a:outerShdw>
            </a:effectLst>
          </c:spPr>
          <c:marker>
            <c:symbol val="none"/>
          </c:marker>
          <c:dLbls>
            <c:dLbl>
              <c:idx val="0"/>
              <c:layout>
                <c:manualLayout>
                  <c:x val="-4.7222222222222221E-2"/>
                  <c:y val="-4.629629629629629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8333333333333334E-2"/>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5555555555555552E-2"/>
                  <c:y val="-4.166666666666675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9444444444444489E-2"/>
                  <c:y val="-3.240740740740740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1111111111111213E-2"/>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8333333333333334E-2"/>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3888888888888884E-2"/>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8888888888888994E-2"/>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6111111111111108E-2"/>
                  <c:y val="-4.166666666666675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Sheet1!$D$4:$L$5</c:f>
              <c:strCache>
                <c:ptCount val="9"/>
                <c:pt idx="0">
                  <c:v>2013 </c:v>
                </c:pt>
                <c:pt idx="1">
                  <c:v>2014 </c:v>
                </c:pt>
                <c:pt idx="2">
                  <c:v>2015 </c:v>
                </c:pt>
                <c:pt idx="3">
                  <c:v>2016 </c:v>
                </c:pt>
                <c:pt idx="4">
                  <c:v>2017 </c:v>
                </c:pt>
                <c:pt idx="5">
                  <c:v>2018 </c:v>
                </c:pt>
                <c:pt idx="6">
                  <c:v>2019 </c:v>
                </c:pt>
                <c:pt idx="7">
                  <c:v>2020 </c:v>
                </c:pt>
                <c:pt idx="8">
                  <c:v>2021 </c:v>
                </c:pt>
              </c:strCache>
            </c:strRef>
          </c:cat>
          <c:val>
            <c:numRef>
              <c:f>Sheet1!$D$9:$L$9</c:f>
              <c:numCache>
                <c:formatCode>0.0</c:formatCode>
                <c:ptCount val="9"/>
                <c:pt idx="0">
                  <c:v>-4.9582956989972073</c:v>
                </c:pt>
                <c:pt idx="1">
                  <c:v>-5.1693370071598546</c:v>
                </c:pt>
                <c:pt idx="2">
                  <c:v>-4.0578494438354777</c:v>
                </c:pt>
                <c:pt idx="3">
                  <c:v>-1.8116385798962058</c:v>
                </c:pt>
                <c:pt idx="4">
                  <c:v>-1.9999645437978208</c:v>
                </c:pt>
                <c:pt idx="5">
                  <c:v>-1.6030570883887512</c:v>
                </c:pt>
                <c:pt idx="6">
                  <c:v>-1.8646779387600498</c:v>
                </c:pt>
                <c:pt idx="7">
                  <c:v>-6.7134204694920516</c:v>
                </c:pt>
                <c:pt idx="8">
                  <c:v>-4.5140621178383462</c:v>
                </c:pt>
              </c:numCache>
            </c:numRef>
          </c:val>
          <c:smooth val="0"/>
        </c:ser>
        <c:dLbls>
          <c:showLegendKey val="0"/>
          <c:showVal val="0"/>
          <c:showCatName val="0"/>
          <c:showSerName val="0"/>
          <c:showPercent val="0"/>
          <c:showBubbleSize val="0"/>
        </c:dLbls>
        <c:marker val="1"/>
        <c:smooth val="0"/>
        <c:axId val="-2059263904"/>
        <c:axId val="-2059260096"/>
      </c:lineChart>
      <c:catAx>
        <c:axId val="-20592688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en-US"/>
          </a:p>
        </c:txPr>
        <c:crossAx val="-2059258464"/>
        <c:crosses val="autoZero"/>
        <c:auto val="1"/>
        <c:lblAlgn val="ctr"/>
        <c:lblOffset val="100"/>
        <c:noMultiLvlLbl val="0"/>
      </c:catAx>
      <c:valAx>
        <c:axId val="-2059258464"/>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vert="horz"/>
          <a:lstStyle/>
          <a:p>
            <a:pPr>
              <a:defRPr/>
            </a:pPr>
            <a:endParaRPr lang="en-US"/>
          </a:p>
        </c:txPr>
        <c:crossAx val="-2059268800"/>
        <c:crosses val="autoZero"/>
        <c:crossBetween val="between"/>
      </c:valAx>
      <c:valAx>
        <c:axId val="-2059260096"/>
        <c:scaling>
          <c:orientation val="minMax"/>
        </c:scaling>
        <c:delete val="0"/>
        <c:axPos val="r"/>
        <c:numFmt formatCode="#,##0.0" sourceLinked="1"/>
        <c:majorTickMark val="none"/>
        <c:minorTickMark val="none"/>
        <c:tickLblPos val="nextTo"/>
        <c:spPr>
          <a:noFill/>
          <a:ln>
            <a:noFill/>
          </a:ln>
          <a:effectLst/>
        </c:spPr>
        <c:txPr>
          <a:bodyPr rot="-60000000" vert="horz"/>
          <a:lstStyle/>
          <a:p>
            <a:pPr>
              <a:defRPr/>
            </a:pPr>
            <a:endParaRPr lang="en-US"/>
          </a:p>
        </c:txPr>
        <c:crossAx val="-2059263904"/>
        <c:crosses val="max"/>
        <c:crossBetween val="between"/>
      </c:valAx>
      <c:catAx>
        <c:axId val="-2059263904"/>
        <c:scaling>
          <c:orientation val="minMax"/>
        </c:scaling>
        <c:delete val="1"/>
        <c:axPos val="b"/>
        <c:numFmt formatCode="General" sourceLinked="1"/>
        <c:majorTickMark val="none"/>
        <c:minorTickMark val="none"/>
        <c:tickLblPos val="nextTo"/>
        <c:crossAx val="-2059260096"/>
        <c:crosses val="autoZero"/>
        <c:auto val="1"/>
        <c:lblAlgn val="ctr"/>
        <c:lblOffset val="100"/>
        <c:noMultiLvlLbl val="0"/>
      </c:catAx>
      <c:spPr>
        <a:noFill/>
        <a:ln>
          <a:noFill/>
        </a:ln>
        <a:effectLst/>
      </c:spPr>
    </c:plotArea>
    <c:legend>
      <c:legendPos val="b"/>
      <c:layout>
        <c:manualLayout>
          <c:xMode val="edge"/>
          <c:yMode val="edge"/>
          <c:x val="0.73177369874220266"/>
          <c:y val="0.17022832810234384"/>
          <c:w val="0.25290281896581113"/>
          <c:h val="0.5966714387974229"/>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sz="800">
          <a:latin typeface="+mj-lt"/>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203640221049637E-2"/>
          <c:y val="5.0925925925925923E-2"/>
          <c:w val="0.84957907750387074"/>
          <c:h val="0.64247594050743662"/>
        </c:manualLayout>
      </c:layout>
      <c:barChart>
        <c:barDir val="col"/>
        <c:grouping val="clustered"/>
        <c:varyColors val="0"/>
        <c:ser>
          <c:idx val="0"/>
          <c:order val="0"/>
          <c:tx>
            <c:strRef>
              <c:f>Sheet1!$C$175</c:f>
              <c:strCache>
                <c:ptCount val="1"/>
                <c:pt idx="0">
                  <c:v>Nga tatimet dhe doganat</c:v>
                </c:pt>
              </c:strCache>
            </c:strRef>
          </c:tx>
          <c:spPr>
            <a:solidFill>
              <a:srgbClr val="0F6FC6">
                <a:lumMod val="75000"/>
              </a:srgbClr>
            </a:solidFill>
            <a:ln>
              <a:noFill/>
            </a:ln>
            <a:effectLst/>
          </c:spPr>
          <c:invertIfNegative val="0"/>
          <c:cat>
            <c:numRef>
              <c:f>Sheet1!$D$174:$O$174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Sheet1!$D$175:$O$175</c:f>
              <c:numCache>
                <c:formatCode>0</c:formatCode>
                <c:ptCount val="12"/>
                <c:pt idx="0">
                  <c:v>223.01900000000001</c:v>
                </c:pt>
                <c:pt idx="1">
                  <c:v>235.50899999999999</c:v>
                </c:pt>
                <c:pt idx="2">
                  <c:v>232.59110000000001</c:v>
                </c:pt>
                <c:pt idx="3">
                  <c:v>229.03070000000002</c:v>
                </c:pt>
                <c:pt idx="4">
                  <c:v>253.41300000000001</c:v>
                </c:pt>
                <c:pt idx="5">
                  <c:v>258.88200000000001</c:v>
                </c:pt>
                <c:pt idx="6">
                  <c:v>275.77999999999997</c:v>
                </c:pt>
                <c:pt idx="7">
                  <c:v>293.38640000000004</c:v>
                </c:pt>
                <c:pt idx="8">
                  <c:v>304.3177</c:v>
                </c:pt>
                <c:pt idx="9" formatCode="_(* #,##0_);_(* \(#,##0\);_(* &quot;-&quot;??_);_(@_)">
                  <c:v>304.75765000000001</c:v>
                </c:pt>
                <c:pt idx="10" formatCode="_(* #,##0_);_(* \(#,##0\);_(* &quot;-&quot;??_);_(@_)">
                  <c:v>279</c:v>
                </c:pt>
                <c:pt idx="11" formatCode="_(* #,##0_);_(* \(#,##0\);_(* &quot;-&quot;??_);_(@_)">
                  <c:v>338</c:v>
                </c:pt>
              </c:numCache>
            </c:numRef>
          </c:val>
          <c:extLst xmlns:c16r2="http://schemas.microsoft.com/office/drawing/2015/06/chart">
            <c:ext xmlns:c16="http://schemas.microsoft.com/office/drawing/2014/chart" uri="{C3380CC4-5D6E-409C-BE32-E72D297353CC}">
              <c16:uniqueId val="{00000000-073E-D440-ACB0-CBB56FADECF8}"/>
            </c:ext>
          </c:extLst>
        </c:ser>
        <c:dLbls>
          <c:showLegendKey val="0"/>
          <c:showVal val="0"/>
          <c:showCatName val="0"/>
          <c:showSerName val="0"/>
          <c:showPercent val="0"/>
          <c:showBubbleSize val="0"/>
        </c:dLbls>
        <c:gapWidth val="219"/>
        <c:overlap val="-26"/>
        <c:axId val="-1798953440"/>
        <c:axId val="-1798950720"/>
      </c:barChart>
      <c:lineChart>
        <c:grouping val="standard"/>
        <c:varyColors val="0"/>
        <c:ser>
          <c:idx val="1"/>
          <c:order val="1"/>
          <c:tx>
            <c:strRef>
              <c:f>Sheet1!$C$176</c:f>
              <c:strCache>
                <c:ptCount val="1"/>
                <c:pt idx="0">
                  <c:v>% ndaj PBB</c:v>
                </c:pt>
              </c:strCache>
            </c:strRef>
          </c:tx>
          <c:spPr>
            <a:ln w="28575" cap="rnd">
              <a:solidFill>
                <a:srgbClr val="FF0000"/>
              </a:solidFill>
              <a:round/>
            </a:ln>
            <a:effectLst/>
          </c:spPr>
          <c:marker>
            <c:symbol val="none"/>
          </c:marker>
          <c:dLbls>
            <c:dLbl>
              <c:idx val="0"/>
              <c:layout>
                <c:manualLayout>
                  <c:x val="-5.4254659475143616E-2"/>
                  <c:y val="-5.625879043600567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8405229064049015E-2"/>
                  <c:y val="-3.938115330520396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840522906404905E-2"/>
                  <c:y val="-0.12939521800281298"/>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840522906404905E-2"/>
                  <c:y val="-0.2081575246132208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642405026266219E-2"/>
                  <c:y val="-3.938115330520396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8405229064049015E-2"/>
                  <c:y val="-7.313642756680731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246169265988854E-2"/>
                  <c:y val="-6.075940507436572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3.642405026266219E-2"/>
                  <c:y val="-4.003732866724992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3.642405026266219E-2"/>
                  <c:y val="-5.775911344415283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3.642405026266219E-2"/>
                  <c:y val="-0.12939521800281295"/>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4.2367586666822665E-2"/>
                  <c:y val="-0.26441631504922647"/>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3.8405229064049015E-2"/>
                  <c:y val="-0.22503516174402249"/>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Sheet1!$D$174:$O$174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Sheet1!$D$176:$O$176</c:f>
              <c:numCache>
                <c:formatCode>0.0%</c:formatCode>
                <c:ptCount val="12"/>
                <c:pt idx="0" formatCode="0%">
                  <c:v>0.17990545039646802</c:v>
                </c:pt>
                <c:pt idx="1">
                  <c:v>0.18107383985888004</c:v>
                </c:pt>
                <c:pt idx="2">
                  <c:v>0.17451168995453969</c:v>
                </c:pt>
                <c:pt idx="3" formatCode="0%">
                  <c:v>0.16964576046888841</c:v>
                </c:pt>
                <c:pt idx="4">
                  <c:v>0.18161840048183789</c:v>
                </c:pt>
                <c:pt idx="5" formatCode="0%">
                  <c:v>0.18049279745009039</c:v>
                </c:pt>
                <c:pt idx="6">
                  <c:v>0.1872895822622857</c:v>
                </c:pt>
                <c:pt idx="7">
                  <c:v>0.18920276119581775</c:v>
                </c:pt>
                <c:pt idx="8">
                  <c:v>0.18593015110901637</c:v>
                </c:pt>
                <c:pt idx="9" formatCode="0%">
                  <c:v>0.18014568324403407</c:v>
                </c:pt>
                <c:pt idx="10">
                  <c:v>0.17</c:v>
                </c:pt>
                <c:pt idx="11">
                  <c:v>0.17899999999999999</c:v>
                </c:pt>
              </c:numCache>
            </c:numRef>
          </c:val>
          <c:smooth val="0"/>
          <c:extLst xmlns:c16r2="http://schemas.microsoft.com/office/drawing/2015/06/chart">
            <c:ext xmlns:c16="http://schemas.microsoft.com/office/drawing/2014/chart" uri="{C3380CC4-5D6E-409C-BE32-E72D297353CC}">
              <c16:uniqueId val="{00000001-073E-D440-ACB0-CBB56FADECF8}"/>
            </c:ext>
          </c:extLst>
        </c:ser>
        <c:dLbls>
          <c:showLegendKey val="0"/>
          <c:showVal val="0"/>
          <c:showCatName val="0"/>
          <c:showSerName val="0"/>
          <c:showPercent val="0"/>
          <c:showBubbleSize val="0"/>
        </c:dLbls>
        <c:marker val="1"/>
        <c:smooth val="0"/>
        <c:axId val="-1798952352"/>
        <c:axId val="-1798947456"/>
      </c:lineChart>
      <c:catAx>
        <c:axId val="-179895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798950720"/>
        <c:crosses val="autoZero"/>
        <c:auto val="1"/>
        <c:lblAlgn val="ctr"/>
        <c:lblOffset val="100"/>
        <c:noMultiLvlLbl val="0"/>
      </c:catAx>
      <c:valAx>
        <c:axId val="-1798950720"/>
        <c:scaling>
          <c:orientation val="minMax"/>
        </c:scaling>
        <c:delete val="0"/>
        <c:axPos val="l"/>
        <c:title>
          <c:tx>
            <c:rich>
              <a:bodyPr rot="-5400000" spcFirstLastPara="1" vertOverflow="ellipsis" vert="horz" wrap="square" anchor="b" anchorCtr="1"/>
              <a:lstStyle/>
              <a:p>
                <a:pPr>
                  <a:defRPr sz="1000" b="0" i="0" u="none" strike="noStrike" kern="1200" baseline="0">
                    <a:solidFill>
                      <a:schemeClr val="tx1">
                        <a:lumMod val="65000"/>
                        <a:lumOff val="35000"/>
                      </a:schemeClr>
                    </a:solidFill>
                    <a:latin typeface="+mn-lt"/>
                    <a:ea typeface="+mn-ea"/>
                    <a:cs typeface="+mn-cs"/>
                  </a:defRPr>
                </a:pPr>
                <a:r>
                  <a:rPr lang="en-US" sz="550"/>
                  <a:t>Të ardhura nga tatime dhe dogana</a:t>
                </a:r>
              </a:p>
            </c:rich>
          </c:tx>
          <c:layout>
            <c:manualLayout>
              <c:xMode val="edge"/>
              <c:yMode val="edge"/>
              <c:x val="1.2461614660723128E-2"/>
              <c:y val="0.16765820939049286"/>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8953440"/>
        <c:crosses val="autoZero"/>
        <c:crossBetween val="between"/>
      </c:valAx>
      <c:valAx>
        <c:axId val="-1798947456"/>
        <c:scaling>
          <c:orientation val="minMax"/>
        </c:scaling>
        <c:delete val="0"/>
        <c:axPos val="r"/>
        <c:numFmt formatCode="0%" sourceLinked="1"/>
        <c:majorTickMark val="out"/>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98952352"/>
        <c:crosses val="max"/>
        <c:crossBetween val="between"/>
      </c:valAx>
      <c:catAx>
        <c:axId val="-1798952352"/>
        <c:scaling>
          <c:orientation val="minMax"/>
        </c:scaling>
        <c:delete val="1"/>
        <c:axPos val="b"/>
        <c:numFmt formatCode="General" sourceLinked="1"/>
        <c:majorTickMark val="out"/>
        <c:minorTickMark val="none"/>
        <c:tickLblPos val="nextTo"/>
        <c:crossAx val="-1798947456"/>
        <c:crosses val="autoZero"/>
        <c:auto val="1"/>
        <c:lblAlgn val="ctr"/>
        <c:lblOffset val="100"/>
        <c:noMultiLvlLbl val="0"/>
      </c:catAx>
      <c:spPr>
        <a:noFill/>
        <a:ln w="25400">
          <a:noFill/>
        </a:ln>
        <a:effectLst/>
      </c:spPr>
    </c:plotArea>
    <c:legend>
      <c:legendPos val="b"/>
      <c:layout>
        <c:manualLayout>
          <c:xMode val="edge"/>
          <c:yMode val="edge"/>
          <c:x val="0.28188336784796403"/>
          <c:y val="0.84536949547973173"/>
          <c:w val="0.43623310830574114"/>
          <c:h val="0.1250008748906386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DBEFF9"/>
    </a:solidFill>
    <a:ln w="9525" cap="flat" cmpd="sng" algn="ctr">
      <a:solidFill>
        <a:sysClr val="window" lastClr="FFFFFF">
          <a:lumMod val="85000"/>
        </a:sys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solidFill>
                <a:schemeClr val="accent1">
                  <a:shade val="5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D637-BA42-BD0E-DFEADCD00615}"/>
              </c:ext>
            </c:extLst>
          </c:dPt>
          <c:dPt>
            <c:idx val="1"/>
            <c:bubble3D val="0"/>
            <c:spPr>
              <a:solidFill>
                <a:schemeClr val="accent1">
                  <a:shade val="7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D637-BA42-BD0E-DFEADCD00615}"/>
              </c:ext>
            </c:extLst>
          </c:dPt>
          <c:dPt>
            <c:idx val="2"/>
            <c:bubble3D val="0"/>
            <c:spPr>
              <a:solidFill>
                <a:schemeClr val="accent1">
                  <a:shade val="9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D637-BA42-BD0E-DFEADCD00615}"/>
              </c:ext>
            </c:extLst>
          </c:dPt>
          <c:dPt>
            <c:idx val="3"/>
            <c:bubble3D val="0"/>
            <c:spPr>
              <a:solidFill>
                <a:schemeClr val="accent1">
                  <a:tint val="9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D637-BA42-BD0E-DFEADCD00615}"/>
              </c:ext>
            </c:extLst>
          </c:dPt>
          <c:dPt>
            <c:idx val="4"/>
            <c:bubble3D val="0"/>
            <c:spPr>
              <a:solidFill>
                <a:schemeClr val="accent1">
                  <a:tint val="7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D637-BA42-BD0E-DFEADCD00615}"/>
              </c:ext>
            </c:extLst>
          </c:dPt>
          <c:dPt>
            <c:idx val="5"/>
            <c:bubble3D val="0"/>
            <c:spPr>
              <a:solidFill>
                <a:schemeClr val="accent1">
                  <a:tint val="5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D637-BA42-BD0E-DFEADCD00615}"/>
              </c:ext>
            </c:extLst>
          </c:dPt>
          <c:dLbls>
            <c:dLbl>
              <c:idx val="5"/>
              <c:layout>
                <c:manualLayout>
                  <c:x val="6.5217391304347824E-2"/>
                  <c:y val="-7.0468640634797015E-18"/>
                </c:manualLayout>
              </c:layout>
              <c:dLblPos val="bestFit"/>
              <c:showLegendKey val="0"/>
              <c:showVal val="1"/>
              <c:showCatName val="1"/>
              <c:showSerName val="0"/>
              <c:showPercent val="0"/>
              <c:showBubbleSize val="0"/>
              <c:extLs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lumMod val="75000"/>
                      </a:schemeClr>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Sheet1!$C$187:$C$192</c:f>
              <c:strCache>
                <c:ptCount val="6"/>
                <c:pt idx="0">
                  <c:v>Tatimi mbi vlerën e shtuar</c:v>
                </c:pt>
                <c:pt idx="1">
                  <c:v>Tatimi mbi fitimin</c:v>
                </c:pt>
                <c:pt idx="2">
                  <c:v>Akcizat</c:v>
                </c:pt>
                <c:pt idx="3">
                  <c:v>Tatimi mbi të ardhurat personale</c:v>
                </c:pt>
                <c:pt idx="4">
                  <c:v>Taksa nacionale dhe të tjera</c:v>
                </c:pt>
                <c:pt idx="5">
                  <c:v>Taksa doganore</c:v>
                </c:pt>
              </c:strCache>
            </c:strRef>
          </c:cat>
          <c:val>
            <c:numRef>
              <c:f>Sheet1!$D$187:$D$192</c:f>
              <c:numCache>
                <c:formatCode>0.0%</c:formatCode>
                <c:ptCount val="6"/>
                <c:pt idx="0">
                  <c:v>0.47781254991510735</c:v>
                </c:pt>
                <c:pt idx="1">
                  <c:v>0.10533196874057159</c:v>
                </c:pt>
                <c:pt idx="2">
                  <c:v>0.15273874950454633</c:v>
                </c:pt>
                <c:pt idx="3">
                  <c:v>0.11628223406709774</c:v>
                </c:pt>
                <c:pt idx="4">
                  <c:v>0.12577423877612592</c:v>
                </c:pt>
                <c:pt idx="5">
                  <c:v>2.2057301064264036E-2</c:v>
                </c:pt>
              </c:numCache>
            </c:numRef>
          </c:val>
          <c:extLst xmlns:c16r2="http://schemas.microsoft.com/office/drawing/2015/06/chart">
            <c:ext xmlns:c16="http://schemas.microsoft.com/office/drawing/2014/chart" uri="{C3380CC4-5D6E-409C-BE32-E72D297353CC}">
              <c16:uniqueId val="{0000000C-D637-BA42-BD0E-DFEADCD00615}"/>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484400871978744E-2"/>
          <c:y val="9.700176366843033E-2"/>
          <c:w val="0.88932699600144538"/>
          <c:h val="0.55042425252399008"/>
        </c:manualLayout>
      </c:layout>
      <c:barChart>
        <c:barDir val="col"/>
        <c:grouping val="stacked"/>
        <c:varyColors val="0"/>
        <c:ser>
          <c:idx val="0"/>
          <c:order val="0"/>
          <c:tx>
            <c:strRef>
              <c:f>Sheet1!$C$217</c:f>
              <c:strCache>
                <c:ptCount val="1"/>
                <c:pt idx="0">
                  <c:v>Realizimi Total</c:v>
                </c:pt>
              </c:strCache>
            </c:strRef>
          </c:tx>
          <c:spPr>
            <a:solidFill>
              <a:schemeClr val="accent1"/>
            </a:solidFill>
            <a:ln>
              <a:noFill/>
            </a:ln>
            <a:effectLst/>
          </c:spPr>
          <c:invertIfNegative val="0"/>
          <c:dPt>
            <c:idx val="0"/>
            <c:invertIfNegative val="0"/>
            <c:bubble3D val="0"/>
            <c:spPr>
              <a:solidFill>
                <a:srgbClr val="0F6FC6"/>
              </a:solidFill>
              <a:ln>
                <a:noFill/>
              </a:ln>
              <a:effectLst/>
            </c:spPr>
            <c:extLst xmlns:c16r2="http://schemas.microsoft.com/office/drawing/2015/06/chart">
              <c:ext xmlns:c16="http://schemas.microsoft.com/office/drawing/2014/chart" uri="{C3380CC4-5D6E-409C-BE32-E72D297353CC}">
                <c16:uniqueId val="{0000000C-8722-094E-A3E6-599E78047C07}"/>
              </c:ext>
            </c:extLst>
          </c:dPt>
          <c:dPt>
            <c:idx val="1"/>
            <c:invertIfNegative val="0"/>
            <c:bubble3D val="0"/>
            <c:spPr>
              <a:noFill/>
              <a:ln>
                <a:noFill/>
              </a:ln>
              <a:effectLst/>
            </c:spPr>
            <c:extLst xmlns:c16r2="http://schemas.microsoft.com/office/drawing/2015/06/chart">
              <c:ext xmlns:c16="http://schemas.microsoft.com/office/drawing/2014/chart" uri="{C3380CC4-5D6E-409C-BE32-E72D297353CC}">
                <c16:uniqueId val="{00000001-8722-094E-A3E6-599E78047C07}"/>
              </c:ext>
            </c:extLst>
          </c:dPt>
          <c:dPt>
            <c:idx val="2"/>
            <c:invertIfNegative val="0"/>
            <c:bubble3D val="0"/>
            <c:spPr>
              <a:noFill/>
              <a:ln>
                <a:noFill/>
              </a:ln>
              <a:effectLst/>
            </c:spPr>
            <c:extLst xmlns:c16r2="http://schemas.microsoft.com/office/drawing/2015/06/chart">
              <c:ext xmlns:c16="http://schemas.microsoft.com/office/drawing/2014/chart" uri="{C3380CC4-5D6E-409C-BE32-E72D297353CC}">
                <c16:uniqueId val="{00000003-8722-094E-A3E6-599E78047C07}"/>
              </c:ext>
            </c:extLst>
          </c:dPt>
          <c:dPt>
            <c:idx val="3"/>
            <c:invertIfNegative val="0"/>
            <c:bubble3D val="0"/>
            <c:spPr>
              <a:noFill/>
              <a:ln>
                <a:noFill/>
              </a:ln>
              <a:effectLst/>
            </c:spPr>
            <c:extLst xmlns:c16r2="http://schemas.microsoft.com/office/drawing/2015/06/chart">
              <c:ext xmlns:c16="http://schemas.microsoft.com/office/drawing/2014/chart" uri="{C3380CC4-5D6E-409C-BE32-E72D297353CC}">
                <c16:uniqueId val="{00000005-8722-094E-A3E6-599E78047C07}"/>
              </c:ext>
            </c:extLst>
          </c:dPt>
          <c:dPt>
            <c:idx val="4"/>
            <c:invertIfNegative val="0"/>
            <c:bubble3D val="0"/>
            <c:spPr>
              <a:noFill/>
              <a:ln>
                <a:noFill/>
              </a:ln>
              <a:effectLst/>
            </c:spPr>
            <c:extLst xmlns:c16r2="http://schemas.microsoft.com/office/drawing/2015/06/chart">
              <c:ext xmlns:c16="http://schemas.microsoft.com/office/drawing/2014/chart" uri="{C3380CC4-5D6E-409C-BE32-E72D297353CC}">
                <c16:uniqueId val="{00000007-8722-094E-A3E6-599E78047C07}"/>
              </c:ext>
            </c:extLst>
          </c:dPt>
          <c:dPt>
            <c:idx val="5"/>
            <c:invertIfNegative val="0"/>
            <c:bubble3D val="0"/>
            <c:spPr>
              <a:solidFill>
                <a:srgbClr val="0F6FC6"/>
              </a:solidFill>
              <a:ln>
                <a:noFill/>
              </a:ln>
              <a:effectLst/>
            </c:spPr>
            <c:extLst xmlns:c16r2="http://schemas.microsoft.com/office/drawing/2015/06/chart">
              <c:ext xmlns:c16="http://schemas.microsoft.com/office/drawing/2014/chart" uri="{C3380CC4-5D6E-409C-BE32-E72D297353CC}">
                <c16:uniqueId val="{00000009-8722-094E-A3E6-599E78047C07}"/>
              </c:ext>
            </c:extLst>
          </c:dPt>
          <c:dPt>
            <c:idx val="6"/>
            <c:invertIfNegative val="0"/>
            <c:bubble3D val="0"/>
            <c:spPr>
              <a:solidFill>
                <a:srgbClr val="0F6FC6">
                  <a:lumMod val="20000"/>
                  <a:lumOff val="80000"/>
                </a:srgbClr>
              </a:solidFill>
              <a:ln>
                <a:noFill/>
              </a:ln>
              <a:effectLst/>
            </c:spPr>
            <c:extLst xmlns:c16r2="http://schemas.microsoft.com/office/drawing/2015/06/chart">
              <c:ext xmlns:c16="http://schemas.microsoft.com/office/drawing/2014/chart" uri="{C3380CC4-5D6E-409C-BE32-E72D297353CC}">
                <c16:uniqueId val="{0000000B-8722-094E-A3E6-599E78047C07}"/>
              </c:ext>
            </c:extLst>
          </c:dPt>
          <c:dLbls>
            <c:dLbl>
              <c:idx val="0"/>
              <c:showLegendKey val="0"/>
              <c:showVal val="1"/>
              <c:showCatName val="0"/>
              <c:showSerName val="0"/>
              <c:showPercent val="0"/>
              <c:showBubbleSize val="0"/>
              <c:extLst>
                <c:ext xmlns:c15="http://schemas.microsoft.com/office/drawing/2012/chart" uri="{CE6537A1-D6FC-4f65-9D91-7224C49458BB}"/>
              </c:extLst>
            </c:dLbl>
            <c:dLbl>
              <c:idx val="5"/>
              <c:showLegendKey val="0"/>
              <c:showVal val="1"/>
              <c:showCatName val="0"/>
              <c:showSerName val="0"/>
              <c:showPercent val="0"/>
              <c:showBubbleSize val="0"/>
              <c:extLst>
                <c:ext xmlns:c15="http://schemas.microsoft.com/office/drawing/2012/chart" uri="{CE6537A1-D6FC-4f65-9D91-7224C49458BB}"/>
              </c:extLst>
            </c:dLbl>
            <c:dLbl>
              <c:idx val="6"/>
              <c:spPr>
                <a:noFill/>
                <a:ln>
                  <a:noFill/>
                </a:ln>
                <a:effectLst/>
              </c:spPr>
              <c:txPr>
                <a:bodyPr rot="0" spcFirstLastPara="1" vertOverflow="ellipsis" vert="horz" wrap="square" lIns="38100" tIns="19050" rIns="38100" bIns="19050" anchor="ctr" anchorCtr="1">
                  <a:spAutoFit/>
                </a:bodyPr>
                <a:lstStyle/>
                <a:p>
                  <a:pPr>
                    <a:defRPr sz="65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50" b="1"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Sheet1!$B$218:$B$224</c:f>
              <c:strCache>
                <c:ptCount val="7"/>
                <c:pt idx="0">
                  <c:v>Fakt 2020</c:v>
                </c:pt>
                <c:pt idx="1">
                  <c:v>TVSH Import</c:v>
                </c:pt>
                <c:pt idx="2">
                  <c:v>Akciza </c:v>
                </c:pt>
                <c:pt idx="3">
                  <c:v>Renta</c:v>
                </c:pt>
                <c:pt idx="4">
                  <c:v>Taksa Doganore</c:v>
                </c:pt>
                <c:pt idx="5">
                  <c:v>Fakt 2021</c:v>
                </c:pt>
                <c:pt idx="6">
                  <c:v>Plan I rishikuar 2021</c:v>
                </c:pt>
              </c:strCache>
            </c:strRef>
          </c:cat>
          <c:val>
            <c:numRef>
              <c:f>Sheet1!$C$218:$C$224</c:f>
              <c:numCache>
                <c:formatCode>_(* #,##0_);_(* \(#,##0\);_(* "-"??_);_(@_)</c:formatCode>
                <c:ptCount val="7"/>
                <c:pt idx="0">
                  <c:v>153408</c:v>
                </c:pt>
                <c:pt idx="1">
                  <c:v>183859</c:v>
                </c:pt>
                <c:pt idx="2">
                  <c:v>190975</c:v>
                </c:pt>
                <c:pt idx="3">
                  <c:v>191625</c:v>
                </c:pt>
                <c:pt idx="4">
                  <c:v>192841</c:v>
                </c:pt>
                <c:pt idx="5">
                  <c:v>192841</c:v>
                </c:pt>
                <c:pt idx="6">
                  <c:v>181052</c:v>
                </c:pt>
              </c:numCache>
            </c:numRef>
          </c:val>
          <c:extLst xmlns:c16r2="http://schemas.microsoft.com/office/drawing/2015/06/chart">
            <c:ext xmlns:c16="http://schemas.microsoft.com/office/drawing/2014/chart" uri="{C3380CC4-5D6E-409C-BE32-E72D297353CC}">
              <c16:uniqueId val="{0000000D-8722-094E-A3E6-599E78047C07}"/>
            </c:ext>
          </c:extLst>
        </c:ser>
        <c:ser>
          <c:idx val="1"/>
          <c:order val="1"/>
          <c:tx>
            <c:strRef>
              <c:f>Sheet1!$D$217</c:f>
              <c:strCache>
                <c:ptCount val="1"/>
                <c:pt idx="0">
                  <c:v>Rënie</c:v>
                </c:pt>
              </c:strCache>
            </c:strRef>
          </c:tx>
          <c:spPr>
            <a:solidFill>
              <a:srgbClr val="FF0000"/>
            </a:solidFill>
            <a:ln>
              <a:noFill/>
            </a:ln>
            <a:effectLst/>
          </c:spPr>
          <c:invertIfNegative val="0"/>
          <c:dLbls>
            <c:dLbl>
              <c:idx val="1"/>
              <c:layout>
                <c:manualLayout>
                  <c:x val="-3.6053336376693784E-17"/>
                  <c:y val="-0.17833339552935029"/>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553201867465681E-3"/>
                  <c:y val="-0.1064945080917018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553201867465681E-3"/>
                  <c:y val="-7.622893109925234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7777777777777779E-3"/>
                  <c:y val="-5.2681992337164751E-2"/>
                </c:manualLayout>
              </c:layout>
              <c:showLegendKey val="0"/>
              <c:showVal val="1"/>
              <c:showCatName val="0"/>
              <c:showSerName val="0"/>
              <c:showPercent val="0"/>
              <c:showBubbleSize val="0"/>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Sheet1!$B$218:$B$224</c:f>
              <c:strCache>
                <c:ptCount val="7"/>
                <c:pt idx="0">
                  <c:v>Fakt 2020</c:v>
                </c:pt>
                <c:pt idx="1">
                  <c:v>TVSH Import</c:v>
                </c:pt>
                <c:pt idx="2">
                  <c:v>Akciza </c:v>
                </c:pt>
                <c:pt idx="3">
                  <c:v>Renta</c:v>
                </c:pt>
                <c:pt idx="4">
                  <c:v>Taksa Doganore</c:v>
                </c:pt>
                <c:pt idx="5">
                  <c:v>Fakt 2021</c:v>
                </c:pt>
                <c:pt idx="6">
                  <c:v>Plan I rishikuar 2021</c:v>
                </c:pt>
              </c:strCache>
            </c:strRef>
          </c:cat>
          <c:val>
            <c:numRef>
              <c:f>Sheet1!$D$218:$D$224</c:f>
              <c:numCache>
                <c:formatCode>General</c:formatCode>
                <c:ptCount val="7"/>
                <c:pt idx="0" formatCode="_(* #,##0_);_(* \(#,##0\);_(* &quot;-&quot;??_);_(@_)">
                  <c:v>0</c:v>
                </c:pt>
                <c:pt idx="5" formatCode="_(* #,##0_);_(* \(#,##0\);_(* &quot;-&quot;??_);_(@_)">
                  <c:v>0</c:v>
                </c:pt>
              </c:numCache>
            </c:numRef>
          </c:val>
          <c:extLst xmlns:c16r2="http://schemas.microsoft.com/office/drawing/2015/06/chart">
            <c:ext xmlns:c16="http://schemas.microsoft.com/office/drawing/2014/chart" uri="{C3380CC4-5D6E-409C-BE32-E72D297353CC}">
              <c16:uniqueId val="{00000013-8722-094E-A3E6-599E78047C07}"/>
            </c:ext>
          </c:extLst>
        </c:ser>
        <c:ser>
          <c:idx val="2"/>
          <c:order val="2"/>
          <c:tx>
            <c:strRef>
              <c:f>Sheet1!$E$217</c:f>
              <c:strCache>
                <c:ptCount val="1"/>
                <c:pt idx="0">
                  <c:v>Rritje</c:v>
                </c:pt>
              </c:strCache>
            </c:strRef>
          </c:tx>
          <c:spPr>
            <a:solidFill>
              <a:srgbClr val="FF0000"/>
            </a:solidFill>
            <a:ln>
              <a:noFill/>
            </a:ln>
            <a:effectLst/>
          </c:spPr>
          <c:invertIfNegative val="0"/>
          <c:dLbls>
            <c:dLbl>
              <c:idx val="1"/>
              <c:layout>
                <c:manualLayout>
                  <c:x val="-3.6053336376693784E-17"/>
                  <c:y val="-4.385964912280701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665683382498263E-3"/>
                  <c:y val="-7.309941520467835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5.84795321637426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2106672753387568E-17"/>
                  <c:y val="-4.385964912280702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65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Sheet1!$B$218:$B$224</c:f>
              <c:strCache>
                <c:ptCount val="7"/>
                <c:pt idx="0">
                  <c:v>Fakt 2020</c:v>
                </c:pt>
                <c:pt idx="1">
                  <c:v>TVSH Import</c:v>
                </c:pt>
                <c:pt idx="2">
                  <c:v>Akciza </c:v>
                </c:pt>
                <c:pt idx="3">
                  <c:v>Renta</c:v>
                </c:pt>
                <c:pt idx="4">
                  <c:v>Taksa Doganore</c:v>
                </c:pt>
                <c:pt idx="5">
                  <c:v>Fakt 2021</c:v>
                </c:pt>
                <c:pt idx="6">
                  <c:v>Plan I rishikuar 2021</c:v>
                </c:pt>
              </c:strCache>
            </c:strRef>
          </c:cat>
          <c:val>
            <c:numRef>
              <c:f>Sheet1!$E$218:$E$224</c:f>
              <c:numCache>
                <c:formatCode>_(* #,##0_);_(* \(#,##0\);_(* "-"??_);_(@_)</c:formatCode>
                <c:ptCount val="7"/>
                <c:pt idx="1">
                  <c:v>30451</c:v>
                </c:pt>
                <c:pt idx="2">
                  <c:v>7116</c:v>
                </c:pt>
                <c:pt idx="3">
                  <c:v>650</c:v>
                </c:pt>
                <c:pt idx="4">
                  <c:v>1216</c:v>
                </c:pt>
                <c:pt idx="5">
                  <c:v>0</c:v>
                </c:pt>
              </c:numCache>
            </c:numRef>
          </c:val>
          <c:extLst xmlns:c16r2="http://schemas.microsoft.com/office/drawing/2015/06/chart">
            <c:ext xmlns:c16="http://schemas.microsoft.com/office/drawing/2014/chart" uri="{C3380CC4-5D6E-409C-BE32-E72D297353CC}">
              <c16:uniqueId val="{00000014-8722-094E-A3E6-599E78047C07}"/>
            </c:ext>
          </c:extLst>
        </c:ser>
        <c:dLbls>
          <c:showLegendKey val="0"/>
          <c:showVal val="0"/>
          <c:showCatName val="0"/>
          <c:showSerName val="0"/>
          <c:showPercent val="0"/>
          <c:showBubbleSize val="0"/>
        </c:dLbls>
        <c:gapWidth val="68"/>
        <c:overlap val="100"/>
        <c:axId val="-1795287056"/>
        <c:axId val="-1795281616"/>
      </c:barChart>
      <c:catAx>
        <c:axId val="-179528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1795281616"/>
        <c:crosses val="autoZero"/>
        <c:auto val="1"/>
        <c:lblAlgn val="ctr"/>
        <c:lblOffset val="100"/>
        <c:noMultiLvlLbl val="0"/>
      </c:catAx>
      <c:valAx>
        <c:axId val="-1795281616"/>
        <c:scaling>
          <c:orientation val="minMax"/>
          <c:max val="200000"/>
          <c:min val="140000"/>
        </c:scaling>
        <c:delete val="0"/>
        <c:axPos val="l"/>
        <c:numFmt formatCode="_(* #,##0_);_(* \(#,##0\);_(* &quot;-&quot;??_);_(@_)" sourceLinked="1"/>
        <c:majorTickMark val="none"/>
        <c:minorTickMark val="none"/>
        <c:tickLblPos val="nextTo"/>
        <c:spPr>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95287056"/>
        <c:crosses val="autoZero"/>
        <c:crossBetween val="between"/>
        <c:majorUnit val="10000"/>
        <c:minorUnit val="1000"/>
      </c:valAx>
      <c:spPr>
        <a:noFill/>
        <a:ln>
          <a:noFill/>
        </a:ln>
        <a:effectLst/>
      </c:spPr>
    </c:plotArea>
    <c:legend>
      <c:legendPos val="b"/>
      <c:legendEntry>
        <c:idx val="0"/>
        <c:delete val="1"/>
      </c:legendEntry>
      <c:layout>
        <c:manualLayout>
          <c:xMode val="edge"/>
          <c:yMode val="edge"/>
          <c:x val="0.34908136482939628"/>
          <c:y val="0.85265624405644946"/>
          <c:w val="0.26754563395158054"/>
          <c:h val="0.1086964129483814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876136734782217E-2"/>
          <c:y val="0.10018214936247723"/>
          <c:w val="0.88713485776796641"/>
          <c:h val="0.47542919839938041"/>
        </c:manualLayout>
      </c:layout>
      <c:barChart>
        <c:barDir val="col"/>
        <c:grouping val="stacked"/>
        <c:varyColors val="0"/>
        <c:ser>
          <c:idx val="0"/>
          <c:order val="0"/>
          <c:tx>
            <c:strRef>
              <c:f>'[Chart in Microsoft Word]chart 7'!$C$230</c:f>
              <c:strCache>
                <c:ptCount val="1"/>
                <c:pt idx="0">
                  <c:v>Realizimi Total</c:v>
                </c:pt>
              </c:strCache>
            </c:strRef>
          </c:tx>
          <c:spPr>
            <a:solidFill>
              <a:schemeClr val="accent1"/>
            </a:solidFill>
            <a:ln>
              <a:noFill/>
            </a:ln>
            <a:effectLst/>
          </c:spPr>
          <c:invertIfNegative val="0"/>
          <c:dPt>
            <c:idx val="1"/>
            <c:invertIfNegative val="0"/>
            <c:bubble3D val="0"/>
            <c:spPr>
              <a:noFill/>
              <a:ln>
                <a:solidFill>
                  <a:schemeClr val="bg1"/>
                </a:solidFill>
              </a:ln>
              <a:effectLst/>
            </c:spPr>
            <c:extLst xmlns:c16r2="http://schemas.microsoft.com/office/drawing/2015/06/chart">
              <c:ext xmlns:c16="http://schemas.microsoft.com/office/drawing/2014/chart" uri="{C3380CC4-5D6E-409C-BE32-E72D297353CC}">
                <c16:uniqueId val="{00000008-F792-4AAF-9002-5FEBABBDB926}"/>
              </c:ext>
            </c:extLst>
          </c:dPt>
          <c:dPt>
            <c:idx val="2"/>
            <c:invertIfNegative val="0"/>
            <c:bubble3D val="0"/>
            <c:spPr>
              <a:noFill/>
              <a:ln>
                <a:noFill/>
              </a:ln>
              <a:effectLst/>
            </c:spPr>
            <c:extLst xmlns:c16r2="http://schemas.microsoft.com/office/drawing/2015/06/chart">
              <c:ext xmlns:c16="http://schemas.microsoft.com/office/drawing/2014/chart" uri="{C3380CC4-5D6E-409C-BE32-E72D297353CC}">
                <c16:uniqueId val="{00000009-F792-4AAF-9002-5FEBABBDB926}"/>
              </c:ext>
            </c:extLst>
          </c:dPt>
          <c:dPt>
            <c:idx val="3"/>
            <c:invertIfNegative val="0"/>
            <c:bubble3D val="0"/>
            <c:spPr>
              <a:noFill/>
              <a:ln>
                <a:noFill/>
              </a:ln>
              <a:effectLst/>
            </c:spPr>
            <c:extLst xmlns:c16r2="http://schemas.microsoft.com/office/drawing/2015/06/chart">
              <c:ext xmlns:c16="http://schemas.microsoft.com/office/drawing/2014/chart" uri="{C3380CC4-5D6E-409C-BE32-E72D297353CC}">
                <c16:uniqueId val="{0000000A-F792-4AAF-9002-5FEBABBDB926}"/>
              </c:ext>
            </c:extLst>
          </c:dPt>
          <c:dPt>
            <c:idx val="4"/>
            <c:invertIfNegative val="0"/>
            <c:bubble3D val="0"/>
            <c:spPr>
              <a:noFill/>
              <a:ln>
                <a:noFill/>
              </a:ln>
              <a:effectLst/>
            </c:spPr>
            <c:extLst xmlns:c16r2="http://schemas.microsoft.com/office/drawing/2015/06/chart">
              <c:ext xmlns:c16="http://schemas.microsoft.com/office/drawing/2014/chart" uri="{C3380CC4-5D6E-409C-BE32-E72D297353CC}">
                <c16:uniqueId val="{0000000B-F792-4AAF-9002-5FEBABBDB926}"/>
              </c:ext>
            </c:extLst>
          </c:dPt>
          <c:dPt>
            <c:idx val="5"/>
            <c:invertIfNegative val="0"/>
            <c:bubble3D val="0"/>
            <c:spPr>
              <a:noFill/>
              <a:ln>
                <a:noFill/>
              </a:ln>
              <a:effectLst/>
            </c:spPr>
            <c:extLst xmlns:c16r2="http://schemas.microsoft.com/office/drawing/2015/06/chart">
              <c:ext xmlns:c16="http://schemas.microsoft.com/office/drawing/2014/chart" uri="{C3380CC4-5D6E-409C-BE32-E72D297353CC}">
                <c16:uniqueId val="{0000000C-F792-4AAF-9002-5FEBABBDB926}"/>
              </c:ext>
            </c:extLst>
          </c:dPt>
          <c:dPt>
            <c:idx val="6"/>
            <c:invertIfNegative val="0"/>
            <c:bubble3D val="0"/>
            <c:extLst xmlns:c16r2="http://schemas.microsoft.com/office/drawing/2015/06/chart">
              <c:ext xmlns:c16="http://schemas.microsoft.com/office/drawing/2014/chart" uri="{C3380CC4-5D6E-409C-BE32-E72D297353CC}">
                <c16:uniqueId val="{00000006-F792-4AAF-9002-5FEBABBDB926}"/>
              </c:ext>
            </c:extLst>
          </c:dPt>
          <c:dPt>
            <c:idx val="7"/>
            <c:invertIfNegative val="0"/>
            <c:bubble3D val="0"/>
            <c:spPr>
              <a:solidFill>
                <a:schemeClr val="accent1">
                  <a:lumMod val="20000"/>
                  <a:lumOff val="80000"/>
                </a:schemeClr>
              </a:solidFill>
              <a:ln>
                <a:noFill/>
              </a:ln>
              <a:effectLst/>
            </c:spPr>
            <c:extLst xmlns:c16r2="http://schemas.microsoft.com/office/drawing/2015/06/chart">
              <c:ext xmlns:c16="http://schemas.microsoft.com/office/drawing/2014/chart" uri="{C3380CC4-5D6E-409C-BE32-E72D297353CC}">
                <c16:uniqueId val="{00000007-F792-4AAF-9002-5FEBABBDB926}"/>
              </c:ext>
            </c:extLst>
          </c:dPt>
          <c:dLbls>
            <c:dLbl>
              <c:idx val="0"/>
              <c:tx>
                <c:rich>
                  <a:bodyPr/>
                  <a:lstStyle/>
                  <a:p>
                    <a:fld id="{4DBD9C48-E4CD-46AD-919A-5D3A1FC1CE6D}" type="VALUE">
                      <a:rPr lang="en-US" sz="700">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tx>
                <c:rich>
                  <a:bodyPr/>
                  <a:lstStyle/>
                  <a:p>
                    <a:fld id="{E09F6368-E644-4B71-B45F-85D299D2FC02}" type="VALUE">
                      <a:rPr lang="en-US" sz="650">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Word]chart 7'!$B$231:$B$238</c:f>
              <c:strCache>
                <c:ptCount val="8"/>
                <c:pt idx="0">
                  <c:v>Fakt 2020</c:v>
                </c:pt>
                <c:pt idx="1">
                  <c:v>Tatim Fitim </c:v>
                </c:pt>
                <c:pt idx="2">
                  <c:v>TVSH Neto</c:v>
                </c:pt>
                <c:pt idx="3">
                  <c:v>TAP</c:v>
                </c:pt>
                <c:pt idx="4">
                  <c:v>Taksa Nacionale</c:v>
                </c:pt>
                <c:pt idx="5">
                  <c:v>Kontribute DPT</c:v>
                </c:pt>
                <c:pt idx="6">
                  <c:v>Fakt 2021</c:v>
                </c:pt>
                <c:pt idx="7">
                  <c:v>Plan 2021</c:v>
                </c:pt>
              </c:strCache>
            </c:strRef>
          </c:cat>
          <c:val>
            <c:numRef>
              <c:f>'[Chart in Microsoft Word]chart 7'!$C$231:$C$238</c:f>
              <c:numCache>
                <c:formatCode>_(* #,##0_);_(* \(#,##0\);_(* "-"??_);_(@_)</c:formatCode>
                <c:ptCount val="8"/>
                <c:pt idx="0">
                  <c:v>219698</c:v>
                </c:pt>
                <c:pt idx="1">
                  <c:v>226927</c:v>
                </c:pt>
                <c:pt idx="2">
                  <c:v>227658</c:v>
                </c:pt>
                <c:pt idx="3">
                  <c:v>233312</c:v>
                </c:pt>
                <c:pt idx="4">
                  <c:v>239354</c:v>
                </c:pt>
                <c:pt idx="5">
                  <c:v>251499</c:v>
                </c:pt>
                <c:pt idx="6">
                  <c:v>251499</c:v>
                </c:pt>
                <c:pt idx="7">
                  <c:v>255097</c:v>
                </c:pt>
              </c:numCache>
            </c:numRef>
          </c:val>
          <c:extLst xmlns:c16r2="http://schemas.microsoft.com/office/drawing/2015/06/chart">
            <c:ext xmlns:c16="http://schemas.microsoft.com/office/drawing/2014/chart" uri="{C3380CC4-5D6E-409C-BE32-E72D297353CC}">
              <c16:uniqueId val="{00000000-F792-4AAF-9002-5FEBABBDB926}"/>
            </c:ext>
          </c:extLst>
        </c:ser>
        <c:ser>
          <c:idx val="1"/>
          <c:order val="1"/>
          <c:tx>
            <c:strRef>
              <c:f>'[Chart in Microsoft Word]chart 7'!$D$230</c:f>
              <c:strCache>
                <c:ptCount val="1"/>
                <c:pt idx="0">
                  <c:v>Rënie</c:v>
                </c:pt>
              </c:strCache>
            </c:strRef>
          </c:tx>
          <c:spPr>
            <a:solidFill>
              <a:schemeClr val="accent2"/>
            </a:solidFill>
            <a:ln>
              <a:noFill/>
            </a:ln>
            <a:effectLst/>
          </c:spPr>
          <c:invertIfNegative val="0"/>
          <c:cat>
            <c:strRef>
              <c:f>'[Chart in Microsoft Word]chart 7'!$B$231:$B$238</c:f>
              <c:strCache>
                <c:ptCount val="8"/>
                <c:pt idx="0">
                  <c:v>Fakt 2020</c:v>
                </c:pt>
                <c:pt idx="1">
                  <c:v>Tatim Fitim </c:v>
                </c:pt>
                <c:pt idx="2">
                  <c:v>TVSH Neto</c:v>
                </c:pt>
                <c:pt idx="3">
                  <c:v>TAP</c:v>
                </c:pt>
                <c:pt idx="4">
                  <c:v>Taksa Nacionale</c:v>
                </c:pt>
                <c:pt idx="5">
                  <c:v>Kontribute DPT</c:v>
                </c:pt>
                <c:pt idx="6">
                  <c:v>Fakt 2021</c:v>
                </c:pt>
                <c:pt idx="7">
                  <c:v>Plan 2021</c:v>
                </c:pt>
              </c:strCache>
            </c:strRef>
          </c:cat>
          <c:val>
            <c:numRef>
              <c:f>'[Chart in Microsoft Word]chart 7'!$D$231:$D$238</c:f>
              <c:numCache>
                <c:formatCode>_(* #,##0_);_(* \(#,##0\);_(* "-"??_);_(@_)</c:formatCode>
                <c:ptCount val="8"/>
                <c:pt idx="0">
                  <c:v>0</c:v>
                </c:pt>
                <c:pt idx="1">
                  <c:v>0</c:v>
                </c:pt>
                <c:pt idx="2">
                  <c:v>0</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1-F792-4AAF-9002-5FEBABBDB926}"/>
            </c:ext>
          </c:extLst>
        </c:ser>
        <c:ser>
          <c:idx val="2"/>
          <c:order val="2"/>
          <c:tx>
            <c:strRef>
              <c:f>'[Chart in Microsoft Word]chart 7'!$E$230</c:f>
              <c:strCache>
                <c:ptCount val="1"/>
                <c:pt idx="0">
                  <c:v>Rritje</c:v>
                </c:pt>
              </c:strCache>
            </c:strRef>
          </c:tx>
          <c:spPr>
            <a:solidFill>
              <a:srgbClr val="FF0000"/>
            </a:solidFill>
            <a:ln>
              <a:noFill/>
            </a:ln>
            <a:effectLst/>
          </c:spPr>
          <c:invertIfNegative val="0"/>
          <c:dLbls>
            <c:dLbl>
              <c:idx val="1"/>
              <c:layout>
                <c:manualLayout>
                  <c:x val="1.9990004997500884E-3"/>
                  <c:y val="-6.230529595015576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5.607476635514024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9990004997501249E-3"/>
                  <c:y val="-4.984423676012460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3295838271059631E-17"/>
                  <c:y val="-6.853582554517137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8.09968847352025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Word]chart 7'!$B$231:$B$238</c:f>
              <c:strCache>
                <c:ptCount val="8"/>
                <c:pt idx="0">
                  <c:v>Fakt 2020</c:v>
                </c:pt>
                <c:pt idx="1">
                  <c:v>Tatim Fitim </c:v>
                </c:pt>
                <c:pt idx="2">
                  <c:v>TVSH Neto</c:v>
                </c:pt>
                <c:pt idx="3">
                  <c:v>TAP</c:v>
                </c:pt>
                <c:pt idx="4">
                  <c:v>Taksa Nacionale</c:v>
                </c:pt>
                <c:pt idx="5">
                  <c:v>Kontribute DPT</c:v>
                </c:pt>
                <c:pt idx="6">
                  <c:v>Fakt 2021</c:v>
                </c:pt>
                <c:pt idx="7">
                  <c:v>Plan 2021</c:v>
                </c:pt>
              </c:strCache>
            </c:strRef>
          </c:cat>
          <c:val>
            <c:numRef>
              <c:f>'[Chart in Microsoft Word]chart 7'!$E$231:$E$238</c:f>
              <c:numCache>
                <c:formatCode>_(* #,##0_);_(* \(#,##0\);_(* "-"??_);_(@_)</c:formatCode>
                <c:ptCount val="8"/>
                <c:pt idx="1">
                  <c:v>7229</c:v>
                </c:pt>
                <c:pt idx="2">
                  <c:v>731</c:v>
                </c:pt>
                <c:pt idx="3">
                  <c:v>5654</c:v>
                </c:pt>
                <c:pt idx="4">
                  <c:v>6042</c:v>
                </c:pt>
                <c:pt idx="5">
                  <c:v>12145</c:v>
                </c:pt>
                <c:pt idx="6">
                  <c:v>0</c:v>
                </c:pt>
              </c:numCache>
            </c:numRef>
          </c:val>
          <c:extLst xmlns:c16r2="http://schemas.microsoft.com/office/drawing/2015/06/chart">
            <c:ext xmlns:c16="http://schemas.microsoft.com/office/drawing/2014/chart" uri="{C3380CC4-5D6E-409C-BE32-E72D297353CC}">
              <c16:uniqueId val="{00000002-F792-4AAF-9002-5FEBABBDB926}"/>
            </c:ext>
          </c:extLst>
        </c:ser>
        <c:dLbls>
          <c:showLegendKey val="0"/>
          <c:showVal val="0"/>
          <c:showCatName val="0"/>
          <c:showSerName val="0"/>
          <c:showPercent val="0"/>
          <c:showBubbleSize val="0"/>
        </c:dLbls>
        <c:gapWidth val="46"/>
        <c:overlap val="100"/>
        <c:axId val="-1795281072"/>
        <c:axId val="-1795290864"/>
      </c:barChart>
      <c:catAx>
        <c:axId val="-179528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1795290864"/>
        <c:crosses val="autoZero"/>
        <c:auto val="1"/>
        <c:lblAlgn val="ctr"/>
        <c:lblOffset val="100"/>
        <c:noMultiLvlLbl val="0"/>
      </c:catAx>
      <c:valAx>
        <c:axId val="-1795290864"/>
        <c:scaling>
          <c:orientation val="minMax"/>
          <c:min val="200000"/>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95281072"/>
        <c:crosses val="autoZero"/>
        <c:crossBetween val="between"/>
        <c:majorUnit val="20000"/>
        <c:minorUnit val="10000"/>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pieChart>
        <c:varyColors val="1"/>
        <c:ser>
          <c:idx val="0"/>
          <c:order val="0"/>
          <c:dPt>
            <c:idx val="0"/>
            <c:bubble3D val="0"/>
            <c:spPr>
              <a:gradFill rotWithShape="1">
                <a:gsLst>
                  <a:gs pos="0">
                    <a:schemeClr val="accent2">
                      <a:shade val="53000"/>
                      <a:tint val="100000"/>
                      <a:shade val="100000"/>
                      <a:satMod val="130000"/>
                    </a:schemeClr>
                  </a:gs>
                  <a:gs pos="100000">
                    <a:schemeClr val="accent2">
                      <a:shade val="53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E318-9F40-BF1B-FE69D3252C1D}"/>
              </c:ext>
            </c:extLst>
          </c:dPt>
          <c:dPt>
            <c:idx val="1"/>
            <c:bubble3D val="0"/>
            <c:spPr>
              <a:gradFill rotWithShape="1">
                <a:gsLst>
                  <a:gs pos="0">
                    <a:schemeClr val="accent2">
                      <a:shade val="76000"/>
                      <a:tint val="100000"/>
                      <a:shade val="100000"/>
                      <a:satMod val="130000"/>
                    </a:schemeClr>
                  </a:gs>
                  <a:gs pos="100000">
                    <a:schemeClr val="accent2">
                      <a:shade val="76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E318-9F40-BF1B-FE69D3252C1D}"/>
              </c:ext>
            </c:extLst>
          </c:dPt>
          <c:dPt>
            <c:idx val="2"/>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E318-9F40-BF1B-FE69D3252C1D}"/>
              </c:ext>
            </c:extLst>
          </c:dPt>
          <c:dPt>
            <c:idx val="3"/>
            <c:bubble3D val="0"/>
            <c:spPr>
              <a:gradFill rotWithShape="1">
                <a:gsLst>
                  <a:gs pos="0">
                    <a:schemeClr val="accent2">
                      <a:tint val="77000"/>
                      <a:tint val="100000"/>
                      <a:shade val="100000"/>
                      <a:satMod val="130000"/>
                    </a:schemeClr>
                  </a:gs>
                  <a:gs pos="100000">
                    <a:schemeClr val="accent2">
                      <a:tint val="77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E318-9F40-BF1B-FE69D3252C1D}"/>
              </c:ext>
            </c:extLst>
          </c:dPt>
          <c:dPt>
            <c:idx val="4"/>
            <c:bubble3D val="0"/>
            <c:spPr>
              <a:gradFill rotWithShape="1">
                <a:gsLst>
                  <a:gs pos="0">
                    <a:schemeClr val="accent2">
                      <a:tint val="54000"/>
                      <a:tint val="100000"/>
                      <a:shade val="100000"/>
                      <a:satMod val="130000"/>
                    </a:schemeClr>
                  </a:gs>
                  <a:gs pos="100000">
                    <a:schemeClr val="accent2">
                      <a:tint val="54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E318-9F40-BF1B-FE69D3252C1D}"/>
              </c:ext>
            </c:extLst>
          </c:dPt>
          <c:dLbls>
            <c:dLbl>
              <c:idx val="0"/>
              <c:layout>
                <c:manualLayout>
                  <c:x val="-1.9836994059953747E-3"/>
                  <c:y val="3.031838837309514E-2"/>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6.8187134502923977E-2"/>
                  <c:y val="8.1541113330982889E-3"/>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2.5865604518733331E-2"/>
                  <c:y val="-0.20046029694049439"/>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2.1529523721815474E-2"/>
                  <c:y val="8.3950577515064517E-3"/>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8.162652913999785E-2"/>
                  <c:y val="0.14756826105692011"/>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Sheet1!$C$222:$C$226</c:f>
              <c:strCache>
                <c:ptCount val="5"/>
                <c:pt idx="0">
                  <c:v>Sektori i Ndërtimit</c:v>
                </c:pt>
                <c:pt idx="1">
                  <c:v>Sektori i Prodhimit</c:v>
                </c:pt>
                <c:pt idx="2">
                  <c:v>Sektori i Shërbimit</c:v>
                </c:pt>
                <c:pt idx="3">
                  <c:v>Sektori i Transportit</c:v>
                </c:pt>
                <c:pt idx="4">
                  <c:v>Sektori i Tregtisë</c:v>
                </c:pt>
              </c:strCache>
            </c:strRef>
          </c:cat>
          <c:val>
            <c:numRef>
              <c:f>Sheet1!$D$222:$D$226</c:f>
              <c:numCache>
                <c:formatCode>0.0%</c:formatCode>
                <c:ptCount val="5"/>
                <c:pt idx="0">
                  <c:v>0.14299999999999999</c:v>
                </c:pt>
                <c:pt idx="1">
                  <c:v>0.20799999999999999</c:v>
                </c:pt>
                <c:pt idx="2" formatCode="0%">
                  <c:v>0.32</c:v>
                </c:pt>
                <c:pt idx="3">
                  <c:v>2.1999999999999999E-2</c:v>
                </c:pt>
                <c:pt idx="4">
                  <c:v>0.30499999999999999</c:v>
                </c:pt>
              </c:numCache>
            </c:numRef>
          </c:val>
          <c:extLst xmlns:c16r2="http://schemas.microsoft.com/office/drawing/2015/06/chart">
            <c:ext xmlns:c16="http://schemas.microsoft.com/office/drawing/2014/chart" uri="{C3380CC4-5D6E-409C-BE32-E72D297353CC}">
              <c16:uniqueId val="{0000000A-E318-9F40-BF1B-FE69D3252C1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pieChart>
        <c:varyColors val="1"/>
        <c:ser>
          <c:idx val="0"/>
          <c:order val="0"/>
          <c:dPt>
            <c:idx val="0"/>
            <c:bubble3D val="0"/>
            <c:spPr>
              <a:gradFill rotWithShape="1">
                <a:gsLst>
                  <a:gs pos="0">
                    <a:schemeClr val="accent2">
                      <a:shade val="53000"/>
                      <a:tint val="100000"/>
                      <a:shade val="100000"/>
                      <a:satMod val="130000"/>
                    </a:schemeClr>
                  </a:gs>
                  <a:gs pos="100000">
                    <a:schemeClr val="accent2">
                      <a:shade val="53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8F80-DC4E-803F-6C5AD91158BC}"/>
              </c:ext>
            </c:extLst>
          </c:dPt>
          <c:dPt>
            <c:idx val="1"/>
            <c:bubble3D val="0"/>
            <c:spPr>
              <a:gradFill rotWithShape="1">
                <a:gsLst>
                  <a:gs pos="0">
                    <a:schemeClr val="accent2">
                      <a:shade val="76000"/>
                      <a:tint val="100000"/>
                      <a:shade val="100000"/>
                      <a:satMod val="130000"/>
                    </a:schemeClr>
                  </a:gs>
                  <a:gs pos="100000">
                    <a:schemeClr val="accent2">
                      <a:shade val="76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8F80-DC4E-803F-6C5AD91158BC}"/>
              </c:ext>
            </c:extLst>
          </c:dPt>
          <c:dPt>
            <c:idx val="2"/>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8F80-DC4E-803F-6C5AD91158BC}"/>
              </c:ext>
            </c:extLst>
          </c:dPt>
          <c:dPt>
            <c:idx val="3"/>
            <c:bubble3D val="0"/>
            <c:spPr>
              <a:gradFill rotWithShape="1">
                <a:gsLst>
                  <a:gs pos="0">
                    <a:schemeClr val="accent2">
                      <a:tint val="77000"/>
                      <a:tint val="100000"/>
                      <a:shade val="100000"/>
                      <a:satMod val="130000"/>
                    </a:schemeClr>
                  </a:gs>
                  <a:gs pos="100000">
                    <a:schemeClr val="accent2">
                      <a:tint val="77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8F80-DC4E-803F-6C5AD91158BC}"/>
              </c:ext>
            </c:extLst>
          </c:dPt>
          <c:dPt>
            <c:idx val="4"/>
            <c:bubble3D val="0"/>
            <c:spPr>
              <a:gradFill rotWithShape="1">
                <a:gsLst>
                  <a:gs pos="0">
                    <a:schemeClr val="accent2">
                      <a:tint val="54000"/>
                      <a:tint val="100000"/>
                      <a:shade val="100000"/>
                      <a:satMod val="130000"/>
                    </a:schemeClr>
                  </a:gs>
                  <a:gs pos="100000">
                    <a:schemeClr val="accent2">
                      <a:tint val="54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8F80-DC4E-803F-6C5AD91158BC}"/>
              </c:ext>
            </c:extLst>
          </c:dPt>
          <c:dLbls>
            <c:dLbl>
              <c:idx val="3"/>
              <c:layout>
                <c:manualLayout>
                  <c:x val="7.2052946619082681E-2"/>
                  <c:y val="-1.5876982768458291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Sheet1!$C$288:$C$292</c:f>
              <c:strCache>
                <c:ptCount val="5"/>
                <c:pt idx="0">
                  <c:v>Ndërtimi</c:v>
                </c:pt>
                <c:pt idx="1">
                  <c:v>Prodhimi</c:v>
                </c:pt>
                <c:pt idx="2">
                  <c:v>Shërbimi</c:v>
                </c:pt>
                <c:pt idx="3">
                  <c:v>Transporti</c:v>
                </c:pt>
                <c:pt idx="4">
                  <c:v>Tregtia</c:v>
                </c:pt>
              </c:strCache>
            </c:strRef>
          </c:cat>
          <c:val>
            <c:numRef>
              <c:f>Sheet1!$D$288:$D$292</c:f>
              <c:numCache>
                <c:formatCode>0%</c:formatCode>
                <c:ptCount val="5"/>
                <c:pt idx="0">
                  <c:v>0.14045886146806599</c:v>
                </c:pt>
                <c:pt idx="1">
                  <c:v>0.21354572186853077</c:v>
                </c:pt>
                <c:pt idx="2">
                  <c:v>0.30989491577890255</c:v>
                </c:pt>
                <c:pt idx="3">
                  <c:v>1.968742238044402E-2</c:v>
                </c:pt>
                <c:pt idx="4">
                  <c:v>0.31641307850405637</c:v>
                </c:pt>
              </c:numCache>
            </c:numRef>
          </c:val>
          <c:extLst xmlns:c16r2="http://schemas.microsoft.com/office/drawing/2015/06/chart">
            <c:ext xmlns:c16="http://schemas.microsoft.com/office/drawing/2014/chart" uri="{C3380CC4-5D6E-409C-BE32-E72D297353CC}">
              <c16:uniqueId val="{0000000A-8F80-DC4E-803F-6C5AD91158B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2"/>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in Microsoft Word]Sheet1'!$E$321</c:f>
              <c:strCache>
                <c:ptCount val="1"/>
                <c:pt idx="0">
                  <c:v>Rimbursimi</c:v>
                </c:pt>
              </c:strCache>
            </c:strRef>
          </c:tx>
          <c:spPr>
            <a:solidFill>
              <a:schemeClr val="accent1"/>
            </a:solidFill>
            <a:ln>
              <a:noFill/>
            </a:ln>
            <a:effectLst/>
          </c:spPr>
          <c:invertIfNegative val="0"/>
          <c:cat>
            <c:numRef>
              <c:f>'[Chart in Microsoft Word]Sheet1'!$D$322:$D$331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'[Chart in Microsoft Word]Sheet1'!$E$322:$E$331</c:f>
              <c:numCache>
                <c:formatCode>_(* #,##0_);_(* \(#,##0\);_(* "-"??_);_(@_)</c:formatCode>
                <c:ptCount val="10"/>
                <c:pt idx="0">
                  <c:v>7008</c:v>
                </c:pt>
                <c:pt idx="1">
                  <c:v>7397</c:v>
                </c:pt>
                <c:pt idx="2">
                  <c:v>9600</c:v>
                </c:pt>
                <c:pt idx="3">
                  <c:v>7692</c:v>
                </c:pt>
                <c:pt idx="4">
                  <c:v>8886</c:v>
                </c:pt>
                <c:pt idx="5">
                  <c:v>13891</c:v>
                </c:pt>
                <c:pt idx="6">
                  <c:v>14394.3</c:v>
                </c:pt>
                <c:pt idx="7">
                  <c:v>23509</c:v>
                </c:pt>
                <c:pt idx="8">
                  <c:v>16508</c:v>
                </c:pt>
                <c:pt idx="9">
                  <c:v>24102</c:v>
                </c:pt>
              </c:numCache>
            </c:numRef>
          </c:val>
          <c:extLst xmlns:c16r2="http://schemas.microsoft.com/office/drawing/2015/06/chart">
            <c:ext xmlns:c16="http://schemas.microsoft.com/office/drawing/2014/chart" uri="{C3380CC4-5D6E-409C-BE32-E72D297353CC}">
              <c16:uniqueId val="{00000000-46FA-4C34-809E-45A289CBFB25}"/>
            </c:ext>
          </c:extLst>
        </c:ser>
        <c:dLbls>
          <c:showLegendKey val="0"/>
          <c:showVal val="0"/>
          <c:showCatName val="0"/>
          <c:showSerName val="0"/>
          <c:showPercent val="0"/>
          <c:showBubbleSize val="0"/>
        </c:dLbls>
        <c:gapWidth val="219"/>
        <c:overlap val="-27"/>
        <c:axId val="-1795278352"/>
        <c:axId val="-1795277808"/>
      </c:barChart>
      <c:lineChart>
        <c:grouping val="standard"/>
        <c:varyColors val="0"/>
        <c:ser>
          <c:idx val="1"/>
          <c:order val="1"/>
          <c:tx>
            <c:strRef>
              <c:f>'[Chart in Microsoft Word]Sheet1'!$F$321</c:f>
              <c:strCache>
                <c:ptCount val="1"/>
                <c:pt idx="0">
                  <c:v>% ndaj TVSH Totale</c:v>
                </c:pt>
              </c:strCache>
            </c:strRef>
          </c:tx>
          <c:spPr>
            <a:ln w="28575" cap="rnd">
              <a:solidFill>
                <a:srgbClr val="FF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Word]Sheet1'!$D$322:$D$331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'[Chart in Microsoft Word]Sheet1'!$F$322:$F$331</c:f>
              <c:numCache>
                <c:formatCode>0%</c:formatCode>
                <c:ptCount val="10"/>
                <c:pt idx="0">
                  <c:v>6.0137471789107E-2</c:v>
                </c:pt>
                <c:pt idx="1">
                  <c:v>6.6075910922132788E-2</c:v>
                </c:pt>
                <c:pt idx="2">
                  <c:v>7.758829709852097E-2</c:v>
                </c:pt>
                <c:pt idx="3">
                  <c:v>6.1260572466192001E-2</c:v>
                </c:pt>
                <c:pt idx="4">
                  <c:v>6.7630717710632463E-2</c:v>
                </c:pt>
                <c:pt idx="5">
                  <c:v>9.9548516554393007E-2</c:v>
                </c:pt>
                <c:pt idx="6">
                  <c:v>0.10029053969315664</c:v>
                </c:pt>
                <c:pt idx="7">
                  <c:v>0.17754433132948674</c:v>
                </c:pt>
                <c:pt idx="8">
                  <c:v>0.12684633476801313</c:v>
                </c:pt>
                <c:pt idx="9">
                  <c:v>0.15</c:v>
                </c:pt>
              </c:numCache>
            </c:numRef>
          </c:val>
          <c:smooth val="0"/>
          <c:extLst xmlns:c16r2="http://schemas.microsoft.com/office/drawing/2015/06/chart">
            <c:ext xmlns:c16="http://schemas.microsoft.com/office/drawing/2014/chart" uri="{C3380CC4-5D6E-409C-BE32-E72D297353CC}">
              <c16:uniqueId val="{00000001-46FA-4C34-809E-45A289CBFB25}"/>
            </c:ext>
          </c:extLst>
        </c:ser>
        <c:dLbls>
          <c:showLegendKey val="0"/>
          <c:showVal val="0"/>
          <c:showCatName val="0"/>
          <c:showSerName val="0"/>
          <c:showPercent val="0"/>
          <c:showBubbleSize val="0"/>
        </c:dLbls>
        <c:marker val="1"/>
        <c:smooth val="0"/>
        <c:axId val="-1795285968"/>
        <c:axId val="-1795290320"/>
      </c:lineChart>
      <c:catAx>
        <c:axId val="-179527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795277808"/>
        <c:crosses val="autoZero"/>
        <c:auto val="1"/>
        <c:lblAlgn val="ctr"/>
        <c:lblOffset val="100"/>
        <c:noMultiLvlLbl val="0"/>
      </c:catAx>
      <c:valAx>
        <c:axId val="-1795277808"/>
        <c:scaling>
          <c:orientation val="minMax"/>
        </c:scaling>
        <c:delete val="0"/>
        <c:axPos val="l"/>
        <c:majorGridlines>
          <c:spPr>
            <a:ln w="9525" cap="flat" cmpd="sng" algn="ctr">
              <a:no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5278352"/>
        <c:crosses val="autoZero"/>
        <c:crossBetween val="between"/>
      </c:valAx>
      <c:valAx>
        <c:axId val="-1795290320"/>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5285968"/>
        <c:crosses val="max"/>
        <c:crossBetween val="between"/>
      </c:valAx>
      <c:catAx>
        <c:axId val="-1795285968"/>
        <c:scaling>
          <c:orientation val="minMax"/>
        </c:scaling>
        <c:delete val="1"/>
        <c:axPos val="b"/>
        <c:numFmt formatCode="General" sourceLinked="1"/>
        <c:majorTickMark val="none"/>
        <c:minorTickMark val="none"/>
        <c:tickLblPos val="nextTo"/>
        <c:crossAx val="-17952903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DBEFF9"/>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in Microsoft Word]Sheet1'!$D$350</c:f>
              <c:strCache>
                <c:ptCount val="1"/>
                <c:pt idx="0">
                  <c:v>Akciza</c:v>
                </c:pt>
              </c:strCache>
            </c:strRef>
          </c:tx>
          <c:spPr>
            <a:solidFill>
              <a:schemeClr val="accent1"/>
            </a:solidFill>
            <a:ln>
              <a:noFill/>
            </a:ln>
            <a:effectLst/>
          </c:spPr>
          <c:invertIfNegative val="0"/>
          <c:cat>
            <c:numRef>
              <c:f>'[Chart in Microsoft Word]Sheet1'!$C$351:$C$360</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'[Chart in Microsoft Word]Sheet1'!$D$351:$D$360</c:f>
              <c:numCache>
                <c:formatCode>_(* #,##0_);_(* \(#,##0\);_(* "-"??_);_(@_)</c:formatCode>
                <c:ptCount val="10"/>
                <c:pt idx="0">
                  <c:v>36421</c:v>
                </c:pt>
                <c:pt idx="1">
                  <c:v>38151</c:v>
                </c:pt>
                <c:pt idx="2">
                  <c:v>32606</c:v>
                </c:pt>
                <c:pt idx="3">
                  <c:v>39027</c:v>
                </c:pt>
                <c:pt idx="4">
                  <c:v>41897</c:v>
                </c:pt>
                <c:pt idx="5">
                  <c:v>45104</c:v>
                </c:pt>
                <c:pt idx="6">
                  <c:v>44986</c:v>
                </c:pt>
                <c:pt idx="7">
                  <c:v>46124</c:v>
                </c:pt>
                <c:pt idx="8">
                  <c:v>33658</c:v>
                </c:pt>
                <c:pt idx="9" formatCode="General">
                  <c:v>39312</c:v>
                </c:pt>
              </c:numCache>
            </c:numRef>
          </c:val>
          <c:extLst xmlns:c16r2="http://schemas.microsoft.com/office/drawing/2015/06/chart">
            <c:ext xmlns:c16="http://schemas.microsoft.com/office/drawing/2014/chart" uri="{C3380CC4-5D6E-409C-BE32-E72D297353CC}">
              <c16:uniqueId val="{00000000-D1D4-49DB-8622-0146084AD9FD}"/>
            </c:ext>
          </c:extLst>
        </c:ser>
        <c:dLbls>
          <c:showLegendKey val="0"/>
          <c:showVal val="0"/>
          <c:showCatName val="0"/>
          <c:showSerName val="0"/>
          <c:showPercent val="0"/>
          <c:showBubbleSize val="0"/>
        </c:dLbls>
        <c:gapWidth val="219"/>
        <c:overlap val="-27"/>
        <c:axId val="-1795292496"/>
        <c:axId val="-1795284880"/>
      </c:barChart>
      <c:lineChart>
        <c:grouping val="standard"/>
        <c:varyColors val="0"/>
        <c:ser>
          <c:idx val="1"/>
          <c:order val="1"/>
          <c:tx>
            <c:strRef>
              <c:f>'[Chart in Microsoft Word]Sheet1'!$E$350</c:f>
              <c:strCache>
                <c:ptCount val="1"/>
                <c:pt idx="0">
                  <c:v>% ndaj te ardhurave totale</c:v>
                </c:pt>
              </c:strCache>
            </c:strRef>
          </c:tx>
          <c:spPr>
            <a:ln w="28575" cap="rnd">
              <a:solidFill>
                <a:srgbClr val="FF0000"/>
              </a:solidFill>
              <a:round/>
            </a:ln>
            <a:effectLst/>
          </c:spPr>
          <c:marker>
            <c:symbol val="none"/>
          </c:marker>
          <c:dLbls>
            <c:dLbl>
              <c:idx val="4"/>
              <c:layout>
                <c:manualLayout>
                  <c:x val="-2.9902534113060431E-2"/>
                  <c:y val="-0.11689666977534856"/>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1851851851851923E-2"/>
                  <c:y val="-0.13488767427309967"/>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2.9902534113060431E-2"/>
                  <c:y val="-0.15887568027010118"/>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2.9902534113060431E-2"/>
                  <c:y val="-0.17086968326860191"/>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2.9356725146198973E-2"/>
                  <c:y val="-0.1468816772716004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2.740740740740755E-2"/>
                  <c:y val="-0.20085469076485379"/>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Word]Sheet1'!$C$351:$C$360</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'[Chart in Microsoft Word]Sheet1'!$E$351:$E$360</c:f>
              <c:numCache>
                <c:formatCode>0%</c:formatCode>
                <c:ptCount val="10"/>
                <c:pt idx="0">
                  <c:v>0.11023838926824543</c:v>
                </c:pt>
                <c:pt idx="1">
                  <c:v>0.11660610847170839</c:v>
                </c:pt>
                <c:pt idx="2">
                  <c:v>8.8912279362239957E-2</c:v>
                </c:pt>
                <c:pt idx="3">
                  <c:v>0.10291767535323808</c:v>
                </c:pt>
                <c:pt idx="4">
                  <c:v>0.10293572076133664</c:v>
                </c:pt>
                <c:pt idx="5">
                  <c:v>0.104796269490726</c:v>
                </c:pt>
                <c:pt idx="6">
                  <c:v>9.9989108908690422E-2</c:v>
                </c:pt>
                <c:pt idx="7">
                  <c:v>0.10019354880753516</c:v>
                </c:pt>
                <c:pt idx="8">
                  <c:v>7.902701306629413E-2</c:v>
                </c:pt>
                <c:pt idx="9">
                  <c:v>7.6995996646897991E-2</c:v>
                </c:pt>
              </c:numCache>
            </c:numRef>
          </c:val>
          <c:smooth val="0"/>
          <c:extLst xmlns:c16r2="http://schemas.microsoft.com/office/drawing/2015/06/chart">
            <c:ext xmlns:c16="http://schemas.microsoft.com/office/drawing/2014/chart" uri="{C3380CC4-5D6E-409C-BE32-E72D297353CC}">
              <c16:uniqueId val="{00000001-D1D4-49DB-8622-0146084AD9FD}"/>
            </c:ext>
          </c:extLst>
        </c:ser>
        <c:dLbls>
          <c:showLegendKey val="0"/>
          <c:showVal val="0"/>
          <c:showCatName val="0"/>
          <c:showSerName val="0"/>
          <c:showPercent val="0"/>
          <c:showBubbleSize val="0"/>
        </c:dLbls>
        <c:marker val="1"/>
        <c:smooth val="0"/>
        <c:axId val="-1795291408"/>
        <c:axId val="-1795291952"/>
      </c:lineChart>
      <c:catAx>
        <c:axId val="-179529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795284880"/>
        <c:crosses val="autoZero"/>
        <c:auto val="1"/>
        <c:lblAlgn val="ctr"/>
        <c:lblOffset val="100"/>
        <c:noMultiLvlLbl val="0"/>
      </c:catAx>
      <c:valAx>
        <c:axId val="-1795284880"/>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5292496"/>
        <c:crosses val="autoZero"/>
        <c:crossBetween val="between"/>
      </c:valAx>
      <c:valAx>
        <c:axId val="-1795291952"/>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5291408"/>
        <c:crosses val="max"/>
        <c:crossBetween val="between"/>
      </c:valAx>
      <c:catAx>
        <c:axId val="-1795291408"/>
        <c:scaling>
          <c:orientation val="minMax"/>
        </c:scaling>
        <c:delete val="1"/>
        <c:axPos val="b"/>
        <c:numFmt formatCode="General" sourceLinked="1"/>
        <c:majorTickMark val="none"/>
        <c:minorTickMark val="none"/>
        <c:tickLblPos val="nextTo"/>
        <c:crossAx val="-17952919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DBEFF9"/>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pieChart>
        <c:varyColors val="1"/>
        <c:ser>
          <c:idx val="0"/>
          <c:order val="0"/>
          <c:dPt>
            <c:idx val="0"/>
            <c:bubble3D val="0"/>
            <c:spPr>
              <a:gradFill rotWithShape="1">
                <a:gsLst>
                  <a:gs pos="0">
                    <a:schemeClr val="accent2">
                      <a:shade val="53000"/>
                      <a:tint val="100000"/>
                      <a:shade val="100000"/>
                      <a:satMod val="130000"/>
                    </a:schemeClr>
                  </a:gs>
                  <a:gs pos="100000">
                    <a:schemeClr val="accent2">
                      <a:shade val="53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EFE8-CF44-B252-14B0F93EEB53}"/>
              </c:ext>
            </c:extLst>
          </c:dPt>
          <c:dPt>
            <c:idx val="1"/>
            <c:bubble3D val="0"/>
            <c:spPr>
              <a:gradFill rotWithShape="1">
                <a:gsLst>
                  <a:gs pos="0">
                    <a:schemeClr val="accent2">
                      <a:shade val="76000"/>
                      <a:tint val="100000"/>
                      <a:shade val="100000"/>
                      <a:satMod val="130000"/>
                    </a:schemeClr>
                  </a:gs>
                  <a:gs pos="100000">
                    <a:schemeClr val="accent2">
                      <a:shade val="76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EFE8-CF44-B252-14B0F93EEB53}"/>
              </c:ext>
            </c:extLst>
          </c:dPt>
          <c:dPt>
            <c:idx val="2"/>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EFE8-CF44-B252-14B0F93EEB53}"/>
              </c:ext>
            </c:extLst>
          </c:dPt>
          <c:dPt>
            <c:idx val="3"/>
            <c:bubble3D val="0"/>
            <c:spPr>
              <a:gradFill rotWithShape="1">
                <a:gsLst>
                  <a:gs pos="0">
                    <a:schemeClr val="accent2">
                      <a:tint val="77000"/>
                      <a:tint val="100000"/>
                      <a:shade val="100000"/>
                      <a:satMod val="130000"/>
                    </a:schemeClr>
                  </a:gs>
                  <a:gs pos="100000">
                    <a:schemeClr val="accent2">
                      <a:tint val="77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EFE8-CF44-B252-14B0F93EEB53}"/>
              </c:ext>
            </c:extLst>
          </c:dPt>
          <c:dPt>
            <c:idx val="4"/>
            <c:bubble3D val="0"/>
            <c:spPr>
              <a:gradFill rotWithShape="1">
                <a:gsLst>
                  <a:gs pos="0">
                    <a:schemeClr val="accent2">
                      <a:tint val="54000"/>
                      <a:tint val="100000"/>
                      <a:shade val="100000"/>
                      <a:satMod val="130000"/>
                    </a:schemeClr>
                  </a:gs>
                  <a:gs pos="100000">
                    <a:schemeClr val="accent2">
                      <a:tint val="54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EFE8-CF44-B252-14B0F93EEB53}"/>
              </c:ext>
            </c:extLst>
          </c:dPt>
          <c:dLbls>
            <c:dLbl>
              <c:idx val="0"/>
              <c:layout>
                <c:manualLayout>
                  <c:x val="-0.15984405458089668"/>
                  <c:y val="2.2834084175418173E-3"/>
                </c:manualLayout>
              </c:layout>
              <c:showLegendKey val="0"/>
              <c:showVal val="1"/>
              <c:showCatName val="1"/>
              <c:showSerName val="0"/>
              <c:showPercent val="0"/>
              <c:showBubbleSize val="0"/>
              <c:extLst>
                <c:ext xmlns:c15="http://schemas.microsoft.com/office/drawing/2012/chart" uri="{CE6537A1-D6FC-4f65-9D91-7224C49458BB}">
                  <c15:layout>
                    <c:manualLayout>
                      <c:w val="0.28606237816764135"/>
                      <c:h val="0.1140955550273354"/>
                    </c:manualLayout>
                  </c15:layout>
                </c:ext>
              </c:extLst>
            </c:dLbl>
            <c:dLbl>
              <c:idx val="2"/>
              <c:layout>
                <c:manualLayout>
                  <c:x val="2.6807723595953979E-2"/>
                  <c:y val="7.2073353559590408E-2"/>
                </c:manualLayout>
              </c:layout>
              <c:tx>
                <c:rich>
                  <a:bodyPr/>
                  <a:lstStyle/>
                  <a:p>
                    <a:fld id="{745ADB83-3744-4D0C-9388-F505AB3521B3}" type="CATEGORYNAME">
                      <a:rPr lang="en-US"/>
                      <a:pPr/>
                      <a:t>[CATEGORY NAME]</a:t>
                    </a:fld>
                    <a:r>
                      <a:rPr lang="en-US"/>
                      <a:t>, </a:t>
                    </a:r>
                    <a:fld id="{449783BD-A571-43FB-A112-F629167007F8}" type="VALUE">
                      <a:rPr lang="en-US"/>
                      <a:pPr/>
                      <a:t>[VALUE]</a:t>
                    </a:fld>
                    <a:endParaRPr 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3"/>
              <c:layout>
                <c:manualLayout>
                  <c:x val="2.2425749412902336E-2"/>
                  <c:y val="6.6500714033042044E-2"/>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6.0525978861114764E-2"/>
                  <c:y val="-2.0801747607636059E-3"/>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Sheet1!$C$378:$C$382</c:f>
              <c:strCache>
                <c:ptCount val="5"/>
                <c:pt idx="0">
                  <c:v>Karburante Import </c:v>
                </c:pt>
                <c:pt idx="1">
                  <c:v>Cigare </c:v>
                </c:pt>
                <c:pt idx="2">
                  <c:v>Birrë Importi </c:v>
                </c:pt>
                <c:pt idx="3">
                  <c:v>Birrë Prodhim Vendi </c:v>
                </c:pt>
                <c:pt idx="4">
                  <c:v>Te tjera </c:v>
                </c:pt>
              </c:strCache>
            </c:strRef>
          </c:cat>
          <c:val>
            <c:numRef>
              <c:f>Sheet1!$D$378:$D$382</c:f>
              <c:numCache>
                <c:formatCode>0%</c:formatCode>
                <c:ptCount val="5"/>
                <c:pt idx="0">
                  <c:v>0.50775338179039897</c:v>
                </c:pt>
                <c:pt idx="1">
                  <c:v>0.3716346785172332</c:v>
                </c:pt>
                <c:pt idx="2">
                  <c:v>1.4523508851131765E-2</c:v>
                </c:pt>
                <c:pt idx="3">
                  <c:v>3.1560988995128693E-2</c:v>
                </c:pt>
                <c:pt idx="4">
                  <c:v>7.4527441846107517E-2</c:v>
                </c:pt>
              </c:numCache>
            </c:numRef>
          </c:val>
          <c:extLst xmlns:c16r2="http://schemas.microsoft.com/office/drawing/2015/06/chart">
            <c:ext xmlns:c16="http://schemas.microsoft.com/office/drawing/2014/chart" uri="{C3380CC4-5D6E-409C-BE32-E72D297353CC}">
              <c16:uniqueId val="{0000000A-EFE8-CF44-B252-14B0F93EEB5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593739671429964E-2"/>
          <c:y val="0.12141280353200883"/>
          <c:w val="0.87298049965976476"/>
          <c:h val="0.53396429750916896"/>
        </c:manualLayout>
      </c:layout>
      <c:barChart>
        <c:barDir val="col"/>
        <c:grouping val="clustered"/>
        <c:varyColors val="0"/>
        <c:ser>
          <c:idx val="0"/>
          <c:order val="0"/>
          <c:tx>
            <c:strRef>
              <c:f>'[Chart in Microsoft Word]Sheet1'!$D$404</c:f>
              <c:strCache>
                <c:ptCount val="1"/>
                <c:pt idx="0">
                  <c:v>TAP</c:v>
                </c:pt>
              </c:strCache>
            </c:strRef>
          </c:tx>
          <c:spPr>
            <a:solidFill>
              <a:schemeClr val="accent1"/>
            </a:solidFill>
            <a:ln>
              <a:noFill/>
            </a:ln>
            <a:effectLst/>
          </c:spPr>
          <c:invertIfNegative val="0"/>
          <c:cat>
            <c:numRef>
              <c:f>'[Chart in Microsoft Word]Sheet1'!$C$405:$C$414</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'[Chart in Microsoft Word]Sheet1'!$D$405:$D$414</c:f>
              <c:numCache>
                <c:formatCode>General</c:formatCode>
                <c:ptCount val="10"/>
                <c:pt idx="0">
                  <c:v>27937</c:v>
                </c:pt>
                <c:pt idx="1">
                  <c:v>29555</c:v>
                </c:pt>
                <c:pt idx="2">
                  <c:v>28852</c:v>
                </c:pt>
                <c:pt idx="3">
                  <c:v>29270</c:v>
                </c:pt>
                <c:pt idx="4">
                  <c:v>31410</c:v>
                </c:pt>
                <c:pt idx="5">
                  <c:v>32102</c:v>
                </c:pt>
                <c:pt idx="6">
                  <c:v>36404</c:v>
                </c:pt>
                <c:pt idx="7">
                  <c:v>46124</c:v>
                </c:pt>
                <c:pt idx="8">
                  <c:v>33658</c:v>
                </c:pt>
                <c:pt idx="9">
                  <c:v>39312</c:v>
                </c:pt>
              </c:numCache>
            </c:numRef>
          </c:val>
          <c:extLst xmlns:c16r2="http://schemas.microsoft.com/office/drawing/2015/06/chart">
            <c:ext xmlns:c16="http://schemas.microsoft.com/office/drawing/2014/chart" uri="{C3380CC4-5D6E-409C-BE32-E72D297353CC}">
              <c16:uniqueId val="{00000000-50CE-F34F-A459-7C62F1C93BFD}"/>
            </c:ext>
          </c:extLst>
        </c:ser>
        <c:dLbls>
          <c:showLegendKey val="0"/>
          <c:showVal val="0"/>
          <c:showCatName val="0"/>
          <c:showSerName val="0"/>
          <c:showPercent val="0"/>
          <c:showBubbleSize val="0"/>
        </c:dLbls>
        <c:gapWidth val="219"/>
        <c:overlap val="-27"/>
        <c:axId val="-1795287600"/>
        <c:axId val="-1795286512"/>
      </c:barChart>
      <c:lineChart>
        <c:grouping val="standard"/>
        <c:varyColors val="0"/>
        <c:ser>
          <c:idx val="1"/>
          <c:order val="1"/>
          <c:tx>
            <c:strRef>
              <c:f>'[Chart in Microsoft Word]Sheet1'!$E$404</c:f>
              <c:strCache>
                <c:ptCount val="1"/>
                <c:pt idx="0">
                  <c:v>% ndaj te ardhurave totale</c:v>
                </c:pt>
              </c:strCache>
            </c:strRef>
          </c:tx>
          <c:spPr>
            <a:ln w="28575" cap="rnd">
              <a:solidFill>
                <a:srgbClr val="FF0000"/>
              </a:solidFill>
              <a:round/>
            </a:ln>
            <a:effectLst/>
          </c:spPr>
          <c:marker>
            <c:symbol val="none"/>
          </c:marker>
          <c:dLbls>
            <c:dLbl>
              <c:idx val="6"/>
              <c:layout>
                <c:manualLayout>
                  <c:x val="-3.5693827160493824E-2"/>
                  <c:y val="-0.16826906252103105"/>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4.235061728395062E-2"/>
                  <c:y val="-0.17681607106803957"/>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3.5693827160493824E-2"/>
                  <c:y val="-0.15117504542701396"/>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3.6365432098765575E-2"/>
                  <c:y val="-0.15903627431186487"/>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'[Chart in Microsoft Word]Sheet1'!$C$405:$C$414</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'[Chart in Microsoft Word]Sheet1'!$E$405:$E$414</c:f>
              <c:numCache>
                <c:formatCode>0.0%</c:formatCode>
                <c:ptCount val="10"/>
                <c:pt idx="0">
                  <c:v>8.4559179621289171E-2</c:v>
                </c:pt>
                <c:pt idx="1">
                  <c:v>9.0332980416800129E-2</c:v>
                </c:pt>
                <c:pt idx="2">
                  <c:v>7.8675614431679669E-2</c:v>
                </c:pt>
                <c:pt idx="3">
                  <c:v>7.7187597242659667E-2</c:v>
                </c:pt>
                <c:pt idx="4">
                  <c:v>7.7170465405961855E-2</c:v>
                </c:pt>
                <c:pt idx="5">
                  <c:v>7.4586951117224326E-2</c:v>
                </c:pt>
                <c:pt idx="6">
                  <c:v>8.0914140415061717E-2</c:v>
                </c:pt>
                <c:pt idx="7">
                  <c:v>0.10019354880753516</c:v>
                </c:pt>
                <c:pt idx="8">
                  <c:v>7.902701306629413E-2</c:v>
                </c:pt>
                <c:pt idx="9">
                  <c:v>8.2657695542472667E-2</c:v>
                </c:pt>
              </c:numCache>
            </c:numRef>
          </c:val>
          <c:smooth val="0"/>
          <c:extLst xmlns:c16r2="http://schemas.microsoft.com/office/drawing/2015/06/chart">
            <c:ext xmlns:c16="http://schemas.microsoft.com/office/drawing/2014/chart" uri="{C3380CC4-5D6E-409C-BE32-E72D297353CC}">
              <c16:uniqueId val="{00000001-50CE-F34F-A459-7C62F1C93BFD}"/>
            </c:ext>
          </c:extLst>
        </c:ser>
        <c:dLbls>
          <c:showLegendKey val="0"/>
          <c:showVal val="0"/>
          <c:showCatName val="0"/>
          <c:showSerName val="0"/>
          <c:showPercent val="0"/>
          <c:showBubbleSize val="0"/>
        </c:dLbls>
        <c:marker val="1"/>
        <c:smooth val="0"/>
        <c:axId val="-1795027680"/>
        <c:axId val="-1795028768"/>
      </c:lineChart>
      <c:catAx>
        <c:axId val="-179528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1795286512"/>
        <c:crosses val="autoZero"/>
        <c:auto val="1"/>
        <c:lblAlgn val="ctr"/>
        <c:lblOffset val="100"/>
        <c:noMultiLvlLbl val="0"/>
      </c:catAx>
      <c:valAx>
        <c:axId val="-17952865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95287600"/>
        <c:crosses val="autoZero"/>
        <c:crossBetween val="between"/>
      </c:valAx>
      <c:valAx>
        <c:axId val="-1795028768"/>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95027680"/>
        <c:crosses val="max"/>
        <c:crossBetween val="between"/>
      </c:valAx>
      <c:catAx>
        <c:axId val="-1795027680"/>
        <c:scaling>
          <c:orientation val="minMax"/>
        </c:scaling>
        <c:delete val="1"/>
        <c:axPos val="b"/>
        <c:numFmt formatCode="General" sourceLinked="1"/>
        <c:majorTickMark val="none"/>
        <c:minorTickMark val="none"/>
        <c:tickLblPos val="nextTo"/>
        <c:crossAx val="-1795028768"/>
        <c:crosses val="autoZero"/>
        <c:auto val="1"/>
        <c:lblAlgn val="ctr"/>
        <c:lblOffset val="100"/>
        <c:noMultiLvlLbl val="0"/>
      </c:catAx>
      <c:spPr>
        <a:noFill/>
        <a:ln>
          <a:noFill/>
        </a:ln>
        <a:effectLst/>
      </c:spPr>
    </c:plotArea>
    <c:legend>
      <c:legendPos val="b"/>
      <c:layout>
        <c:manualLayout>
          <c:xMode val="edge"/>
          <c:yMode val="edge"/>
          <c:x val="0.30836092155147271"/>
          <c:y val="0.79822095913507507"/>
          <c:w val="0.38327815689705452"/>
          <c:h val="0.16866645808346806"/>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DBEFF9"/>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'[Chart in Microsoft Word]Sheet1'!$C$6</c:f>
              <c:strCache>
                <c:ptCount val="1"/>
                <c:pt idx="0">
                  <c:v>Te ardhurat totale</c:v>
                </c:pt>
              </c:strCache>
            </c:strRef>
          </c:tx>
          <c:spPr>
            <a:solidFill>
              <a:schemeClr val="accent1">
                <a:lumMod val="75000"/>
              </a:schemeClr>
            </a:solidFill>
            <a:ln>
              <a:noFill/>
            </a:ln>
            <a:effectLst/>
          </c:spPr>
          <c:invertIfNegative val="0"/>
          <c:cat>
            <c:numRef>
              <c:f>'[Chart in Microsoft Word]Sheet1'!$D$5:$M$5</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'[Chart in Microsoft Word]Sheet1'!$D$6:$M$6</c:f>
              <c:numCache>
                <c:formatCode>_(* #,##0_);_(* \(#,##0\);_(* "-"??_);_(@_)</c:formatCode>
                <c:ptCount val="10"/>
                <c:pt idx="0">
                  <c:v>330384</c:v>
                </c:pt>
                <c:pt idx="1">
                  <c:v>327178.40000000002</c:v>
                </c:pt>
                <c:pt idx="2">
                  <c:v>366721</c:v>
                </c:pt>
                <c:pt idx="3">
                  <c:v>379206</c:v>
                </c:pt>
                <c:pt idx="4">
                  <c:v>407021</c:v>
                </c:pt>
                <c:pt idx="5">
                  <c:v>430397.20000000007</c:v>
                </c:pt>
                <c:pt idx="6">
                  <c:v>449909.43</c:v>
                </c:pt>
                <c:pt idx="7">
                  <c:v>460348.69000000006</c:v>
                </c:pt>
                <c:pt idx="8">
                  <c:v>425904.77999999997</c:v>
                </c:pt>
                <c:pt idx="9">
                  <c:v>510572</c:v>
                </c:pt>
              </c:numCache>
            </c:numRef>
          </c:val>
          <c:extLst xmlns:c16r2="http://schemas.microsoft.com/office/drawing/2015/06/chart">
            <c:ext xmlns:c16="http://schemas.microsoft.com/office/drawing/2014/chart" uri="{C3380CC4-5D6E-409C-BE32-E72D297353CC}">
              <c16:uniqueId val="{00000000-851F-44E4-8105-9951102796C8}"/>
            </c:ext>
          </c:extLst>
        </c:ser>
        <c:dLbls>
          <c:showLegendKey val="0"/>
          <c:showVal val="0"/>
          <c:showCatName val="0"/>
          <c:showSerName val="0"/>
          <c:showPercent val="0"/>
          <c:showBubbleSize val="0"/>
        </c:dLbls>
        <c:gapWidth val="219"/>
        <c:overlap val="-27"/>
        <c:axId val="-2059271520"/>
        <c:axId val="-2059270976"/>
      </c:barChart>
      <c:lineChart>
        <c:grouping val="standard"/>
        <c:varyColors val="0"/>
        <c:ser>
          <c:idx val="1"/>
          <c:order val="1"/>
          <c:tx>
            <c:strRef>
              <c:f>'[Chart in Microsoft Word]Sheet1'!$C$7</c:f>
              <c:strCache>
                <c:ptCount val="1"/>
                <c:pt idx="0">
                  <c:v>ne % ndaj PBB</c:v>
                </c:pt>
              </c:strCache>
            </c:strRef>
          </c:tx>
          <c:spPr>
            <a:ln w="28575" cap="rnd">
              <a:solidFill>
                <a:schemeClr val="tx2">
                  <a:lumMod val="40000"/>
                  <a:lumOff val="60000"/>
                </a:schemeClr>
              </a:solidFill>
              <a:round/>
            </a:ln>
            <a:effectLst/>
          </c:spPr>
          <c:marker>
            <c:symbol val="none"/>
          </c:marker>
          <c:dLbls>
            <c:dLbl>
              <c:idx val="0"/>
              <c:layout>
                <c:manualLayout>
                  <c:x val="-6.6892975236101535E-2"/>
                  <c:y val="1.251093613298332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7.0696912372606403E-3"/>
                  <c:y val="2.055191017789443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7.8466882816118581E-3"/>
                  <c:y val="-0.13368789427637337"/>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2.7454531418866758E-2"/>
                  <c:y val="-0.14538380070912188"/>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457200" anchor="b"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'[Chart in Microsoft Word]Sheet1'!$D$5:$M$5</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'[Chart in Microsoft Word]Sheet1'!$D$7:$M$7</c:f>
              <c:numCache>
                <c:formatCode>#,##0.0</c:formatCode>
                <c:ptCount val="10"/>
                <c:pt idx="0">
                  <c:v>24.788492300489491</c:v>
                </c:pt>
                <c:pt idx="1">
                  <c:v>24.23450355986288</c:v>
                </c:pt>
                <c:pt idx="2">
                  <c:v>26.282535047942989</c:v>
                </c:pt>
                <c:pt idx="3">
                  <c:v>26.438254545048899</c:v>
                </c:pt>
                <c:pt idx="4">
                  <c:v>27.641869499076389</c:v>
                </c:pt>
                <c:pt idx="5">
                  <c:v>27.756003226785094</c:v>
                </c:pt>
                <c:pt idx="6">
                  <c:v>27.488288819635336</c:v>
                </c:pt>
                <c:pt idx="7">
                  <c:v>27.211730137224126</c:v>
                </c:pt>
                <c:pt idx="8">
                  <c:v>25.9</c:v>
                </c:pt>
                <c:pt idx="9">
                  <c:v>27</c:v>
                </c:pt>
              </c:numCache>
            </c:numRef>
          </c:val>
          <c:smooth val="0"/>
          <c:extLst xmlns:c16r2="http://schemas.microsoft.com/office/drawing/2015/06/chart">
            <c:ext xmlns:c16="http://schemas.microsoft.com/office/drawing/2014/chart" uri="{C3380CC4-5D6E-409C-BE32-E72D297353CC}">
              <c16:uniqueId val="{00000001-851F-44E4-8105-9951102796C8}"/>
            </c:ext>
          </c:extLst>
        </c:ser>
        <c:dLbls>
          <c:showLegendKey val="0"/>
          <c:showVal val="0"/>
          <c:showCatName val="0"/>
          <c:showSerName val="0"/>
          <c:showPercent val="0"/>
          <c:showBubbleSize val="0"/>
        </c:dLbls>
        <c:marker val="1"/>
        <c:smooth val="0"/>
        <c:axId val="-2104728128"/>
        <c:axId val="-2104729760"/>
      </c:lineChart>
      <c:catAx>
        <c:axId val="-205927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9270976"/>
        <c:crosses val="autoZero"/>
        <c:auto val="1"/>
        <c:lblAlgn val="ctr"/>
        <c:lblOffset val="100"/>
        <c:noMultiLvlLbl val="0"/>
      </c:catAx>
      <c:valAx>
        <c:axId val="-2059270976"/>
        <c:scaling>
          <c:orientation val="minMax"/>
        </c:scaling>
        <c:delete val="0"/>
        <c:axPos val="l"/>
        <c:majorGridlines>
          <c:spPr>
            <a:ln w="9525" cap="flat" cmpd="sng" algn="ctr">
              <a:no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9271520"/>
        <c:crosses val="autoZero"/>
        <c:crossBetween val="between"/>
      </c:valAx>
      <c:valAx>
        <c:axId val="-210472976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4728128"/>
        <c:crosses val="max"/>
        <c:crossBetween val="between"/>
      </c:valAx>
      <c:catAx>
        <c:axId val="-2104728128"/>
        <c:scaling>
          <c:orientation val="minMax"/>
        </c:scaling>
        <c:delete val="1"/>
        <c:axPos val="b"/>
        <c:numFmt formatCode="General" sourceLinked="1"/>
        <c:majorTickMark val="out"/>
        <c:minorTickMark val="none"/>
        <c:tickLblPos val="nextTo"/>
        <c:crossAx val="-21047297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2"/>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gradFill rotWithShape="1">
                <a:gsLst>
                  <a:gs pos="0">
                    <a:schemeClr val="accent1">
                      <a:shade val="44000"/>
                      <a:tint val="100000"/>
                      <a:shade val="100000"/>
                      <a:satMod val="130000"/>
                    </a:schemeClr>
                  </a:gs>
                  <a:gs pos="100000">
                    <a:schemeClr val="accent1">
                      <a:shade val="44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1">
                      <a:shade val="58000"/>
                      <a:tint val="100000"/>
                      <a:shade val="100000"/>
                      <a:satMod val="130000"/>
                    </a:schemeClr>
                  </a:gs>
                  <a:gs pos="100000">
                    <a:schemeClr val="accent1">
                      <a:shade val="58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1">
                      <a:shade val="72000"/>
                      <a:tint val="100000"/>
                      <a:shade val="100000"/>
                      <a:satMod val="130000"/>
                    </a:schemeClr>
                  </a:gs>
                  <a:gs pos="100000">
                    <a:schemeClr val="accent1">
                      <a:shade val="72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1">
                      <a:shade val="86000"/>
                      <a:tint val="100000"/>
                      <a:shade val="100000"/>
                      <a:satMod val="130000"/>
                    </a:schemeClr>
                  </a:gs>
                  <a:gs pos="100000">
                    <a:schemeClr val="accent1">
                      <a:shade val="86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5"/>
            <c:bubble3D val="0"/>
            <c:spPr>
              <a:gradFill rotWithShape="1">
                <a:gsLst>
                  <a:gs pos="0">
                    <a:schemeClr val="accent1">
                      <a:tint val="86000"/>
                      <a:tint val="100000"/>
                      <a:shade val="100000"/>
                      <a:satMod val="130000"/>
                    </a:schemeClr>
                  </a:gs>
                  <a:gs pos="100000">
                    <a:schemeClr val="accent1">
                      <a:tint val="86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6"/>
            <c:bubble3D val="0"/>
            <c:spPr>
              <a:gradFill rotWithShape="1">
                <a:gsLst>
                  <a:gs pos="0">
                    <a:schemeClr val="accent1">
                      <a:tint val="72000"/>
                      <a:tint val="100000"/>
                      <a:shade val="100000"/>
                      <a:satMod val="130000"/>
                    </a:schemeClr>
                  </a:gs>
                  <a:gs pos="100000">
                    <a:schemeClr val="accent1">
                      <a:tint val="72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7"/>
            <c:bubble3D val="0"/>
            <c:spPr>
              <a:gradFill rotWithShape="1">
                <a:gsLst>
                  <a:gs pos="0">
                    <a:schemeClr val="accent1">
                      <a:tint val="58000"/>
                      <a:tint val="100000"/>
                      <a:shade val="100000"/>
                      <a:satMod val="130000"/>
                    </a:schemeClr>
                  </a:gs>
                  <a:gs pos="100000">
                    <a:schemeClr val="accent1">
                      <a:tint val="58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8"/>
            <c:bubble3D val="0"/>
            <c:spPr>
              <a:gradFill rotWithShape="1">
                <a:gsLst>
                  <a:gs pos="0">
                    <a:schemeClr val="accent1">
                      <a:tint val="44000"/>
                      <a:tint val="100000"/>
                      <a:shade val="100000"/>
                      <a:satMod val="130000"/>
                    </a:schemeClr>
                  </a:gs>
                  <a:gs pos="100000">
                    <a:schemeClr val="accent1">
                      <a:tint val="44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8.1423678542424348E-3"/>
                  <c:y val="2.2813439710764622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1"/>
              <c:layout>
                <c:manualLayout>
                  <c:x val="2.067214424283921E-2"/>
                  <c:y val="-0.15738060035072035"/>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2"/>
              <c:layout>
                <c:manualLayout>
                  <c:x val="1.7756121292013351E-2"/>
                  <c:y val="1.3628478559385374E-2"/>
                </c:manualLayout>
              </c:layout>
              <c:tx>
                <c:rich>
                  <a:bodyPr/>
                  <a:lstStyle/>
                  <a:p>
                    <a:fld id="{8340C755-1E4B-43CE-BDE4-A6DE23A97220}" type="CATEGORYNAME">
                      <a:rPr lang="en-US"/>
                      <a:pPr/>
                      <a:t>[CATEGORY NAME]</a:t>
                    </a:fld>
                    <a:r>
                      <a:rPr lang="en-US" baseline="0"/>
                      <a:t>, </a:t>
                    </a:r>
                    <a:fld id="{784BB93A-A029-494D-92EE-79F3BDA73E53}" type="VALUE">
                      <a:rPr lang="en-US" baseline="0"/>
                      <a:pPr/>
                      <a:t>[VALUE]</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3"/>
              <c:layout>
                <c:manualLayout>
                  <c:x val="4.4720643103468571E-3"/>
                  <c:y val="1.2753649346840241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4"/>
              <c:layout>
                <c:manualLayout>
                  <c:x val="1.2172985103319484E-2"/>
                  <c:y val="-0.16357376531371981"/>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5"/>
              <c:layout>
                <c:manualLayout>
                  <c:x val="3.6957263750103897E-4"/>
                  <c:y val="2.4467958697139865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6"/>
              <c:layout>
                <c:manualLayout>
                  <c:x val="1.2339802816127796E-2"/>
                  <c:y val="-3.7903571509148749E-4"/>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1917289486796213"/>
                      <c:h val="9.2072588347659981E-2"/>
                    </c:manualLayout>
                  </c15:layout>
                </c:ext>
              </c:extLst>
            </c:dLbl>
            <c:dLbl>
              <c:idx val="7"/>
              <c:layout>
                <c:manualLayout>
                  <c:x val="-2.4967731051555773E-4"/>
                  <c:y val="-6.1518138047313622E-3"/>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8"/>
              <c:layout>
                <c:manualLayout>
                  <c:x val="8.8813405050826008E-2"/>
                  <c:y val="3.4652622064626029E-3"/>
                </c:manualLayout>
              </c:layout>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1"/>
            <c:showSerName val="0"/>
            <c:showPercent val="0"/>
            <c:showBubbleSize val="0"/>
            <c:showLeaderLines val="0"/>
            <c:extLst>
              <c:ext xmlns:c15="http://schemas.microsoft.com/office/drawing/2012/chart" uri="{CE6537A1-D6FC-4f65-9D91-7224C49458BB}"/>
            </c:extLst>
          </c:dLbls>
          <c:cat>
            <c:strRef>
              <c:f>'[Chart in Microsoft Word]Sheet1'!$C$434:$C$442</c:f>
              <c:strCache>
                <c:ptCount val="9"/>
                <c:pt idx="0">
                  <c:v>Sektori Publik </c:v>
                </c:pt>
                <c:pt idx="1">
                  <c:v>Sektori Privat</c:v>
                </c:pt>
                <c:pt idx="2">
                  <c:v>Interesat</c:v>
                </c:pt>
                <c:pt idx="3">
                  <c:v>Qerate</c:v>
                </c:pt>
                <c:pt idx="4">
                  <c:v>Lojrat e fatit</c:v>
                </c:pt>
                <c:pt idx="5">
                  <c:v>Tatim ne burim</c:v>
                </c:pt>
                <c:pt idx="6">
                  <c:v>Dividenti dhe Aksionet</c:v>
                </c:pt>
                <c:pt idx="7">
                  <c:v>Te tjera</c:v>
                </c:pt>
                <c:pt idx="8">
                  <c:v>Pasuri e Paluajtshme</c:v>
                </c:pt>
              </c:strCache>
            </c:strRef>
          </c:cat>
          <c:val>
            <c:numRef>
              <c:f>'[Chart in Microsoft Word]Sheet1'!$D$434:$D$442</c:f>
              <c:numCache>
                <c:formatCode>0%</c:formatCode>
                <c:ptCount val="9"/>
                <c:pt idx="0">
                  <c:v>0.22419579461656128</c:v>
                </c:pt>
                <c:pt idx="1">
                  <c:v>0.35448962352457708</c:v>
                </c:pt>
                <c:pt idx="2">
                  <c:v>4.5044633684162463E-2</c:v>
                </c:pt>
                <c:pt idx="3">
                  <c:v>9.7623341932832577E-2</c:v>
                </c:pt>
                <c:pt idx="4" formatCode="0.0%">
                  <c:v>1.2556790940846099E-3</c:v>
                </c:pt>
                <c:pt idx="5">
                  <c:v>5.9907308052327572E-2</c:v>
                </c:pt>
                <c:pt idx="6">
                  <c:v>8.3057464441451109E-2</c:v>
                </c:pt>
                <c:pt idx="7">
                  <c:v>2.9108924453779595E-2</c:v>
                </c:pt>
                <c:pt idx="8">
                  <c:v>0.10531723020022374</c:v>
                </c:pt>
              </c:numCache>
            </c:numRef>
          </c:val>
        </c:ser>
        <c:dLbls>
          <c:dLblPos val="inEnd"/>
          <c:showLegendKey val="0"/>
          <c:showVal val="0"/>
          <c:showCatName val="1"/>
          <c:showSerName val="0"/>
          <c:showPercent val="0"/>
          <c:showBubbleSize val="0"/>
          <c:showLeaderLines val="0"/>
        </c:dLbls>
        <c:firstSliceAng val="0"/>
      </c:pieChart>
      <c:spPr>
        <a:noFill/>
        <a:ln>
          <a:noFill/>
        </a:ln>
        <a:effectLst/>
      </c:spPr>
    </c:plotArea>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in Microsoft Word]Sheet1'!$D$465</c:f>
              <c:strCache>
                <c:ptCount val="1"/>
                <c:pt idx="0">
                  <c:v>Tatimi mbi Fitimin</c:v>
                </c:pt>
              </c:strCache>
            </c:strRef>
          </c:tx>
          <c:spPr>
            <a:solidFill>
              <a:schemeClr val="accent1"/>
            </a:solidFill>
            <a:ln>
              <a:solidFill>
                <a:schemeClr val="accent1">
                  <a:lumMod val="50000"/>
                </a:schemeClr>
              </a:solidFill>
            </a:ln>
            <a:effectLst/>
          </c:spPr>
          <c:invertIfNegative val="0"/>
          <c:cat>
            <c:numRef>
              <c:f>'[Chart in Microsoft Word]Sheet1'!$C$466:$C$475</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'[Chart in Microsoft Word]Sheet1'!$D$466:$D$475</c:f>
              <c:numCache>
                <c:formatCode>General</c:formatCode>
                <c:ptCount val="10"/>
                <c:pt idx="0">
                  <c:v>16853</c:v>
                </c:pt>
                <c:pt idx="1">
                  <c:v>15121</c:v>
                </c:pt>
                <c:pt idx="2">
                  <c:v>21483</c:v>
                </c:pt>
                <c:pt idx="3">
                  <c:v>24528</c:v>
                </c:pt>
                <c:pt idx="4">
                  <c:v>29148</c:v>
                </c:pt>
                <c:pt idx="5">
                  <c:v>31645</c:v>
                </c:pt>
                <c:pt idx="6">
                  <c:v>34448</c:v>
                </c:pt>
                <c:pt idx="7">
                  <c:v>36575</c:v>
                </c:pt>
                <c:pt idx="8">
                  <c:v>28381</c:v>
                </c:pt>
                <c:pt idx="9">
                  <c:v>35610</c:v>
                </c:pt>
              </c:numCache>
            </c:numRef>
          </c:val>
        </c:ser>
        <c:dLbls>
          <c:showLegendKey val="0"/>
          <c:showVal val="0"/>
          <c:showCatName val="0"/>
          <c:showSerName val="0"/>
          <c:showPercent val="0"/>
          <c:showBubbleSize val="0"/>
        </c:dLbls>
        <c:gapWidth val="219"/>
        <c:overlap val="-27"/>
        <c:axId val="-1795020064"/>
        <c:axId val="-1795017344"/>
      </c:barChart>
      <c:lineChart>
        <c:grouping val="standard"/>
        <c:varyColors val="0"/>
        <c:ser>
          <c:idx val="1"/>
          <c:order val="1"/>
          <c:tx>
            <c:strRef>
              <c:f>'[Chart in Microsoft Word]Sheet1'!$E$465</c:f>
              <c:strCache>
                <c:ptCount val="1"/>
                <c:pt idx="0">
                  <c:v>% ndaj te ardhurave totale</c:v>
                </c:pt>
              </c:strCache>
            </c:strRef>
          </c:tx>
          <c:spPr>
            <a:ln w="28575" cap="rnd">
              <a:solidFill>
                <a:srgbClr val="FF0000"/>
              </a:solidFill>
              <a:round/>
            </a:ln>
            <a:effectLst/>
          </c:spPr>
          <c:marker>
            <c:symbol val="none"/>
          </c:marker>
          <c:dLbls>
            <c:dLbl>
              <c:idx val="6"/>
              <c:layout>
                <c:manualLayout>
                  <c:x val="-3.1858759590535128E-2"/>
                  <c:y val="-0.11169765751112097"/>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3.1858759590535204E-2"/>
                  <c:y val="-0.10387293137653568"/>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2.8663675105127989E-2"/>
                  <c:y val="-0.17734957426096387"/>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in Microsoft Word]Sheet1'!$C$466:$C$475</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'[Chart in Microsoft Word]Sheet1'!$E$466:$E$475</c:f>
              <c:numCache>
                <c:formatCode>0%</c:formatCode>
                <c:ptCount val="10"/>
                <c:pt idx="0">
                  <c:v>5.1010339483752241E-2</c:v>
                </c:pt>
                <c:pt idx="1">
                  <c:v>4.6216376142190312E-2</c:v>
                </c:pt>
                <c:pt idx="2">
                  <c:v>5.8581319313592624E-2</c:v>
                </c:pt>
                <c:pt idx="3">
                  <c:v>6.468252084618914E-2</c:v>
                </c:pt>
                <c:pt idx="4">
                  <c:v>7.1613012596401654E-2</c:v>
                </c:pt>
                <c:pt idx="5">
                  <c:v>7.3525140742152009E-2</c:v>
                </c:pt>
                <c:pt idx="6">
                  <c:v>7.6566594578014666E-2</c:v>
                </c:pt>
                <c:pt idx="7">
                  <c:v>7.9450590747454655E-2</c:v>
                </c:pt>
                <c:pt idx="8">
                  <c:v>6.6585271363332199E-2</c:v>
                </c:pt>
                <c:pt idx="9">
                  <c:v>6.6585271363332199E-2</c:v>
                </c:pt>
              </c:numCache>
            </c:numRef>
          </c:val>
          <c:smooth val="0"/>
        </c:ser>
        <c:dLbls>
          <c:showLegendKey val="0"/>
          <c:showVal val="0"/>
          <c:showCatName val="0"/>
          <c:showSerName val="0"/>
          <c:showPercent val="0"/>
          <c:showBubbleSize val="0"/>
        </c:dLbls>
        <c:marker val="1"/>
        <c:smooth val="0"/>
        <c:axId val="-1795030944"/>
        <c:axId val="-1795030400"/>
      </c:lineChart>
      <c:catAx>
        <c:axId val="-179502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795017344"/>
        <c:crosses val="autoZero"/>
        <c:auto val="1"/>
        <c:lblAlgn val="ctr"/>
        <c:lblOffset val="100"/>
        <c:noMultiLvlLbl val="0"/>
      </c:catAx>
      <c:valAx>
        <c:axId val="-17950173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5020064"/>
        <c:crosses val="autoZero"/>
        <c:crossBetween val="between"/>
      </c:valAx>
      <c:valAx>
        <c:axId val="-1795030400"/>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5030944"/>
        <c:crosses val="max"/>
        <c:crossBetween val="between"/>
      </c:valAx>
      <c:catAx>
        <c:axId val="-1795030944"/>
        <c:scaling>
          <c:orientation val="minMax"/>
        </c:scaling>
        <c:delete val="1"/>
        <c:axPos val="b"/>
        <c:numFmt formatCode="General" sourceLinked="1"/>
        <c:majorTickMark val="none"/>
        <c:minorTickMark val="none"/>
        <c:tickLblPos val="nextTo"/>
        <c:crossAx val="-1795030400"/>
        <c:crosses val="autoZero"/>
        <c:auto val="1"/>
        <c:lblAlgn val="ctr"/>
        <c:lblOffset val="100"/>
        <c:noMultiLvlLbl val="0"/>
      </c:catAx>
      <c:spPr>
        <a:noFill/>
        <a:ln>
          <a:noFill/>
        </a:ln>
        <a:effectLst/>
      </c:spPr>
    </c:plotArea>
    <c:legend>
      <c:legendPos val="b"/>
      <c:layout>
        <c:manualLayout>
          <c:xMode val="edge"/>
          <c:yMode val="edge"/>
          <c:x val="0.20926464837056655"/>
          <c:y val="0.82066307501036051"/>
          <c:w val="0.58147054198870307"/>
          <c:h val="0.1442492056913938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DBEFF9"/>
    </a:solidFill>
    <a:ln w="9525" cap="flat" cmpd="sng" algn="ctr">
      <a:solidFill>
        <a:sysClr val="window" lastClr="FFFFFF">
          <a:lumMod val="85000"/>
        </a:sys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gradFill rotWithShape="1">
                <a:gsLst>
                  <a:gs pos="0">
                    <a:schemeClr val="accent1">
                      <a:shade val="53000"/>
                      <a:tint val="100000"/>
                      <a:shade val="100000"/>
                      <a:satMod val="130000"/>
                    </a:schemeClr>
                  </a:gs>
                  <a:gs pos="100000">
                    <a:schemeClr val="accent1">
                      <a:shade val="53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91E2-4DD5-818E-65AE4A681FE3}"/>
              </c:ext>
            </c:extLst>
          </c:dPt>
          <c:dPt>
            <c:idx val="1"/>
            <c:bubble3D val="0"/>
            <c:spPr>
              <a:gradFill rotWithShape="1">
                <a:gsLst>
                  <a:gs pos="0">
                    <a:schemeClr val="accent1">
                      <a:shade val="76000"/>
                      <a:tint val="100000"/>
                      <a:shade val="100000"/>
                      <a:satMod val="130000"/>
                    </a:schemeClr>
                  </a:gs>
                  <a:gs pos="100000">
                    <a:schemeClr val="accent1">
                      <a:shade val="76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91E2-4DD5-818E-65AE4A681FE3}"/>
              </c:ext>
            </c:extLst>
          </c:dPt>
          <c:dPt>
            <c:idx val="2"/>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91E2-4DD5-818E-65AE4A681FE3}"/>
              </c:ext>
            </c:extLst>
          </c:dPt>
          <c:dPt>
            <c:idx val="3"/>
            <c:bubble3D val="0"/>
            <c:spPr>
              <a:gradFill rotWithShape="1">
                <a:gsLst>
                  <a:gs pos="0">
                    <a:schemeClr val="accent1">
                      <a:tint val="77000"/>
                      <a:tint val="100000"/>
                      <a:shade val="100000"/>
                      <a:satMod val="130000"/>
                    </a:schemeClr>
                  </a:gs>
                  <a:gs pos="100000">
                    <a:schemeClr val="accent1">
                      <a:tint val="77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91E2-4DD5-818E-65AE4A681FE3}"/>
              </c:ext>
            </c:extLst>
          </c:dPt>
          <c:dPt>
            <c:idx val="4"/>
            <c:bubble3D val="0"/>
            <c:spPr>
              <a:gradFill rotWithShape="1">
                <a:gsLst>
                  <a:gs pos="0">
                    <a:schemeClr val="accent1">
                      <a:tint val="54000"/>
                      <a:tint val="100000"/>
                      <a:shade val="100000"/>
                      <a:satMod val="130000"/>
                    </a:schemeClr>
                  </a:gs>
                  <a:gs pos="100000">
                    <a:schemeClr val="accent1">
                      <a:tint val="54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91E2-4DD5-818E-65AE4A681FE3}"/>
              </c:ext>
            </c:extLst>
          </c:dPt>
          <c:dLbls>
            <c:dLbl>
              <c:idx val="0"/>
              <c:layout>
                <c:manualLayout>
                  <c:x val="-2.305613114150205E-2"/>
                  <c:y val="2.0083848240738288E-2"/>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8.0979229448170917E-2"/>
                  <c:y val="-2.7181698441540963E-3"/>
                </c:manualLayout>
              </c:layout>
              <c:showLegendKey val="0"/>
              <c:showVal val="1"/>
              <c:showCatName val="1"/>
              <c:showSerName val="0"/>
              <c:showPercent val="0"/>
              <c:showBubbleSize val="0"/>
              <c:extLst>
                <c:ext xmlns:c15="http://schemas.microsoft.com/office/drawing/2012/chart" uri="{CE6537A1-D6FC-4f65-9D91-7224C49458BB}">
                  <c15:layout>
                    <c:manualLayout>
                      <c:w val="0.27437128486511203"/>
                      <c:h val="0.1147620970455616"/>
                    </c:manualLayout>
                  </c15:layout>
                </c:ext>
              </c:extLst>
            </c:dLbl>
            <c:dLbl>
              <c:idx val="2"/>
              <c:layout>
                <c:manualLayout>
                  <c:x val="0.20563475618179292"/>
                  <c:y val="-2.4431983880802779E-2"/>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9.6482018695031729E-3"/>
                  <c:y val="1.5166096662159616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'[Chart in Microsoft Word]Sheet1'!$C$254:$C$258</c:f>
              <c:strCache>
                <c:ptCount val="5"/>
                <c:pt idx="0">
                  <c:v>Sektori i Ndërtimit</c:v>
                </c:pt>
                <c:pt idx="1">
                  <c:v>Sektori i Prodhimit</c:v>
                </c:pt>
                <c:pt idx="2">
                  <c:v>Sektori i Shërbimit</c:v>
                </c:pt>
                <c:pt idx="3">
                  <c:v>Sektori i Transportit</c:v>
                </c:pt>
                <c:pt idx="4">
                  <c:v>Sektori i Tregtisë</c:v>
                </c:pt>
              </c:strCache>
            </c:strRef>
          </c:cat>
          <c:val>
            <c:numRef>
              <c:f>'[Chart in Microsoft Word]Sheet1'!$D$254:$D$258</c:f>
              <c:numCache>
                <c:formatCode>0%</c:formatCode>
                <c:ptCount val="5"/>
                <c:pt idx="0">
                  <c:v>0.14782006561880653</c:v>
                </c:pt>
                <c:pt idx="1">
                  <c:v>0.19974108544783106</c:v>
                </c:pt>
                <c:pt idx="2">
                  <c:v>0.33689193976974335</c:v>
                </c:pt>
                <c:pt idx="3">
                  <c:v>2.678053673734616E-2</c:v>
                </c:pt>
                <c:pt idx="4">
                  <c:v>0.2887663724262729</c:v>
                </c:pt>
              </c:numCache>
            </c:numRef>
          </c:val>
          <c:extLst xmlns:c16r2="http://schemas.microsoft.com/office/drawing/2015/06/chart">
            <c:ext xmlns:c16="http://schemas.microsoft.com/office/drawing/2014/chart" uri="{C3380CC4-5D6E-409C-BE32-E72D297353CC}">
              <c16:uniqueId val="{0000000A-91E2-4DD5-818E-65AE4A681FE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pieChart>
        <c:varyColors val="1"/>
        <c:ser>
          <c:idx val="0"/>
          <c:order val="0"/>
          <c:dPt>
            <c:idx val="0"/>
            <c:bubble3D val="0"/>
            <c:spPr>
              <a:gradFill rotWithShape="1">
                <a:gsLst>
                  <a:gs pos="0">
                    <a:schemeClr val="accent2">
                      <a:shade val="45000"/>
                      <a:tint val="100000"/>
                      <a:shade val="100000"/>
                      <a:satMod val="130000"/>
                    </a:schemeClr>
                  </a:gs>
                  <a:gs pos="100000">
                    <a:schemeClr val="accent2">
                      <a:shade val="45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C727-E54A-8206-0E3F15960816}"/>
              </c:ext>
            </c:extLst>
          </c:dPt>
          <c:dPt>
            <c:idx val="1"/>
            <c:bubble3D val="0"/>
            <c:spPr>
              <a:gradFill rotWithShape="1">
                <a:gsLst>
                  <a:gs pos="0">
                    <a:schemeClr val="accent2">
                      <a:shade val="61000"/>
                      <a:tint val="100000"/>
                      <a:shade val="100000"/>
                      <a:satMod val="130000"/>
                    </a:schemeClr>
                  </a:gs>
                  <a:gs pos="100000">
                    <a:schemeClr val="accent2">
                      <a:shade val="61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C727-E54A-8206-0E3F15960816}"/>
              </c:ext>
            </c:extLst>
          </c:dPt>
          <c:dPt>
            <c:idx val="2"/>
            <c:bubble3D val="0"/>
            <c:spPr>
              <a:gradFill rotWithShape="1">
                <a:gsLst>
                  <a:gs pos="0">
                    <a:schemeClr val="accent2">
                      <a:shade val="76000"/>
                      <a:tint val="100000"/>
                      <a:shade val="100000"/>
                      <a:satMod val="130000"/>
                    </a:schemeClr>
                  </a:gs>
                  <a:gs pos="100000">
                    <a:schemeClr val="accent2">
                      <a:shade val="76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C727-E54A-8206-0E3F15960816}"/>
              </c:ext>
            </c:extLst>
          </c:dPt>
          <c:dPt>
            <c:idx val="3"/>
            <c:bubble3D val="0"/>
            <c:spPr>
              <a:gradFill rotWithShape="1">
                <a:gsLst>
                  <a:gs pos="0">
                    <a:schemeClr val="accent2">
                      <a:shade val="92000"/>
                      <a:tint val="100000"/>
                      <a:shade val="100000"/>
                      <a:satMod val="130000"/>
                    </a:schemeClr>
                  </a:gs>
                  <a:gs pos="100000">
                    <a:schemeClr val="accent2">
                      <a:shade val="92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C727-E54A-8206-0E3F15960816}"/>
              </c:ext>
            </c:extLst>
          </c:dPt>
          <c:dPt>
            <c:idx val="4"/>
            <c:bubble3D val="0"/>
            <c:spPr>
              <a:gradFill rotWithShape="1">
                <a:gsLst>
                  <a:gs pos="0">
                    <a:schemeClr val="accent2">
                      <a:tint val="93000"/>
                      <a:tint val="100000"/>
                      <a:shade val="100000"/>
                      <a:satMod val="130000"/>
                    </a:schemeClr>
                  </a:gs>
                  <a:gs pos="100000">
                    <a:schemeClr val="accent2">
                      <a:tint val="93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C727-E54A-8206-0E3F15960816}"/>
              </c:ext>
            </c:extLst>
          </c:dPt>
          <c:dPt>
            <c:idx val="5"/>
            <c:bubble3D val="0"/>
            <c:spPr>
              <a:gradFill rotWithShape="1">
                <a:gsLst>
                  <a:gs pos="0">
                    <a:schemeClr val="accent2">
                      <a:tint val="77000"/>
                      <a:tint val="100000"/>
                      <a:shade val="100000"/>
                      <a:satMod val="130000"/>
                    </a:schemeClr>
                  </a:gs>
                  <a:gs pos="100000">
                    <a:schemeClr val="accent2">
                      <a:tint val="77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B-C727-E54A-8206-0E3F15960816}"/>
              </c:ext>
            </c:extLst>
          </c:dPt>
          <c:dPt>
            <c:idx val="6"/>
            <c:bubble3D val="0"/>
            <c:spPr>
              <a:gradFill rotWithShape="1">
                <a:gsLst>
                  <a:gs pos="0">
                    <a:schemeClr val="accent2">
                      <a:tint val="62000"/>
                      <a:tint val="100000"/>
                      <a:shade val="100000"/>
                      <a:satMod val="130000"/>
                    </a:schemeClr>
                  </a:gs>
                  <a:gs pos="100000">
                    <a:schemeClr val="accent2">
                      <a:tint val="62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D-C727-E54A-8206-0E3F15960816}"/>
              </c:ext>
            </c:extLst>
          </c:dPt>
          <c:dPt>
            <c:idx val="7"/>
            <c:bubble3D val="0"/>
            <c:spPr>
              <a:gradFill rotWithShape="1">
                <a:gsLst>
                  <a:gs pos="0">
                    <a:schemeClr val="accent2">
                      <a:tint val="46000"/>
                      <a:tint val="100000"/>
                      <a:shade val="100000"/>
                      <a:satMod val="130000"/>
                    </a:schemeClr>
                  </a:gs>
                  <a:gs pos="100000">
                    <a:schemeClr val="accent2">
                      <a:tint val="46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F-C727-E54A-8206-0E3F1596081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'[Chart in Microsoft Word]Sheet1'!$C$541:$C$548</c:f>
              <c:strCache>
                <c:ptCount val="8"/>
                <c:pt idx="0">
                  <c:v>Ndërmarrje shtetërore jobuxhetore</c:v>
                </c:pt>
                <c:pt idx="1">
                  <c:v>Ndërmarrje buxhetore</c:v>
                </c:pt>
                <c:pt idx="2">
                  <c:v>BM</c:v>
                </c:pt>
                <c:pt idx="3">
                  <c:v>BV me TVSH</c:v>
                </c:pt>
                <c:pt idx="4">
                  <c:v>BV pa TVSH</c:v>
                </c:pt>
                <c:pt idx="5">
                  <c:v>OJF</c:v>
                </c:pt>
                <c:pt idx="6">
                  <c:v>Tjeter</c:v>
                </c:pt>
                <c:pt idx="7">
                  <c:v>Tatimpaguesit e mëdhenj</c:v>
                </c:pt>
              </c:strCache>
            </c:strRef>
          </c:cat>
          <c:val>
            <c:numRef>
              <c:f>'[Chart in Microsoft Word]Sheet1'!$D$541:$D$548</c:f>
              <c:numCache>
                <c:formatCode>0%</c:formatCode>
                <c:ptCount val="8"/>
                <c:pt idx="0">
                  <c:v>1.6500324926855985E-2</c:v>
                </c:pt>
                <c:pt idx="1">
                  <c:v>0.20607457142289584</c:v>
                </c:pt>
                <c:pt idx="2">
                  <c:v>0.3623714836245378</c:v>
                </c:pt>
                <c:pt idx="3">
                  <c:v>3.0108942724901885E-2</c:v>
                </c:pt>
                <c:pt idx="4">
                  <c:v>0.18373833313941773</c:v>
                </c:pt>
                <c:pt idx="5">
                  <c:v>6.3552287683711376E-3</c:v>
                </c:pt>
                <c:pt idx="6">
                  <c:v>1.6586877495480819E-2</c:v>
                </c:pt>
                <c:pt idx="7">
                  <c:v>0.17826423789753879</c:v>
                </c:pt>
              </c:numCache>
            </c:numRef>
          </c:val>
          <c:extLst xmlns:c16r2="http://schemas.microsoft.com/office/drawing/2015/06/chart">
            <c:ext xmlns:c16="http://schemas.microsoft.com/office/drawing/2014/chart" uri="{C3380CC4-5D6E-409C-BE32-E72D297353CC}">
              <c16:uniqueId val="{00000010-C727-E54A-8206-0E3F1596081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30070196806724159"/>
          <c:y val="3.7304463926136219E-2"/>
          <c:w val="0.3844788913335011"/>
          <c:h val="0.96066444075442947"/>
        </c:manualLayout>
      </c:layout>
      <c:pieChart>
        <c:varyColors val="1"/>
        <c:ser>
          <c:idx val="0"/>
          <c:order val="0"/>
          <c:dPt>
            <c:idx val="0"/>
            <c:bubble3D val="0"/>
            <c:spPr>
              <a:gradFill rotWithShape="1">
                <a:gsLst>
                  <a:gs pos="0">
                    <a:schemeClr val="accent2">
                      <a:shade val="53000"/>
                      <a:tint val="100000"/>
                      <a:shade val="100000"/>
                      <a:satMod val="130000"/>
                    </a:schemeClr>
                  </a:gs>
                  <a:gs pos="100000">
                    <a:schemeClr val="accent2">
                      <a:shade val="53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0844-1241-9DB9-AD062B3C8CD9}"/>
              </c:ext>
            </c:extLst>
          </c:dPt>
          <c:dPt>
            <c:idx val="1"/>
            <c:bubble3D val="0"/>
            <c:spPr>
              <a:gradFill rotWithShape="1">
                <a:gsLst>
                  <a:gs pos="0">
                    <a:schemeClr val="accent2">
                      <a:shade val="76000"/>
                      <a:tint val="100000"/>
                      <a:shade val="100000"/>
                      <a:satMod val="130000"/>
                    </a:schemeClr>
                  </a:gs>
                  <a:gs pos="100000">
                    <a:schemeClr val="accent2">
                      <a:shade val="76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0844-1241-9DB9-AD062B3C8CD9}"/>
              </c:ext>
            </c:extLst>
          </c:dPt>
          <c:dPt>
            <c:idx val="2"/>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0844-1241-9DB9-AD062B3C8CD9}"/>
              </c:ext>
            </c:extLst>
          </c:dPt>
          <c:dPt>
            <c:idx val="3"/>
            <c:bubble3D val="0"/>
            <c:spPr>
              <a:gradFill rotWithShape="1">
                <a:gsLst>
                  <a:gs pos="0">
                    <a:schemeClr val="accent2">
                      <a:tint val="77000"/>
                      <a:tint val="100000"/>
                      <a:shade val="100000"/>
                      <a:satMod val="130000"/>
                    </a:schemeClr>
                  </a:gs>
                  <a:gs pos="100000">
                    <a:schemeClr val="accent2">
                      <a:tint val="77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0844-1241-9DB9-AD062B3C8CD9}"/>
              </c:ext>
            </c:extLst>
          </c:dPt>
          <c:dPt>
            <c:idx val="4"/>
            <c:bubble3D val="0"/>
            <c:spPr>
              <a:gradFill rotWithShape="1">
                <a:gsLst>
                  <a:gs pos="0">
                    <a:schemeClr val="accent2">
                      <a:tint val="54000"/>
                      <a:tint val="100000"/>
                      <a:shade val="100000"/>
                      <a:satMod val="130000"/>
                    </a:schemeClr>
                  </a:gs>
                  <a:gs pos="100000">
                    <a:schemeClr val="accent2">
                      <a:tint val="54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0844-1241-9DB9-AD062B3C8CD9}"/>
              </c:ext>
            </c:extLst>
          </c:dPt>
          <c:dLbls>
            <c:dLbl>
              <c:idx val="2"/>
              <c:layout>
                <c:manualLayout>
                  <c:x val="0.11077790296261086"/>
                  <c:y val="-0.18262411347517732"/>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0.10748622340411138"/>
                  <c:y val="0.18523715120716294"/>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Sheet1!$C$512:$C$516</c:f>
              <c:strCache>
                <c:ptCount val="5"/>
                <c:pt idx="0">
                  <c:v>Ndertimi</c:v>
                </c:pt>
                <c:pt idx="1">
                  <c:v>Prodhimi</c:v>
                </c:pt>
                <c:pt idx="2">
                  <c:v>Sherbimi</c:v>
                </c:pt>
                <c:pt idx="3">
                  <c:v>Transporti</c:v>
                </c:pt>
                <c:pt idx="4">
                  <c:v>Tregtia</c:v>
                </c:pt>
              </c:strCache>
            </c:strRef>
          </c:cat>
          <c:val>
            <c:numRef>
              <c:f>Sheet1!$D$512:$D$516</c:f>
              <c:numCache>
                <c:formatCode>0%</c:formatCode>
                <c:ptCount val="5"/>
                <c:pt idx="0">
                  <c:v>0.14000000000000001</c:v>
                </c:pt>
                <c:pt idx="1">
                  <c:v>0.25</c:v>
                </c:pt>
                <c:pt idx="2">
                  <c:v>0.36</c:v>
                </c:pt>
                <c:pt idx="3">
                  <c:v>0.03</c:v>
                </c:pt>
                <c:pt idx="4">
                  <c:v>0.22</c:v>
                </c:pt>
              </c:numCache>
            </c:numRef>
          </c:val>
          <c:extLst xmlns:c16r2="http://schemas.microsoft.com/office/drawing/2015/06/chart">
            <c:ext xmlns:c16="http://schemas.microsoft.com/office/drawing/2014/chart" uri="{C3380CC4-5D6E-409C-BE32-E72D297353CC}">
              <c16:uniqueId val="{0000000A-0844-1241-9DB9-AD062B3C8CD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042117542324747E-2"/>
          <c:y val="3.6817614992696049E-2"/>
          <c:w val="0.8672993332806207"/>
          <c:h val="0.6379711286089238"/>
        </c:manualLayout>
      </c:layout>
      <c:barChart>
        <c:barDir val="col"/>
        <c:grouping val="clustered"/>
        <c:varyColors val="0"/>
        <c:ser>
          <c:idx val="1"/>
          <c:order val="0"/>
          <c:tx>
            <c:strRef>
              <c:f>'Te dhenat vjetore te PV 1'!$L$24:$L$25</c:f>
              <c:strCache>
                <c:ptCount val="1"/>
                <c:pt idx="0">
                  <c:v>Transferta e pakushtëzuar</c:v>
                </c:pt>
              </c:strCache>
            </c:strRef>
          </c:tx>
          <c:spPr>
            <a:solidFill>
              <a:srgbClr val="17406D">
                <a:lumMod val="40000"/>
                <a:lumOff val="60000"/>
              </a:srgbClr>
            </a:solidFill>
            <a:ln>
              <a:solidFill>
                <a:schemeClr val="bg1">
                  <a:lumMod val="65000"/>
                </a:schemeClr>
              </a:solidFill>
            </a:ln>
          </c:spPr>
          <c:invertIfNegative val="0"/>
          <c:dPt>
            <c:idx val="6"/>
            <c:invertIfNegative val="0"/>
            <c:bubble3D val="0"/>
            <c:extLst xmlns:c16r2="http://schemas.microsoft.com/office/drawing/2015/06/chart">
              <c:ext xmlns:c16="http://schemas.microsoft.com/office/drawing/2014/chart" uri="{C3380CC4-5D6E-409C-BE32-E72D297353CC}">
                <c16:uniqueId val="{00000001-1A26-4A21-BCEC-D07F390D25F1}"/>
              </c:ext>
            </c:extLst>
          </c:dPt>
          <c:dPt>
            <c:idx val="7"/>
            <c:invertIfNegative val="0"/>
            <c:bubble3D val="0"/>
            <c:extLst xmlns:c16r2="http://schemas.microsoft.com/office/drawing/2015/06/chart">
              <c:ext xmlns:c16="http://schemas.microsoft.com/office/drawing/2014/chart" uri="{C3380CC4-5D6E-409C-BE32-E72D297353CC}">
                <c16:uniqueId val="{00000003-1A26-4A21-BCEC-D07F390D25F1}"/>
              </c:ext>
            </c:extLst>
          </c:dPt>
          <c:dPt>
            <c:idx val="8"/>
            <c:invertIfNegative val="0"/>
            <c:bubble3D val="0"/>
            <c:extLst xmlns:c16r2="http://schemas.microsoft.com/office/drawing/2015/06/chart">
              <c:ext xmlns:c16="http://schemas.microsoft.com/office/drawing/2014/chart" uri="{C3380CC4-5D6E-409C-BE32-E72D297353CC}">
                <c16:uniqueId val="{00000005-1A26-4A21-BCEC-D07F390D25F1}"/>
              </c:ext>
            </c:extLst>
          </c:dPt>
          <c:dPt>
            <c:idx val="9"/>
            <c:invertIfNegative val="0"/>
            <c:bubble3D val="0"/>
            <c:extLst xmlns:c16r2="http://schemas.microsoft.com/office/drawing/2015/06/chart">
              <c:ext xmlns:c16="http://schemas.microsoft.com/office/drawing/2014/chart" uri="{C3380CC4-5D6E-409C-BE32-E72D297353CC}">
                <c16:uniqueId val="{00000007-1A26-4A21-BCEC-D07F390D25F1}"/>
              </c:ext>
            </c:extLst>
          </c:dPt>
          <c:dLbls>
            <c:numFmt formatCode="#,##0.0" sourceLinked="0"/>
            <c:spPr>
              <a:noFill/>
              <a:ln>
                <a:noFill/>
              </a:ln>
              <a:effectLst/>
            </c:spPr>
            <c:txPr>
              <a:bodyPr/>
              <a:lstStyle/>
              <a:p>
                <a:pPr>
                  <a:defRPr b="0"/>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'Te dhenat vjetore te PV 1'!$M$24:$Y$24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extLst xmlns:c16r2="http://schemas.microsoft.com/office/drawing/2015/06/chart"/>
            </c:numRef>
          </c:cat>
          <c:val>
            <c:numRef>
              <c:f>'Te dhenat vjetore te PV 1'!$M$25:$Y$25</c:f>
              <c:numCache>
                <c:formatCode>#,##0</c:formatCode>
                <c:ptCount val="12"/>
                <c:pt idx="0">
                  <c:v>11340</c:v>
                </c:pt>
                <c:pt idx="1">
                  <c:v>11572</c:v>
                </c:pt>
                <c:pt idx="2">
                  <c:v>11576</c:v>
                </c:pt>
                <c:pt idx="3">
                  <c:v>11651</c:v>
                </c:pt>
                <c:pt idx="4">
                  <c:v>12306</c:v>
                </c:pt>
                <c:pt idx="5">
                  <c:v>13535</c:v>
                </c:pt>
                <c:pt idx="6">
                  <c:v>14300</c:v>
                </c:pt>
                <c:pt idx="7">
                  <c:v>15635</c:v>
                </c:pt>
                <c:pt idx="8">
                  <c:v>16580</c:v>
                </c:pt>
                <c:pt idx="9">
                  <c:v>17632</c:v>
                </c:pt>
                <c:pt idx="10">
                  <c:v>18270</c:v>
                </c:pt>
                <c:pt idx="11">
                  <c:v>18480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8-1A26-4A21-BCEC-D07F390D25F1}"/>
            </c:ext>
          </c:extLst>
        </c:ser>
        <c:dLbls>
          <c:showLegendKey val="0"/>
          <c:showVal val="0"/>
          <c:showCatName val="0"/>
          <c:showSerName val="0"/>
          <c:showPercent val="0"/>
          <c:showBubbleSize val="0"/>
        </c:dLbls>
        <c:gapWidth val="40"/>
        <c:axId val="-1795017888"/>
        <c:axId val="-1795023872"/>
      </c:barChart>
      <c:lineChart>
        <c:grouping val="standard"/>
        <c:varyColors val="0"/>
        <c:ser>
          <c:idx val="0"/>
          <c:order val="1"/>
          <c:tx>
            <c:strRef>
              <c:f>'Te dhenat vjetore te PV 1'!$L$26</c:f>
              <c:strCache>
                <c:ptCount val="1"/>
                <c:pt idx="0">
                  <c:v>Ritmi i ndryshimit</c:v>
                </c:pt>
              </c:strCache>
            </c:strRef>
          </c:tx>
          <c:spPr>
            <a:ln w="25400">
              <a:solidFill>
                <a:srgbClr val="C00000"/>
              </a:solidFill>
            </a:ln>
          </c:spPr>
          <c:marker>
            <c:symbol val="none"/>
          </c:marker>
          <c:dLbls>
            <c:dLbl>
              <c:idx val="0"/>
              <c:layout>
                <c:manualLayout>
                  <c:x val="-4.2855827232122307E-2"/>
                  <c:y val="-0.10266481395707901"/>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A26-4A21-BCEC-D07F390D25F1}"/>
                </c:ext>
                <c:ext xmlns:c15="http://schemas.microsoft.com/office/drawing/2012/chart" uri="{CE6537A1-D6FC-4f65-9D91-7224C49458BB}"/>
              </c:extLst>
            </c:dLbl>
            <c:dLbl>
              <c:idx val="4"/>
              <c:layout>
                <c:manualLayout>
                  <c:x val="-4.9938829074937074E-2"/>
                  <c:y val="-3.54686563056021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A26-4A21-BCEC-D07F390D25F1}"/>
                </c:ext>
                <c:ext xmlns:c15="http://schemas.microsoft.com/office/drawing/2012/chart" uri="{CE6537A1-D6FC-4f65-9D91-7224C49458BB}"/>
              </c:extLst>
            </c:dLbl>
            <c:dLbl>
              <c:idx val="8"/>
              <c:layout>
                <c:manualLayout>
                  <c:x val="-5.0784935703700802E-2"/>
                  <c:y val="-8.68884937769875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A26-4A21-BCEC-D07F390D25F1}"/>
                </c:ext>
                <c:ext xmlns:c15="http://schemas.microsoft.com/office/drawing/2012/chart" uri="{CE6537A1-D6FC-4f65-9D91-7224C49458BB}"/>
              </c:extLst>
            </c:dLbl>
            <c:dLbl>
              <c:idx val="9"/>
              <c:layout>
                <c:manualLayout>
                  <c:x val="-4.5604526305281098E-2"/>
                  <c:y val="-8.414994496655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A26-4A21-BCEC-D07F390D25F1}"/>
                </c:ext>
                <c:ext xmlns:c15="http://schemas.microsoft.com/office/drawing/2012/chart" uri="{CE6537A1-D6FC-4f65-9D91-7224C49458BB}"/>
              </c:extLst>
            </c:dLbl>
            <c:spPr>
              <a:noFill/>
              <a:ln>
                <a:noFill/>
              </a:ln>
              <a:effectLst/>
            </c:spPr>
            <c:txPr>
              <a:bodyPr/>
              <a:lstStyle/>
              <a:p>
                <a:pPr>
                  <a:defRPr b="1" baseline="0">
                    <a:solidFill>
                      <a:srgbClr val="C0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'Te dhenat vjetore te PV 1'!$M$24:$Y$24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extLst xmlns:c16r2="http://schemas.microsoft.com/office/drawing/2015/06/chart"/>
            </c:numRef>
          </c:cat>
          <c:val>
            <c:numRef>
              <c:f>'Te dhenat vjetore te PV 1'!$M$26:$Y$26</c:f>
              <c:numCache>
                <c:formatCode>0.0%</c:formatCode>
                <c:ptCount val="12"/>
                <c:pt idx="0" formatCode="0%">
                  <c:v>0</c:v>
                </c:pt>
                <c:pt idx="1">
                  <c:v>2.0458553791887126E-2</c:v>
                </c:pt>
                <c:pt idx="2">
                  <c:v>3.4566194262011752E-4</c:v>
                </c:pt>
                <c:pt idx="3">
                  <c:v>6.4789219073946094E-3</c:v>
                </c:pt>
                <c:pt idx="4">
                  <c:v>5.6218350356192603E-2</c:v>
                </c:pt>
                <c:pt idx="5">
                  <c:v>9.9869982122541848E-2</c:v>
                </c:pt>
                <c:pt idx="6">
                  <c:v>5.6520132988548209E-2</c:v>
                </c:pt>
                <c:pt idx="7">
                  <c:v>9.3356643356643357E-2</c:v>
                </c:pt>
                <c:pt idx="8">
                  <c:v>6.0441317556763671E-2</c:v>
                </c:pt>
                <c:pt idx="9">
                  <c:v>6.3449939686369125E-2</c:v>
                </c:pt>
                <c:pt idx="10">
                  <c:v>3.6184210526315791E-2</c:v>
                </c:pt>
                <c:pt idx="11">
                  <c:v>1.1494252873563218E-2</c:v>
                </c:pt>
              </c:numCache>
              <c:extLst xmlns:c16r2="http://schemas.microsoft.com/office/drawing/2015/06/chart"/>
            </c:numRef>
          </c:val>
          <c:smooth val="1"/>
          <c:extLst xmlns:c16r2="http://schemas.microsoft.com/office/drawing/2015/06/chart">
            <c:ext xmlns:c16="http://schemas.microsoft.com/office/drawing/2014/chart" uri="{C3380CC4-5D6E-409C-BE32-E72D297353CC}">
              <c16:uniqueId val="{0000000D-1A26-4A21-BCEC-D07F390D25F1}"/>
            </c:ext>
          </c:extLst>
        </c:ser>
        <c:dLbls>
          <c:showLegendKey val="0"/>
          <c:showVal val="0"/>
          <c:showCatName val="0"/>
          <c:showSerName val="0"/>
          <c:showPercent val="0"/>
          <c:showBubbleSize val="0"/>
        </c:dLbls>
        <c:marker val="1"/>
        <c:smooth val="0"/>
        <c:axId val="-1795029856"/>
        <c:axId val="-1795023328"/>
      </c:lineChart>
      <c:catAx>
        <c:axId val="-1795017888"/>
        <c:scaling>
          <c:orientation val="minMax"/>
        </c:scaling>
        <c:delete val="0"/>
        <c:axPos val="b"/>
        <c:numFmt formatCode="General" sourceLinked="1"/>
        <c:majorTickMark val="cross"/>
        <c:minorTickMark val="none"/>
        <c:tickLblPos val="nextTo"/>
        <c:txPr>
          <a:bodyPr rot="-2700000" vert="horz"/>
          <a:lstStyle/>
          <a:p>
            <a:pPr>
              <a:defRPr sz="700" b="1"/>
            </a:pPr>
            <a:endParaRPr lang="en-US"/>
          </a:p>
        </c:txPr>
        <c:crossAx val="-1795023872"/>
        <c:crosses val="autoZero"/>
        <c:auto val="0"/>
        <c:lblAlgn val="ctr"/>
        <c:lblOffset val="100"/>
        <c:tickLblSkip val="1"/>
        <c:tickMarkSkip val="1"/>
        <c:noMultiLvlLbl val="0"/>
      </c:catAx>
      <c:valAx>
        <c:axId val="-1795023872"/>
        <c:scaling>
          <c:orientation val="minMax"/>
        </c:scaling>
        <c:delete val="0"/>
        <c:axPos val="l"/>
        <c:numFmt formatCode="#,##0.0" sourceLinked="0"/>
        <c:majorTickMark val="cross"/>
        <c:minorTickMark val="none"/>
        <c:tickLblPos val="nextTo"/>
        <c:txPr>
          <a:bodyPr rot="0" vert="horz"/>
          <a:lstStyle/>
          <a:p>
            <a:pPr>
              <a:defRPr/>
            </a:pPr>
            <a:endParaRPr lang="en-US"/>
          </a:p>
        </c:txPr>
        <c:crossAx val="-1795017888"/>
        <c:crosses val="autoZero"/>
        <c:crossBetween val="between"/>
        <c:dispUnits>
          <c:builtInUnit val="thousands"/>
        </c:dispUnits>
      </c:valAx>
      <c:catAx>
        <c:axId val="-1795029856"/>
        <c:scaling>
          <c:orientation val="minMax"/>
        </c:scaling>
        <c:delete val="1"/>
        <c:axPos val="b"/>
        <c:numFmt formatCode="General" sourceLinked="1"/>
        <c:majorTickMark val="out"/>
        <c:minorTickMark val="none"/>
        <c:tickLblPos val="nextTo"/>
        <c:crossAx val="-1795023328"/>
        <c:crosses val="autoZero"/>
        <c:auto val="0"/>
        <c:lblAlgn val="ctr"/>
        <c:lblOffset val="100"/>
        <c:noMultiLvlLbl val="0"/>
      </c:catAx>
      <c:valAx>
        <c:axId val="-1795023328"/>
        <c:scaling>
          <c:orientation val="minMax"/>
        </c:scaling>
        <c:delete val="0"/>
        <c:axPos val="r"/>
        <c:numFmt formatCode="0%" sourceLinked="0"/>
        <c:majorTickMark val="cross"/>
        <c:minorTickMark val="none"/>
        <c:tickLblPos val="nextTo"/>
        <c:txPr>
          <a:bodyPr rot="0" vert="horz"/>
          <a:lstStyle/>
          <a:p>
            <a:pPr>
              <a:defRPr/>
            </a:pPr>
            <a:endParaRPr lang="en-US"/>
          </a:p>
        </c:txPr>
        <c:crossAx val="-1795029856"/>
        <c:crosses val="max"/>
        <c:crossBetween val="between"/>
      </c:valAx>
      <c:spPr>
        <a:noFill/>
      </c:spPr>
    </c:plotArea>
    <c:legend>
      <c:legendPos val="b"/>
      <c:layout>
        <c:manualLayout>
          <c:xMode val="edge"/>
          <c:yMode val="edge"/>
          <c:x val="0.18524729101599793"/>
          <c:y val="0.92367427947489333"/>
          <c:w val="0.61611846940185111"/>
          <c:h val="7.5708675429970992E-2"/>
        </c:manualLayout>
      </c:layout>
      <c:overlay val="0"/>
      <c:txPr>
        <a:bodyPr/>
        <a:lstStyle/>
        <a:p>
          <a:pPr>
            <a:defRPr b="1" baseline="0">
              <a:solidFill>
                <a:sysClr val="windowText" lastClr="000000"/>
              </a:solidFill>
            </a:defRPr>
          </a:pPr>
          <a:endParaRPr lang="en-US"/>
        </a:p>
      </c:txPr>
    </c:legend>
    <c:plotVisOnly val="1"/>
    <c:dispBlanksAs val="gap"/>
    <c:showDLblsOverMax val="0"/>
  </c:chart>
  <c:spPr>
    <a:solidFill>
      <a:srgbClr val="DBEFF9"/>
    </a:solidFill>
  </c:spPr>
  <c:txPr>
    <a:bodyPr/>
    <a:lstStyle/>
    <a:p>
      <a:pPr>
        <a:defRPr sz="8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80638616491958"/>
          <c:y val="5.0925925925925923E-2"/>
          <c:w val="0.88419361383508044"/>
          <c:h val="0.67045346741295886"/>
        </c:manualLayout>
      </c:layout>
      <c:barChart>
        <c:barDir val="col"/>
        <c:grouping val="clustered"/>
        <c:varyColors val="0"/>
        <c:ser>
          <c:idx val="0"/>
          <c:order val="0"/>
          <c:tx>
            <c:strRef>
              <c:f>'Te dhenat vjetore te PV 1'!$I$126</c:f>
              <c:strCache>
                <c:ptCount val="1"/>
                <c:pt idx="0">
                  <c:v>Të ardhura tatimore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2.321741032370955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8F7-4B76-9000-9EEF6FF082C2}"/>
                </c:ext>
                <c:ext xmlns:c15="http://schemas.microsoft.com/office/drawing/2012/chart" uri="{CE6537A1-D6FC-4f65-9D91-7224C49458BB}"/>
              </c:extLst>
            </c:dLbl>
            <c:dLbl>
              <c:idx val="1"/>
              <c:layout>
                <c:manualLayout>
                  <c:x val="0"/>
                  <c:y val="-2.321741032370955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8F7-4B76-9000-9EEF6FF082C2}"/>
                </c:ext>
                <c:ext xmlns:c15="http://schemas.microsoft.com/office/drawing/2012/chart" uri="{CE6537A1-D6FC-4f65-9D91-7224C49458BB}"/>
              </c:extLst>
            </c:dLbl>
            <c:dLbl>
              <c:idx val="2"/>
              <c:layout>
                <c:manualLayout>
                  <c:x val="-8.997851066281615E-17"/>
                  <c:y val="-6.9262175561398767E-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8F7-4B76-9000-9EEF6FF082C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'Te dhenat vjetore te PV 1'!$H$127:$H$129</c:f>
              <c:strCache>
                <c:ptCount val="3"/>
                <c:pt idx="0">
                  <c:v>Viti 2019</c:v>
                </c:pt>
                <c:pt idx="1">
                  <c:v>Viti 2020</c:v>
                </c:pt>
                <c:pt idx="2">
                  <c:v>Viti 2021</c:v>
                </c:pt>
              </c:strCache>
            </c:strRef>
          </c:cat>
          <c:val>
            <c:numRef>
              <c:f>'Te dhenat vjetore te PV 1'!$I$127:$I$129</c:f>
              <c:numCache>
                <c:formatCode>#,##0</c:formatCode>
                <c:ptCount val="3"/>
                <c:pt idx="0">
                  <c:v>23102</c:v>
                </c:pt>
                <c:pt idx="1">
                  <c:v>21976</c:v>
                </c:pt>
                <c:pt idx="2">
                  <c:v>26666.449999999997</c:v>
                </c:pt>
              </c:numCache>
            </c:numRef>
          </c:val>
          <c:extLst xmlns:c16r2="http://schemas.microsoft.com/office/drawing/2015/06/chart">
            <c:ext xmlns:c16="http://schemas.microsoft.com/office/drawing/2014/chart" uri="{C3380CC4-5D6E-409C-BE32-E72D297353CC}">
              <c16:uniqueId val="{00000003-28F7-4B76-9000-9EEF6FF082C2}"/>
            </c:ext>
          </c:extLst>
        </c:ser>
        <c:ser>
          <c:idx val="1"/>
          <c:order val="1"/>
          <c:tx>
            <c:strRef>
              <c:f>'Te dhenat vjetore te PV 1'!$J$126</c:f>
              <c:strCache>
                <c:ptCount val="1"/>
                <c:pt idx="0">
                  <c:v>Të ardhura jo tatimore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9079754601226546E-3"/>
                  <c:y val="6.107101195683872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8F7-4B76-9000-9EEF6FF082C2}"/>
                </c:ext>
                <c:ext xmlns:c15="http://schemas.microsoft.com/office/drawing/2012/chart" uri="{CE6537A1-D6FC-4f65-9D91-7224C49458BB}"/>
              </c:extLst>
            </c:dLbl>
            <c:dLbl>
              <c:idx val="1"/>
              <c:layout>
                <c:manualLayout>
                  <c:x val="0"/>
                  <c:y val="-9.724409448818981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8F7-4B76-9000-9EEF6FF082C2}"/>
                </c:ext>
                <c:ext xmlns:c15="http://schemas.microsoft.com/office/drawing/2012/chart" uri="{CE6537A1-D6FC-4f65-9D91-7224C49458BB}"/>
              </c:extLst>
            </c:dLbl>
            <c:dLbl>
              <c:idx val="2"/>
              <c:layout>
                <c:manualLayout>
                  <c:x val="0"/>
                  <c:y val="4.9759405074357218E-4"/>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8F7-4B76-9000-9EEF6FF082C2}"/>
                </c:ex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vjetore te PV 1'!$H$127:$H$129</c:f>
              <c:strCache>
                <c:ptCount val="3"/>
                <c:pt idx="0">
                  <c:v>Viti 2019</c:v>
                </c:pt>
                <c:pt idx="1">
                  <c:v>Viti 2020</c:v>
                </c:pt>
                <c:pt idx="2">
                  <c:v>Viti 2021</c:v>
                </c:pt>
              </c:strCache>
            </c:strRef>
          </c:cat>
          <c:val>
            <c:numRef>
              <c:f>'Te dhenat vjetore te PV 1'!$J$127:$J$129</c:f>
              <c:numCache>
                <c:formatCode>#,##0</c:formatCode>
                <c:ptCount val="3"/>
                <c:pt idx="0">
                  <c:v>2514.1999999999998</c:v>
                </c:pt>
                <c:pt idx="1">
                  <c:v>2246.23</c:v>
                </c:pt>
                <c:pt idx="2">
                  <c:v>2851.78</c:v>
                </c:pt>
              </c:numCache>
            </c:numRef>
          </c:val>
          <c:extLst xmlns:c16r2="http://schemas.microsoft.com/office/drawing/2015/06/chart">
            <c:ext xmlns:c16="http://schemas.microsoft.com/office/drawing/2014/chart" uri="{C3380CC4-5D6E-409C-BE32-E72D297353CC}">
              <c16:uniqueId val="{00000007-28F7-4B76-9000-9EEF6FF082C2}"/>
            </c:ext>
          </c:extLst>
        </c:ser>
        <c:dLbls>
          <c:dLblPos val="inEnd"/>
          <c:showLegendKey val="0"/>
          <c:showVal val="1"/>
          <c:showCatName val="0"/>
          <c:showSerName val="0"/>
          <c:showPercent val="0"/>
          <c:showBubbleSize val="0"/>
        </c:dLbls>
        <c:gapWidth val="100"/>
        <c:overlap val="-24"/>
        <c:axId val="-1795029312"/>
        <c:axId val="-1795022784"/>
      </c:barChart>
      <c:catAx>
        <c:axId val="-17950293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1795022784"/>
        <c:crosses val="autoZero"/>
        <c:auto val="1"/>
        <c:lblAlgn val="ctr"/>
        <c:lblOffset val="100"/>
        <c:noMultiLvlLbl val="0"/>
      </c:catAx>
      <c:valAx>
        <c:axId val="-1795022784"/>
        <c:scaling>
          <c:orientation val="minMax"/>
        </c:scaling>
        <c:delete val="0"/>
        <c:axPos val="l"/>
        <c:majorGridlines>
          <c:spPr>
            <a:ln w="9525" cap="flat" cmpd="sng" algn="ctr">
              <a:solidFill>
                <a:schemeClr val="bg1"/>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95029312"/>
        <c:crosses val="autoZero"/>
        <c:crossBetween val="between"/>
      </c:valAx>
      <c:spPr>
        <a:noFill/>
        <a:ln>
          <a:noFill/>
          <a:bevel/>
        </a:ln>
        <a:effectLst/>
      </c:spPr>
    </c:plotArea>
    <c:legend>
      <c:legendPos val="b"/>
      <c:layout>
        <c:manualLayout>
          <c:xMode val="edge"/>
          <c:yMode val="edge"/>
          <c:x val="0.1785098304429738"/>
          <c:y val="0.89409667541557303"/>
          <c:w val="0.64788831457417517"/>
          <c:h val="7.8125546806649168E-2"/>
        </c:manualLayout>
      </c:layout>
      <c:overlay val="0"/>
      <c:spPr>
        <a:noFill/>
        <a:ln>
          <a:noFill/>
        </a:ln>
        <a:effectLst/>
      </c:spPr>
      <c:txPr>
        <a:bodyPr rot="0" spcFirstLastPara="1" vertOverflow="ellipsis" vert="horz" wrap="square" anchor="ctr" anchorCtr="1"/>
        <a:lstStyle/>
        <a:p>
          <a:pPr>
            <a:defRPr sz="800" b="1" i="0" u="none" strike="noStrike" kern="1200" baseline="0">
              <a:solidFill>
                <a:srgbClr val="C00000"/>
              </a:solidFill>
              <a:latin typeface="+mn-lt"/>
              <a:ea typeface="+mn-ea"/>
              <a:cs typeface="+mn-cs"/>
            </a:defRPr>
          </a:pPr>
          <a:endParaRPr lang="en-US"/>
        </a:p>
      </c:txPr>
    </c:legend>
    <c:plotVisOnly val="1"/>
    <c:dispBlanksAs val="gap"/>
    <c:showDLblsOverMax val="0"/>
  </c:chart>
  <c:spPr>
    <a:solidFill>
      <a:schemeClr val="bg2"/>
    </a:solidFill>
    <a:ln w="9525" cap="flat" cmpd="sng" algn="ctr">
      <a:solidFill>
        <a:schemeClr val="bg1">
          <a:lumMod val="85000"/>
        </a:schemeClr>
      </a:solidFill>
      <a:round/>
    </a:ln>
    <a:effectLst/>
  </c:spPr>
  <c:txPr>
    <a:bodyPr/>
    <a:lstStyle/>
    <a:p>
      <a:pPr algn="just">
        <a:defRPr sz="800"/>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444262536489865E-2"/>
          <c:y val="6.5560323721014793E-2"/>
          <c:w val="0.84007207019914587"/>
          <c:h val="0.64175559136189053"/>
        </c:manualLayout>
      </c:layout>
      <c:barChart>
        <c:barDir val="col"/>
        <c:grouping val="clustered"/>
        <c:varyColors val="0"/>
        <c:ser>
          <c:idx val="1"/>
          <c:order val="0"/>
          <c:tx>
            <c:strRef>
              <c:f>'Te dhenat vjetore te PV 1'!$C$47</c:f>
              <c:strCache>
                <c:ptCount val="1"/>
                <c:pt idx="0">
                  <c:v>Të ardhura nga Pushteti Vendor</c:v>
                </c:pt>
              </c:strCache>
            </c:strRef>
          </c:tx>
          <c:spPr>
            <a:solidFill>
              <a:srgbClr val="5B9BD5">
                <a:lumMod val="60000"/>
                <a:lumOff val="40000"/>
              </a:srgbClr>
            </a:solidFill>
            <a:ln>
              <a:solidFill>
                <a:schemeClr val="bg1">
                  <a:lumMod val="65000"/>
                </a:schemeClr>
              </a:solidFill>
            </a:ln>
          </c:spPr>
          <c:invertIfNegative val="0"/>
          <c:dLbls>
            <c:numFmt formatCode="#,##0.0" sourceLinked="0"/>
            <c:spPr>
              <a:noFill/>
              <a:ln>
                <a:noFill/>
              </a:ln>
              <a:effectLst/>
            </c:spPr>
            <c:txPr>
              <a:bodyPr/>
              <a:lstStyle/>
              <a:p>
                <a:pPr>
                  <a:defRPr b="0"/>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'Te dhenat vjetore te PV 1'!$K$46:$S$46</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'Te dhenat vjetore te PV 1'!$K$47:$S$47</c:f>
              <c:numCache>
                <c:formatCode>#,##0</c:formatCode>
                <c:ptCount val="9"/>
                <c:pt idx="0">
                  <c:v>10824.7</c:v>
                </c:pt>
                <c:pt idx="1">
                  <c:v>12447</c:v>
                </c:pt>
                <c:pt idx="2">
                  <c:v>11700</c:v>
                </c:pt>
                <c:pt idx="3">
                  <c:v>14951</c:v>
                </c:pt>
                <c:pt idx="4">
                  <c:v>18447.329999999998</c:v>
                </c:pt>
                <c:pt idx="5">
                  <c:v>21863</c:v>
                </c:pt>
                <c:pt idx="6">
                  <c:v>23102</c:v>
                </c:pt>
                <c:pt idx="7">
                  <c:v>21976</c:v>
                </c:pt>
                <c:pt idx="8">
                  <c:v>26666.449999999997</c:v>
                </c:pt>
              </c:numCache>
            </c:numRef>
          </c:val>
          <c:extLst xmlns:c16r2="http://schemas.microsoft.com/office/drawing/2015/06/chart">
            <c:ext xmlns:c16="http://schemas.microsoft.com/office/drawing/2014/chart" uri="{C3380CC4-5D6E-409C-BE32-E72D297353CC}">
              <c16:uniqueId val="{00000000-DBC0-4F43-8AA1-ADE97811242A}"/>
            </c:ext>
          </c:extLst>
        </c:ser>
        <c:dLbls>
          <c:showLegendKey val="0"/>
          <c:showVal val="0"/>
          <c:showCatName val="0"/>
          <c:showSerName val="0"/>
          <c:showPercent val="0"/>
          <c:showBubbleSize val="0"/>
        </c:dLbls>
        <c:gapWidth val="40"/>
        <c:axId val="-1795022240"/>
        <c:axId val="-1793151520"/>
      </c:barChart>
      <c:lineChart>
        <c:grouping val="standard"/>
        <c:varyColors val="0"/>
        <c:ser>
          <c:idx val="0"/>
          <c:order val="1"/>
          <c:tx>
            <c:strRef>
              <c:f>'Te dhenat vjetore te PV 1'!$C$48</c:f>
              <c:strCache>
                <c:ptCount val="1"/>
                <c:pt idx="0">
                  <c:v>Ritmi i ndryshimit të të ardhurave vendore</c:v>
                </c:pt>
              </c:strCache>
            </c:strRef>
          </c:tx>
          <c:spPr>
            <a:ln w="25400">
              <a:solidFill>
                <a:srgbClr val="C00000"/>
              </a:solidFill>
            </a:ln>
          </c:spPr>
          <c:marker>
            <c:symbol val="none"/>
          </c:marker>
          <c:dLbls>
            <c:dLbl>
              <c:idx val="2"/>
              <c:layout>
                <c:manualLayout>
                  <c:x val="-4.5654017805932423E-2"/>
                  <c:y val="-7.94047652407478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BC0-4F43-8AA1-ADE97811242A}"/>
                </c:ext>
                <c:ext xmlns:c15="http://schemas.microsoft.com/office/drawing/2012/chart" uri="{CE6537A1-D6FC-4f65-9D91-7224C49458BB}"/>
              </c:extLst>
            </c:dLbl>
            <c:dLbl>
              <c:idx val="6"/>
              <c:layout>
                <c:manualLayout>
                  <c:x val="-4.1984009424564588E-2"/>
                  <c:y val="-9.213652150736471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BC0-4F43-8AA1-ADE97811242A}"/>
                </c:ext>
                <c:ext xmlns:c15="http://schemas.microsoft.com/office/drawing/2012/chart" uri="{CE6537A1-D6FC-4f65-9D91-7224C49458BB}"/>
              </c:extLst>
            </c:dLbl>
            <c:dLbl>
              <c:idx val="7"/>
              <c:layout>
                <c:manualLayout>
                  <c:x val="-4.5604526305281098E-2"/>
                  <c:y val="-8.414994496655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BC0-4F43-8AA1-ADE97811242A}"/>
                </c:ext>
                <c:ext xmlns:c15="http://schemas.microsoft.com/office/drawing/2012/chart" uri="{CE6537A1-D6FC-4f65-9D91-7224C49458BB}"/>
              </c:extLst>
            </c:dLbl>
            <c:numFmt formatCode="0.0%" sourceLinked="0"/>
            <c:spPr>
              <a:noFill/>
              <a:ln>
                <a:noFill/>
              </a:ln>
              <a:effectLst/>
            </c:spPr>
            <c:txPr>
              <a:bodyPr/>
              <a:lstStyle/>
              <a:p>
                <a:pPr>
                  <a:defRPr b="1">
                    <a:solidFill>
                      <a:srgbClr val="C0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'C:\Users\Mariel.Frroku\Desktop\Analiza Vjetore e buxhetit vendor 2017\Analiza e buxhetit faktik vendor 2017\[Formatet e tabelave te shpenzimeve te nevojshme per analizen TE PERFUNDURA.xlsx]Te dhenat e grupuara vjetore'!$M$6:$Y$6</c:f>
              <c:strCache>
                <c:ptCount val="13"/>
                <c:pt idx="0">
                  <c:v>12M-2005</c:v>
                </c:pt>
                <c:pt idx="1">
                  <c:v>12M-2006</c:v>
                </c:pt>
                <c:pt idx="2">
                  <c:v>12M-2007</c:v>
                </c:pt>
                <c:pt idx="3">
                  <c:v>12M-2008</c:v>
                </c:pt>
                <c:pt idx="4">
                  <c:v>12M-2009</c:v>
                </c:pt>
                <c:pt idx="5">
                  <c:v>12M-2010</c:v>
                </c:pt>
                <c:pt idx="6">
                  <c:v>12M-2011</c:v>
                </c:pt>
                <c:pt idx="7">
                  <c:v>12M-2012</c:v>
                </c:pt>
                <c:pt idx="8">
                  <c:v>12M-2013</c:v>
                </c:pt>
                <c:pt idx="9">
                  <c:v>12M-2014</c:v>
                </c:pt>
                <c:pt idx="10">
                  <c:v>12M-2015</c:v>
                </c:pt>
                <c:pt idx="11">
                  <c:v>12M-2016</c:v>
                </c:pt>
                <c:pt idx="12">
                  <c:v>12M-2017</c:v>
                </c:pt>
              </c:strCache>
            </c:strRef>
          </c:cat>
          <c:val>
            <c:numRef>
              <c:f>'Te dhenat vjetore te PV 1'!$K$48:$S$48</c:f>
              <c:numCache>
                <c:formatCode>0%</c:formatCode>
                <c:ptCount val="9"/>
                <c:pt idx="0">
                  <c:v>-3.158670227461025E-3</c:v>
                </c:pt>
                <c:pt idx="1">
                  <c:v>0.14987020425508321</c:v>
                </c:pt>
                <c:pt idx="2">
                  <c:v>-6.0014461315979754E-2</c:v>
                </c:pt>
                <c:pt idx="3">
                  <c:v>0.27786324786324784</c:v>
                </c:pt>
                <c:pt idx="4">
                  <c:v>0.23385258511136367</c:v>
                </c:pt>
                <c:pt idx="5">
                  <c:v>0.18515796052870537</c:v>
                </c:pt>
                <c:pt idx="6">
                  <c:v>5.6671088139779537E-2</c:v>
                </c:pt>
                <c:pt idx="7">
                  <c:v>-4.8740368799238161E-2</c:v>
                </c:pt>
                <c:pt idx="8">
                  <c:v>0.21343511103021465</c:v>
                </c:pt>
              </c:numCache>
            </c:numRef>
          </c:val>
          <c:smooth val="1"/>
          <c:extLst xmlns:c16r2="http://schemas.microsoft.com/office/drawing/2015/06/chart">
            <c:ext xmlns:c16="http://schemas.microsoft.com/office/drawing/2014/chart" uri="{C3380CC4-5D6E-409C-BE32-E72D297353CC}">
              <c16:uniqueId val="{00000004-DBC0-4F43-8AA1-ADE97811242A}"/>
            </c:ext>
          </c:extLst>
        </c:ser>
        <c:dLbls>
          <c:showLegendKey val="0"/>
          <c:showVal val="0"/>
          <c:showCatName val="0"/>
          <c:showSerName val="0"/>
          <c:showPercent val="0"/>
          <c:showBubbleSize val="0"/>
        </c:dLbls>
        <c:marker val="1"/>
        <c:smooth val="0"/>
        <c:axId val="-1793137376"/>
        <c:axId val="-1793147168"/>
      </c:lineChart>
      <c:catAx>
        <c:axId val="-1795022240"/>
        <c:scaling>
          <c:orientation val="minMax"/>
        </c:scaling>
        <c:delete val="0"/>
        <c:axPos val="b"/>
        <c:numFmt formatCode="General" sourceLinked="1"/>
        <c:majorTickMark val="cross"/>
        <c:minorTickMark val="none"/>
        <c:tickLblPos val="nextTo"/>
        <c:txPr>
          <a:bodyPr rot="-2700000" vert="horz"/>
          <a:lstStyle/>
          <a:p>
            <a:pPr>
              <a:defRPr sz="700" b="1"/>
            </a:pPr>
            <a:endParaRPr lang="en-US"/>
          </a:p>
        </c:txPr>
        <c:crossAx val="-1793151520"/>
        <c:crosses val="autoZero"/>
        <c:auto val="0"/>
        <c:lblAlgn val="ctr"/>
        <c:lblOffset val="100"/>
        <c:tickLblSkip val="1"/>
        <c:tickMarkSkip val="1"/>
        <c:noMultiLvlLbl val="0"/>
      </c:catAx>
      <c:valAx>
        <c:axId val="-1793151520"/>
        <c:scaling>
          <c:orientation val="minMax"/>
        </c:scaling>
        <c:delete val="0"/>
        <c:axPos val="l"/>
        <c:title>
          <c:tx>
            <c:rich>
              <a:bodyPr/>
              <a:lstStyle/>
              <a:p>
                <a:pPr>
                  <a:defRPr/>
                </a:pPr>
                <a:r>
                  <a:rPr lang="sq-AL"/>
                  <a:t>Në miliardë</a:t>
                </a:r>
              </a:p>
            </c:rich>
          </c:tx>
          <c:layout>
            <c:manualLayout>
              <c:xMode val="edge"/>
              <c:yMode val="edge"/>
              <c:x val="2.1100178275251088E-3"/>
              <c:y val="2.0867950363891792E-3"/>
            </c:manualLayout>
          </c:layout>
          <c:overlay val="0"/>
        </c:title>
        <c:numFmt formatCode="#,##0.0" sourceLinked="0"/>
        <c:majorTickMark val="cross"/>
        <c:minorTickMark val="none"/>
        <c:tickLblPos val="nextTo"/>
        <c:txPr>
          <a:bodyPr rot="0" vert="horz"/>
          <a:lstStyle/>
          <a:p>
            <a:pPr>
              <a:defRPr/>
            </a:pPr>
            <a:endParaRPr lang="en-US"/>
          </a:p>
        </c:txPr>
        <c:crossAx val="-1795022240"/>
        <c:crosses val="autoZero"/>
        <c:crossBetween val="between"/>
        <c:dispUnits>
          <c:builtInUnit val="thousands"/>
        </c:dispUnits>
      </c:valAx>
      <c:catAx>
        <c:axId val="-1793137376"/>
        <c:scaling>
          <c:orientation val="minMax"/>
        </c:scaling>
        <c:delete val="1"/>
        <c:axPos val="b"/>
        <c:numFmt formatCode="General" sourceLinked="1"/>
        <c:majorTickMark val="out"/>
        <c:minorTickMark val="none"/>
        <c:tickLblPos val="nextTo"/>
        <c:crossAx val="-1793147168"/>
        <c:crosses val="autoZero"/>
        <c:auto val="0"/>
        <c:lblAlgn val="ctr"/>
        <c:lblOffset val="100"/>
        <c:noMultiLvlLbl val="0"/>
      </c:catAx>
      <c:valAx>
        <c:axId val="-1793147168"/>
        <c:scaling>
          <c:orientation val="minMax"/>
        </c:scaling>
        <c:delete val="0"/>
        <c:axPos val="r"/>
        <c:numFmt formatCode="0%" sourceLinked="0"/>
        <c:majorTickMark val="cross"/>
        <c:minorTickMark val="none"/>
        <c:tickLblPos val="nextTo"/>
        <c:txPr>
          <a:bodyPr rot="0" vert="horz"/>
          <a:lstStyle/>
          <a:p>
            <a:pPr>
              <a:defRPr/>
            </a:pPr>
            <a:endParaRPr lang="en-US"/>
          </a:p>
        </c:txPr>
        <c:crossAx val="-1793137376"/>
        <c:crosses val="max"/>
        <c:crossBetween val="between"/>
      </c:valAx>
      <c:spPr>
        <a:solidFill>
          <a:srgbClr val="DBEFF9"/>
        </a:solidFill>
      </c:spPr>
    </c:plotArea>
    <c:legend>
      <c:legendPos val="b"/>
      <c:legendEntry>
        <c:idx val="1"/>
        <c:txPr>
          <a:bodyPr/>
          <a:lstStyle/>
          <a:p>
            <a:pPr>
              <a:defRPr b="1">
                <a:solidFill>
                  <a:srgbClr val="C00000"/>
                </a:solidFill>
              </a:defRPr>
            </a:pPr>
            <a:endParaRPr lang="en-US"/>
          </a:p>
        </c:txPr>
      </c:legendEntry>
      <c:layout>
        <c:manualLayout>
          <c:xMode val="edge"/>
          <c:yMode val="edge"/>
          <c:x val="8.5155955655690174E-2"/>
          <c:y val="0.90908136482939628"/>
          <c:w val="0.86516280943441803"/>
          <c:h val="9.0301689816862818E-2"/>
        </c:manualLayout>
      </c:layout>
      <c:overlay val="0"/>
      <c:txPr>
        <a:bodyPr/>
        <a:lstStyle/>
        <a:p>
          <a:pPr>
            <a:defRPr b="1">
              <a:solidFill>
                <a:srgbClr val="C00000"/>
              </a:solidFill>
            </a:defRPr>
          </a:pPr>
          <a:endParaRPr lang="en-US"/>
        </a:p>
      </c:txPr>
    </c:legend>
    <c:plotVisOnly val="1"/>
    <c:dispBlanksAs val="gap"/>
    <c:showDLblsOverMax val="0"/>
  </c:chart>
  <c:spPr>
    <a:solidFill>
      <a:srgbClr val="DBEFF9"/>
    </a:solidFill>
  </c:spPr>
  <c:txPr>
    <a:bodyPr/>
    <a:lstStyle/>
    <a:p>
      <a:pPr>
        <a:defRPr sz="9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03842676953377"/>
          <c:y val="7.961970179259506E-2"/>
          <c:w val="0.82530660110013587"/>
          <c:h val="0.65467638353716429"/>
        </c:manualLayout>
      </c:layout>
      <c:barChart>
        <c:barDir val="col"/>
        <c:grouping val="stacked"/>
        <c:varyColors val="0"/>
        <c:ser>
          <c:idx val="2"/>
          <c:order val="2"/>
          <c:tx>
            <c:strRef>
              <c:f>Sheet1!$B$8</c:f>
              <c:strCache>
                <c:ptCount val="1"/>
                <c:pt idx="0">
                  <c:v>Të ardhurat e buxhetit vendor</c:v>
                </c:pt>
              </c:strCache>
            </c:strRef>
          </c:tx>
          <c:spPr>
            <a:solidFill>
              <a:schemeClr val="accent1">
                <a:lumMod val="60000"/>
                <a:lumOff val="40000"/>
              </a:schemeClr>
            </a:solidFill>
            <a:ln>
              <a:noFill/>
            </a:ln>
            <a:effectLst/>
          </c:spPr>
          <c:invertIfNegative val="0"/>
          <c:dLbls>
            <c:dLbl>
              <c:idx val="8"/>
              <c:layout>
                <c:manualLayout>
                  <c:x val="0"/>
                  <c:y val="-0.2097236194472388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009-4D60-873E-0F40B993DDF6}"/>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Sheet1!$C$5:$K$5</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Sheet1!$C$8:$K$8</c:f>
              <c:numCache>
                <c:formatCode>#,##0</c:formatCode>
                <c:ptCount val="9"/>
                <c:pt idx="0">
                  <c:v>10824.7</c:v>
                </c:pt>
                <c:pt idx="1">
                  <c:v>12447</c:v>
                </c:pt>
                <c:pt idx="2">
                  <c:v>11700</c:v>
                </c:pt>
                <c:pt idx="3">
                  <c:v>14951</c:v>
                </c:pt>
                <c:pt idx="4">
                  <c:v>18447.330000000002</c:v>
                </c:pt>
                <c:pt idx="5">
                  <c:v>21862.799999999999</c:v>
                </c:pt>
                <c:pt idx="6">
                  <c:v>23102.309999999998</c:v>
                </c:pt>
                <c:pt idx="7">
                  <c:v>21976</c:v>
                </c:pt>
                <c:pt idx="8">
                  <c:v>26666.45</c:v>
                </c:pt>
              </c:numCache>
            </c:numRef>
          </c:val>
          <c:extLst xmlns:c16r2="http://schemas.microsoft.com/office/drawing/2015/06/chart">
            <c:ext xmlns:c16="http://schemas.microsoft.com/office/drawing/2014/chart" uri="{C3380CC4-5D6E-409C-BE32-E72D297353CC}">
              <c16:uniqueId val="{00000001-1009-4D60-873E-0F40B993DDF6}"/>
            </c:ext>
          </c:extLst>
        </c:ser>
        <c:dLbls>
          <c:showLegendKey val="0"/>
          <c:showVal val="0"/>
          <c:showCatName val="0"/>
          <c:showSerName val="0"/>
          <c:showPercent val="0"/>
          <c:showBubbleSize val="0"/>
        </c:dLbls>
        <c:gapWidth val="150"/>
        <c:overlap val="100"/>
        <c:axId val="-1793152608"/>
        <c:axId val="-1793134112"/>
      </c:barChart>
      <c:lineChart>
        <c:grouping val="standard"/>
        <c:varyColors val="0"/>
        <c:ser>
          <c:idx val="0"/>
          <c:order val="0"/>
          <c:tx>
            <c:strRef>
              <c:f>Sheet1!$B$6</c:f>
              <c:strCache>
                <c:ptCount val="1"/>
                <c:pt idx="0">
                  <c:v>Në % ndaj totalit të të ardhurave</c:v>
                </c:pt>
              </c:strCache>
            </c:strRef>
          </c:tx>
          <c:spPr>
            <a:ln w="28575" cap="rnd">
              <a:solidFill>
                <a:srgbClr val="C00000"/>
              </a:solidFill>
              <a:round/>
            </a:ln>
            <a:effectLst/>
          </c:spPr>
          <c:marker>
            <c:symbol val="circle"/>
            <c:size val="5"/>
            <c:spPr>
              <a:solidFill>
                <a:schemeClr val="accent1"/>
              </a:solidFill>
              <a:ln w="9525">
                <a:solidFill>
                  <a:srgbClr val="C00000"/>
                </a:solidFill>
              </a:ln>
              <a:effectLst/>
            </c:spPr>
          </c:marker>
          <c:dLbls>
            <c:spPr>
              <a:noFill/>
              <a:ln>
                <a:noFill/>
              </a:ln>
              <a:effectLst/>
            </c:spPr>
            <c:txPr>
              <a:bodyPr rot="0" spcFirstLastPara="1" vertOverflow="ellipsis" vert="horz" wrap="square" anchor="ctr" anchorCtr="1"/>
              <a:lstStyle/>
              <a:p>
                <a:pPr>
                  <a:defRPr sz="800" b="1" i="0" u="none" strike="noStrike" kern="1200" baseline="0">
                    <a:solidFill>
                      <a:srgbClr val="C00000"/>
                    </a:solidFill>
                    <a:latin typeface="+mj-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Sheet1!$C$5:$K$5</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Sheet1!$C$6:$K$6</c:f>
              <c:numCache>
                <c:formatCode>0.00%</c:formatCode>
                <c:ptCount val="9"/>
                <c:pt idx="0">
                  <c:v>3.3085008056766584E-2</c:v>
                </c:pt>
                <c:pt idx="1">
                  <c:v>3.3941334147758108E-2</c:v>
                </c:pt>
                <c:pt idx="2">
                  <c:v>3.0853942184459106E-2</c:v>
                </c:pt>
                <c:pt idx="3">
                  <c:v>3.6732748433127529E-2</c:v>
                </c:pt>
                <c:pt idx="4">
                  <c:v>4.2861175676793435E-2</c:v>
                </c:pt>
                <c:pt idx="5">
                  <c:v>4.8593780308183357E-2</c:v>
                </c:pt>
                <c:pt idx="6">
                  <c:v>5.0184372198387256E-2</c:v>
                </c:pt>
                <c:pt idx="7">
                  <c:v>5.1598384155370311E-2</c:v>
                </c:pt>
                <c:pt idx="8">
                  <c:v>5.2228612684287794E-2</c:v>
                </c:pt>
              </c:numCache>
            </c:numRef>
          </c:val>
          <c:smooth val="0"/>
          <c:extLst xmlns:c16r2="http://schemas.microsoft.com/office/drawing/2015/06/chart">
            <c:ext xmlns:c16="http://schemas.microsoft.com/office/drawing/2014/chart" uri="{C3380CC4-5D6E-409C-BE32-E72D297353CC}">
              <c16:uniqueId val="{00000002-1009-4D60-873E-0F40B993DDF6}"/>
            </c:ext>
          </c:extLst>
        </c:ser>
        <c:ser>
          <c:idx val="1"/>
          <c:order val="1"/>
          <c:tx>
            <c:strRef>
              <c:f>Sheet1!$B$7</c:f>
              <c:strCache>
                <c:ptCount val="1"/>
                <c:pt idx="0">
                  <c:v>Në % ndaj PBB-së</c:v>
                </c:pt>
              </c:strCache>
            </c:strRef>
          </c:tx>
          <c:spPr>
            <a:ln w="28575" cap="rnd">
              <a:solidFill>
                <a:srgbClr val="C00000"/>
              </a:solidFill>
              <a:round/>
            </a:ln>
            <a:effectLst/>
          </c:spPr>
          <c:marker>
            <c:symbol val="circle"/>
            <c:size val="5"/>
            <c:spPr>
              <a:solidFill>
                <a:schemeClr val="accent2"/>
              </a:solidFill>
              <a:ln w="9525">
                <a:solidFill>
                  <a:srgbClr val="C00000"/>
                </a:solidFill>
              </a:ln>
              <a:effectLst/>
            </c:spPr>
          </c:marker>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j-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Sheet1!$C$5:$K$5</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Sheet1!$C$7:$K$7</c:f>
              <c:numCache>
                <c:formatCode>0.00%</c:formatCode>
                <c:ptCount val="9"/>
                <c:pt idx="0">
                  <c:v>8.0179843506139794E-3</c:v>
                </c:pt>
                <c:pt idx="1">
                  <c:v>8.9206330883283332E-3</c:v>
                </c:pt>
                <c:pt idx="2">
                  <c:v>8.1572497942542319E-3</c:v>
                </c:pt>
                <c:pt idx="3">
                  <c:v>1.0153624426729398E-2</c:v>
                </c:pt>
                <c:pt idx="4">
                  <c:v>1.1896552724833861E-2</c:v>
                </c:pt>
                <c:pt idx="5">
                  <c:v>1.335760121852644E-2</c:v>
                </c:pt>
                <c:pt idx="6">
                  <c:v>1.3656034743153305E-2</c:v>
                </c:pt>
                <c:pt idx="7">
                  <c:v>1.3586054387493114E-2</c:v>
                </c:pt>
                <c:pt idx="8">
                  <c:v>1.510206150477786E-2</c:v>
                </c:pt>
              </c:numCache>
            </c:numRef>
          </c:val>
          <c:smooth val="0"/>
          <c:extLst xmlns:c16r2="http://schemas.microsoft.com/office/drawing/2015/06/chart">
            <c:ext xmlns:c16="http://schemas.microsoft.com/office/drawing/2014/chart" uri="{C3380CC4-5D6E-409C-BE32-E72D297353CC}">
              <c16:uniqueId val="{00000003-1009-4D60-873E-0F40B993DDF6}"/>
            </c:ext>
          </c:extLst>
        </c:ser>
        <c:dLbls>
          <c:showLegendKey val="0"/>
          <c:showVal val="0"/>
          <c:showCatName val="0"/>
          <c:showSerName val="0"/>
          <c:showPercent val="0"/>
          <c:showBubbleSize val="0"/>
        </c:dLbls>
        <c:marker val="1"/>
        <c:smooth val="0"/>
        <c:axId val="-1793152064"/>
        <c:axId val="-1793128128"/>
      </c:lineChart>
      <c:catAx>
        <c:axId val="-179315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j-lt"/>
                <a:ea typeface="+mn-ea"/>
                <a:cs typeface="+mn-cs"/>
              </a:defRPr>
            </a:pPr>
            <a:endParaRPr lang="en-US"/>
          </a:p>
        </c:txPr>
        <c:crossAx val="-1793134112"/>
        <c:crosses val="autoZero"/>
        <c:auto val="1"/>
        <c:lblAlgn val="ctr"/>
        <c:lblOffset val="100"/>
        <c:noMultiLvlLbl val="0"/>
      </c:catAx>
      <c:valAx>
        <c:axId val="-1793134112"/>
        <c:scaling>
          <c:orientation val="minMax"/>
        </c:scaling>
        <c:delete val="0"/>
        <c:axPos val="l"/>
        <c:title>
          <c:tx>
            <c:rich>
              <a:bodyPr rot="-5400000" spcFirstLastPara="1" vertOverflow="ellipsis" vert="horz" wrap="square" anchor="ctr" anchorCtr="1"/>
              <a:lstStyle/>
              <a:p>
                <a:pPr algn="ctr" rtl="0">
                  <a:defRPr sz="800" b="0" i="0" u="none" strike="noStrike" kern="1200" baseline="0">
                    <a:solidFill>
                      <a:schemeClr val="tx1">
                        <a:lumMod val="65000"/>
                        <a:lumOff val="35000"/>
                      </a:schemeClr>
                    </a:solidFill>
                    <a:latin typeface="+mj-lt"/>
                    <a:ea typeface="+mn-ea"/>
                    <a:cs typeface="+mn-cs"/>
                  </a:defRPr>
                </a:pPr>
                <a:r>
                  <a:rPr lang="en-GB"/>
                  <a:t>në milion lekë</a:t>
                </a:r>
              </a:p>
            </c:rich>
          </c:tx>
          <c:layout>
            <c:manualLayout>
              <c:xMode val="edge"/>
              <c:yMode val="edge"/>
              <c:x val="0"/>
              <c:y val="1.7092434184868371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793152608"/>
        <c:crosses val="autoZero"/>
        <c:crossBetween val="between"/>
      </c:valAx>
      <c:valAx>
        <c:axId val="-1793128128"/>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793152064"/>
        <c:crosses val="max"/>
        <c:crossBetween val="between"/>
      </c:valAx>
      <c:catAx>
        <c:axId val="-1793152064"/>
        <c:scaling>
          <c:orientation val="minMax"/>
        </c:scaling>
        <c:delete val="1"/>
        <c:axPos val="b"/>
        <c:numFmt formatCode="General" sourceLinked="1"/>
        <c:majorTickMark val="out"/>
        <c:minorTickMark val="none"/>
        <c:tickLblPos val="nextTo"/>
        <c:crossAx val="-1793128128"/>
        <c:crosses val="autoZero"/>
        <c:auto val="1"/>
        <c:lblAlgn val="ctr"/>
        <c:lblOffset val="100"/>
        <c:noMultiLvlLbl val="0"/>
      </c:catAx>
      <c:spPr>
        <a:noFill/>
        <a:ln>
          <a:noFill/>
        </a:ln>
        <a:effectLst/>
      </c:spPr>
    </c:plotArea>
    <c:legend>
      <c:legendPos val="b"/>
      <c:layout>
        <c:manualLayout>
          <c:xMode val="edge"/>
          <c:yMode val="edge"/>
          <c:x val="4.9999921181023546E-2"/>
          <c:y val="0.88096413712478072"/>
          <c:w val="0.9"/>
          <c:h val="9.574619766415661E-2"/>
        </c:manualLayout>
      </c:layout>
      <c:overlay val="0"/>
      <c:spPr>
        <a:noFill/>
        <a:ln>
          <a:noFill/>
        </a:ln>
        <a:effectLst/>
      </c:spPr>
      <c:txPr>
        <a:bodyPr rot="0" spcFirstLastPara="1" vertOverflow="ellipsis" vert="horz" wrap="square" anchor="ctr" anchorCtr="1"/>
        <a:lstStyle/>
        <a:p>
          <a:pPr>
            <a:defRPr sz="800" b="1" i="0" u="none" strike="noStrike" kern="1200" baseline="0">
              <a:solidFill>
                <a:srgbClr val="C00000"/>
              </a:solidFill>
              <a:latin typeface="+mj-lt"/>
              <a:ea typeface="+mn-ea"/>
              <a:cs typeface="+mn-cs"/>
            </a:defRPr>
          </a:pPr>
          <a:endParaRPr lang="en-US"/>
        </a:p>
      </c:txPr>
    </c:legend>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sz="800">
          <a:latin typeface="+mj-lt"/>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195796856705226E-2"/>
          <c:y val="3.2561358401628368E-2"/>
          <c:w val="0.91851216617724762"/>
          <c:h val="0.71642016176549361"/>
        </c:manualLayout>
      </c:layout>
      <c:barChart>
        <c:barDir val="col"/>
        <c:grouping val="stacked"/>
        <c:varyColors val="0"/>
        <c:ser>
          <c:idx val="0"/>
          <c:order val="0"/>
          <c:tx>
            <c:strRef>
              <c:f>'Te ardhurat 2020'!$E$82</c:f>
              <c:strCache>
                <c:ptCount val="1"/>
                <c:pt idx="0">
                  <c:v>Taksa mbi Pasurinë e Palujtshme</c:v>
                </c:pt>
              </c:strCache>
            </c:strRef>
          </c:tx>
          <c:spPr>
            <a:solidFill>
              <a:schemeClr val="tx2">
                <a:lumMod val="7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 ardhurat 2020'!$F$81:$Q$81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'Te ardhurat 2020'!$F$82:$Q$82</c:f>
              <c:numCache>
                <c:formatCode>General</c:formatCode>
                <c:ptCount val="12"/>
                <c:pt idx="0">
                  <c:v>1.9</c:v>
                </c:pt>
                <c:pt idx="1">
                  <c:v>1.9</c:v>
                </c:pt>
                <c:pt idx="2">
                  <c:v>2.5</c:v>
                </c:pt>
                <c:pt idx="3">
                  <c:v>2.5</c:v>
                </c:pt>
                <c:pt idx="4">
                  <c:v>3.7</c:v>
                </c:pt>
                <c:pt idx="5">
                  <c:v>3.9</c:v>
                </c:pt>
                <c:pt idx="6">
                  <c:v>4.5</c:v>
                </c:pt>
                <c:pt idx="7">
                  <c:v>4.7</c:v>
                </c:pt>
                <c:pt idx="8">
                  <c:v>5.2</c:v>
                </c:pt>
                <c:pt idx="9">
                  <c:v>5.3</c:v>
                </c:pt>
                <c:pt idx="10" formatCode="0.0">
                  <c:v>5.0999999999999996</c:v>
                </c:pt>
                <c:pt idx="11" formatCode="0.0">
                  <c:v>6.1150000000000002</c:v>
                </c:pt>
              </c:numCache>
            </c:numRef>
          </c:val>
          <c:extLst xmlns:c16r2="http://schemas.microsoft.com/office/drawing/2015/06/chart">
            <c:ext xmlns:c16="http://schemas.microsoft.com/office/drawing/2014/chart" uri="{C3380CC4-5D6E-409C-BE32-E72D297353CC}">
              <c16:uniqueId val="{00000000-D2D2-4BFA-8889-97C5FF928137}"/>
            </c:ext>
          </c:extLst>
        </c:ser>
        <c:ser>
          <c:idx val="1"/>
          <c:order val="1"/>
          <c:tx>
            <c:strRef>
              <c:f>'Te ardhurat 2020'!$E$83</c:f>
              <c:strCache>
                <c:ptCount val="1"/>
                <c:pt idx="0">
                  <c:v>Tatim Fitimi mbi Biznesin e vogël</c:v>
                </c:pt>
              </c:strCache>
            </c:strRef>
          </c:tx>
          <c:spPr>
            <a:solidFill>
              <a:schemeClr val="tx2">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 ardhurat 2020'!$F$81:$Q$81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'Te ardhurat 2020'!$F$83:$Q$83</c:f>
              <c:numCache>
                <c:formatCode>General</c:formatCode>
                <c:ptCount val="12"/>
                <c:pt idx="0">
                  <c:v>2.5</c:v>
                </c:pt>
                <c:pt idx="1">
                  <c:v>2.6</c:v>
                </c:pt>
                <c:pt idx="2">
                  <c:v>2.2999999999999998</c:v>
                </c:pt>
                <c:pt idx="3">
                  <c:v>2.1</c:v>
                </c:pt>
                <c:pt idx="4">
                  <c:v>1.7</c:v>
                </c:pt>
                <c:pt idx="5">
                  <c:v>2.1</c:v>
                </c:pt>
                <c:pt idx="6">
                  <c:v>0.6</c:v>
                </c:pt>
                <c:pt idx="7">
                  <c:v>0.3</c:v>
                </c:pt>
                <c:pt idx="8">
                  <c:v>0.3</c:v>
                </c:pt>
                <c:pt idx="9">
                  <c:v>0.4</c:v>
                </c:pt>
                <c:pt idx="10" formatCode="0.0">
                  <c:v>0.38300000000000001</c:v>
                </c:pt>
                <c:pt idx="11" formatCode="0.0">
                  <c:v>0.38483800000000001</c:v>
                </c:pt>
              </c:numCache>
            </c:numRef>
          </c:val>
          <c:extLst xmlns:c16r2="http://schemas.microsoft.com/office/drawing/2015/06/chart">
            <c:ext xmlns:c16="http://schemas.microsoft.com/office/drawing/2014/chart" uri="{C3380CC4-5D6E-409C-BE32-E72D297353CC}">
              <c16:uniqueId val="{00000001-D2D2-4BFA-8889-97C5FF928137}"/>
            </c:ext>
          </c:extLst>
        </c:ser>
        <c:ser>
          <c:idx val="2"/>
          <c:order val="2"/>
          <c:tx>
            <c:strRef>
              <c:f>'Te ardhurat 2020'!$E$84</c:f>
              <c:strCache>
                <c:ptCount val="1"/>
                <c:pt idx="0">
                  <c:v>Tarifat e shërbimeve Vendore</c:v>
                </c:pt>
              </c:strCache>
            </c:strRef>
          </c:tx>
          <c:spPr>
            <a:solidFill>
              <a:schemeClr val="accent2">
                <a:lumMod val="7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 ardhurat 2020'!$F$81:$Q$81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'Te ardhurat 2020'!$F$84:$Q$84</c:f>
              <c:numCache>
                <c:formatCode>General</c:formatCode>
                <c:ptCount val="12"/>
                <c:pt idx="0">
                  <c:v>1.3</c:v>
                </c:pt>
                <c:pt idx="1">
                  <c:v>1.3</c:v>
                </c:pt>
                <c:pt idx="2">
                  <c:v>1.7</c:v>
                </c:pt>
                <c:pt idx="3">
                  <c:v>1.7</c:v>
                </c:pt>
                <c:pt idx="4">
                  <c:v>2</c:v>
                </c:pt>
                <c:pt idx="5">
                  <c:v>2.1</c:v>
                </c:pt>
                <c:pt idx="6">
                  <c:v>3.3</c:v>
                </c:pt>
                <c:pt idx="7">
                  <c:v>3.6</c:v>
                </c:pt>
                <c:pt idx="8">
                  <c:v>4.2</c:v>
                </c:pt>
                <c:pt idx="9">
                  <c:v>4.2</c:v>
                </c:pt>
                <c:pt idx="10" formatCode="0.0">
                  <c:v>6.5</c:v>
                </c:pt>
                <c:pt idx="11" formatCode="0.0">
                  <c:v>7.83</c:v>
                </c:pt>
              </c:numCache>
            </c:numRef>
          </c:val>
          <c:extLst xmlns:c16r2="http://schemas.microsoft.com/office/drawing/2015/06/chart">
            <c:ext xmlns:c16="http://schemas.microsoft.com/office/drawing/2014/chart" uri="{C3380CC4-5D6E-409C-BE32-E72D297353CC}">
              <c16:uniqueId val="{00000002-D2D2-4BFA-8889-97C5FF928137}"/>
            </c:ext>
          </c:extLst>
        </c:ser>
        <c:ser>
          <c:idx val="3"/>
          <c:order val="3"/>
          <c:tx>
            <c:strRef>
              <c:f>'Te ardhurat 2020'!$E$85</c:f>
              <c:strCache>
                <c:ptCount val="1"/>
                <c:pt idx="0">
                  <c:v>Taksa e Ndikimit në Infrastrukturë</c:v>
                </c:pt>
              </c:strCache>
            </c:strRef>
          </c:tx>
          <c:spPr>
            <a:solidFill>
              <a:schemeClr val="accent2">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 ardhurat 2020'!$F$81:$Q$81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'Te ardhurat 2020'!$F$85:$Q$85</c:f>
              <c:numCache>
                <c:formatCode>General</c:formatCode>
                <c:ptCount val="12"/>
                <c:pt idx="0">
                  <c:v>2.6</c:v>
                </c:pt>
                <c:pt idx="1">
                  <c:v>3.2</c:v>
                </c:pt>
                <c:pt idx="2">
                  <c:v>1.6</c:v>
                </c:pt>
                <c:pt idx="3">
                  <c:v>1.8</c:v>
                </c:pt>
                <c:pt idx="4">
                  <c:v>2.4</c:v>
                </c:pt>
                <c:pt idx="5">
                  <c:v>1.4</c:v>
                </c:pt>
                <c:pt idx="6">
                  <c:v>2.8</c:v>
                </c:pt>
                <c:pt idx="7">
                  <c:v>5.2</c:v>
                </c:pt>
                <c:pt idx="8">
                  <c:v>7.2</c:v>
                </c:pt>
                <c:pt idx="9">
                  <c:v>8.4</c:v>
                </c:pt>
                <c:pt idx="10" formatCode="0.0">
                  <c:v>7.9</c:v>
                </c:pt>
                <c:pt idx="11" formatCode="0.0">
                  <c:v>9.4763999999999999</c:v>
                </c:pt>
              </c:numCache>
            </c:numRef>
          </c:val>
          <c:extLst xmlns:c16r2="http://schemas.microsoft.com/office/drawing/2015/06/chart">
            <c:ext xmlns:c16="http://schemas.microsoft.com/office/drawing/2014/chart" uri="{C3380CC4-5D6E-409C-BE32-E72D297353CC}">
              <c16:uniqueId val="{00000003-D2D2-4BFA-8889-97C5FF928137}"/>
            </c:ext>
          </c:extLst>
        </c:ser>
        <c:ser>
          <c:idx val="4"/>
          <c:order val="4"/>
          <c:tx>
            <c:strRef>
              <c:f>'Te ardhurat 2020'!$E$86</c:f>
              <c:strCache>
                <c:ptCount val="1"/>
                <c:pt idx="0">
                  <c:v>Te ardhura te tjera Vendore</c:v>
                </c:pt>
              </c:strCache>
            </c:strRef>
          </c:tx>
          <c:spPr>
            <a:solidFill>
              <a:schemeClr val="accent3">
                <a:lumMod val="20000"/>
                <a:lumOff val="8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 ardhurat 2020'!$F$81:$Q$81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'Te ardhurat 2020'!$F$86:$Q$86</c:f>
              <c:numCache>
                <c:formatCode>General</c:formatCode>
                <c:ptCount val="12"/>
                <c:pt idx="0">
                  <c:v>4.5</c:v>
                </c:pt>
                <c:pt idx="1">
                  <c:v>3.5</c:v>
                </c:pt>
                <c:pt idx="2">
                  <c:v>3.8</c:v>
                </c:pt>
                <c:pt idx="3">
                  <c:v>3.7</c:v>
                </c:pt>
                <c:pt idx="4">
                  <c:v>3.9</c:v>
                </c:pt>
                <c:pt idx="5">
                  <c:v>3.6</c:v>
                </c:pt>
                <c:pt idx="6">
                  <c:v>5.6</c:v>
                </c:pt>
                <c:pt idx="7">
                  <c:v>6.5</c:v>
                </c:pt>
                <c:pt idx="8">
                  <c:v>7.3</c:v>
                </c:pt>
                <c:pt idx="9">
                  <c:v>7.3</c:v>
                </c:pt>
                <c:pt idx="10" formatCode="0.0">
                  <c:v>4.4000000000000004</c:v>
                </c:pt>
                <c:pt idx="11" formatCode="0.0">
                  <c:v>5.6909999999999998</c:v>
                </c:pt>
              </c:numCache>
            </c:numRef>
          </c:val>
          <c:extLst xmlns:c16r2="http://schemas.microsoft.com/office/drawing/2015/06/chart">
            <c:ext xmlns:c16="http://schemas.microsoft.com/office/drawing/2014/chart" uri="{C3380CC4-5D6E-409C-BE32-E72D297353CC}">
              <c16:uniqueId val="{00000004-D2D2-4BFA-8889-97C5FF928137}"/>
            </c:ext>
          </c:extLst>
        </c:ser>
        <c:dLbls>
          <c:showLegendKey val="0"/>
          <c:showVal val="0"/>
          <c:showCatName val="0"/>
          <c:showSerName val="0"/>
          <c:showPercent val="0"/>
          <c:showBubbleSize val="0"/>
        </c:dLbls>
        <c:gapWidth val="125"/>
        <c:overlap val="100"/>
        <c:axId val="-1793142272"/>
        <c:axId val="-1793144992"/>
      </c:barChart>
      <c:lineChart>
        <c:grouping val="standard"/>
        <c:varyColors val="0"/>
        <c:ser>
          <c:idx val="5"/>
          <c:order val="5"/>
          <c:tx>
            <c:strRef>
              <c:f>'Te ardhurat 2020'!$E$87</c:f>
              <c:strCache>
                <c:ptCount val="1"/>
                <c:pt idx="0">
                  <c:v>Të ardhurat Fiskale Vendore</c:v>
                </c:pt>
              </c:strCache>
            </c:strRef>
          </c:tx>
          <c:spPr>
            <a:ln>
              <a:solidFill>
                <a:srgbClr val="C00000"/>
              </a:solidFill>
            </a:ln>
          </c:spPr>
          <c:marker>
            <c:spPr>
              <a:solidFill>
                <a:srgbClr val="FFC000"/>
              </a:solidFill>
              <a:ln>
                <a:solidFill>
                  <a:srgbClr val="C00000"/>
                </a:solidFill>
              </a:ln>
            </c:spPr>
          </c:marker>
          <c:dLbls>
            <c:spPr>
              <a:noFill/>
              <a:ln>
                <a:noFill/>
              </a:ln>
              <a:effectLst/>
            </c:spPr>
            <c:txPr>
              <a:bodyPr/>
              <a:lstStyle/>
              <a:p>
                <a:pPr>
                  <a:defRPr b="1">
                    <a:solidFill>
                      <a:srgbClr val="C0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'Te dhenat vjetore te PV 2'!$G$15:$Q$15</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'Te ardhurat 2020'!$F$87:$Q$87</c:f>
              <c:numCache>
                <c:formatCode>General</c:formatCode>
                <c:ptCount val="12"/>
                <c:pt idx="0">
                  <c:v>12.8</c:v>
                </c:pt>
                <c:pt idx="1">
                  <c:v>12.5</c:v>
                </c:pt>
                <c:pt idx="2">
                  <c:v>11.9</c:v>
                </c:pt>
                <c:pt idx="3">
                  <c:v>11.8</c:v>
                </c:pt>
                <c:pt idx="4">
                  <c:v>13.7</c:v>
                </c:pt>
                <c:pt idx="5">
                  <c:v>13.1</c:v>
                </c:pt>
                <c:pt idx="6">
                  <c:v>16.799999999999997</c:v>
                </c:pt>
                <c:pt idx="7">
                  <c:v>20.3</c:v>
                </c:pt>
                <c:pt idx="8">
                  <c:v>24.2</c:v>
                </c:pt>
                <c:pt idx="9">
                  <c:v>25.599999999999998</c:v>
                </c:pt>
                <c:pt idx="10" formatCode="0.0">
                  <c:v>24.283000000000001</c:v>
                </c:pt>
                <c:pt idx="11" formatCode="0.0">
                  <c:v>29.497237999999999</c:v>
                </c:pt>
              </c:numCache>
            </c:numRef>
          </c:val>
          <c:smooth val="0"/>
          <c:extLst xmlns:c16r2="http://schemas.microsoft.com/office/drawing/2015/06/chart">
            <c:ext xmlns:c16="http://schemas.microsoft.com/office/drawing/2014/chart" uri="{C3380CC4-5D6E-409C-BE32-E72D297353CC}">
              <c16:uniqueId val="{00000005-D2D2-4BFA-8889-97C5FF928137}"/>
            </c:ext>
          </c:extLst>
        </c:ser>
        <c:dLbls>
          <c:showLegendKey val="0"/>
          <c:showVal val="0"/>
          <c:showCatName val="0"/>
          <c:showSerName val="0"/>
          <c:showPercent val="0"/>
          <c:showBubbleSize val="0"/>
        </c:dLbls>
        <c:marker val="1"/>
        <c:smooth val="0"/>
        <c:axId val="-1793142272"/>
        <c:axId val="-1793144992"/>
      </c:lineChart>
      <c:catAx>
        <c:axId val="-179314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b="1">
                <a:solidFill>
                  <a:srgbClr val="C00000"/>
                </a:solidFill>
              </a:defRPr>
            </a:pPr>
            <a:endParaRPr lang="en-US"/>
          </a:p>
        </c:txPr>
        <c:crossAx val="-1793144992"/>
        <c:crosses val="autoZero"/>
        <c:auto val="1"/>
        <c:lblAlgn val="ctr"/>
        <c:lblOffset val="100"/>
        <c:noMultiLvlLbl val="0"/>
      </c:catAx>
      <c:valAx>
        <c:axId val="-1793144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Në miliard lekë</a:t>
                </a:r>
              </a:p>
            </c:rich>
          </c:tx>
          <c:layout>
            <c:manualLayout>
              <c:xMode val="edge"/>
              <c:yMode val="edge"/>
              <c:x val="0"/>
              <c:y val="4.5610775690094646E-4"/>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1793142272"/>
        <c:crosses val="autoZero"/>
        <c:crossBetween val="between"/>
      </c:valAx>
      <c:spPr>
        <a:noFill/>
        <a:ln>
          <a:noFill/>
        </a:ln>
        <a:effectLst/>
      </c:spPr>
    </c:plotArea>
    <c:legend>
      <c:legendPos val="b"/>
      <c:legendEntry>
        <c:idx val="0"/>
        <c:txPr>
          <a:bodyPr rot="0" vert="horz"/>
          <a:lstStyle/>
          <a:p>
            <a:pPr>
              <a:defRPr b="1">
                <a:solidFill>
                  <a:srgbClr val="C00000"/>
                </a:solidFill>
              </a:defRPr>
            </a:pPr>
            <a:endParaRPr lang="en-US"/>
          </a:p>
        </c:txPr>
      </c:legendEntry>
      <c:layout>
        <c:manualLayout>
          <c:xMode val="edge"/>
          <c:yMode val="edge"/>
          <c:x val="2.661937059847717E-2"/>
          <c:y val="0.8788908069409952"/>
          <c:w val="0.95072099913365171"/>
          <c:h val="0.10678134382496067"/>
        </c:manualLayout>
      </c:layout>
      <c:overlay val="0"/>
      <c:spPr>
        <a:noFill/>
        <a:ln>
          <a:solidFill>
            <a:schemeClr val="bg1">
              <a:lumMod val="85000"/>
            </a:schemeClr>
          </a:solidFill>
        </a:ln>
        <a:effectLst/>
      </c:spPr>
      <c:txPr>
        <a:bodyPr rot="0" vert="horz"/>
        <a:lstStyle/>
        <a:p>
          <a:pPr>
            <a:defRPr b="1">
              <a:solidFill>
                <a:srgbClr val="C00000"/>
              </a:solidFill>
            </a:defRPr>
          </a:pPr>
          <a:endParaRPr lang="en-US"/>
        </a:p>
      </c:txPr>
    </c:legend>
    <c:plotVisOnly val="1"/>
    <c:dispBlanksAs val="gap"/>
    <c:showDLblsOverMax val="0"/>
  </c:chart>
  <c:spPr>
    <a:solidFill>
      <a:srgbClr val="E2F2FA"/>
    </a:solidFill>
    <a:ln w="9525" cap="flat" cmpd="sng" algn="ctr">
      <a:solidFill>
        <a:schemeClr val="tx1">
          <a:lumMod val="15000"/>
          <a:lumOff val="85000"/>
        </a:schemeClr>
      </a:solidFill>
      <a:round/>
    </a:ln>
    <a:effectLst/>
  </c:spPr>
  <c:txPr>
    <a:bodyPr/>
    <a:lstStyle/>
    <a:p>
      <a:pPr>
        <a:defRPr sz="800">
          <a:latin typeface="+mj-lt"/>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291733270183353E-2"/>
          <c:y val="5.1948051948051951E-2"/>
          <c:w val="0.81891042567047545"/>
          <c:h val="0.54376066628035136"/>
        </c:manualLayout>
      </c:layout>
      <c:barChart>
        <c:barDir val="col"/>
        <c:grouping val="clustered"/>
        <c:varyColors val="0"/>
        <c:ser>
          <c:idx val="0"/>
          <c:order val="0"/>
          <c:tx>
            <c:strRef>
              <c:f>Sheet1!$D$52</c:f>
              <c:strCache>
                <c:ptCount val="1"/>
                <c:pt idx="0">
                  <c:v>Plan I rishikuar 2021</c:v>
                </c:pt>
              </c:strCache>
            </c:strRef>
          </c:tx>
          <c:spPr>
            <a:solidFill>
              <a:schemeClr val="accent1">
                <a:shade val="58000"/>
              </a:schemeClr>
            </a:solidFill>
            <a:ln>
              <a:noFill/>
            </a:ln>
            <a:effectLst/>
          </c:spPr>
          <c:invertIfNegative val="0"/>
          <c:cat>
            <c:strRef>
              <c:f>Sheet1!$C$53:$C$58</c:f>
              <c:strCache>
                <c:ptCount val="6"/>
                <c:pt idx="0">
                  <c:v>Tatimi mbi Vleren e Shtuar</c:v>
                </c:pt>
                <c:pt idx="1">
                  <c:v>Tatimi mbi Fitimin</c:v>
                </c:pt>
                <c:pt idx="2">
                  <c:v>Akcizat</c:v>
                </c:pt>
                <c:pt idx="3">
                  <c:v>Tatimi mbi te Ardhurat Personale</c:v>
                </c:pt>
                <c:pt idx="4">
                  <c:v>Taksa Nacionale dhe te tjera</c:v>
                </c:pt>
                <c:pt idx="5">
                  <c:v>Taksa Doganore</c:v>
                </c:pt>
              </c:strCache>
            </c:strRef>
          </c:cat>
          <c:val>
            <c:numRef>
              <c:f>Sheet1!$D$53:$D$58</c:f>
              <c:numCache>
                <c:formatCode>_(* #,##0_);_(* \(#,##0\);_(* "-"??_);_(@_)</c:formatCode>
                <c:ptCount val="6"/>
                <c:pt idx="0">
                  <c:v>160061</c:v>
                </c:pt>
                <c:pt idx="1">
                  <c:v>33631</c:v>
                </c:pt>
                <c:pt idx="2">
                  <c:v>51400</c:v>
                </c:pt>
                <c:pt idx="3">
                  <c:v>41200</c:v>
                </c:pt>
                <c:pt idx="4">
                  <c:v>39500</c:v>
                </c:pt>
                <c:pt idx="5">
                  <c:v>7000</c:v>
                </c:pt>
              </c:numCache>
            </c:numRef>
          </c:val>
          <c:extLst xmlns:c16r2="http://schemas.microsoft.com/office/drawing/2015/06/chart">
            <c:ext xmlns:c16="http://schemas.microsoft.com/office/drawing/2014/chart" uri="{C3380CC4-5D6E-409C-BE32-E72D297353CC}">
              <c16:uniqueId val="{00000000-07E1-4685-A0ED-916D66A6F76E}"/>
            </c:ext>
          </c:extLst>
        </c:ser>
        <c:ser>
          <c:idx val="1"/>
          <c:order val="1"/>
          <c:tx>
            <c:strRef>
              <c:f>Sheet1!$E$52</c:f>
              <c:strCache>
                <c:ptCount val="1"/>
                <c:pt idx="0">
                  <c:v>Fakt 2021</c:v>
                </c:pt>
              </c:strCache>
            </c:strRef>
          </c:tx>
          <c:spPr>
            <a:solidFill>
              <a:schemeClr val="accent1">
                <a:shade val="86000"/>
              </a:schemeClr>
            </a:solidFill>
            <a:ln>
              <a:noFill/>
            </a:ln>
            <a:effectLst/>
          </c:spPr>
          <c:invertIfNegative val="0"/>
          <c:cat>
            <c:strRef>
              <c:f>Sheet1!$C$53:$C$58</c:f>
              <c:strCache>
                <c:ptCount val="6"/>
                <c:pt idx="0">
                  <c:v>Tatimi mbi Vleren e Shtuar</c:v>
                </c:pt>
                <c:pt idx="1">
                  <c:v>Tatimi mbi Fitimin</c:v>
                </c:pt>
                <c:pt idx="2">
                  <c:v>Akcizat</c:v>
                </c:pt>
                <c:pt idx="3">
                  <c:v>Tatimi mbi te Ardhurat Personale</c:v>
                </c:pt>
                <c:pt idx="4">
                  <c:v>Taksa Nacionale dhe te tjera</c:v>
                </c:pt>
                <c:pt idx="5">
                  <c:v>Taksa Doganore</c:v>
                </c:pt>
              </c:strCache>
            </c:strRef>
          </c:cat>
          <c:val>
            <c:numRef>
              <c:f>Sheet1!$E$53:$E$58</c:f>
              <c:numCache>
                <c:formatCode>_(* #,##0_);_(* \(#,##0\);_(* "-"??_);_(@_)</c:formatCode>
                <c:ptCount val="6"/>
                <c:pt idx="0">
                  <c:v>161536</c:v>
                </c:pt>
                <c:pt idx="1">
                  <c:v>35610</c:v>
                </c:pt>
                <c:pt idx="2">
                  <c:v>51637</c:v>
                </c:pt>
                <c:pt idx="3">
                  <c:v>39312</c:v>
                </c:pt>
                <c:pt idx="4">
                  <c:v>42521</c:v>
                </c:pt>
                <c:pt idx="5">
                  <c:v>7457</c:v>
                </c:pt>
              </c:numCache>
            </c:numRef>
          </c:val>
          <c:extLst xmlns:c16r2="http://schemas.microsoft.com/office/drawing/2015/06/chart">
            <c:ext xmlns:c16="http://schemas.microsoft.com/office/drawing/2014/chart" uri="{C3380CC4-5D6E-409C-BE32-E72D297353CC}">
              <c16:uniqueId val="{00000001-07E1-4685-A0ED-916D66A6F76E}"/>
            </c:ext>
          </c:extLst>
        </c:ser>
        <c:dLbls>
          <c:showLegendKey val="0"/>
          <c:showVal val="0"/>
          <c:showCatName val="0"/>
          <c:showSerName val="0"/>
          <c:showPercent val="0"/>
          <c:showBubbleSize val="0"/>
        </c:dLbls>
        <c:gapWidth val="219"/>
        <c:overlap val="-27"/>
        <c:axId val="-1798940384"/>
        <c:axId val="-1798943104"/>
      </c:barChart>
      <c:lineChart>
        <c:grouping val="standard"/>
        <c:varyColors val="0"/>
        <c:ser>
          <c:idx val="2"/>
          <c:order val="2"/>
          <c:tx>
            <c:strRef>
              <c:f>Sheet1!$F$52</c:f>
              <c:strCache>
                <c:ptCount val="1"/>
                <c:pt idx="0">
                  <c:v>% ndaj vitit paraardhes</c:v>
                </c:pt>
              </c:strCache>
            </c:strRef>
          </c:tx>
          <c:spPr>
            <a:ln w="28575" cap="rnd">
              <a:solidFill>
                <a:schemeClr val="accent1">
                  <a:tint val="86000"/>
                </a:schemeClr>
              </a:solidFill>
              <a:round/>
            </a:ln>
            <a:effectLst/>
          </c:spPr>
          <c:marker>
            <c:symbol val="circle"/>
            <c:size val="5"/>
            <c:spPr>
              <a:solidFill>
                <a:schemeClr val="accent1">
                  <a:tint val="86000"/>
                </a:schemeClr>
              </a:solidFill>
              <a:ln w="9525">
                <a:solidFill>
                  <a:schemeClr val="accent1">
                    <a:tint val="86000"/>
                  </a:schemeClr>
                </a:solidFill>
              </a:ln>
              <a:effectLst/>
            </c:spPr>
          </c:marker>
          <c:dLbls>
            <c:dLbl>
              <c:idx val="0"/>
              <c:layout>
                <c:manualLayout>
                  <c:x val="-4.6060189844690465E-2"/>
                  <c:y val="0.15291497653702379"/>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6060189844690506E-2"/>
                  <c:y val="0.13559895922100648"/>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6060189844690541E-2"/>
                  <c:y val="0.12982695344900069"/>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4055177313362219E-2"/>
                  <c:y val="0.14137096499301224"/>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4055177313362143E-2"/>
                  <c:y val="0.11251093613298338"/>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4055177313362143E-2"/>
                  <c:y val="0.1182829419049891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Sheet1!$C$53:$C$58</c:f>
              <c:strCache>
                <c:ptCount val="6"/>
                <c:pt idx="0">
                  <c:v>Tatimi mbi Vleren e Shtuar</c:v>
                </c:pt>
                <c:pt idx="1">
                  <c:v>Tatimi mbi Fitimin</c:v>
                </c:pt>
                <c:pt idx="2">
                  <c:v>Akcizat</c:v>
                </c:pt>
                <c:pt idx="3">
                  <c:v>Tatimi mbi te Ardhurat Personale</c:v>
                </c:pt>
                <c:pt idx="4">
                  <c:v>Taksa Nacionale dhe te tjera</c:v>
                </c:pt>
                <c:pt idx="5">
                  <c:v>Taksa Doganore</c:v>
                </c:pt>
              </c:strCache>
            </c:strRef>
          </c:cat>
          <c:val>
            <c:numRef>
              <c:f>Sheet1!$F$53:$F$58</c:f>
              <c:numCache>
                <c:formatCode>0.0%</c:formatCode>
                <c:ptCount val="6"/>
                <c:pt idx="0">
                  <c:v>1.2390000000000001</c:v>
                </c:pt>
                <c:pt idx="1">
                  <c:v>1.2549999999999999</c:v>
                </c:pt>
                <c:pt idx="2">
                  <c:v>1.1599999999999999</c:v>
                </c:pt>
                <c:pt idx="3">
                  <c:v>1.1679999999999999</c:v>
                </c:pt>
                <c:pt idx="4">
                  <c:v>1.1870000000000001</c:v>
                </c:pt>
                <c:pt idx="5">
                  <c:v>1.1950000000000001</c:v>
                </c:pt>
              </c:numCache>
            </c:numRef>
          </c:val>
          <c:smooth val="0"/>
          <c:extLst xmlns:c16r2="http://schemas.microsoft.com/office/drawing/2015/06/chart">
            <c:ext xmlns:c16="http://schemas.microsoft.com/office/drawing/2014/chart" uri="{C3380CC4-5D6E-409C-BE32-E72D297353CC}">
              <c16:uniqueId val="{00000002-07E1-4685-A0ED-916D66A6F76E}"/>
            </c:ext>
          </c:extLst>
        </c:ser>
        <c:ser>
          <c:idx val="3"/>
          <c:order val="3"/>
          <c:tx>
            <c:strRef>
              <c:f>Sheet1!$G$52</c:f>
              <c:strCache>
                <c:ptCount val="1"/>
                <c:pt idx="0">
                  <c:v>% ndaj planit te rishikuar</c:v>
                </c:pt>
              </c:strCache>
            </c:strRef>
          </c:tx>
          <c:spPr>
            <a:ln w="28575" cap="rnd">
              <a:solidFill>
                <a:schemeClr val="accent1">
                  <a:tint val="58000"/>
                </a:schemeClr>
              </a:solidFill>
              <a:round/>
            </a:ln>
            <a:effectLst/>
          </c:spPr>
          <c:marker>
            <c:symbol val="circle"/>
            <c:size val="5"/>
            <c:spPr>
              <a:solidFill>
                <a:schemeClr val="accent1">
                  <a:tint val="58000"/>
                </a:schemeClr>
              </a:solidFill>
              <a:ln w="9525">
                <a:solidFill>
                  <a:schemeClr val="accent1">
                    <a:tint val="58000"/>
                  </a:schemeClr>
                </a:solidFill>
              </a:ln>
              <a:effectLst/>
            </c:spPr>
          </c:marker>
          <c:dLbls>
            <c:dLbl>
              <c:idx val="0"/>
              <c:layout>
                <c:manualLayout>
                  <c:x val="-4.2050164782033828E-2"/>
                  <c:y val="-0.12982695344900069"/>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4055177313362184E-2"/>
                  <c:y val="-0.11828294190498916"/>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9483748741933576E-2"/>
                  <c:y val="-0.1240549476769949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2050164782033973E-2"/>
                  <c:y val="-7.787890150094874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4055177313362143E-2"/>
                  <c:y val="-8.942291304496029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Sheet1!$C$53:$C$58</c:f>
              <c:strCache>
                <c:ptCount val="6"/>
                <c:pt idx="0">
                  <c:v>Tatimi mbi Vleren e Shtuar</c:v>
                </c:pt>
                <c:pt idx="1">
                  <c:v>Tatimi mbi Fitimin</c:v>
                </c:pt>
                <c:pt idx="2">
                  <c:v>Akcizat</c:v>
                </c:pt>
                <c:pt idx="3">
                  <c:v>Tatimi mbi te Ardhurat Personale</c:v>
                </c:pt>
                <c:pt idx="4">
                  <c:v>Taksa Nacionale dhe te tjera</c:v>
                </c:pt>
                <c:pt idx="5">
                  <c:v>Taksa Doganore</c:v>
                </c:pt>
              </c:strCache>
            </c:strRef>
          </c:cat>
          <c:val>
            <c:numRef>
              <c:f>Sheet1!$G$53:$G$58</c:f>
              <c:numCache>
                <c:formatCode>0.0%</c:formatCode>
                <c:ptCount val="6"/>
                <c:pt idx="0">
                  <c:v>1.0089999999999999</c:v>
                </c:pt>
                <c:pt idx="1">
                  <c:v>1.0589999999999999</c:v>
                </c:pt>
                <c:pt idx="2">
                  <c:v>1.0049999999999999</c:v>
                </c:pt>
                <c:pt idx="3">
                  <c:v>0.95399999999999996</c:v>
                </c:pt>
                <c:pt idx="4">
                  <c:v>1.0760000000000001</c:v>
                </c:pt>
                <c:pt idx="5">
                  <c:v>1.0649999999999999</c:v>
                </c:pt>
              </c:numCache>
            </c:numRef>
          </c:val>
          <c:smooth val="0"/>
          <c:extLst xmlns:c16r2="http://schemas.microsoft.com/office/drawing/2015/06/chart">
            <c:ext xmlns:c16="http://schemas.microsoft.com/office/drawing/2014/chart" uri="{C3380CC4-5D6E-409C-BE32-E72D297353CC}">
              <c16:uniqueId val="{00000003-07E1-4685-A0ED-916D66A6F76E}"/>
            </c:ext>
          </c:extLst>
        </c:ser>
        <c:dLbls>
          <c:showLegendKey val="0"/>
          <c:showVal val="0"/>
          <c:showCatName val="0"/>
          <c:showSerName val="0"/>
          <c:showPercent val="0"/>
          <c:showBubbleSize val="0"/>
        </c:dLbls>
        <c:marker val="1"/>
        <c:smooth val="0"/>
        <c:axId val="-1798951808"/>
        <c:axId val="-1798940928"/>
      </c:lineChart>
      <c:catAx>
        <c:axId val="-179894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8943104"/>
        <c:crosses val="autoZero"/>
        <c:auto val="1"/>
        <c:lblAlgn val="ctr"/>
        <c:lblOffset val="100"/>
        <c:noMultiLvlLbl val="0"/>
      </c:catAx>
      <c:valAx>
        <c:axId val="-1798943104"/>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8940384"/>
        <c:crosses val="autoZero"/>
        <c:crossBetween val="between"/>
      </c:valAx>
      <c:valAx>
        <c:axId val="-1798940928"/>
        <c:scaling>
          <c:orientation val="minMax"/>
        </c:scaling>
        <c:delete val="0"/>
        <c:axPos val="r"/>
        <c:numFmt formatCode="0.0%" sourceLinked="1"/>
        <c:majorTickMark val="none"/>
        <c:minorTickMark val="none"/>
        <c:tickLblPos val="nextTo"/>
        <c:spPr>
          <a:noFill/>
          <a:ln>
            <a:solidFill>
              <a:sysClr val="window" lastClr="FFFFFF"/>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8951808"/>
        <c:crosses val="max"/>
        <c:crossBetween val="between"/>
      </c:valAx>
      <c:catAx>
        <c:axId val="-1798951808"/>
        <c:scaling>
          <c:orientation val="minMax"/>
        </c:scaling>
        <c:delete val="1"/>
        <c:axPos val="b"/>
        <c:numFmt formatCode="General" sourceLinked="1"/>
        <c:majorTickMark val="none"/>
        <c:minorTickMark val="none"/>
        <c:tickLblPos val="nextTo"/>
        <c:crossAx val="-17989409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DBEFF9"/>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195828244241754E-2"/>
          <c:y val="2.4129673081067469E-2"/>
          <c:w val="0.91851216617724762"/>
          <c:h val="0.69804123274913221"/>
        </c:manualLayout>
      </c:layout>
      <c:barChart>
        <c:barDir val="col"/>
        <c:grouping val="stacked"/>
        <c:varyColors val="0"/>
        <c:ser>
          <c:idx val="0"/>
          <c:order val="0"/>
          <c:tx>
            <c:strRef>
              <c:f>Sheet1!$B$53</c:f>
              <c:strCache>
                <c:ptCount val="1"/>
                <c:pt idx="0">
                  <c:v>Të ardhurat e veta vendore</c:v>
                </c:pt>
              </c:strCache>
            </c:strRef>
          </c:tx>
          <c:spPr>
            <a:solidFill>
              <a:schemeClr val="accent1">
                <a:lumMod val="75000"/>
              </a:schemeClr>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Sheet1!$C$52:$N$52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Sheet1!$C$53:$N$53</c:f>
              <c:numCache>
                <c:formatCode>General</c:formatCode>
                <c:ptCount val="12"/>
                <c:pt idx="0">
                  <c:v>12.7</c:v>
                </c:pt>
                <c:pt idx="1">
                  <c:v>12.6</c:v>
                </c:pt>
                <c:pt idx="2">
                  <c:v>11.9</c:v>
                </c:pt>
                <c:pt idx="3">
                  <c:v>11.7</c:v>
                </c:pt>
                <c:pt idx="4">
                  <c:v>13.8</c:v>
                </c:pt>
                <c:pt idx="5">
                  <c:v>13.1</c:v>
                </c:pt>
                <c:pt idx="6">
                  <c:v>16.8</c:v>
                </c:pt>
                <c:pt idx="7">
                  <c:v>20.3</c:v>
                </c:pt>
                <c:pt idx="8">
                  <c:v>24.2</c:v>
                </c:pt>
                <c:pt idx="9">
                  <c:v>25.6</c:v>
                </c:pt>
                <c:pt idx="10">
                  <c:v>24.2</c:v>
                </c:pt>
                <c:pt idx="11">
                  <c:v>25.3</c:v>
                </c:pt>
              </c:numCache>
            </c:numRef>
          </c:val>
          <c:extLst xmlns:c16r2="http://schemas.microsoft.com/office/drawing/2015/06/chart">
            <c:ext xmlns:c16="http://schemas.microsoft.com/office/drawing/2014/chart" uri="{C3380CC4-5D6E-409C-BE32-E72D297353CC}">
              <c16:uniqueId val="{00000000-96DE-492A-B69E-6A3078442635}"/>
            </c:ext>
          </c:extLst>
        </c:ser>
        <c:ser>
          <c:idx val="1"/>
          <c:order val="1"/>
          <c:tx>
            <c:strRef>
              <c:f>Sheet1!$B$54</c:f>
              <c:strCache>
                <c:ptCount val="1"/>
                <c:pt idx="0">
                  <c:v>Taksat e ndara</c:v>
                </c:pt>
              </c:strCache>
            </c:strRef>
          </c:tx>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Sheet1!$C$52:$N$52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Sheet1!$C$54:$N$54</c:f>
              <c:numCache>
                <c:formatCode>General</c:formatCode>
                <c:ptCount val="12"/>
                <c:pt idx="0">
                  <c:v>1.2</c:v>
                </c:pt>
                <c:pt idx="1">
                  <c:v>1.3</c:v>
                </c:pt>
                <c:pt idx="2">
                  <c:v>1.4</c:v>
                </c:pt>
                <c:pt idx="3">
                  <c:v>1.5</c:v>
                </c:pt>
                <c:pt idx="4">
                  <c:v>1.1000000000000001</c:v>
                </c:pt>
                <c:pt idx="5">
                  <c:v>1.1000000000000001</c:v>
                </c:pt>
                <c:pt idx="6">
                  <c:v>1</c:v>
                </c:pt>
                <c:pt idx="7">
                  <c:v>1.2</c:v>
                </c:pt>
                <c:pt idx="8">
                  <c:v>1.3</c:v>
                </c:pt>
                <c:pt idx="9">
                  <c:v>1.3</c:v>
                </c:pt>
                <c:pt idx="10">
                  <c:v>1.3</c:v>
                </c:pt>
                <c:pt idx="11">
                  <c:v>1.3</c:v>
                </c:pt>
              </c:numCache>
            </c:numRef>
          </c:val>
          <c:extLst xmlns:c16r2="http://schemas.microsoft.com/office/drawing/2015/06/chart">
            <c:ext xmlns:c16="http://schemas.microsoft.com/office/drawing/2014/chart" uri="{C3380CC4-5D6E-409C-BE32-E72D297353CC}">
              <c16:uniqueId val="{00000001-96DE-492A-B69E-6A3078442635}"/>
            </c:ext>
          </c:extLst>
        </c:ser>
        <c:ser>
          <c:idx val="2"/>
          <c:order val="2"/>
          <c:tx>
            <c:strRef>
              <c:f>Sheet1!$B$55</c:f>
              <c:strCache>
                <c:ptCount val="1"/>
                <c:pt idx="0">
                  <c:v>Transferta e Pakushtëzuar dhe Specifike</c:v>
                </c:pt>
              </c:strCache>
            </c:strRef>
          </c:tx>
          <c:spPr>
            <a:solidFill>
              <a:schemeClr val="tx2">
                <a:lumMod val="40000"/>
                <a:lumOff val="60000"/>
              </a:schemeClr>
            </a:solidFill>
          </c:spPr>
          <c:invertIfNegative val="0"/>
          <c:dLbls>
            <c:spPr>
              <a:noFill/>
              <a:ln>
                <a:noFill/>
              </a:ln>
              <a:effectLst/>
            </c:spPr>
            <c:txPr>
              <a:bodyPr/>
              <a:lstStyle/>
              <a:p>
                <a:pPr>
                  <a:defRPr>
                    <a:solidFill>
                      <a:sysClr val="windowText" lastClr="00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Sheet1!$C$52:$N$52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Sheet1!$C$55:$N$55</c:f>
              <c:numCache>
                <c:formatCode>General</c:formatCode>
                <c:ptCount val="12"/>
                <c:pt idx="0">
                  <c:v>10.6</c:v>
                </c:pt>
                <c:pt idx="1">
                  <c:v>10.199999999999999</c:v>
                </c:pt>
                <c:pt idx="2">
                  <c:v>9.1999999999999993</c:v>
                </c:pt>
                <c:pt idx="3">
                  <c:v>11</c:v>
                </c:pt>
                <c:pt idx="4">
                  <c:v>12.1</c:v>
                </c:pt>
                <c:pt idx="5">
                  <c:v>11.3</c:v>
                </c:pt>
                <c:pt idx="6">
                  <c:v>18.100000000000001</c:v>
                </c:pt>
                <c:pt idx="7">
                  <c:v>21.9</c:v>
                </c:pt>
                <c:pt idx="8">
                  <c:v>24.4</c:v>
                </c:pt>
                <c:pt idx="9">
                  <c:v>29.3</c:v>
                </c:pt>
                <c:pt idx="10">
                  <c:v>26.1</c:v>
                </c:pt>
                <c:pt idx="11">
                  <c:v>26</c:v>
                </c:pt>
              </c:numCache>
            </c:numRef>
          </c:val>
          <c:extLst xmlns:c16r2="http://schemas.microsoft.com/office/drawing/2015/06/chart">
            <c:ext xmlns:c16="http://schemas.microsoft.com/office/drawing/2014/chart" uri="{C3380CC4-5D6E-409C-BE32-E72D297353CC}">
              <c16:uniqueId val="{00000002-96DE-492A-B69E-6A3078442635}"/>
            </c:ext>
          </c:extLst>
        </c:ser>
        <c:dLbls>
          <c:showLegendKey val="0"/>
          <c:showVal val="0"/>
          <c:showCatName val="0"/>
          <c:showSerName val="0"/>
          <c:showPercent val="0"/>
          <c:showBubbleSize val="0"/>
        </c:dLbls>
        <c:gapWidth val="125"/>
        <c:overlap val="100"/>
        <c:axId val="-1793150432"/>
        <c:axId val="-1793127040"/>
      </c:barChart>
      <c:lineChart>
        <c:grouping val="standard"/>
        <c:varyColors val="0"/>
        <c:ser>
          <c:idx val="5"/>
          <c:order val="3"/>
          <c:tx>
            <c:strRef>
              <c:f>Sheet1!$B$56</c:f>
              <c:strCache>
                <c:ptCount val="1"/>
                <c:pt idx="0">
                  <c:v>Totali i Buxhetit</c:v>
                </c:pt>
              </c:strCache>
            </c:strRef>
          </c:tx>
          <c:spPr>
            <a:ln>
              <a:solidFill>
                <a:srgbClr val="C00000"/>
              </a:solidFill>
            </a:ln>
          </c:spPr>
          <c:marker>
            <c:spPr>
              <a:ln>
                <a:solidFill>
                  <a:srgbClr val="C00000"/>
                </a:solidFill>
              </a:ln>
            </c:spPr>
          </c:marker>
          <c:dLbls>
            <c:spPr>
              <a:noFill/>
              <a:ln>
                <a:noFill/>
              </a:ln>
              <a:effectLst/>
            </c:spPr>
            <c:txPr>
              <a:bodyPr/>
              <a:lstStyle/>
              <a:p>
                <a:pPr>
                  <a:defRPr b="1">
                    <a:solidFill>
                      <a:srgbClr val="C0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[1]Sheet1!$O$35:$W$35</c:f>
              <c:numCache>
                <c:formatCode>General</c:formatCode>
                <c:ptCount val="9"/>
                <c:pt idx="0">
                  <c:v>0</c:v>
                </c:pt>
                <c:pt idx="1">
                  <c:v>0</c:v>
                </c:pt>
                <c:pt idx="2">
                  <c:v>0</c:v>
                </c:pt>
                <c:pt idx="3">
                  <c:v>0</c:v>
                </c:pt>
                <c:pt idx="4">
                  <c:v>0</c:v>
                </c:pt>
                <c:pt idx="5">
                  <c:v>0</c:v>
                </c:pt>
                <c:pt idx="6">
                  <c:v>0</c:v>
                </c:pt>
                <c:pt idx="7">
                  <c:v>0</c:v>
                </c:pt>
                <c:pt idx="8">
                  <c:v>0</c:v>
                </c:pt>
              </c:numCache>
            </c:numRef>
          </c:cat>
          <c:val>
            <c:numRef>
              <c:f>Sheet1!$C$56:$N$56</c:f>
              <c:numCache>
                <c:formatCode>General</c:formatCode>
                <c:ptCount val="12"/>
                <c:pt idx="0">
                  <c:v>24.5</c:v>
                </c:pt>
                <c:pt idx="1">
                  <c:v>24.1</c:v>
                </c:pt>
                <c:pt idx="2">
                  <c:v>22.5</c:v>
                </c:pt>
                <c:pt idx="3">
                  <c:v>24.2</c:v>
                </c:pt>
                <c:pt idx="4">
                  <c:v>27</c:v>
                </c:pt>
                <c:pt idx="5">
                  <c:v>25.5</c:v>
                </c:pt>
                <c:pt idx="6">
                  <c:v>35.900000000000006</c:v>
                </c:pt>
                <c:pt idx="7">
                  <c:v>43.4</c:v>
                </c:pt>
                <c:pt idx="8">
                  <c:v>49.9</c:v>
                </c:pt>
                <c:pt idx="9">
                  <c:v>56.2</c:v>
                </c:pt>
                <c:pt idx="10">
                  <c:v>51.6</c:v>
                </c:pt>
                <c:pt idx="11">
                  <c:v>52.6</c:v>
                </c:pt>
              </c:numCache>
            </c:numRef>
          </c:val>
          <c:smooth val="0"/>
          <c:extLst xmlns:c16r2="http://schemas.microsoft.com/office/drawing/2015/06/chart">
            <c:ext xmlns:c16="http://schemas.microsoft.com/office/drawing/2014/chart" uri="{C3380CC4-5D6E-409C-BE32-E72D297353CC}">
              <c16:uniqueId val="{00000003-96DE-492A-B69E-6A3078442635}"/>
            </c:ext>
          </c:extLst>
        </c:ser>
        <c:dLbls>
          <c:showLegendKey val="0"/>
          <c:showVal val="0"/>
          <c:showCatName val="0"/>
          <c:showSerName val="0"/>
          <c:showPercent val="0"/>
          <c:showBubbleSize val="0"/>
        </c:dLbls>
        <c:marker val="1"/>
        <c:smooth val="0"/>
        <c:axId val="-1793150432"/>
        <c:axId val="-1793127040"/>
      </c:lineChart>
      <c:catAx>
        <c:axId val="-179315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b="1"/>
            </a:pPr>
            <a:endParaRPr lang="en-US"/>
          </a:p>
        </c:txPr>
        <c:crossAx val="-1793127040"/>
        <c:crosses val="autoZero"/>
        <c:auto val="1"/>
        <c:lblAlgn val="ctr"/>
        <c:lblOffset val="100"/>
        <c:noMultiLvlLbl val="0"/>
      </c:catAx>
      <c:valAx>
        <c:axId val="-1793127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b="0"/>
                </a:pPr>
                <a:r>
                  <a:rPr lang="en-US" b="0"/>
                  <a:t>Në miliard lekë</a:t>
                </a:r>
              </a:p>
            </c:rich>
          </c:tx>
          <c:layout>
            <c:manualLayout>
              <c:xMode val="edge"/>
              <c:yMode val="edge"/>
              <c:x val="0"/>
              <c:y val="4.5610775690094646E-4"/>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1793150432"/>
        <c:crosses val="autoZero"/>
        <c:crossBetween val="between"/>
      </c:valAx>
      <c:spPr>
        <a:noFill/>
        <a:ln>
          <a:noFill/>
        </a:ln>
        <a:effectLst/>
      </c:spPr>
    </c:plotArea>
    <c:legend>
      <c:legendPos val="b"/>
      <c:layout>
        <c:manualLayout>
          <c:xMode val="edge"/>
          <c:yMode val="edge"/>
          <c:x val="5.0821790840501375E-2"/>
          <c:y val="0.84940352214037751"/>
          <c:w val="0.94917827579244907"/>
          <c:h val="0.13430446194225723"/>
        </c:manualLayout>
      </c:layout>
      <c:overlay val="0"/>
      <c:spPr>
        <a:noFill/>
        <a:ln>
          <a:noFill/>
        </a:ln>
        <a:effectLst/>
      </c:spPr>
      <c:txPr>
        <a:bodyPr rot="0" vert="horz"/>
        <a:lstStyle/>
        <a:p>
          <a:pPr>
            <a:defRPr b="1">
              <a:solidFill>
                <a:srgbClr val="C00000"/>
              </a:solidFill>
            </a:defRPr>
          </a:pPr>
          <a:endParaRPr lang="en-US"/>
        </a:p>
      </c:txPr>
    </c:legend>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sz="900">
          <a:latin typeface="+mj-lt"/>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18433272763975E-2"/>
          <c:y val="2.226360752484776E-2"/>
          <c:w val="0.83807338986472846"/>
          <c:h val="0.63910999761393461"/>
        </c:manualLayout>
      </c:layout>
      <c:barChart>
        <c:barDir val="col"/>
        <c:grouping val="clustered"/>
        <c:varyColors val="0"/>
        <c:ser>
          <c:idx val="1"/>
          <c:order val="0"/>
          <c:tx>
            <c:strRef>
              <c:f>'Te dhenat vjetore te PV 1'!$K$6</c:f>
              <c:strCache>
                <c:ptCount val="1"/>
                <c:pt idx="0">
                  <c:v>Buxheti lokal </c:v>
                </c:pt>
              </c:strCache>
            </c:strRef>
          </c:tx>
          <c:spPr>
            <a:solidFill>
              <a:srgbClr val="1F497D">
                <a:lumMod val="40000"/>
                <a:lumOff val="60000"/>
              </a:srgbClr>
            </a:solidFill>
            <a:ln>
              <a:solidFill>
                <a:schemeClr val="bg1">
                  <a:lumMod val="65000"/>
                </a:schemeClr>
              </a:solidFill>
            </a:ln>
          </c:spPr>
          <c:invertIfNegative val="0"/>
          <c:dLbls>
            <c:numFmt formatCode="#,##0.0" sourceLinked="0"/>
            <c:spPr>
              <a:noFill/>
              <a:ln>
                <a:noFill/>
              </a:ln>
              <a:effectLst/>
            </c:spPr>
            <c:txPr>
              <a:bodyPr wrap="square" lIns="38100" tIns="19050" rIns="38100" bIns="19050" anchor="ctr">
                <a:spAutoFit/>
              </a:bodyPr>
              <a:lstStyle/>
              <a:p>
                <a:pPr>
                  <a:defRPr b="1"/>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'Te dhenat vjetore te PV 1'!$R$5:$AC$5</c:f>
              <c:strCache>
                <c:ptCount val="12"/>
                <c:pt idx="0">
                  <c:v>12M-2010</c:v>
                </c:pt>
                <c:pt idx="1">
                  <c:v>12M-2011</c:v>
                </c:pt>
                <c:pt idx="2">
                  <c:v>12M-2012</c:v>
                </c:pt>
                <c:pt idx="3">
                  <c:v>12M-2013</c:v>
                </c:pt>
                <c:pt idx="4">
                  <c:v>12M-2014</c:v>
                </c:pt>
                <c:pt idx="5">
                  <c:v>12M-2015</c:v>
                </c:pt>
                <c:pt idx="6">
                  <c:v>12M-2016</c:v>
                </c:pt>
                <c:pt idx="7">
                  <c:v>12M-2017</c:v>
                </c:pt>
                <c:pt idx="8">
                  <c:v>12M-2018</c:v>
                </c:pt>
                <c:pt idx="9">
                  <c:v>12M-2019</c:v>
                </c:pt>
                <c:pt idx="10">
                  <c:v>12M-2020</c:v>
                </c:pt>
                <c:pt idx="11">
                  <c:v>12M-2021</c:v>
                </c:pt>
              </c:strCache>
            </c:strRef>
          </c:cat>
          <c:val>
            <c:numRef>
              <c:f>'Te dhenat vjetore te PV 1'!$R$6:$AC$6</c:f>
              <c:numCache>
                <c:formatCode>#,##0</c:formatCode>
                <c:ptCount val="12"/>
                <c:pt idx="0">
                  <c:v>30764</c:v>
                </c:pt>
                <c:pt idx="1">
                  <c:v>28119</c:v>
                </c:pt>
                <c:pt idx="2">
                  <c:v>27333</c:v>
                </c:pt>
                <c:pt idx="3">
                  <c:v>29787</c:v>
                </c:pt>
                <c:pt idx="4">
                  <c:v>32985</c:v>
                </c:pt>
                <c:pt idx="5">
                  <c:v>34066</c:v>
                </c:pt>
                <c:pt idx="6">
                  <c:v>43580</c:v>
                </c:pt>
                <c:pt idx="7">
                  <c:v>46487</c:v>
                </c:pt>
                <c:pt idx="8">
                  <c:v>49606.047963739999</c:v>
                </c:pt>
                <c:pt idx="9">
                  <c:v>56226.559999999998</c:v>
                </c:pt>
                <c:pt idx="10">
                  <c:v>51626</c:v>
                </c:pt>
                <c:pt idx="11">
                  <c:v>52593</c:v>
                </c:pt>
              </c:numCache>
            </c:numRef>
          </c:val>
          <c:extLst xmlns:c16r2="http://schemas.microsoft.com/office/drawing/2015/06/chart">
            <c:ext xmlns:c16="http://schemas.microsoft.com/office/drawing/2014/chart" uri="{C3380CC4-5D6E-409C-BE32-E72D297353CC}">
              <c16:uniqueId val="{00000000-B7A4-4F1B-9D45-870C6B33F266}"/>
            </c:ext>
          </c:extLst>
        </c:ser>
        <c:dLbls>
          <c:showLegendKey val="0"/>
          <c:showVal val="0"/>
          <c:showCatName val="0"/>
          <c:showSerName val="0"/>
          <c:showPercent val="0"/>
          <c:showBubbleSize val="0"/>
        </c:dLbls>
        <c:gapWidth val="40"/>
        <c:axId val="-1793140096"/>
        <c:axId val="-1793149344"/>
      </c:barChart>
      <c:lineChart>
        <c:grouping val="standard"/>
        <c:varyColors val="0"/>
        <c:ser>
          <c:idx val="0"/>
          <c:order val="1"/>
          <c:tx>
            <c:strRef>
              <c:f>'Te dhenat vjetore te PV 1'!$K$7</c:f>
              <c:strCache>
                <c:ptCount val="1"/>
                <c:pt idx="0">
                  <c:v>Ritmi i rritjes</c:v>
                </c:pt>
              </c:strCache>
            </c:strRef>
          </c:tx>
          <c:spPr>
            <a:ln>
              <a:solidFill>
                <a:srgbClr val="C00000"/>
              </a:solidFill>
            </a:ln>
          </c:spPr>
          <c:marker>
            <c:symbol val="none"/>
          </c:marker>
          <c:dLbls>
            <c:dLbl>
              <c:idx val="1"/>
              <c:layout>
                <c:manualLayout>
                  <c:x val="-7.794355366438345E-2"/>
                  <c:y val="-7.24989416645499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7A4-4F1B-9D45-870C6B33F266}"/>
                </c:ext>
                <c:ext xmlns:c15="http://schemas.microsoft.com/office/drawing/2012/chart" uri="{CE6537A1-D6FC-4f65-9D91-7224C49458BB}"/>
              </c:extLst>
            </c:dLbl>
            <c:dLbl>
              <c:idx val="5"/>
              <c:layout>
                <c:manualLayout>
                  <c:x val="-4.9938829074937074E-2"/>
                  <c:y val="-3.54686563056021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7A4-4F1B-9D45-870C6B33F266}"/>
                </c:ext>
                <c:ext xmlns:c15="http://schemas.microsoft.com/office/drawing/2012/chart" uri="{CE6537A1-D6FC-4f65-9D91-7224C49458BB}"/>
              </c:extLst>
            </c:dLbl>
            <c:dLbl>
              <c:idx val="9"/>
              <c:layout>
                <c:manualLayout>
                  <c:x val="-5.0784935703700802E-2"/>
                  <c:y val="-8.68884937769875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7A4-4F1B-9D45-870C6B33F266}"/>
                </c:ext>
                <c:ext xmlns:c15="http://schemas.microsoft.com/office/drawing/2012/chart" uri="{CE6537A1-D6FC-4f65-9D91-7224C49458BB}"/>
              </c:extLst>
            </c:dLbl>
            <c:dLbl>
              <c:idx val="10"/>
              <c:layout>
                <c:manualLayout>
                  <c:x val="-4.5604526305281098E-2"/>
                  <c:y val="-8.414994496655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7A4-4F1B-9D45-870C6B33F266}"/>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b="1">
                    <a:solidFill>
                      <a:srgbClr val="C0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'Te dhenat vjetore te PV 1'!$R$5:$AC$5</c:f>
              <c:strCache>
                <c:ptCount val="12"/>
                <c:pt idx="0">
                  <c:v>12M-2010</c:v>
                </c:pt>
                <c:pt idx="1">
                  <c:v>12M-2011</c:v>
                </c:pt>
                <c:pt idx="2">
                  <c:v>12M-2012</c:v>
                </c:pt>
                <c:pt idx="3">
                  <c:v>12M-2013</c:v>
                </c:pt>
                <c:pt idx="4">
                  <c:v>12M-2014</c:v>
                </c:pt>
                <c:pt idx="5">
                  <c:v>12M-2015</c:v>
                </c:pt>
                <c:pt idx="6">
                  <c:v>12M-2016</c:v>
                </c:pt>
                <c:pt idx="7">
                  <c:v>12M-2017</c:v>
                </c:pt>
                <c:pt idx="8">
                  <c:v>12M-2018</c:v>
                </c:pt>
                <c:pt idx="9">
                  <c:v>12M-2019</c:v>
                </c:pt>
                <c:pt idx="10">
                  <c:v>12M-2020</c:v>
                </c:pt>
                <c:pt idx="11">
                  <c:v>12M-2021</c:v>
                </c:pt>
              </c:strCache>
            </c:strRef>
          </c:cat>
          <c:val>
            <c:numRef>
              <c:f>'Te dhenat vjetore te PV 1'!$R$7:$AC$7</c:f>
              <c:numCache>
                <c:formatCode>0%</c:formatCode>
                <c:ptCount val="12"/>
                <c:pt idx="0">
                  <c:v>-8.3917570729112143E-2</c:v>
                </c:pt>
                <c:pt idx="1">
                  <c:v>-8.5977116109738655E-2</c:v>
                </c:pt>
                <c:pt idx="2">
                  <c:v>-2.7952629894377468E-2</c:v>
                </c:pt>
                <c:pt idx="3">
                  <c:v>8.978158270222808E-2</c:v>
                </c:pt>
                <c:pt idx="4">
                  <c:v>0.10736227213213818</c:v>
                </c:pt>
                <c:pt idx="5">
                  <c:v>3.2772472335910262E-2</c:v>
                </c:pt>
                <c:pt idx="6">
                  <c:v>0.27928139493923559</c:v>
                </c:pt>
                <c:pt idx="7">
                  <c:v>6.670491050940798E-2</c:v>
                </c:pt>
                <c:pt idx="8">
                  <c:v>6.7095058053649376E-2</c:v>
                </c:pt>
                <c:pt idx="9">
                  <c:v>0.13346179161660537</c:v>
                </c:pt>
                <c:pt idx="10">
                  <c:v>-8.1821829398775206E-2</c:v>
                </c:pt>
                <c:pt idx="11">
                  <c:v>1.8730872041219541E-2</c:v>
                </c:pt>
              </c:numCache>
            </c:numRef>
          </c:val>
          <c:smooth val="1"/>
          <c:extLst xmlns:c16r2="http://schemas.microsoft.com/office/drawing/2015/06/chart">
            <c:ext xmlns:c16="http://schemas.microsoft.com/office/drawing/2014/chart" uri="{C3380CC4-5D6E-409C-BE32-E72D297353CC}">
              <c16:uniqueId val="{00000005-B7A4-4F1B-9D45-870C6B33F266}"/>
            </c:ext>
          </c:extLst>
        </c:ser>
        <c:dLbls>
          <c:showLegendKey val="0"/>
          <c:showVal val="0"/>
          <c:showCatName val="0"/>
          <c:showSerName val="0"/>
          <c:showPercent val="0"/>
          <c:showBubbleSize val="0"/>
        </c:dLbls>
        <c:marker val="1"/>
        <c:smooth val="0"/>
        <c:axId val="-1793132480"/>
        <c:axId val="-1793141184"/>
      </c:lineChart>
      <c:catAx>
        <c:axId val="-1793140096"/>
        <c:scaling>
          <c:orientation val="minMax"/>
        </c:scaling>
        <c:delete val="0"/>
        <c:axPos val="b"/>
        <c:numFmt formatCode="General" sourceLinked="1"/>
        <c:majorTickMark val="cross"/>
        <c:minorTickMark val="none"/>
        <c:tickLblPos val="nextTo"/>
        <c:txPr>
          <a:bodyPr rot="-2700000" vert="horz"/>
          <a:lstStyle/>
          <a:p>
            <a:pPr>
              <a:defRPr sz="700" b="1"/>
            </a:pPr>
            <a:endParaRPr lang="en-US"/>
          </a:p>
        </c:txPr>
        <c:crossAx val="-1793149344"/>
        <c:crosses val="autoZero"/>
        <c:auto val="0"/>
        <c:lblAlgn val="ctr"/>
        <c:lblOffset val="100"/>
        <c:tickLblSkip val="1"/>
        <c:tickMarkSkip val="1"/>
        <c:noMultiLvlLbl val="0"/>
      </c:catAx>
      <c:valAx>
        <c:axId val="-1793149344"/>
        <c:scaling>
          <c:orientation val="minMax"/>
        </c:scaling>
        <c:delete val="0"/>
        <c:axPos val="l"/>
        <c:title>
          <c:tx>
            <c:rich>
              <a:bodyPr/>
              <a:lstStyle/>
              <a:p>
                <a:pPr>
                  <a:defRPr/>
                </a:pPr>
                <a:r>
                  <a:rPr lang="sq-AL"/>
                  <a:t>Në miliard</a:t>
                </a:r>
              </a:p>
            </c:rich>
          </c:tx>
          <c:layout>
            <c:manualLayout>
              <c:xMode val="edge"/>
              <c:yMode val="edge"/>
              <c:x val="2.1100178275251088E-3"/>
              <c:y val="2.0867950363891792E-3"/>
            </c:manualLayout>
          </c:layout>
          <c:overlay val="0"/>
        </c:title>
        <c:numFmt formatCode="#,##0.0" sourceLinked="0"/>
        <c:majorTickMark val="cross"/>
        <c:minorTickMark val="none"/>
        <c:tickLblPos val="nextTo"/>
        <c:txPr>
          <a:bodyPr rot="0" vert="horz"/>
          <a:lstStyle/>
          <a:p>
            <a:pPr>
              <a:defRPr/>
            </a:pPr>
            <a:endParaRPr lang="en-US"/>
          </a:p>
        </c:txPr>
        <c:crossAx val="-1793140096"/>
        <c:crosses val="autoZero"/>
        <c:crossBetween val="between"/>
        <c:dispUnits>
          <c:builtInUnit val="thousands"/>
        </c:dispUnits>
      </c:valAx>
      <c:catAx>
        <c:axId val="-1793132480"/>
        <c:scaling>
          <c:orientation val="minMax"/>
        </c:scaling>
        <c:delete val="1"/>
        <c:axPos val="b"/>
        <c:numFmt formatCode="General" sourceLinked="1"/>
        <c:majorTickMark val="out"/>
        <c:minorTickMark val="none"/>
        <c:tickLblPos val="nextTo"/>
        <c:crossAx val="-1793141184"/>
        <c:crosses val="autoZero"/>
        <c:auto val="0"/>
        <c:lblAlgn val="ctr"/>
        <c:lblOffset val="100"/>
        <c:noMultiLvlLbl val="0"/>
      </c:catAx>
      <c:valAx>
        <c:axId val="-1793141184"/>
        <c:scaling>
          <c:orientation val="minMax"/>
        </c:scaling>
        <c:delete val="0"/>
        <c:axPos val="r"/>
        <c:numFmt formatCode="0%" sourceLinked="0"/>
        <c:majorTickMark val="cross"/>
        <c:minorTickMark val="none"/>
        <c:tickLblPos val="nextTo"/>
        <c:txPr>
          <a:bodyPr rot="0" vert="horz"/>
          <a:lstStyle/>
          <a:p>
            <a:pPr>
              <a:defRPr/>
            </a:pPr>
            <a:endParaRPr lang="en-US"/>
          </a:p>
        </c:txPr>
        <c:crossAx val="-1793132480"/>
        <c:crosses val="max"/>
        <c:crossBetween val="between"/>
      </c:valAx>
      <c:spPr>
        <a:solidFill>
          <a:srgbClr val="DBEFF9"/>
        </a:solidFill>
      </c:spPr>
    </c:plotArea>
    <c:legend>
      <c:legendPos val="b"/>
      <c:layout>
        <c:manualLayout>
          <c:xMode val="edge"/>
          <c:yMode val="edge"/>
          <c:x val="0.18524729101599793"/>
          <c:y val="0.92367427947489333"/>
          <c:w val="0.61611846940185111"/>
          <c:h val="7.5708675429970992E-2"/>
        </c:manualLayout>
      </c:layout>
      <c:overlay val="0"/>
      <c:txPr>
        <a:bodyPr/>
        <a:lstStyle/>
        <a:p>
          <a:pPr>
            <a:defRPr b="1">
              <a:solidFill>
                <a:srgbClr val="C00000"/>
              </a:solidFill>
            </a:defRPr>
          </a:pPr>
          <a:endParaRPr lang="en-US"/>
        </a:p>
      </c:txPr>
    </c:legend>
    <c:plotVisOnly val="1"/>
    <c:dispBlanksAs val="gap"/>
    <c:showDLblsOverMax val="0"/>
  </c:chart>
  <c:spPr>
    <a:solidFill>
      <a:srgbClr val="DBEFF9"/>
    </a:solidFill>
  </c:spPr>
  <c:txPr>
    <a:bodyPr/>
    <a:lstStyle/>
    <a:p>
      <a:pPr>
        <a:defRPr sz="9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0797352071497392"/>
          <c:y val="8.6447880146368561E-2"/>
          <c:w val="0.82067938623056746"/>
          <c:h val="0.68010038891124014"/>
        </c:manualLayout>
      </c:layout>
      <c:barChart>
        <c:barDir val="col"/>
        <c:grouping val="clustered"/>
        <c:varyColors val="0"/>
        <c:ser>
          <c:idx val="0"/>
          <c:order val="0"/>
          <c:tx>
            <c:strRef>
              <c:f>'Te dhenat vjetore te PV 1'!$C$22</c:f>
              <c:strCache>
                <c:ptCount val="1"/>
                <c:pt idx="0">
                  <c:v>2021</c:v>
                </c:pt>
              </c:strCache>
            </c:strRef>
          </c:tx>
          <c:spPr>
            <a:solidFill>
              <a:schemeClr val="accent1">
                <a:shade val="76000"/>
              </a:schemeClr>
            </a:solidFill>
            <a:ln>
              <a:noFill/>
            </a:ln>
            <a:effectLst/>
          </c:spPr>
          <c:invertIfNegative val="0"/>
          <c:dLbls>
            <c:spPr>
              <a:noFill/>
              <a:ln>
                <a:noFill/>
              </a:ln>
              <a:effectLst/>
            </c:spPr>
            <c:txPr>
              <a:bodyPr rot="0" vert="horz"/>
              <a:lstStyle/>
              <a:p>
                <a:pPr>
                  <a:defRPr sz="900" b="1"/>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'Te dhenat vjetore te PV 1'!$D$21:$I$21</c:f>
              <c:strCache>
                <c:ptCount val="6"/>
                <c:pt idx="0">
                  <c:v>Paga</c:v>
                </c:pt>
                <c:pt idx="1">
                  <c:v>Sigurime</c:v>
                </c:pt>
                <c:pt idx="2">
                  <c:v>Operative</c:v>
                </c:pt>
                <c:pt idx="3">
                  <c:v>Subvencione</c:v>
                </c:pt>
                <c:pt idx="4">
                  <c:v>Te tjera</c:v>
                </c:pt>
                <c:pt idx="5">
                  <c:v>Shpenzime Kapitale</c:v>
                </c:pt>
              </c:strCache>
            </c:strRef>
          </c:cat>
          <c:val>
            <c:numRef>
              <c:f>'Te dhenat vjetore te PV 1'!$D$22:$I$22</c:f>
              <c:numCache>
                <c:formatCode>#,##0</c:formatCode>
                <c:ptCount val="6"/>
                <c:pt idx="0">
                  <c:v>20702.599999999999</c:v>
                </c:pt>
                <c:pt idx="1">
                  <c:v>3415.6</c:v>
                </c:pt>
                <c:pt idx="2">
                  <c:v>15701</c:v>
                </c:pt>
                <c:pt idx="3">
                  <c:v>144.9</c:v>
                </c:pt>
                <c:pt idx="4">
                  <c:v>1347</c:v>
                </c:pt>
                <c:pt idx="5">
                  <c:v>11282</c:v>
                </c:pt>
              </c:numCache>
            </c:numRef>
          </c:val>
          <c:extLst xmlns:c16r2="http://schemas.microsoft.com/office/drawing/2015/06/chart">
            <c:ext xmlns:c16="http://schemas.microsoft.com/office/drawing/2014/chart" uri="{C3380CC4-5D6E-409C-BE32-E72D297353CC}">
              <c16:uniqueId val="{00000000-2E3B-4B0C-B9F6-D456B4487E9F}"/>
            </c:ext>
          </c:extLst>
        </c:ser>
        <c:ser>
          <c:idx val="1"/>
          <c:order val="1"/>
          <c:tx>
            <c:strRef>
              <c:f>'Te dhenat vjetore te PV 1'!$C$23</c:f>
              <c:strCache>
                <c:ptCount val="1"/>
                <c:pt idx="0">
                  <c:v>2020</c:v>
                </c:pt>
              </c:strCache>
            </c:strRef>
          </c:tx>
          <c:spPr>
            <a:solidFill>
              <a:schemeClr val="accent1">
                <a:tint val="77000"/>
              </a:schemeClr>
            </a:solidFill>
            <a:ln>
              <a:noFill/>
            </a:ln>
            <a:effectLst/>
          </c:spPr>
          <c:invertIfNegative val="0"/>
          <c:dLbls>
            <c:spPr>
              <a:noFill/>
              <a:ln>
                <a:noFill/>
              </a:ln>
              <a:effectLst/>
            </c:spPr>
            <c:txPr>
              <a:bodyPr rot="0" vert="horz"/>
              <a:lstStyle/>
              <a:p>
                <a:pPr>
                  <a:defRPr sz="900" b="1"/>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'Te dhenat vjetore te PV 1'!$D$21:$I$21</c:f>
              <c:strCache>
                <c:ptCount val="6"/>
                <c:pt idx="0">
                  <c:v>Paga</c:v>
                </c:pt>
                <c:pt idx="1">
                  <c:v>Sigurime</c:v>
                </c:pt>
                <c:pt idx="2">
                  <c:v>Operative</c:v>
                </c:pt>
                <c:pt idx="3">
                  <c:v>Subvencione</c:v>
                </c:pt>
                <c:pt idx="4">
                  <c:v>Te tjera</c:v>
                </c:pt>
                <c:pt idx="5">
                  <c:v>Shpenzime Kapitale</c:v>
                </c:pt>
              </c:strCache>
            </c:strRef>
          </c:cat>
          <c:val>
            <c:numRef>
              <c:f>'Te dhenat vjetore te PV 1'!$D$23:$I$23</c:f>
              <c:numCache>
                <c:formatCode>#,##0</c:formatCode>
                <c:ptCount val="6"/>
                <c:pt idx="0">
                  <c:v>19194.640721700001</c:v>
                </c:pt>
                <c:pt idx="1">
                  <c:v>3195.77068018</c:v>
                </c:pt>
                <c:pt idx="2">
                  <c:v>15168.27041766</c:v>
                </c:pt>
                <c:pt idx="3">
                  <c:v>152</c:v>
                </c:pt>
                <c:pt idx="4">
                  <c:v>1003.6</c:v>
                </c:pt>
                <c:pt idx="5">
                  <c:v>12911.581642949999</c:v>
                </c:pt>
              </c:numCache>
            </c:numRef>
          </c:val>
          <c:extLst xmlns:c16r2="http://schemas.microsoft.com/office/drawing/2015/06/chart">
            <c:ext xmlns:c16="http://schemas.microsoft.com/office/drawing/2014/chart" uri="{C3380CC4-5D6E-409C-BE32-E72D297353CC}">
              <c16:uniqueId val="{00000001-2E3B-4B0C-B9F6-D456B4487E9F}"/>
            </c:ext>
          </c:extLst>
        </c:ser>
        <c:dLbls>
          <c:showLegendKey val="0"/>
          <c:showVal val="0"/>
          <c:showCatName val="0"/>
          <c:showSerName val="0"/>
          <c:showPercent val="0"/>
          <c:showBubbleSize val="0"/>
        </c:dLbls>
        <c:gapWidth val="48"/>
        <c:overlap val="-3"/>
        <c:axId val="-1793148800"/>
        <c:axId val="-1793143360"/>
      </c:barChart>
      <c:catAx>
        <c:axId val="-1793148800"/>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vert="horz"/>
          <a:lstStyle/>
          <a:p>
            <a:pPr>
              <a:defRPr sz="900" b="1">
                <a:solidFill>
                  <a:srgbClr val="C00000"/>
                </a:solidFill>
              </a:defRPr>
            </a:pPr>
            <a:endParaRPr lang="en-US"/>
          </a:p>
        </c:txPr>
        <c:crossAx val="-1793143360"/>
        <c:crosses val="autoZero"/>
        <c:auto val="1"/>
        <c:lblAlgn val="ctr"/>
        <c:lblOffset val="100"/>
        <c:noMultiLvlLbl val="0"/>
      </c:catAx>
      <c:valAx>
        <c:axId val="-1793143360"/>
        <c:scaling>
          <c:orientation val="minMax"/>
        </c:scaling>
        <c:delete val="0"/>
        <c:axPos val="l"/>
        <c:title>
          <c:tx>
            <c:rich>
              <a:bodyPr rot="-5400000" vert="horz"/>
              <a:lstStyle/>
              <a:p>
                <a:pPr>
                  <a:defRPr sz="900"/>
                </a:pPr>
                <a:r>
                  <a:rPr lang="sq-AL" sz="900"/>
                  <a:t>Në milion leke</a:t>
                </a:r>
              </a:p>
            </c:rich>
          </c:tx>
          <c:layout>
            <c:manualLayout>
              <c:xMode val="edge"/>
              <c:yMode val="edge"/>
              <c:x val="1.0240873299928418E-2"/>
              <c:y val="0.12559436729554882"/>
            </c:manualLayout>
          </c:layout>
          <c:overlay val="0"/>
          <c:spPr>
            <a:noFill/>
            <a:ln>
              <a:noFill/>
            </a:ln>
            <a:effectLst/>
          </c:spPr>
        </c:title>
        <c:numFmt formatCode="#,##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vert="horz"/>
          <a:lstStyle/>
          <a:p>
            <a:pPr>
              <a:defRPr sz="800"/>
            </a:pPr>
            <a:endParaRPr lang="en-US"/>
          </a:p>
        </c:txPr>
        <c:crossAx val="-1793148800"/>
        <c:crosses val="autoZero"/>
        <c:crossBetween val="between"/>
      </c:valAx>
      <c:spPr>
        <a:solidFill>
          <a:schemeClr val="bg2"/>
        </a:solidFill>
        <a:ln w="25400">
          <a:noFill/>
        </a:ln>
        <a:effectLst>
          <a:glow rad="127000">
            <a:schemeClr val="bg1"/>
          </a:glow>
          <a:outerShdw blurRad="50800" dist="50800" dir="5400000" algn="ctr" rotWithShape="0">
            <a:schemeClr val="bg1"/>
          </a:outerShdw>
        </a:effectLst>
      </c:spPr>
    </c:plotArea>
    <c:legend>
      <c:legendPos val="b"/>
      <c:layout>
        <c:manualLayout>
          <c:xMode val="edge"/>
          <c:yMode val="edge"/>
          <c:x val="0.30799494999833882"/>
          <c:y val="0.9059141329961492"/>
          <c:w val="0.29540250506661353"/>
          <c:h val="9.4085867003850798E-2"/>
        </c:manualLayout>
      </c:layout>
      <c:overlay val="0"/>
      <c:spPr>
        <a:noFill/>
        <a:ln>
          <a:noFill/>
        </a:ln>
        <a:effectLst/>
      </c:spPr>
      <c:txPr>
        <a:bodyPr rot="0" vert="horz"/>
        <a:lstStyle/>
        <a:p>
          <a:pPr>
            <a:defRPr b="1">
              <a:solidFill>
                <a:srgbClr val="C00000"/>
              </a:solidFill>
            </a:defRPr>
          </a:pPr>
          <a:endParaRPr lang="en-US"/>
        </a:p>
      </c:txPr>
    </c:legend>
    <c:plotVisOnly val="1"/>
    <c:dispBlanksAs val="gap"/>
    <c:showDLblsOverMax val="0"/>
  </c:chart>
  <c:spPr>
    <a:solidFill>
      <a:schemeClr val="bg2"/>
    </a:solidFill>
    <a:ln w="9525" cap="flat" cmpd="sng" algn="ctr">
      <a:solidFill>
        <a:schemeClr val="tx1">
          <a:tint val="75000"/>
          <a:shade val="95000"/>
          <a:satMod val="105000"/>
        </a:schemeClr>
      </a:solidFill>
      <a:prstDash val="solid"/>
      <a:round/>
    </a:ln>
    <a:effectLst/>
  </c:spPr>
  <c:txPr>
    <a:bodyPr/>
    <a:lstStyle/>
    <a:p>
      <a:pPr>
        <a:defRPr>
          <a:latin typeface="+mj-lt"/>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Sheet1!$A$3:$A$8</c:f>
              <c:numCache>
                <c:formatCode>General</c:formatCode>
                <c:ptCount val="6"/>
                <c:pt idx="0">
                  <c:v>2013</c:v>
                </c:pt>
                <c:pt idx="1">
                  <c:v>2017</c:v>
                </c:pt>
                <c:pt idx="2">
                  <c:v>2018</c:v>
                </c:pt>
                <c:pt idx="3">
                  <c:v>2019</c:v>
                </c:pt>
                <c:pt idx="4">
                  <c:v>2020</c:v>
                </c:pt>
                <c:pt idx="5">
                  <c:v>2021</c:v>
                </c:pt>
              </c:numCache>
            </c:numRef>
          </c:cat>
          <c:val>
            <c:numRef>
              <c:f>Sheet1!$D$3:$D$8</c:f>
              <c:numCache>
                <c:formatCode>General</c:formatCode>
                <c:ptCount val="6"/>
                <c:pt idx="0">
                  <c:v>38.58</c:v>
                </c:pt>
                <c:pt idx="1">
                  <c:v>61.4</c:v>
                </c:pt>
                <c:pt idx="2">
                  <c:v>65.81</c:v>
                </c:pt>
                <c:pt idx="3">
                  <c:v>66.44</c:v>
                </c:pt>
                <c:pt idx="4">
                  <c:v>63.34</c:v>
                </c:pt>
                <c:pt idx="5">
                  <c:v>69.819999999999993</c:v>
                </c:pt>
              </c:numCache>
            </c:numRef>
          </c:val>
        </c:ser>
        <c:dLbls>
          <c:dLblPos val="inEnd"/>
          <c:showLegendKey val="0"/>
          <c:showVal val="1"/>
          <c:showCatName val="0"/>
          <c:showSerName val="0"/>
          <c:showPercent val="0"/>
          <c:showBubbleSize val="0"/>
        </c:dLbls>
        <c:gapWidth val="65"/>
        <c:axId val="-1793154240"/>
        <c:axId val="-1793131936"/>
      </c:barChart>
      <c:valAx>
        <c:axId val="-1793131936"/>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793154240"/>
        <c:crosses val="autoZero"/>
        <c:crossBetween val="between"/>
      </c:valAx>
      <c:catAx>
        <c:axId val="-179315424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793131936"/>
        <c:crosses val="autoZero"/>
        <c:auto val="1"/>
        <c:lblAlgn val="ctr"/>
        <c:lblOffset val="100"/>
        <c:noMultiLvlLbl val="0"/>
      </c:cat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Sheet1!$A$3:$A$8</c:f>
              <c:numCache>
                <c:formatCode>General</c:formatCode>
                <c:ptCount val="6"/>
                <c:pt idx="0">
                  <c:v>2013</c:v>
                </c:pt>
                <c:pt idx="1">
                  <c:v>2017</c:v>
                </c:pt>
                <c:pt idx="2">
                  <c:v>2018</c:v>
                </c:pt>
                <c:pt idx="3">
                  <c:v>2019</c:v>
                </c:pt>
                <c:pt idx="4">
                  <c:v>2020</c:v>
                </c:pt>
                <c:pt idx="5">
                  <c:v>2021</c:v>
                </c:pt>
              </c:numCache>
            </c:numRef>
          </c:cat>
          <c:val>
            <c:numRef>
              <c:f>Sheet1!$D$3:$D$8</c:f>
              <c:numCache>
                <c:formatCode>General</c:formatCode>
                <c:ptCount val="6"/>
                <c:pt idx="0">
                  <c:v>44.74</c:v>
                </c:pt>
                <c:pt idx="1">
                  <c:v>26.41</c:v>
                </c:pt>
                <c:pt idx="2">
                  <c:v>23.9</c:v>
                </c:pt>
                <c:pt idx="3">
                  <c:v>21.79</c:v>
                </c:pt>
                <c:pt idx="4">
                  <c:v>21.48</c:v>
                </c:pt>
                <c:pt idx="5">
                  <c:v>20.62</c:v>
                </c:pt>
              </c:numCache>
            </c:numRef>
          </c:val>
        </c:ser>
        <c:dLbls>
          <c:dLblPos val="inEnd"/>
          <c:showLegendKey val="0"/>
          <c:showVal val="1"/>
          <c:showCatName val="0"/>
          <c:showSerName val="0"/>
          <c:showPercent val="0"/>
          <c:showBubbleSize val="0"/>
        </c:dLbls>
        <c:gapWidth val="65"/>
        <c:axId val="-1793141728"/>
        <c:axId val="-1793130848"/>
      </c:barChart>
      <c:valAx>
        <c:axId val="-1793130848"/>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793141728"/>
        <c:crosses val="autoZero"/>
        <c:crossBetween val="between"/>
      </c:valAx>
      <c:catAx>
        <c:axId val="-179314172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793130848"/>
        <c:crosses val="autoZero"/>
        <c:auto val="1"/>
        <c:lblAlgn val="ctr"/>
        <c:lblOffset val="100"/>
        <c:noMultiLvlLbl val="0"/>
      </c:cat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solidFill>
                  <a:srgbClr val="C00000"/>
                </a:solidFill>
              </a:defRPr>
            </a:pPr>
            <a:r>
              <a:rPr lang="en-US">
                <a:solidFill>
                  <a:srgbClr val="C00000"/>
                </a:solidFill>
              </a:rPr>
              <a:t>Detyrimet e Prapambetura Qendrore &amp; Vendore</a:t>
            </a:r>
            <a:endParaRPr lang="sq-AL">
              <a:solidFill>
                <a:srgbClr val="C00000"/>
              </a:solidFill>
            </a:endParaRPr>
          </a:p>
        </c:rich>
      </c:tx>
      <c:layout>
        <c:manualLayout>
          <c:xMode val="edge"/>
          <c:yMode val="edge"/>
          <c:x val="0.25086460683642609"/>
          <c:y val="1.8426283992607432E-2"/>
        </c:manualLayout>
      </c:layout>
      <c:overlay val="0"/>
      <c:spPr>
        <a:noFill/>
        <a:ln>
          <a:noFill/>
        </a:ln>
        <a:effectLst/>
      </c:spPr>
    </c:title>
    <c:autoTitleDeleted val="0"/>
    <c:plotArea>
      <c:layout>
        <c:manualLayout>
          <c:layoutTarget val="inner"/>
          <c:xMode val="edge"/>
          <c:yMode val="edge"/>
          <c:x val="3.4390741890419761E-2"/>
          <c:y val="0.1450563294972744"/>
          <c:w val="0.63650289327869114"/>
          <c:h val="0.74351679117033442"/>
        </c:manualLayout>
      </c:layout>
      <c:barChart>
        <c:barDir val="col"/>
        <c:grouping val="stacked"/>
        <c:varyColors val="0"/>
        <c:ser>
          <c:idx val="0"/>
          <c:order val="0"/>
          <c:tx>
            <c:strRef>
              <c:f>'Detyrimet Tot'!$B$4</c:f>
              <c:strCache>
                <c:ptCount val="1"/>
                <c:pt idx="0">
                  <c:v>Vendime Gjyqësore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'[1]Detyrimet Tot'!$C$3:$K$3</c:f>
              <c:strCache>
                <c:ptCount val="9"/>
                <c:pt idx="0">
                  <c:v>2016</c:v>
                </c:pt>
                <c:pt idx="1">
                  <c:v>2017</c:v>
                </c:pt>
                <c:pt idx="2">
                  <c:v>2018</c:v>
                </c:pt>
                <c:pt idx="3">
                  <c:v>2019</c:v>
                </c:pt>
                <c:pt idx="4">
                  <c:v>3M 2020</c:v>
                </c:pt>
                <c:pt idx="5">
                  <c:v>6M 2020</c:v>
                </c:pt>
                <c:pt idx="6">
                  <c:v>9M 2020</c:v>
                </c:pt>
                <c:pt idx="7">
                  <c:v>2020</c:v>
                </c:pt>
                <c:pt idx="8">
                  <c:v>3M 2021</c:v>
                </c:pt>
              </c:strCache>
            </c:strRef>
          </c:cat>
          <c:val>
            <c:numRef>
              <c:f>'Detyrimet Tot'!$C$4:$K$4</c:f>
            </c:numRef>
          </c:val>
          <c:extLst xmlns:c16r2="http://schemas.microsoft.com/office/drawing/2015/06/chart">
            <c:ext xmlns:c16="http://schemas.microsoft.com/office/drawing/2014/chart" uri="{C3380CC4-5D6E-409C-BE32-E72D297353CC}">
              <c16:uniqueId val="{00000000-E1F4-436D-8CBA-85F41C06097F}"/>
            </c:ext>
          </c:extLst>
        </c:ser>
        <c:ser>
          <c:idx val="1"/>
          <c:order val="1"/>
          <c:tx>
            <c:strRef>
              <c:f>'Detyrimet Tot'!$B$5</c:f>
              <c:strCache>
                <c:ptCount val="1"/>
                <c:pt idx="0">
                  <c:v>Mirëmbajtje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'[1]Detyrimet Tot'!$C$3:$K$3</c:f>
              <c:strCache>
                <c:ptCount val="9"/>
                <c:pt idx="0">
                  <c:v>2016</c:v>
                </c:pt>
                <c:pt idx="1">
                  <c:v>2017</c:v>
                </c:pt>
                <c:pt idx="2">
                  <c:v>2018</c:v>
                </c:pt>
                <c:pt idx="3">
                  <c:v>2019</c:v>
                </c:pt>
                <c:pt idx="4">
                  <c:v>3M 2020</c:v>
                </c:pt>
                <c:pt idx="5">
                  <c:v>6M 2020</c:v>
                </c:pt>
                <c:pt idx="6">
                  <c:v>9M 2020</c:v>
                </c:pt>
                <c:pt idx="7">
                  <c:v>2020</c:v>
                </c:pt>
                <c:pt idx="8">
                  <c:v>3M 2021</c:v>
                </c:pt>
              </c:strCache>
            </c:strRef>
          </c:cat>
          <c:val>
            <c:numRef>
              <c:f>'Detyrimet Tot'!$C$5:$K$5</c:f>
            </c:numRef>
          </c:val>
          <c:extLst xmlns:c16r2="http://schemas.microsoft.com/office/drawing/2015/06/chart">
            <c:ext xmlns:c16="http://schemas.microsoft.com/office/drawing/2014/chart" uri="{C3380CC4-5D6E-409C-BE32-E72D297353CC}">
              <c16:uniqueId val="{00000001-E1F4-436D-8CBA-85F41C06097F}"/>
            </c:ext>
          </c:extLst>
        </c:ser>
        <c:ser>
          <c:idx val="2"/>
          <c:order val="2"/>
          <c:tx>
            <c:strRef>
              <c:f>'Detyrimet Tot'!$B$6</c:f>
              <c:strCache>
                <c:ptCount val="1"/>
                <c:pt idx="0">
                  <c:v>Investime (infrastrukturë)</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'[1]Detyrimet Tot'!$C$3:$K$3</c:f>
              <c:strCache>
                <c:ptCount val="9"/>
                <c:pt idx="0">
                  <c:v>2016</c:v>
                </c:pt>
                <c:pt idx="1">
                  <c:v>2017</c:v>
                </c:pt>
                <c:pt idx="2">
                  <c:v>2018</c:v>
                </c:pt>
                <c:pt idx="3">
                  <c:v>2019</c:v>
                </c:pt>
                <c:pt idx="4">
                  <c:v>3M 2020</c:v>
                </c:pt>
                <c:pt idx="5">
                  <c:v>6M 2020</c:v>
                </c:pt>
                <c:pt idx="6">
                  <c:v>9M 2020</c:v>
                </c:pt>
                <c:pt idx="7">
                  <c:v>2020</c:v>
                </c:pt>
                <c:pt idx="8">
                  <c:v>3M 2021</c:v>
                </c:pt>
              </c:strCache>
            </c:strRef>
          </c:cat>
          <c:val>
            <c:numRef>
              <c:f>'Detyrimet Tot'!$C$6:$K$6</c:f>
            </c:numRef>
          </c:val>
          <c:extLst xmlns:c16r2="http://schemas.microsoft.com/office/drawing/2015/06/chart">
            <c:ext xmlns:c16="http://schemas.microsoft.com/office/drawing/2014/chart" uri="{C3380CC4-5D6E-409C-BE32-E72D297353CC}">
              <c16:uniqueId val="{00000002-E1F4-436D-8CBA-85F41C06097F}"/>
            </c:ext>
          </c:extLst>
        </c:ser>
        <c:ser>
          <c:idx val="3"/>
          <c:order val="3"/>
          <c:tx>
            <c:strRef>
              <c:f>'Detyrimet Tot'!$B$7</c:f>
              <c:strCache>
                <c:ptCount val="1"/>
                <c:pt idx="0">
                  <c:v>Te tjera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'[1]Detyrimet Tot'!$C$3:$K$3</c:f>
              <c:strCache>
                <c:ptCount val="9"/>
                <c:pt idx="0">
                  <c:v>2016</c:v>
                </c:pt>
                <c:pt idx="1">
                  <c:v>2017</c:v>
                </c:pt>
                <c:pt idx="2">
                  <c:v>2018</c:v>
                </c:pt>
                <c:pt idx="3">
                  <c:v>2019</c:v>
                </c:pt>
                <c:pt idx="4">
                  <c:v>3M 2020</c:v>
                </c:pt>
                <c:pt idx="5">
                  <c:v>6M 2020</c:v>
                </c:pt>
                <c:pt idx="6">
                  <c:v>9M 2020</c:v>
                </c:pt>
                <c:pt idx="7">
                  <c:v>2020</c:v>
                </c:pt>
                <c:pt idx="8">
                  <c:v>3M 2021</c:v>
                </c:pt>
              </c:strCache>
            </c:strRef>
          </c:cat>
          <c:val>
            <c:numRef>
              <c:f>'Detyrimet Tot'!$C$7:$K$7</c:f>
            </c:numRef>
          </c:val>
          <c:extLst xmlns:c16r2="http://schemas.microsoft.com/office/drawing/2015/06/chart">
            <c:ext xmlns:c16="http://schemas.microsoft.com/office/drawing/2014/chart" uri="{C3380CC4-5D6E-409C-BE32-E72D297353CC}">
              <c16:uniqueId val="{00000003-E1F4-436D-8CBA-85F41C06097F}"/>
            </c:ext>
          </c:extLst>
        </c:ser>
        <c:ser>
          <c:idx val="4"/>
          <c:order val="4"/>
          <c:tx>
            <c:strRef>
              <c:f>'Detyrimet Tot'!$B$8</c:f>
              <c:strCache>
                <c:ptCount val="1"/>
                <c:pt idx="0">
                  <c:v>Totali Detyrimeve të Qeverisë Qendrore</c:v>
                </c:pt>
              </c:strCache>
            </c:strRef>
          </c:tx>
          <c:spPr>
            <a:solidFill>
              <a:schemeClr val="accent5"/>
            </a:solidFill>
            <a:ln>
              <a:noFill/>
            </a:ln>
            <a:effectLst/>
          </c:spPr>
          <c:invertIfNegative val="0"/>
          <c:dLbls>
            <c:spPr>
              <a:solidFill>
                <a:sysClr val="window" lastClr="FFFFFF"/>
              </a:solidFill>
              <a:ln>
                <a:noFill/>
              </a:ln>
              <a:effectLst/>
            </c:spPr>
            <c:txPr>
              <a:bodyPr rot="0" vert="horz"/>
              <a:lstStyle/>
              <a:p>
                <a:pPr>
                  <a:defRPr b="1"/>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'Detyrimet Tot'!$C$3:$O$3</c:f>
              <c:strCache>
                <c:ptCount val="5"/>
                <c:pt idx="0">
                  <c:v>2020</c:v>
                </c:pt>
                <c:pt idx="1">
                  <c:v>3M 2021</c:v>
                </c:pt>
                <c:pt idx="2">
                  <c:v>6M 2021</c:v>
                </c:pt>
                <c:pt idx="3">
                  <c:v>9M 2021</c:v>
                </c:pt>
                <c:pt idx="4">
                  <c:v>2021</c:v>
                </c:pt>
              </c:strCache>
            </c:strRef>
          </c:cat>
          <c:val>
            <c:numRef>
              <c:f>'Detyrimet Tot'!$C$8:$O$8</c:f>
              <c:numCache>
                <c:formatCode>_-* #,##0_L_e_k_-;\-* #,##0_L_e_k_-;_-* "-"??_L_e_k_-;_-@_-</c:formatCode>
                <c:ptCount val="5"/>
                <c:pt idx="0">
                  <c:v>6969.9161947100019</c:v>
                </c:pt>
                <c:pt idx="1">
                  <c:v>7953.7090634099995</c:v>
                </c:pt>
                <c:pt idx="2">
                  <c:v>9727.5</c:v>
                </c:pt>
                <c:pt idx="3">
                  <c:v>11940.682551</c:v>
                </c:pt>
                <c:pt idx="4">
                  <c:v>6149.7587629100008</c:v>
                </c:pt>
              </c:numCache>
            </c:numRef>
          </c:val>
          <c:extLst xmlns:c16r2="http://schemas.microsoft.com/office/drawing/2015/06/chart">
            <c:ext xmlns:c16="http://schemas.microsoft.com/office/drawing/2014/chart" uri="{C3380CC4-5D6E-409C-BE32-E72D297353CC}">
              <c16:uniqueId val="{00000004-E1F4-436D-8CBA-85F41C06097F}"/>
            </c:ext>
          </c:extLst>
        </c:ser>
        <c:ser>
          <c:idx val="5"/>
          <c:order val="5"/>
          <c:tx>
            <c:strRef>
              <c:f>'Detyrimet Tot'!$B$9</c:f>
              <c:strCache>
                <c:ptCount val="1"/>
                <c:pt idx="0">
                  <c:v>2. Totali Detyrimeve të Qeverisë Vendore</c:v>
                </c:pt>
              </c:strCache>
            </c:strRef>
          </c:tx>
          <c:spPr>
            <a:solidFill>
              <a:schemeClr val="accent6"/>
            </a:solidFill>
            <a:ln>
              <a:noFill/>
            </a:ln>
            <a:effectLst/>
          </c:spPr>
          <c:invertIfNegative val="0"/>
          <c:dLbls>
            <c:spPr>
              <a:solidFill>
                <a:sysClr val="window" lastClr="FFFFFF"/>
              </a:solidFill>
              <a:ln>
                <a:noFill/>
              </a:ln>
              <a:effectLst/>
            </c:spPr>
            <c:txPr>
              <a:bodyPr rot="0" vert="horz"/>
              <a:lstStyle/>
              <a:p>
                <a:pPr>
                  <a:defRPr b="1"/>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'Detyrimet Tot'!$C$3:$O$3</c:f>
              <c:strCache>
                <c:ptCount val="5"/>
                <c:pt idx="0">
                  <c:v>2020</c:v>
                </c:pt>
                <c:pt idx="1">
                  <c:v>3M 2021</c:v>
                </c:pt>
                <c:pt idx="2">
                  <c:v>6M 2021</c:v>
                </c:pt>
                <c:pt idx="3">
                  <c:v>9M 2021</c:v>
                </c:pt>
                <c:pt idx="4">
                  <c:v>2021</c:v>
                </c:pt>
              </c:strCache>
            </c:strRef>
          </c:cat>
          <c:val>
            <c:numRef>
              <c:f>'Detyrimet Tot'!$C$9:$O$9</c:f>
              <c:numCache>
                <c:formatCode>_-* #,##0_L_e_k_-;\-* #,##0_L_e_k_-;_-* "-"??_L_e_k_-;_-@_-</c:formatCode>
                <c:ptCount val="5"/>
                <c:pt idx="0">
                  <c:v>7058.9435894000007</c:v>
                </c:pt>
                <c:pt idx="1">
                  <c:v>6879.0983227499974</c:v>
                </c:pt>
                <c:pt idx="2">
                  <c:v>6635.5</c:v>
                </c:pt>
                <c:pt idx="3">
                  <c:v>7305.1040409999987</c:v>
                </c:pt>
                <c:pt idx="4">
                  <c:v>6604.1740495399999</c:v>
                </c:pt>
              </c:numCache>
            </c:numRef>
          </c:val>
          <c:extLst xmlns:c16r2="http://schemas.microsoft.com/office/drawing/2015/06/chart">
            <c:ext xmlns:c16="http://schemas.microsoft.com/office/drawing/2014/chart" uri="{C3380CC4-5D6E-409C-BE32-E72D297353CC}">
              <c16:uniqueId val="{00000005-E1F4-436D-8CBA-85F41C06097F}"/>
            </c:ext>
          </c:extLst>
        </c:ser>
        <c:ser>
          <c:idx val="6"/>
          <c:order val="6"/>
          <c:tx>
            <c:strRef>
              <c:f>'Detyrimet Tot'!$B$10</c:f>
              <c:strCache>
                <c:ptCount val="1"/>
                <c:pt idx="0">
                  <c:v>3. Rimbursim i TVSH</c:v>
                </c:pt>
              </c:strCache>
            </c:strRef>
          </c:tx>
          <c:spPr>
            <a:solidFill>
              <a:schemeClr val="accent1">
                <a:lumMod val="60000"/>
              </a:schemeClr>
            </a:solidFill>
            <a:ln>
              <a:noFill/>
            </a:ln>
            <a:effectLst/>
          </c:spPr>
          <c:invertIfNegative val="0"/>
          <c:dLbls>
            <c:spPr>
              <a:solidFill>
                <a:sysClr val="window" lastClr="FFFFFF"/>
              </a:solidFill>
              <a:ln>
                <a:noFill/>
              </a:ln>
              <a:effectLst/>
            </c:spPr>
            <c:txPr>
              <a:bodyPr rot="0" vert="horz"/>
              <a:lstStyle/>
              <a:p>
                <a:pPr>
                  <a:defRPr b="1"/>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'Detyrimet Tot'!$C$3:$O$3</c:f>
              <c:strCache>
                <c:ptCount val="5"/>
                <c:pt idx="0">
                  <c:v>2020</c:v>
                </c:pt>
                <c:pt idx="1">
                  <c:v>3M 2021</c:v>
                </c:pt>
                <c:pt idx="2">
                  <c:v>6M 2021</c:v>
                </c:pt>
                <c:pt idx="3">
                  <c:v>9M 2021</c:v>
                </c:pt>
                <c:pt idx="4">
                  <c:v>2021</c:v>
                </c:pt>
              </c:strCache>
            </c:strRef>
          </c:cat>
          <c:val>
            <c:numRef>
              <c:f>'Detyrimet Tot'!$C$10:$O$10</c:f>
              <c:numCache>
                <c:formatCode>_-* #,##0_L_e_k_-;\-* #,##0_L_e_k_-;_-* "-"??_L_e_k_-;_-@_-</c:formatCode>
                <c:ptCount val="5"/>
                <c:pt idx="0">
                  <c:v>9797.3091710000008</c:v>
                </c:pt>
                <c:pt idx="1">
                  <c:v>5921.7783589999999</c:v>
                </c:pt>
                <c:pt idx="2">
                  <c:v>1725</c:v>
                </c:pt>
                <c:pt idx="3">
                  <c:v>476.65039000000002</c:v>
                </c:pt>
                <c:pt idx="4">
                  <c:v>476.65039000000002</c:v>
                </c:pt>
              </c:numCache>
            </c:numRef>
          </c:val>
          <c:extLst xmlns:c16r2="http://schemas.microsoft.com/office/drawing/2015/06/chart">
            <c:ext xmlns:c16="http://schemas.microsoft.com/office/drawing/2014/chart" uri="{C3380CC4-5D6E-409C-BE32-E72D297353CC}">
              <c16:uniqueId val="{00000006-E1F4-436D-8CBA-85F41C06097F}"/>
            </c:ext>
          </c:extLst>
        </c:ser>
        <c:dLbls>
          <c:dLblPos val="ctr"/>
          <c:showLegendKey val="0"/>
          <c:showVal val="1"/>
          <c:showCatName val="0"/>
          <c:showSerName val="0"/>
          <c:showPercent val="0"/>
          <c:showBubbleSize val="0"/>
        </c:dLbls>
        <c:gapWidth val="79"/>
        <c:overlap val="100"/>
        <c:axId val="-1793147712"/>
        <c:axId val="-1793148256"/>
      </c:barChart>
      <c:lineChart>
        <c:grouping val="standard"/>
        <c:varyColors val="0"/>
        <c:ser>
          <c:idx val="7"/>
          <c:order val="7"/>
          <c:tx>
            <c:strRef>
              <c:f>'Detyrimet Tot'!$B$11</c:f>
              <c:strCache>
                <c:ptCount val="1"/>
                <c:pt idx="0">
                  <c:v>Total</c:v>
                </c:pt>
              </c:strCache>
            </c:strRef>
          </c:tx>
          <c:spPr>
            <a:ln w="19050" cap="rnd">
              <a:solidFill>
                <a:schemeClr val="accent2">
                  <a:lumMod val="60000"/>
                </a:schemeClr>
              </a:solidFill>
              <a:round/>
            </a:ln>
            <a:effectLst/>
          </c:spPr>
          <c:marker>
            <c:symbol val="none"/>
          </c:marker>
          <c:dLbls>
            <c:spPr>
              <a:noFill/>
              <a:ln>
                <a:noFill/>
              </a:ln>
              <a:effectLst/>
            </c:spPr>
            <c:txPr>
              <a:bodyPr rot="0" vert="horz"/>
              <a:lstStyle/>
              <a:p>
                <a:pPr>
                  <a:defRPr b="1">
                    <a:solidFill>
                      <a:srgbClr val="C0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'Detyrimet Tot'!$C$3:$K$3</c:f>
              <c:strCache>
                <c:ptCount val="2"/>
                <c:pt idx="0">
                  <c:v>2020</c:v>
                </c:pt>
                <c:pt idx="1">
                  <c:v>3M 2021</c:v>
                </c:pt>
              </c:strCache>
            </c:strRef>
          </c:cat>
          <c:val>
            <c:numRef>
              <c:f>'Detyrimet Tot'!$C$11:$O$11</c:f>
              <c:numCache>
                <c:formatCode>_-* #,##0_L_e_k_-;\-* #,##0_L_e_k_-;_-* "-"??_L_e_k_-;_-@_-</c:formatCode>
                <c:ptCount val="5"/>
                <c:pt idx="0">
                  <c:v>23826.168955110003</c:v>
                </c:pt>
                <c:pt idx="1">
                  <c:v>20754.585745159995</c:v>
                </c:pt>
                <c:pt idx="2">
                  <c:v>18088</c:v>
                </c:pt>
                <c:pt idx="3">
                  <c:v>19722.436981999996</c:v>
                </c:pt>
                <c:pt idx="4">
                  <c:v>13230.583202450001</c:v>
                </c:pt>
              </c:numCache>
            </c:numRef>
          </c:val>
          <c:smooth val="0"/>
          <c:extLst xmlns:c16r2="http://schemas.microsoft.com/office/drawing/2015/06/chart">
            <c:ext xmlns:c16="http://schemas.microsoft.com/office/drawing/2014/chart" uri="{C3380CC4-5D6E-409C-BE32-E72D297353CC}">
              <c16:uniqueId val="{00000007-E1F4-436D-8CBA-85F41C06097F}"/>
            </c:ext>
          </c:extLst>
        </c:ser>
        <c:dLbls>
          <c:showLegendKey val="0"/>
          <c:showVal val="0"/>
          <c:showCatName val="0"/>
          <c:showSerName val="0"/>
          <c:showPercent val="0"/>
          <c:showBubbleSize val="0"/>
        </c:dLbls>
        <c:marker val="1"/>
        <c:smooth val="0"/>
        <c:axId val="-1793146080"/>
        <c:axId val="-1793129216"/>
      </c:lineChart>
      <c:catAx>
        <c:axId val="-1793147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accent1">
                <a:shade val="95000"/>
                <a:satMod val="105000"/>
              </a:schemeClr>
            </a:solidFill>
            <a:prstDash val="solid"/>
            <a:round/>
          </a:ln>
          <a:effectLst/>
        </c:spPr>
        <c:txPr>
          <a:bodyPr rot="-60000000" vert="horz"/>
          <a:lstStyle/>
          <a:p>
            <a:pPr>
              <a:defRPr b="1"/>
            </a:pPr>
            <a:endParaRPr lang="en-US"/>
          </a:p>
        </c:txPr>
        <c:crossAx val="-1793148256"/>
        <c:crosses val="autoZero"/>
        <c:auto val="1"/>
        <c:lblAlgn val="ctr"/>
        <c:lblOffset val="100"/>
        <c:noMultiLvlLbl val="0"/>
      </c:catAx>
      <c:valAx>
        <c:axId val="-1793148256"/>
        <c:scaling>
          <c:orientation val="minMax"/>
        </c:scaling>
        <c:delete val="1"/>
        <c:axPos val="l"/>
        <c:numFmt formatCode="_-* #,##0_L_e_k_-;\-* #,##0_L_e_k_-;_-* &quot;-&quot;??_L_e_k_-;_-@_-" sourceLinked="1"/>
        <c:majorTickMark val="none"/>
        <c:minorTickMark val="none"/>
        <c:tickLblPos val="nextTo"/>
        <c:crossAx val="-1793147712"/>
        <c:crosses val="autoZero"/>
        <c:crossBetween val="between"/>
      </c:valAx>
      <c:valAx>
        <c:axId val="-1793129216"/>
        <c:scaling>
          <c:orientation val="minMax"/>
        </c:scaling>
        <c:delete val="0"/>
        <c:axPos val="r"/>
        <c:numFmt formatCode="_-* #,##0_L_e_k_-;\-* #,##0_L_e_k_-;_-* &quot;-&quot;??_L_e_k_-;_-@_-" sourceLinked="1"/>
        <c:majorTickMark val="out"/>
        <c:minorTickMark val="none"/>
        <c:tickLblPos val="nextTo"/>
        <c:spPr>
          <a:noFill/>
          <a:ln w="9525" cap="flat" cmpd="sng" algn="ctr">
            <a:solidFill>
              <a:schemeClr val="accent1">
                <a:shade val="95000"/>
                <a:satMod val="105000"/>
              </a:schemeClr>
            </a:solidFill>
            <a:prstDash val="solid"/>
            <a:round/>
          </a:ln>
          <a:effectLst/>
        </c:spPr>
        <c:txPr>
          <a:bodyPr rot="-60000000" vert="horz"/>
          <a:lstStyle/>
          <a:p>
            <a:pPr>
              <a:defRPr/>
            </a:pPr>
            <a:endParaRPr lang="en-US"/>
          </a:p>
        </c:txPr>
        <c:crossAx val="-1793146080"/>
        <c:crosses val="max"/>
        <c:crossBetween val="between"/>
      </c:valAx>
      <c:catAx>
        <c:axId val="-1793146080"/>
        <c:scaling>
          <c:orientation val="minMax"/>
        </c:scaling>
        <c:delete val="1"/>
        <c:axPos val="b"/>
        <c:numFmt formatCode="General" sourceLinked="1"/>
        <c:majorTickMark val="out"/>
        <c:minorTickMark val="none"/>
        <c:tickLblPos val="nextTo"/>
        <c:crossAx val="-1793129216"/>
        <c:crosses val="autoZero"/>
        <c:auto val="1"/>
        <c:lblAlgn val="ctr"/>
        <c:lblOffset val="100"/>
        <c:noMultiLvlLbl val="0"/>
      </c:catAx>
      <c:spPr>
        <a:solidFill>
          <a:srgbClr val="DBEFF9"/>
        </a:solidFill>
        <a:ln w="9525" cap="flat" cmpd="sng" algn="ctr">
          <a:noFill/>
          <a:prstDash val="solid"/>
        </a:ln>
        <a:effectLst/>
      </c:spPr>
    </c:plotArea>
    <c:legend>
      <c:legendPos val="r"/>
      <c:layout>
        <c:manualLayout>
          <c:xMode val="edge"/>
          <c:yMode val="edge"/>
          <c:x val="0.75456800356095854"/>
          <c:y val="0.16253583686654552"/>
          <c:w val="0.23641248791269512"/>
          <c:h val="0.73082226260179017"/>
        </c:manualLayout>
      </c:layout>
      <c:overlay val="0"/>
      <c:spPr>
        <a:noFill/>
        <a:ln>
          <a:noFill/>
        </a:ln>
        <a:effectLst/>
      </c:spPr>
      <c:txPr>
        <a:bodyPr rot="0" vert="horz"/>
        <a:lstStyle/>
        <a:p>
          <a:pPr>
            <a:defRPr b="1"/>
          </a:pPr>
          <a:endParaRPr lang="en-US"/>
        </a:p>
      </c:txPr>
    </c:legend>
    <c:plotVisOnly val="1"/>
    <c:dispBlanksAs val="zero"/>
    <c:showDLblsOverMax val="0"/>
  </c:chart>
  <c:spPr>
    <a:solidFill>
      <a:srgbClr val="DBEFF9"/>
    </a:solidFill>
    <a:ln w="9525" cap="flat" cmpd="sng" algn="ctr">
      <a:solidFill>
        <a:schemeClr val="dk1"/>
      </a:solidFill>
      <a:prstDash val="solid"/>
      <a:round/>
    </a:ln>
    <a:effectLst/>
  </c:spPr>
  <c:txPr>
    <a:bodyPr/>
    <a:lstStyle/>
    <a:p>
      <a:pPr>
        <a:defRPr sz="700">
          <a:solidFill>
            <a:schemeClr val="dk1"/>
          </a:solidFill>
          <a:latin typeface="+mj-lt"/>
          <a:ea typeface="+mn-ea"/>
          <a:cs typeface="+mn-cs"/>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a:solidFill>
                  <a:srgbClr val="C00000"/>
                </a:solidFill>
              </a:rPr>
              <a:t>Stoku i detyrimeve të MIE vs Totalit</a:t>
            </a:r>
          </a:p>
        </c:rich>
      </c:tx>
      <c:layout>
        <c:manualLayout>
          <c:xMode val="edge"/>
          <c:yMode val="edge"/>
          <c:x val="3.5695216012108913E-2"/>
          <c:y val="2.8735632183908046E-2"/>
        </c:manualLayout>
      </c:layout>
      <c:overlay val="0"/>
      <c:spPr>
        <a:noFill/>
        <a:ln>
          <a:noFill/>
        </a:ln>
        <a:effectLst/>
      </c:spPr>
    </c:title>
    <c:autoTitleDeleted val="0"/>
    <c:plotArea>
      <c:layout>
        <c:manualLayout>
          <c:layoutTarget val="inner"/>
          <c:xMode val="edge"/>
          <c:yMode val="edge"/>
          <c:x val="3.4390741890419761E-2"/>
          <c:y val="0.15942392976739977"/>
          <c:w val="0.69137078724055201"/>
          <c:h val="0.69594816272965876"/>
        </c:manualLayout>
      </c:layout>
      <c:barChart>
        <c:barDir val="col"/>
        <c:grouping val="stacked"/>
        <c:varyColors val="0"/>
        <c:ser>
          <c:idx val="0"/>
          <c:order val="0"/>
          <c:tx>
            <c:strRef>
              <c:f>'Detyrimet Tot'!$B$4</c:f>
              <c:strCache>
                <c:ptCount val="1"/>
                <c:pt idx="0">
                  <c:v>Vendime Gjyqësore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'[2]Detyrimet Tot'!$C$3:$K$3</c:f>
              <c:numCache>
                <c:formatCode>General</c:formatCode>
                <c:ptCount val="9"/>
                <c:pt idx="0">
                  <c:v>0</c:v>
                </c:pt>
                <c:pt idx="1">
                  <c:v>0</c:v>
                </c:pt>
                <c:pt idx="2">
                  <c:v>0</c:v>
                </c:pt>
                <c:pt idx="3">
                  <c:v>0</c:v>
                </c:pt>
                <c:pt idx="4">
                  <c:v>0</c:v>
                </c:pt>
                <c:pt idx="5">
                  <c:v>0</c:v>
                </c:pt>
                <c:pt idx="6">
                  <c:v>0</c:v>
                </c:pt>
                <c:pt idx="7">
                  <c:v>0</c:v>
                </c:pt>
                <c:pt idx="8">
                  <c:v>0</c:v>
                </c:pt>
              </c:numCache>
            </c:numRef>
          </c:cat>
          <c:val>
            <c:numRef>
              <c:f>'Detyrimet Tot'!$C$4:$K$4</c:f>
            </c:numRef>
          </c:val>
          <c:extLst xmlns:c16r2="http://schemas.microsoft.com/office/drawing/2015/06/chart">
            <c:ext xmlns:c16="http://schemas.microsoft.com/office/drawing/2014/chart" uri="{C3380CC4-5D6E-409C-BE32-E72D297353CC}">
              <c16:uniqueId val="{00000000-E1F4-436D-8CBA-85F41C06097F}"/>
            </c:ext>
          </c:extLst>
        </c:ser>
        <c:ser>
          <c:idx val="1"/>
          <c:order val="1"/>
          <c:tx>
            <c:strRef>
              <c:f>'Detyrimet Tot'!$B$5</c:f>
              <c:strCache>
                <c:ptCount val="1"/>
                <c:pt idx="0">
                  <c:v>Mirëmbajtje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'[2]Detyrimet Tot'!$C$3:$K$3</c:f>
              <c:numCache>
                <c:formatCode>General</c:formatCode>
                <c:ptCount val="9"/>
                <c:pt idx="0">
                  <c:v>0</c:v>
                </c:pt>
                <c:pt idx="1">
                  <c:v>0</c:v>
                </c:pt>
                <c:pt idx="2">
                  <c:v>0</c:v>
                </c:pt>
                <c:pt idx="3">
                  <c:v>0</c:v>
                </c:pt>
                <c:pt idx="4">
                  <c:v>0</c:v>
                </c:pt>
                <c:pt idx="5">
                  <c:v>0</c:v>
                </c:pt>
                <c:pt idx="6">
                  <c:v>0</c:v>
                </c:pt>
                <c:pt idx="7">
                  <c:v>0</c:v>
                </c:pt>
                <c:pt idx="8">
                  <c:v>0</c:v>
                </c:pt>
              </c:numCache>
            </c:numRef>
          </c:cat>
          <c:val>
            <c:numRef>
              <c:f>'Detyrimet Tot'!$C$5:$K$5</c:f>
            </c:numRef>
          </c:val>
          <c:extLst xmlns:c16r2="http://schemas.microsoft.com/office/drawing/2015/06/chart">
            <c:ext xmlns:c16="http://schemas.microsoft.com/office/drawing/2014/chart" uri="{C3380CC4-5D6E-409C-BE32-E72D297353CC}">
              <c16:uniqueId val="{00000001-E1F4-436D-8CBA-85F41C06097F}"/>
            </c:ext>
          </c:extLst>
        </c:ser>
        <c:ser>
          <c:idx val="2"/>
          <c:order val="2"/>
          <c:tx>
            <c:strRef>
              <c:f>'Detyrimet Tot'!$B$6</c:f>
              <c:strCache>
                <c:ptCount val="1"/>
                <c:pt idx="0">
                  <c:v>Investime (infrastrukturë)</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'[2]Detyrimet Tot'!$C$3:$K$3</c:f>
              <c:numCache>
                <c:formatCode>General</c:formatCode>
                <c:ptCount val="9"/>
                <c:pt idx="0">
                  <c:v>0</c:v>
                </c:pt>
                <c:pt idx="1">
                  <c:v>0</c:v>
                </c:pt>
                <c:pt idx="2">
                  <c:v>0</c:v>
                </c:pt>
                <c:pt idx="3">
                  <c:v>0</c:v>
                </c:pt>
                <c:pt idx="4">
                  <c:v>0</c:v>
                </c:pt>
                <c:pt idx="5">
                  <c:v>0</c:v>
                </c:pt>
                <c:pt idx="6">
                  <c:v>0</c:v>
                </c:pt>
                <c:pt idx="7">
                  <c:v>0</c:v>
                </c:pt>
                <c:pt idx="8">
                  <c:v>0</c:v>
                </c:pt>
              </c:numCache>
            </c:numRef>
          </c:cat>
          <c:val>
            <c:numRef>
              <c:f>'Detyrimet Tot'!$C$6:$K$6</c:f>
            </c:numRef>
          </c:val>
          <c:extLst xmlns:c16r2="http://schemas.microsoft.com/office/drawing/2015/06/chart">
            <c:ext xmlns:c16="http://schemas.microsoft.com/office/drawing/2014/chart" uri="{C3380CC4-5D6E-409C-BE32-E72D297353CC}">
              <c16:uniqueId val="{00000002-E1F4-436D-8CBA-85F41C06097F}"/>
            </c:ext>
          </c:extLst>
        </c:ser>
        <c:ser>
          <c:idx val="3"/>
          <c:order val="3"/>
          <c:tx>
            <c:strRef>
              <c:f>'Detyrimet Tot'!$B$7</c:f>
              <c:strCache>
                <c:ptCount val="1"/>
                <c:pt idx="0">
                  <c:v>Te tjera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'[2]Detyrimet Tot'!$C$3:$K$3</c:f>
              <c:numCache>
                <c:formatCode>General</c:formatCode>
                <c:ptCount val="9"/>
                <c:pt idx="0">
                  <c:v>0</c:v>
                </c:pt>
                <c:pt idx="1">
                  <c:v>0</c:v>
                </c:pt>
                <c:pt idx="2">
                  <c:v>0</c:v>
                </c:pt>
                <c:pt idx="3">
                  <c:v>0</c:v>
                </c:pt>
                <c:pt idx="4">
                  <c:v>0</c:v>
                </c:pt>
                <c:pt idx="5">
                  <c:v>0</c:v>
                </c:pt>
                <c:pt idx="6">
                  <c:v>0</c:v>
                </c:pt>
                <c:pt idx="7">
                  <c:v>0</c:v>
                </c:pt>
                <c:pt idx="8">
                  <c:v>0</c:v>
                </c:pt>
              </c:numCache>
            </c:numRef>
          </c:cat>
          <c:val>
            <c:numRef>
              <c:f>'Detyrimet Tot'!$C$7:$K$7</c:f>
            </c:numRef>
          </c:val>
          <c:extLst xmlns:c16r2="http://schemas.microsoft.com/office/drawing/2015/06/chart">
            <c:ext xmlns:c16="http://schemas.microsoft.com/office/drawing/2014/chart" uri="{C3380CC4-5D6E-409C-BE32-E72D297353CC}">
              <c16:uniqueId val="{00000003-E1F4-436D-8CBA-85F41C06097F}"/>
            </c:ext>
          </c:extLst>
        </c:ser>
        <c:ser>
          <c:idx val="4"/>
          <c:order val="4"/>
          <c:tx>
            <c:strRef>
              <c:f>'Detyrimet Tot'!$B$8</c:f>
              <c:strCache>
                <c:ptCount val="1"/>
                <c:pt idx="0">
                  <c:v>MIE</c:v>
                </c:pt>
              </c:strCache>
            </c:strRef>
          </c:tx>
          <c:spPr>
            <a:solidFill>
              <a:schemeClr val="accent5"/>
            </a:solidFill>
            <a:ln>
              <a:noFill/>
            </a:ln>
            <a:effectLst/>
          </c:spPr>
          <c:invertIfNegative val="0"/>
          <c:dLbls>
            <c:spPr>
              <a:solidFill>
                <a:sysClr val="window" lastClr="FFFFFF"/>
              </a:solidFill>
              <a:ln>
                <a:noFill/>
              </a:ln>
              <a:effectLst/>
            </c:spPr>
            <c:txPr>
              <a:bodyPr rot="0" vert="horz"/>
              <a:lstStyle/>
              <a:p>
                <a:pPr>
                  <a:defRPr b="1"/>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'Detyrimet Tot'!$C$3:$O$3</c:f>
              <c:strCache>
                <c:ptCount val="5"/>
                <c:pt idx="0">
                  <c:v>2020</c:v>
                </c:pt>
                <c:pt idx="1">
                  <c:v>3M 2021</c:v>
                </c:pt>
                <c:pt idx="2">
                  <c:v>6M 2021</c:v>
                </c:pt>
                <c:pt idx="3">
                  <c:v>9M 2021</c:v>
                </c:pt>
                <c:pt idx="4">
                  <c:v>2021</c:v>
                </c:pt>
              </c:strCache>
            </c:strRef>
          </c:cat>
          <c:val>
            <c:numRef>
              <c:f>'Detyrimet Tot'!$C$8:$O$8</c:f>
              <c:numCache>
                <c:formatCode>_-* #,##0_L_e_k_-;\-* #,##0_L_e_k_-;_-* "-"??_L_e_k_-;_-@_-</c:formatCode>
                <c:ptCount val="5"/>
                <c:pt idx="0">
                  <c:v>1939.4784680000002</c:v>
                </c:pt>
                <c:pt idx="1">
                  <c:v>2123.3964839999999</c:v>
                </c:pt>
                <c:pt idx="2">
                  <c:v>4355.34</c:v>
                </c:pt>
                <c:pt idx="3">
                  <c:v>6983.2749320000003</c:v>
                </c:pt>
                <c:pt idx="4">
                  <c:v>2338.643309</c:v>
                </c:pt>
              </c:numCache>
            </c:numRef>
          </c:val>
          <c:extLst xmlns:c16r2="http://schemas.microsoft.com/office/drawing/2015/06/chart">
            <c:ext xmlns:c16="http://schemas.microsoft.com/office/drawing/2014/chart" uri="{C3380CC4-5D6E-409C-BE32-E72D297353CC}">
              <c16:uniqueId val="{00000004-E1F4-436D-8CBA-85F41C06097F}"/>
            </c:ext>
          </c:extLst>
        </c:ser>
        <c:ser>
          <c:idx val="5"/>
          <c:order val="5"/>
          <c:tx>
            <c:strRef>
              <c:f>'Detyrimet Tot'!$B$9</c:f>
              <c:strCache>
                <c:ptCount val="1"/>
                <c:pt idx="0">
                  <c:v>ML të tjera</c:v>
                </c:pt>
              </c:strCache>
            </c:strRef>
          </c:tx>
          <c:spPr>
            <a:solidFill>
              <a:schemeClr val="accent6"/>
            </a:solidFill>
            <a:ln>
              <a:noFill/>
            </a:ln>
            <a:effectLst/>
          </c:spPr>
          <c:invertIfNegative val="0"/>
          <c:dLbls>
            <c:spPr>
              <a:solidFill>
                <a:sysClr val="window" lastClr="FFFFFF"/>
              </a:solidFill>
              <a:ln>
                <a:noFill/>
              </a:ln>
              <a:effectLst/>
            </c:spPr>
            <c:txPr>
              <a:bodyPr rot="0" vert="horz"/>
              <a:lstStyle/>
              <a:p>
                <a:pPr>
                  <a:defRPr b="1"/>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'Detyrimet Tot'!$C$3:$O$3</c:f>
              <c:strCache>
                <c:ptCount val="5"/>
                <c:pt idx="0">
                  <c:v>2020</c:v>
                </c:pt>
                <c:pt idx="1">
                  <c:v>3M 2021</c:v>
                </c:pt>
                <c:pt idx="2">
                  <c:v>6M 2021</c:v>
                </c:pt>
                <c:pt idx="3">
                  <c:v>9M 2021</c:v>
                </c:pt>
                <c:pt idx="4">
                  <c:v>2021</c:v>
                </c:pt>
              </c:strCache>
            </c:strRef>
          </c:cat>
          <c:val>
            <c:numRef>
              <c:f>'Detyrimet Tot'!$C$9:$O$9</c:f>
              <c:numCache>
                <c:formatCode>_-* #,##0_L_e_k_-;\-* #,##0_L_e_k_-;_-* "-"??_L_e_k_-;_-@_-</c:formatCode>
                <c:ptCount val="5"/>
                <c:pt idx="0">
                  <c:v>5030.4377267100017</c:v>
                </c:pt>
                <c:pt idx="1">
                  <c:v>5830.3125794099997</c:v>
                </c:pt>
                <c:pt idx="2">
                  <c:v>5372.3805831</c:v>
                </c:pt>
                <c:pt idx="3">
                  <c:v>4957.4076200000009</c:v>
                </c:pt>
                <c:pt idx="4">
                  <c:v>3811.1154539100007</c:v>
                </c:pt>
              </c:numCache>
            </c:numRef>
          </c:val>
          <c:extLst xmlns:c16r2="http://schemas.microsoft.com/office/drawing/2015/06/chart">
            <c:ext xmlns:c16="http://schemas.microsoft.com/office/drawing/2014/chart" uri="{C3380CC4-5D6E-409C-BE32-E72D297353CC}">
              <c16:uniqueId val="{00000005-E1F4-436D-8CBA-85F41C06097F}"/>
            </c:ext>
          </c:extLst>
        </c:ser>
        <c:ser>
          <c:idx val="6"/>
          <c:order val="6"/>
          <c:tx>
            <c:strRef>
              <c:f>'Detyrimet Tot'!$B$10</c:f>
              <c:strCache>
                <c:ptCount val="1"/>
                <c:pt idx="0">
                  <c:v>3. Rimbursim i TVSH</c:v>
                </c:pt>
              </c:strCache>
            </c:strRef>
          </c:tx>
          <c:spPr>
            <a:solidFill>
              <a:schemeClr val="accent1">
                <a:lumMod val="60000"/>
              </a:schemeClr>
            </a:solidFill>
            <a:ln>
              <a:noFill/>
            </a:ln>
            <a:effectLst/>
          </c:spPr>
          <c:invertIfNegative val="0"/>
          <c:dLbls>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'Detyrimet Tot'!$C$3:$O$3</c:f>
              <c:strCache>
                <c:ptCount val="5"/>
                <c:pt idx="0">
                  <c:v>2020</c:v>
                </c:pt>
                <c:pt idx="1">
                  <c:v>3M 2021</c:v>
                </c:pt>
                <c:pt idx="2">
                  <c:v>6M 2021</c:v>
                </c:pt>
                <c:pt idx="3">
                  <c:v>9M 2021</c:v>
                </c:pt>
                <c:pt idx="4">
                  <c:v>2021</c:v>
                </c:pt>
              </c:strCache>
            </c:strRef>
          </c:cat>
          <c:val>
            <c:numRef>
              <c:f>'Detyrimet Tot'!$C$10:$O$10</c:f>
            </c:numRef>
          </c:val>
          <c:extLst xmlns:c16r2="http://schemas.microsoft.com/office/drawing/2015/06/chart">
            <c:ext xmlns:c16="http://schemas.microsoft.com/office/drawing/2014/chart" uri="{C3380CC4-5D6E-409C-BE32-E72D297353CC}">
              <c16:uniqueId val="{00000006-E1F4-436D-8CBA-85F41C06097F}"/>
            </c:ext>
          </c:extLst>
        </c:ser>
        <c:dLbls>
          <c:dLblPos val="ctr"/>
          <c:showLegendKey val="0"/>
          <c:showVal val="1"/>
          <c:showCatName val="0"/>
          <c:showSerName val="0"/>
          <c:showPercent val="0"/>
          <c:showBubbleSize val="0"/>
        </c:dLbls>
        <c:gapWidth val="79"/>
        <c:overlap val="100"/>
        <c:axId val="-1793139008"/>
        <c:axId val="-1793154784"/>
      </c:barChart>
      <c:lineChart>
        <c:grouping val="standard"/>
        <c:varyColors val="0"/>
        <c:ser>
          <c:idx val="7"/>
          <c:order val="7"/>
          <c:tx>
            <c:strRef>
              <c:f>'Detyrimet Tot'!$B$11</c:f>
              <c:strCache>
                <c:ptCount val="1"/>
                <c:pt idx="0">
                  <c:v>Total</c:v>
                </c:pt>
              </c:strCache>
            </c:strRef>
          </c:tx>
          <c:spPr>
            <a:ln w="19050" cap="rnd">
              <a:solidFill>
                <a:schemeClr val="accent2">
                  <a:lumMod val="60000"/>
                </a:schemeClr>
              </a:solidFill>
              <a:round/>
            </a:ln>
            <a:effectLst/>
          </c:spPr>
          <c:marker>
            <c:symbol val="none"/>
          </c:marker>
          <c:dLbls>
            <c:spPr>
              <a:noFill/>
              <a:ln>
                <a:noFill/>
              </a:ln>
              <a:effectLst/>
            </c:spPr>
            <c:txPr>
              <a:bodyPr rot="0" vert="horz"/>
              <a:lstStyle/>
              <a:p>
                <a:pPr>
                  <a:defRPr b="1">
                    <a:solidFill>
                      <a:srgbClr val="C0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'Detyrimet Tot'!$C$3:$K$3</c:f>
              <c:strCache>
                <c:ptCount val="2"/>
                <c:pt idx="0">
                  <c:v>2020</c:v>
                </c:pt>
                <c:pt idx="1">
                  <c:v>3M 2021</c:v>
                </c:pt>
              </c:strCache>
            </c:strRef>
          </c:cat>
          <c:val>
            <c:numRef>
              <c:f>'Detyrimet Tot'!$C$11:$O$11</c:f>
              <c:numCache>
                <c:formatCode>_-* #,##0_L_e_k_-;\-* #,##0_L_e_k_-;_-* "-"??_L_e_k_-;_-@_-</c:formatCode>
                <c:ptCount val="5"/>
                <c:pt idx="0">
                  <c:v>6969.9161947100019</c:v>
                </c:pt>
                <c:pt idx="1">
                  <c:v>7953.7090634099995</c:v>
                </c:pt>
                <c:pt idx="2">
                  <c:v>9727.7205830999992</c:v>
                </c:pt>
                <c:pt idx="3">
                  <c:v>11940.682552000002</c:v>
                </c:pt>
                <c:pt idx="4">
                  <c:v>6149.7587629100008</c:v>
                </c:pt>
              </c:numCache>
            </c:numRef>
          </c:val>
          <c:smooth val="0"/>
          <c:extLst xmlns:c16r2="http://schemas.microsoft.com/office/drawing/2015/06/chart">
            <c:ext xmlns:c16="http://schemas.microsoft.com/office/drawing/2014/chart" uri="{C3380CC4-5D6E-409C-BE32-E72D297353CC}">
              <c16:uniqueId val="{00000007-E1F4-436D-8CBA-85F41C06097F}"/>
            </c:ext>
          </c:extLst>
        </c:ser>
        <c:dLbls>
          <c:showLegendKey val="0"/>
          <c:showVal val="0"/>
          <c:showCatName val="0"/>
          <c:showSerName val="0"/>
          <c:showPercent val="0"/>
          <c:showBubbleSize val="0"/>
        </c:dLbls>
        <c:marker val="1"/>
        <c:smooth val="0"/>
        <c:axId val="-1793140640"/>
        <c:axId val="-1793143904"/>
      </c:lineChart>
      <c:catAx>
        <c:axId val="-17931390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accent1">
                <a:shade val="95000"/>
                <a:satMod val="105000"/>
              </a:schemeClr>
            </a:solidFill>
            <a:prstDash val="solid"/>
            <a:round/>
          </a:ln>
          <a:effectLst/>
        </c:spPr>
        <c:txPr>
          <a:bodyPr rot="-60000000" vert="horz"/>
          <a:lstStyle/>
          <a:p>
            <a:pPr>
              <a:defRPr b="1">
                <a:solidFill>
                  <a:srgbClr val="C00000"/>
                </a:solidFill>
              </a:defRPr>
            </a:pPr>
            <a:endParaRPr lang="en-US"/>
          </a:p>
        </c:txPr>
        <c:crossAx val="-1793154784"/>
        <c:crosses val="autoZero"/>
        <c:auto val="1"/>
        <c:lblAlgn val="ctr"/>
        <c:lblOffset val="100"/>
        <c:noMultiLvlLbl val="0"/>
      </c:catAx>
      <c:valAx>
        <c:axId val="-1793154784"/>
        <c:scaling>
          <c:orientation val="minMax"/>
        </c:scaling>
        <c:delete val="1"/>
        <c:axPos val="l"/>
        <c:numFmt formatCode="_-* #,##0_L_e_k_-;\-* #,##0_L_e_k_-;_-* &quot;-&quot;??_L_e_k_-;_-@_-" sourceLinked="1"/>
        <c:majorTickMark val="none"/>
        <c:minorTickMark val="none"/>
        <c:tickLblPos val="nextTo"/>
        <c:crossAx val="-1793139008"/>
        <c:crosses val="autoZero"/>
        <c:crossBetween val="between"/>
      </c:valAx>
      <c:valAx>
        <c:axId val="-1793143904"/>
        <c:scaling>
          <c:orientation val="minMax"/>
        </c:scaling>
        <c:delete val="0"/>
        <c:axPos val="r"/>
        <c:numFmt formatCode="_-* #,##0_L_e_k_-;\-* #,##0_L_e_k_-;_-* &quot;-&quot;??_L_e_k_-;_-@_-" sourceLinked="1"/>
        <c:majorTickMark val="out"/>
        <c:minorTickMark val="none"/>
        <c:tickLblPos val="nextTo"/>
        <c:spPr>
          <a:noFill/>
          <a:ln w="9525" cap="flat" cmpd="sng" algn="ctr">
            <a:solidFill>
              <a:schemeClr val="accent1">
                <a:shade val="95000"/>
                <a:satMod val="105000"/>
              </a:schemeClr>
            </a:solidFill>
            <a:prstDash val="solid"/>
            <a:round/>
          </a:ln>
          <a:effectLst/>
        </c:spPr>
        <c:txPr>
          <a:bodyPr rot="-60000000" vert="horz"/>
          <a:lstStyle/>
          <a:p>
            <a:pPr>
              <a:defRPr/>
            </a:pPr>
            <a:endParaRPr lang="en-US"/>
          </a:p>
        </c:txPr>
        <c:crossAx val="-1793140640"/>
        <c:crosses val="max"/>
        <c:crossBetween val="between"/>
      </c:valAx>
      <c:catAx>
        <c:axId val="-1793140640"/>
        <c:scaling>
          <c:orientation val="minMax"/>
        </c:scaling>
        <c:delete val="1"/>
        <c:axPos val="b"/>
        <c:numFmt formatCode="General" sourceLinked="1"/>
        <c:majorTickMark val="out"/>
        <c:minorTickMark val="none"/>
        <c:tickLblPos val="nextTo"/>
        <c:crossAx val="-1793143904"/>
        <c:crosses val="autoZero"/>
        <c:auto val="1"/>
        <c:lblAlgn val="ctr"/>
        <c:lblOffset val="100"/>
        <c:noMultiLvlLbl val="0"/>
      </c:catAx>
      <c:spPr>
        <a:solidFill>
          <a:srgbClr val="DBEFF9"/>
        </a:solidFill>
        <a:ln w="9525" cap="flat" cmpd="sng" algn="ctr">
          <a:noFill/>
          <a:prstDash val="solid"/>
        </a:ln>
        <a:effectLst/>
      </c:spPr>
    </c:plotArea>
    <c:legend>
      <c:legendPos val="r"/>
      <c:legendEntry>
        <c:idx val="0"/>
        <c:txPr>
          <a:bodyPr rot="0" vert="horz"/>
          <a:lstStyle/>
          <a:p>
            <a:pPr>
              <a:defRPr b="1"/>
            </a:pPr>
            <a:endParaRPr lang="en-US"/>
          </a:p>
        </c:txPr>
      </c:legendEntry>
      <c:legendEntry>
        <c:idx val="1"/>
        <c:txPr>
          <a:bodyPr rot="0" vert="horz"/>
          <a:lstStyle/>
          <a:p>
            <a:pPr>
              <a:defRPr b="1"/>
            </a:pPr>
            <a:endParaRPr lang="en-US"/>
          </a:p>
        </c:txPr>
      </c:legendEntry>
      <c:legendEntry>
        <c:idx val="2"/>
        <c:txPr>
          <a:bodyPr rot="0" vert="horz"/>
          <a:lstStyle/>
          <a:p>
            <a:pPr>
              <a:defRPr b="1"/>
            </a:pPr>
            <a:endParaRPr lang="en-US"/>
          </a:p>
        </c:txPr>
      </c:legendEntry>
      <c:layout>
        <c:manualLayout>
          <c:xMode val="edge"/>
          <c:yMode val="edge"/>
          <c:x val="0.79617329275558346"/>
          <c:y val="0.16253596207450813"/>
          <c:w val="0.20132476976192137"/>
          <c:h val="0.73082226260179017"/>
        </c:manualLayout>
      </c:layout>
      <c:overlay val="0"/>
      <c:spPr>
        <a:noFill/>
        <a:ln>
          <a:noFill/>
        </a:ln>
        <a:effectLst/>
      </c:spPr>
      <c:txPr>
        <a:bodyPr rot="0" vert="horz"/>
        <a:lstStyle/>
        <a:p>
          <a:pPr>
            <a:defRPr b="1"/>
          </a:pPr>
          <a:endParaRPr lang="en-US"/>
        </a:p>
      </c:txPr>
    </c:legend>
    <c:plotVisOnly val="1"/>
    <c:dispBlanksAs val="zero"/>
    <c:showDLblsOverMax val="0"/>
  </c:chart>
  <c:spPr>
    <a:solidFill>
      <a:srgbClr val="DBEFF9"/>
    </a:solidFill>
    <a:ln w="9525" cap="flat" cmpd="sng" algn="ctr">
      <a:solidFill>
        <a:schemeClr val="dk1"/>
      </a:solidFill>
      <a:prstDash val="solid"/>
      <a:round/>
    </a:ln>
    <a:effectLst/>
  </c:spPr>
  <c:txPr>
    <a:bodyPr/>
    <a:lstStyle/>
    <a:p>
      <a:pPr>
        <a:defRPr sz="800">
          <a:solidFill>
            <a:schemeClr val="dk1"/>
          </a:solidFill>
          <a:latin typeface="+mj-lt"/>
          <a:ea typeface="+mn-ea"/>
          <a:cs typeface="+mn-cs"/>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613221592914922"/>
          <c:y val="0.11405826439494454"/>
          <c:w val="0.36390124480054026"/>
          <c:h val="0.87500041519886185"/>
        </c:manualLayout>
      </c:layout>
      <c:pieChart>
        <c:varyColors val="1"/>
        <c:ser>
          <c:idx val="0"/>
          <c:order val="0"/>
          <c:spPr>
            <a:ln>
              <a:noFill/>
            </a:ln>
          </c:spPr>
          <c:dPt>
            <c:idx val="0"/>
            <c:bubble3D val="0"/>
            <c:spPr>
              <a:gradFill>
                <a:gsLst>
                  <a:gs pos="100000">
                    <a:schemeClr val="accent1">
                      <a:lumMod val="60000"/>
                      <a:lumOff val="40000"/>
                    </a:schemeClr>
                  </a:gs>
                  <a:gs pos="0">
                    <a:schemeClr val="accent1"/>
                  </a:gs>
                </a:gsLst>
                <a:lin ang="5400000" scaled="0"/>
              </a:gradFill>
              <a:ln w="19050">
                <a:noFill/>
              </a:ln>
              <a:effectLst/>
            </c:spPr>
          </c:dPt>
          <c:dPt>
            <c:idx val="1"/>
            <c:bubble3D val="0"/>
            <c:spPr>
              <a:gradFill>
                <a:gsLst>
                  <a:gs pos="100000">
                    <a:schemeClr val="accent2">
                      <a:lumMod val="60000"/>
                      <a:lumOff val="40000"/>
                    </a:schemeClr>
                  </a:gs>
                  <a:gs pos="0">
                    <a:schemeClr val="accent2"/>
                  </a:gs>
                </a:gsLst>
                <a:lin ang="5400000" scaled="0"/>
              </a:gradFill>
              <a:ln w="19050">
                <a:noFill/>
              </a:ln>
              <a:effectLst/>
            </c:spPr>
          </c:dPt>
          <c:dPt>
            <c:idx val="2"/>
            <c:bubble3D val="0"/>
            <c:spPr>
              <a:gradFill>
                <a:gsLst>
                  <a:gs pos="100000">
                    <a:schemeClr val="accent3">
                      <a:lumMod val="60000"/>
                      <a:lumOff val="40000"/>
                    </a:schemeClr>
                  </a:gs>
                  <a:gs pos="0">
                    <a:schemeClr val="accent3"/>
                  </a:gs>
                </a:gsLst>
                <a:lin ang="5400000" scaled="0"/>
              </a:gradFill>
              <a:ln w="19050">
                <a:noFill/>
              </a:ln>
              <a:effectLst/>
            </c:spPr>
          </c:dPt>
          <c:dPt>
            <c:idx val="3"/>
            <c:bubble3D val="0"/>
            <c:spPr>
              <a:gradFill>
                <a:gsLst>
                  <a:gs pos="100000">
                    <a:schemeClr val="accent4">
                      <a:lumMod val="60000"/>
                      <a:lumOff val="40000"/>
                    </a:schemeClr>
                  </a:gs>
                  <a:gs pos="0">
                    <a:schemeClr val="accent4"/>
                  </a:gs>
                </a:gsLst>
                <a:lin ang="5400000" scaled="0"/>
              </a:gradFill>
              <a:ln w="19050">
                <a:noFill/>
              </a:ln>
              <a:effectLst/>
            </c:spPr>
          </c:dPt>
          <c:dPt>
            <c:idx val="4"/>
            <c:bubble3D val="0"/>
            <c:spPr>
              <a:gradFill>
                <a:gsLst>
                  <a:gs pos="100000">
                    <a:schemeClr val="accent5">
                      <a:lumMod val="60000"/>
                      <a:lumOff val="40000"/>
                    </a:schemeClr>
                  </a:gs>
                  <a:gs pos="0">
                    <a:schemeClr val="accent5"/>
                  </a:gs>
                </a:gsLst>
                <a:lin ang="5400000" scaled="0"/>
              </a:gradFill>
              <a:ln w="19050">
                <a:noFill/>
              </a:ln>
              <a:effectLst/>
            </c:spPr>
          </c:dPt>
          <c:dPt>
            <c:idx val="5"/>
            <c:bubble3D val="0"/>
            <c:spPr>
              <a:gradFill>
                <a:gsLst>
                  <a:gs pos="100000">
                    <a:schemeClr val="accent6">
                      <a:lumMod val="60000"/>
                      <a:lumOff val="40000"/>
                    </a:schemeClr>
                  </a:gs>
                  <a:gs pos="0">
                    <a:schemeClr val="accent6"/>
                  </a:gs>
                </a:gsLst>
                <a:lin ang="5400000" scaled="0"/>
              </a:gradFill>
              <a:ln w="19050">
                <a:noFill/>
              </a:ln>
              <a:effectLst/>
            </c:spPr>
          </c:dPt>
          <c:dPt>
            <c:idx val="6"/>
            <c:bubble3D val="0"/>
            <c:spPr>
              <a:gradFill>
                <a:gsLst>
                  <a:gs pos="100000">
                    <a:schemeClr val="accent1">
                      <a:lumMod val="60000"/>
                      <a:lumMod val="60000"/>
                      <a:lumOff val="40000"/>
                    </a:schemeClr>
                  </a:gs>
                  <a:gs pos="0">
                    <a:schemeClr val="accent1">
                      <a:lumMod val="60000"/>
                    </a:schemeClr>
                  </a:gs>
                </a:gsLst>
                <a:lin ang="5400000" scaled="0"/>
              </a:gradFill>
              <a:ln w="19050">
                <a:noFill/>
              </a:ln>
              <a:effectLst/>
            </c:spPr>
          </c:dPt>
          <c:dPt>
            <c:idx val="7"/>
            <c:bubble3D val="0"/>
            <c:spPr>
              <a:gradFill>
                <a:gsLst>
                  <a:gs pos="100000">
                    <a:schemeClr val="accent2">
                      <a:lumMod val="60000"/>
                      <a:lumMod val="60000"/>
                      <a:lumOff val="40000"/>
                    </a:schemeClr>
                  </a:gs>
                  <a:gs pos="0">
                    <a:schemeClr val="accent2">
                      <a:lumMod val="60000"/>
                    </a:schemeClr>
                  </a:gs>
                </a:gsLst>
                <a:lin ang="5400000" scaled="0"/>
              </a:gradFill>
              <a:ln w="19050">
                <a:noFill/>
              </a:ln>
              <a:effectLst/>
            </c:spPr>
          </c:dPt>
          <c:dPt>
            <c:idx val="8"/>
            <c:bubble3D val="0"/>
            <c:spPr>
              <a:gradFill>
                <a:gsLst>
                  <a:gs pos="100000">
                    <a:schemeClr val="accent3">
                      <a:lumMod val="60000"/>
                      <a:lumMod val="60000"/>
                      <a:lumOff val="40000"/>
                    </a:schemeClr>
                  </a:gs>
                  <a:gs pos="0">
                    <a:schemeClr val="accent3">
                      <a:lumMod val="60000"/>
                    </a:schemeClr>
                  </a:gs>
                </a:gsLst>
                <a:lin ang="5400000" scaled="0"/>
              </a:gradFill>
              <a:ln w="19050">
                <a:noFill/>
              </a:ln>
              <a:effectLst/>
            </c:spPr>
          </c:dPt>
          <c:dPt>
            <c:idx val="9"/>
            <c:bubble3D val="0"/>
            <c:spPr>
              <a:gradFill>
                <a:gsLst>
                  <a:gs pos="100000">
                    <a:schemeClr val="accent4">
                      <a:lumMod val="60000"/>
                      <a:lumMod val="60000"/>
                      <a:lumOff val="40000"/>
                    </a:schemeClr>
                  </a:gs>
                  <a:gs pos="0">
                    <a:schemeClr val="accent4">
                      <a:lumMod val="60000"/>
                    </a:schemeClr>
                  </a:gs>
                </a:gsLst>
                <a:lin ang="5400000" scaled="0"/>
              </a:gradFill>
              <a:ln w="19050">
                <a:noFill/>
              </a:ln>
              <a:effectLst/>
            </c:spPr>
          </c:dPt>
          <c:dLbls>
            <c:spPr>
              <a:noFill/>
              <a:ln>
                <a:noFill/>
              </a:ln>
              <a:effectLst/>
            </c:spPr>
            <c:txPr>
              <a:bodyPr rot="0" spcFirstLastPara="1" vertOverflow="ellipsis" vert="horz" wrap="square" anchor="ctr" anchorCtr="1"/>
              <a:lstStyle/>
              <a:p>
                <a:pPr>
                  <a:defRPr sz="900" b="1" i="0" u="none" strike="noStrike" kern="1200" baseline="0">
                    <a:ln>
                      <a:noFill/>
                    </a:ln>
                    <a:solidFill>
                      <a:schemeClr val="dk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'[Chart in Microsoft Word]Sheet1'!$A$3:$A$12</c:f>
              <c:strCache>
                <c:ptCount val="10"/>
                <c:pt idx="0">
                  <c:v>Vendime Gjyqësore</c:v>
                </c:pt>
                <c:pt idx="1">
                  <c:v>Detyrime të prapambetura të tjera</c:v>
                </c:pt>
                <c:pt idx="2">
                  <c:v>Investimet </c:v>
                </c:pt>
                <c:pt idx="3">
                  <c:v>Shërbimet</c:v>
                </c:pt>
                <c:pt idx="4">
                  <c:v>Rimbursimi i TVSH-së</c:v>
                </c:pt>
                <c:pt idx="5">
                  <c:v>Detyrimet për sigurimet shoqërore</c:v>
                </c:pt>
                <c:pt idx="6">
                  <c:v>Mallra</c:v>
                </c:pt>
                <c:pt idx="7">
                  <c:v>Të Ardhurat Personale </c:v>
                </c:pt>
                <c:pt idx="8">
                  <c:v>Detyrimet për sigurimet shëndetsore</c:v>
                </c:pt>
                <c:pt idx="9">
                  <c:v>Mirëmbajtje</c:v>
                </c:pt>
              </c:strCache>
            </c:strRef>
          </c:cat>
          <c:val>
            <c:numRef>
              <c:f>'[Chart in Microsoft Word]Sheet1'!$D$3:$D$12</c:f>
              <c:numCache>
                <c:formatCode>0.00%</c:formatCode>
                <c:ptCount val="10"/>
                <c:pt idx="0">
                  <c:v>0.51400000000000001</c:v>
                </c:pt>
                <c:pt idx="1">
                  <c:v>0.16900000000000001</c:v>
                </c:pt>
                <c:pt idx="2">
                  <c:v>0.12</c:v>
                </c:pt>
                <c:pt idx="3">
                  <c:v>0.08</c:v>
                </c:pt>
                <c:pt idx="4">
                  <c:v>6.2E-2</c:v>
                </c:pt>
                <c:pt idx="5">
                  <c:v>2.5000000000000001E-2</c:v>
                </c:pt>
                <c:pt idx="6">
                  <c:v>1.6E-2</c:v>
                </c:pt>
                <c:pt idx="7">
                  <c:v>7.0000000000000001E-3</c:v>
                </c:pt>
                <c:pt idx="8">
                  <c:v>3.0000000000000001E-3</c:v>
                </c:pt>
                <c:pt idx="9">
                  <c:v>2E-3</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1161429901134567"/>
          <c:y val="0.10452013160881254"/>
          <c:w val="0.36069667010473533"/>
          <c:h val="0.79095936771671993"/>
        </c:manualLayout>
      </c:layout>
      <c:overlay val="0"/>
      <c:spPr>
        <a:noFill/>
        <a:ln w="22225">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en-US"/>
        </a:p>
      </c:txPr>
    </c:legend>
    <c:plotVisOnly val="1"/>
    <c:dispBlanksAs val="gap"/>
    <c:showDLblsOverMax val="0"/>
  </c:chart>
  <c:spPr>
    <a:solidFill>
      <a:srgbClr val="DBEFF9"/>
    </a:solidFill>
    <a:ln w="9525" cap="flat" cmpd="sng" algn="ctr">
      <a:noFill/>
      <a:round/>
    </a:ln>
    <a:effectLst/>
  </c:spPr>
  <c:txPr>
    <a:bodyPr/>
    <a:lstStyle/>
    <a:p>
      <a:pPr>
        <a:defRPr>
          <a:ln>
            <a:noFill/>
          </a:ln>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'[Chart in Microsoft Word]Sheet1'!$A$3:$A$12</c:f>
              <c:strCache>
                <c:ptCount val="10"/>
                <c:pt idx="0">
                  <c:v>Investimet</c:v>
                </c:pt>
                <c:pt idx="1">
                  <c:v>Detyrime të prapambetura të tjera</c:v>
                </c:pt>
                <c:pt idx="2">
                  <c:v>Shërbimet</c:v>
                </c:pt>
                <c:pt idx="3">
                  <c:v>Vendime Gjyqësore</c:v>
                </c:pt>
                <c:pt idx="4">
                  <c:v>Mallra</c:v>
                </c:pt>
                <c:pt idx="5">
                  <c:v>Mirëmbajtje</c:v>
                </c:pt>
                <c:pt idx="6">
                  <c:v>Detyrime për sigurimet shoqërore</c:v>
                </c:pt>
                <c:pt idx="7">
                  <c:v>Të Ardhurat Personale</c:v>
                </c:pt>
                <c:pt idx="8">
                  <c:v>Tatime të Tjera</c:v>
                </c:pt>
                <c:pt idx="9">
                  <c:v>Detyrimet për sigurimet shëndetsore</c:v>
                </c:pt>
              </c:strCache>
            </c:strRef>
          </c:cat>
          <c:val>
            <c:numRef>
              <c:f>'[Chart in Microsoft Word]Sheet1'!$D$3:$D$12</c:f>
              <c:numCache>
                <c:formatCode>0.00%</c:formatCode>
                <c:ptCount val="10"/>
                <c:pt idx="0">
                  <c:v>0.54700000000000004</c:v>
                </c:pt>
                <c:pt idx="1">
                  <c:v>0.14699999999999999</c:v>
                </c:pt>
                <c:pt idx="2">
                  <c:v>0.109</c:v>
                </c:pt>
                <c:pt idx="3">
                  <c:v>0.105</c:v>
                </c:pt>
                <c:pt idx="4">
                  <c:v>5.1999999999999998E-2</c:v>
                </c:pt>
                <c:pt idx="5">
                  <c:v>2.7E-2</c:v>
                </c:pt>
                <c:pt idx="6">
                  <c:v>7.0000000000000001E-3</c:v>
                </c:pt>
                <c:pt idx="7">
                  <c:v>3.0000000000000001E-3</c:v>
                </c:pt>
                <c:pt idx="8">
                  <c:v>1E-3</c:v>
                </c:pt>
                <c:pt idx="9">
                  <c:v>1E-3</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3847810039370068"/>
          <c:y val="0.11400189559638378"/>
          <c:w val="0.32562662933602893"/>
          <c:h val="0.78125546806649171"/>
        </c:manualLayout>
      </c:layout>
      <c:overlay val="0"/>
      <c:spPr>
        <a:solidFill>
          <a:schemeClr val="bg1"/>
        </a:solidFill>
        <a:ln w="22225">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en-US"/>
        </a:p>
      </c:txPr>
    </c:legend>
    <c:plotVisOnly val="1"/>
    <c:dispBlanksAs val="gap"/>
    <c:showDLblsOverMax val="0"/>
  </c:chart>
  <c:spPr>
    <a:solidFill>
      <a:srgbClr val="DBEFF9"/>
    </a:solidFill>
    <a:ln w="9525" cap="flat" cmpd="sng" algn="ctr">
      <a:no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5">
                  <a:shade val="7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C62A-FA40-A6C9-950552A88F75}"/>
              </c:ext>
            </c:extLst>
          </c:dPt>
          <c:dPt>
            <c:idx val="1"/>
            <c:bubble3D val="0"/>
            <c:spPr>
              <a:solidFill>
                <a:schemeClr val="accent5">
                  <a:shade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C62A-FA40-A6C9-950552A88F75}"/>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C62A-FA40-A6C9-950552A88F75}"/>
              </c:ext>
            </c:extLst>
          </c:dPt>
          <c:dPt>
            <c:idx val="3"/>
            <c:bubble3D val="0"/>
            <c:spPr>
              <a:solidFill>
                <a:schemeClr val="accent5">
                  <a:tint val="7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C62A-FA40-A6C9-950552A88F75}"/>
              </c:ext>
            </c:extLst>
          </c:dPt>
          <c:dPt>
            <c:idx val="4"/>
            <c:bubble3D val="0"/>
            <c:spPr>
              <a:solidFill>
                <a:schemeClr val="accent5">
                  <a:tint val="5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C62A-FA40-A6C9-950552A88F75}"/>
              </c:ext>
            </c:extLst>
          </c:dPt>
          <c:dLbls>
            <c:dLbl>
              <c:idx val="0"/>
              <c:layout>
                <c:manualLayout>
                  <c:x val="6.365123278509105E-2"/>
                  <c:y val="-8.3502748034845285E-3"/>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C62A-FA40-A6C9-950552A88F75}"/>
                </c:ext>
                <c:ext xmlns:c15="http://schemas.microsoft.com/office/drawing/2012/chart" uri="{CE6537A1-D6FC-4f65-9D91-7224C49458BB}"/>
              </c:extLst>
            </c:dLbl>
            <c:dLbl>
              <c:idx val="1"/>
              <c:tx>
                <c:rich>
                  <a:bodyPr rot="0" spcFirstLastPara="1" vertOverflow="ellipsis" vert="horz" wrap="square" lIns="38100" tIns="19050" rIns="38100" bIns="19050" anchor="ctr" anchorCtr="0">
                    <a:spAutoFit/>
                  </a:bodyPr>
                  <a:lstStyle/>
                  <a:p>
                    <a:pPr algn="ctr">
                      <a:defRPr sz="800" b="1" i="0" u="none" strike="noStrike" kern="1200" baseline="0">
                        <a:solidFill>
                          <a:schemeClr val="bg1"/>
                        </a:solidFill>
                        <a:latin typeface="+mn-lt"/>
                        <a:ea typeface="+mn-ea"/>
                        <a:cs typeface="+mn-cs"/>
                      </a:defRPr>
                    </a:pPr>
                    <a:fld id="{FF34FE62-765E-CA47-90D3-1E1AAE0AB60B}" type="CATEGORYNAME">
                      <a:rPr lang="en-US" sz="800" b="1">
                        <a:solidFill>
                          <a:schemeClr val="bg1"/>
                        </a:solidFill>
                      </a:rPr>
                      <a:pPr algn="ctr">
                        <a:defRPr sz="800" b="1" i="0" u="none" strike="noStrike" kern="1200" baseline="0">
                          <a:solidFill>
                            <a:schemeClr val="bg1"/>
                          </a:solidFill>
                          <a:latin typeface="+mn-lt"/>
                          <a:ea typeface="+mn-ea"/>
                          <a:cs typeface="+mn-cs"/>
                        </a:defRPr>
                      </a:pPr>
                      <a:t>[CATEGORY NAME]</a:t>
                    </a:fld>
                    <a:r>
                      <a:rPr lang="en-US" sz="800" b="1" baseline="0">
                        <a:solidFill>
                          <a:schemeClr val="bg1"/>
                        </a:solidFill>
                      </a:rPr>
                      <a:t>, </a:t>
                    </a:r>
                    <a:fld id="{AA55F753-3215-894F-83B3-AE6B1F2C464D}" type="VALUE">
                      <a:rPr lang="en-US" sz="800" b="1" baseline="0">
                        <a:solidFill>
                          <a:schemeClr val="bg1"/>
                        </a:solidFill>
                      </a:rPr>
                      <a:pPr algn="ctr">
                        <a:defRPr sz="800" b="1" i="0" u="none" strike="noStrike" kern="1200" baseline="0">
                          <a:solidFill>
                            <a:schemeClr val="bg1"/>
                          </a:solidFill>
                          <a:latin typeface="+mn-lt"/>
                          <a:ea typeface="+mn-ea"/>
                          <a:cs typeface="+mn-cs"/>
                        </a:defRPr>
                      </a:pPr>
                      <a:t>[VALUE]</a:t>
                    </a:fld>
                    <a:endParaRPr lang="en-US" sz="800" b="1" baseline="0">
                      <a:solidFill>
                        <a:schemeClr val="bg1"/>
                      </a:solidFill>
                    </a:endParaRPr>
                  </a:p>
                </c:rich>
              </c:tx>
              <c:spPr>
                <a:noFill/>
                <a:ln>
                  <a:noFill/>
                </a:ln>
                <a:effectLst/>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C62A-FA40-A6C9-950552A88F75}"/>
                </c:ext>
                <c:ext xmlns:c15="http://schemas.microsoft.com/office/drawing/2012/chart" uri="{CE6537A1-D6FC-4f65-9D91-7224C49458BB}">
                  <c15:dlblFieldTable/>
                  <c15:showDataLabelsRange val="0"/>
                </c:ext>
              </c:extLst>
            </c:dLbl>
            <c:dLbl>
              <c:idx val="3"/>
              <c:layout>
                <c:manualLayout>
                  <c:x val="7.6163828856299631E-2"/>
                  <c:y val="0.17173973750349061"/>
                </c:manualLayout>
              </c:layout>
              <c:spPr>
                <a:noFill/>
                <a:ln>
                  <a:noFill/>
                </a:ln>
                <a:effectLst/>
              </c:spPr>
              <c:txPr>
                <a:bodyPr rot="0" spcFirstLastPara="1" vertOverflow="ellipsis" vert="horz" wrap="square" lIns="38100" tIns="19050" rIns="38100" bIns="19050" anchor="ctr" anchorCtr="0">
                  <a:noAutofit/>
                </a:bodyPr>
                <a:lstStyle/>
                <a:p>
                  <a:pPr algn="ct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7998283630122289"/>
                      <c:h val="0.18709857581681094"/>
                    </c:manualLayout>
                  </c15:layout>
                </c:ext>
              </c:extLst>
            </c:dLbl>
            <c:spPr>
              <a:noFill/>
              <a:ln>
                <a:noFill/>
              </a:ln>
              <a:effectLst/>
            </c:spPr>
            <c:txPr>
              <a:bodyPr rot="0" spcFirstLastPara="1" vertOverflow="ellipsis" vert="horz" wrap="square" lIns="38100" tIns="19050" rIns="38100" bIns="19050" anchor="ctr" anchorCtr="0">
                <a:spAutoFit/>
              </a:bodyPr>
              <a:lstStyle/>
              <a:p>
                <a:pPr algn="ct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Sheet1!$C$27:$C$31</c:f>
              <c:strCache>
                <c:ptCount val="5"/>
                <c:pt idx="0">
                  <c:v>Ndihmat</c:v>
                </c:pt>
                <c:pt idx="1">
                  <c:v>Nga tatimet dhe doganat</c:v>
                </c:pt>
                <c:pt idx="2">
                  <c:v>Të ardhura nga pushteti lokal</c:v>
                </c:pt>
                <c:pt idx="3">
                  <c:v>Të ardhura nga fondet speciale</c:v>
                </c:pt>
                <c:pt idx="4">
                  <c:v>Të ardhura jo-tatimore</c:v>
                </c:pt>
              </c:strCache>
            </c:strRef>
          </c:cat>
          <c:val>
            <c:numRef>
              <c:f>Sheet1!$D$27:$D$31</c:f>
              <c:numCache>
                <c:formatCode>0.0%</c:formatCode>
                <c:ptCount val="5"/>
                <c:pt idx="0">
                  <c:v>2.5871380181269128E-2</c:v>
                </c:pt>
                <c:pt idx="1">
                  <c:v>0.69027235288472732</c:v>
                </c:pt>
                <c:pt idx="2">
                  <c:v>5.444607559890479E-2</c:v>
                </c:pt>
                <c:pt idx="3">
                  <c:v>0.22637610792026444</c:v>
                </c:pt>
                <c:pt idx="4">
                  <c:v>3.0340834148343404E-3</c:v>
                </c:pt>
              </c:numCache>
            </c:numRef>
          </c:val>
          <c:extLst xmlns:c16r2="http://schemas.microsoft.com/office/drawing/2015/06/chart">
            <c:ext xmlns:c16="http://schemas.microsoft.com/office/drawing/2014/chart" uri="{C3380CC4-5D6E-409C-BE32-E72D297353CC}">
              <c16:uniqueId val="{0000000A-C62A-FA40-A6C9-950552A88F75}"/>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DBEFF9"/>
    </a:solidFill>
    <a:ln w="9525" cap="flat" cmpd="sng" algn="ctr">
      <a:no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893859070714808E-2"/>
          <c:y val="2.7156011799801906E-2"/>
          <c:w val="0.9224898196805611"/>
          <c:h val="0.64631247265966751"/>
        </c:manualLayout>
      </c:layout>
      <c:barChart>
        <c:barDir val="col"/>
        <c:grouping val="clustered"/>
        <c:varyColors val="0"/>
        <c:ser>
          <c:idx val="1"/>
          <c:order val="0"/>
          <c:tx>
            <c:strRef>
              <c:f>'Te dhenat vjetore te PV 1'!$C$47</c:f>
              <c:strCache>
                <c:ptCount val="1"/>
                <c:pt idx="0">
                  <c:v>Të ardhura nga Pushteti Vendor</c:v>
                </c:pt>
              </c:strCache>
            </c:strRef>
          </c:tx>
          <c:spPr>
            <a:solidFill>
              <a:srgbClr val="17406D">
                <a:lumMod val="60000"/>
                <a:lumOff val="40000"/>
              </a:srgbClr>
            </a:solidFill>
            <a:ln>
              <a:solidFill>
                <a:schemeClr val="bg1">
                  <a:lumMod val="65000"/>
                </a:schemeClr>
              </a:solidFill>
            </a:ln>
          </c:spPr>
          <c:invertIfNegative val="0"/>
          <c:dLbls>
            <c:numFmt formatCode="#,##0.0" sourceLinked="0"/>
            <c:spPr>
              <a:noFill/>
              <a:ln>
                <a:noFill/>
              </a:ln>
              <a:effectLst/>
            </c:spPr>
            <c:txPr>
              <a:bodyPr/>
              <a:lstStyle/>
              <a:p>
                <a:pPr>
                  <a:defRPr b="1">
                    <a:solidFill>
                      <a:schemeClr val="bg1"/>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'Te dhenat vjetore te PV 1'!$G$46:$R$46</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'Te dhenat vjetore te PV 1'!$G$47:$R$47</c:f>
              <c:numCache>
                <c:formatCode>#,##0</c:formatCode>
                <c:ptCount val="12"/>
                <c:pt idx="0">
                  <c:v>11898</c:v>
                </c:pt>
                <c:pt idx="1">
                  <c:v>11791</c:v>
                </c:pt>
                <c:pt idx="2">
                  <c:v>10859</c:v>
                </c:pt>
                <c:pt idx="3">
                  <c:v>10824.7</c:v>
                </c:pt>
                <c:pt idx="4">
                  <c:v>12447</c:v>
                </c:pt>
                <c:pt idx="5">
                  <c:v>11700</c:v>
                </c:pt>
                <c:pt idx="6">
                  <c:v>14951</c:v>
                </c:pt>
                <c:pt idx="7">
                  <c:v>18447.329999999998</c:v>
                </c:pt>
                <c:pt idx="8">
                  <c:v>21863</c:v>
                </c:pt>
                <c:pt idx="9">
                  <c:v>23102</c:v>
                </c:pt>
                <c:pt idx="10">
                  <c:v>21976</c:v>
                </c:pt>
                <c:pt idx="11">
                  <c:v>26666.449999999997</c:v>
                </c:pt>
              </c:numCache>
            </c:numRef>
          </c:val>
          <c:extLst xmlns:c16r2="http://schemas.microsoft.com/office/drawing/2015/06/chart">
            <c:ext xmlns:c16="http://schemas.microsoft.com/office/drawing/2014/chart" uri="{C3380CC4-5D6E-409C-BE32-E72D297353CC}">
              <c16:uniqueId val="{00000000-F7F8-444F-BB8F-036D347C837C}"/>
            </c:ext>
          </c:extLst>
        </c:ser>
        <c:dLbls>
          <c:showLegendKey val="0"/>
          <c:showVal val="0"/>
          <c:showCatName val="0"/>
          <c:showSerName val="0"/>
          <c:showPercent val="0"/>
          <c:showBubbleSize val="0"/>
        </c:dLbls>
        <c:gapWidth val="40"/>
        <c:axId val="-1798946912"/>
        <c:axId val="-1798942016"/>
      </c:barChart>
      <c:catAx>
        <c:axId val="-1798946912"/>
        <c:scaling>
          <c:orientation val="minMax"/>
        </c:scaling>
        <c:delete val="0"/>
        <c:axPos val="b"/>
        <c:numFmt formatCode="General" sourceLinked="1"/>
        <c:majorTickMark val="out"/>
        <c:minorTickMark val="none"/>
        <c:tickLblPos val="nextTo"/>
        <c:txPr>
          <a:bodyPr rot="-2700000" vert="horz"/>
          <a:lstStyle/>
          <a:p>
            <a:pPr>
              <a:defRPr b="1">
                <a:solidFill>
                  <a:srgbClr val="C00000"/>
                </a:solidFill>
              </a:defRPr>
            </a:pPr>
            <a:endParaRPr lang="en-US"/>
          </a:p>
        </c:txPr>
        <c:crossAx val="-1798942016"/>
        <c:crosses val="autoZero"/>
        <c:auto val="0"/>
        <c:lblAlgn val="ctr"/>
        <c:lblOffset val="100"/>
        <c:tickLblSkip val="1"/>
        <c:tickMarkSkip val="1"/>
        <c:noMultiLvlLbl val="0"/>
      </c:catAx>
      <c:valAx>
        <c:axId val="-1798942016"/>
        <c:scaling>
          <c:orientation val="minMax"/>
        </c:scaling>
        <c:delete val="0"/>
        <c:axPos val="l"/>
        <c:numFmt formatCode="#,##0.0" sourceLinked="0"/>
        <c:majorTickMark val="cross"/>
        <c:minorTickMark val="none"/>
        <c:tickLblPos val="nextTo"/>
        <c:txPr>
          <a:bodyPr rot="0" vert="horz"/>
          <a:lstStyle/>
          <a:p>
            <a:pPr>
              <a:defRPr/>
            </a:pPr>
            <a:endParaRPr lang="en-US"/>
          </a:p>
        </c:txPr>
        <c:crossAx val="-1798946912"/>
        <c:crosses val="autoZero"/>
        <c:crossBetween val="between"/>
        <c:dispUnits>
          <c:builtInUnit val="thousands"/>
        </c:dispUnits>
      </c:valAx>
      <c:spPr>
        <a:noFill/>
      </c:spPr>
    </c:plotArea>
    <c:plotVisOnly val="1"/>
    <c:dispBlanksAs val="gap"/>
    <c:showDLblsOverMax val="0"/>
  </c:chart>
  <c:spPr>
    <a:solidFill>
      <a:srgbClr val="DBEFF9"/>
    </a:solidFill>
  </c:spPr>
  <c:txPr>
    <a:bodyPr/>
    <a:lstStyle/>
    <a:p>
      <a:pPr>
        <a:defRPr sz="800" b="0" i="0" u="none" strike="noStrike" baseline="0">
          <a:solidFill>
            <a:schemeClr val="tx1">
              <a:lumMod val="65000"/>
              <a:lumOff val="35000"/>
            </a:schemeClr>
          </a:solidFill>
          <a:latin typeface="+mj-lt"/>
          <a:ea typeface="Calibri"/>
          <a:cs typeface="Calibri"/>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3938560804899389"/>
          <c:y val="0.1079932195975503"/>
          <c:w val="0.47156102362204727"/>
          <c:h val="0.78593503937007869"/>
        </c:manualLayout>
      </c:layout>
      <c:pieChart>
        <c:varyColors val="1"/>
        <c:ser>
          <c:idx val="0"/>
          <c:order val="0"/>
          <c:dPt>
            <c:idx val="0"/>
            <c:bubble3D val="0"/>
            <c:spPr>
              <a:gradFill rotWithShape="1">
                <a:gsLst>
                  <a:gs pos="0">
                    <a:schemeClr val="accent1">
                      <a:shade val="65000"/>
                      <a:tint val="100000"/>
                      <a:shade val="100000"/>
                      <a:satMod val="130000"/>
                    </a:schemeClr>
                  </a:gs>
                  <a:gs pos="100000">
                    <a:schemeClr val="accent1">
                      <a:shade val="65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C93B-4B62-84F6-90136CFA1650}"/>
              </c:ext>
            </c:extLst>
          </c:dPt>
          <c:dPt>
            <c:idx val="1"/>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C93B-4B62-84F6-90136CFA1650}"/>
              </c:ext>
            </c:extLst>
          </c:dPt>
          <c:dPt>
            <c:idx val="2"/>
            <c:bubble3D val="0"/>
            <c:spPr>
              <a:gradFill rotWithShape="1">
                <a:gsLst>
                  <a:gs pos="0">
                    <a:schemeClr val="accent1">
                      <a:tint val="65000"/>
                      <a:tint val="100000"/>
                      <a:shade val="100000"/>
                      <a:satMod val="130000"/>
                    </a:schemeClr>
                  </a:gs>
                  <a:gs pos="100000">
                    <a:schemeClr val="accent1">
                      <a:tint val="65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C93B-4B62-84F6-90136CFA1650}"/>
              </c:ext>
            </c:extLst>
          </c:dPt>
          <c:dLbls>
            <c:dLbl>
              <c:idx val="0"/>
              <c:layout>
                <c:manualLayout>
                  <c:x val="-8.791141732283464E-2"/>
                  <c:y val="0.17757033382875334"/>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0120828646419196E-2"/>
                  <c:y val="-0.247040023611506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'Te dhenat vjetore te PV 1'!$AD$13:$AD$15</c:f>
              <c:strCache>
                <c:ptCount val="3"/>
                <c:pt idx="0">
                  <c:v>Taksa mbi pasurinë</c:v>
                </c:pt>
                <c:pt idx="1">
                  <c:v>Taksa e biznesit të vogël</c:v>
                </c:pt>
                <c:pt idx="2">
                  <c:v>Taksa Lokale</c:v>
                </c:pt>
              </c:strCache>
            </c:strRef>
          </c:cat>
          <c:val>
            <c:numRef>
              <c:f>'Te dhenat vjetore te PV 1'!$AJ$13:$AJ$15</c:f>
              <c:numCache>
                <c:formatCode>0.0%</c:formatCode>
                <c:ptCount val="3"/>
                <c:pt idx="0">
                  <c:v>0.23316345103749544</c:v>
                </c:pt>
                <c:pt idx="1">
                  <c:v>1.7473607571896616E-2</c:v>
                </c:pt>
                <c:pt idx="2">
                  <c:v>0.74936294139060788</c:v>
                </c:pt>
              </c:numCache>
            </c:numRef>
          </c:val>
          <c:extLst xmlns:c16r2="http://schemas.microsoft.com/office/drawing/2015/06/chart">
            <c:ext xmlns:c16="http://schemas.microsoft.com/office/drawing/2014/chart" uri="{C3380CC4-5D6E-409C-BE32-E72D297353CC}">
              <c16:uniqueId val="{00000006-C93B-4B62-84F6-90136CFA165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4870809898762649"/>
          <c:y val="0.25866447416964439"/>
          <c:w val="0.31210761154855643"/>
          <c:h val="0.500371670408668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988505747126436E-3"/>
          <c:y val="1.9358737993200054E-2"/>
          <c:w val="0.94942528735632181"/>
          <c:h val="0.83449117386356964"/>
        </c:manualLayout>
      </c:layout>
      <c:barChart>
        <c:barDir val="col"/>
        <c:grouping val="clustered"/>
        <c:varyColors val="0"/>
        <c:ser>
          <c:idx val="0"/>
          <c:order val="0"/>
          <c:tx>
            <c:strRef>
              <c:f>'[Chart 4 in Microsoft Word]Sheet1'!$C$102</c:f>
              <c:strCache>
                <c:ptCount val="1"/>
                <c:pt idx="0">
                  <c:v>Të ardhura nga fondet speciale</c:v>
                </c:pt>
              </c:strCache>
            </c:strRef>
          </c:tx>
          <c:spPr>
            <a:solidFill>
              <a:schemeClr val="accent5">
                <a:lumMod val="75000"/>
              </a:schemeClr>
            </a:solidFill>
            <a:ln>
              <a:solidFill>
                <a:schemeClr val="accent1">
                  <a:lumMod val="50000"/>
                </a:schemeClr>
              </a:solidFill>
            </a:ln>
            <a:effectLst/>
          </c:spPr>
          <c:invertIfNegative val="0"/>
          <c:dLbls>
            <c:dLbl>
              <c:idx val="0"/>
              <c:layout>
                <c:manualLayout>
                  <c:x val="-1.0536276751464822E-17"/>
                  <c:y val="4.767279769585333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1072553502929645E-17"/>
                  <c:y val="9.606964267885301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9.606964267885301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2145107005859289E-17"/>
                  <c:y val="9.606964267885258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4.5977011494252873E-3"/>
                  <c:y val="4.767279769585244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0"/>
                  <c:y val="9.606964267885258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8.4290214011718579E-17"/>
                  <c:y val="-7.240472871472461E-5"/>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0"/>
                  <c:y val="4.767279769585266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2.2988505747126436E-3"/>
                  <c:y val="9.60696426788527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0"/>
                  <c:y val="9.606964267885301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1.6858042802343716E-16"/>
                  <c:y val="1.928633326448531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4 in Microsoft Word]Sheet1'!$E$101:$O$101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'[Chart 4 in Microsoft Word]Sheet1'!$E$102:$O$102</c:f>
              <c:numCache>
                <c:formatCode>_(* #,##0.0_);_(* \(#,##0.0\);_(* "-"??_);_(@_)</c:formatCode>
                <c:ptCount val="11"/>
                <c:pt idx="0">
                  <c:v>56.627000000000002</c:v>
                </c:pt>
                <c:pt idx="1">
                  <c:v>57.411300000000004</c:v>
                </c:pt>
                <c:pt idx="2">
                  <c:v>60.032699999999998</c:v>
                </c:pt>
                <c:pt idx="3">
                  <c:v>70.007999999999996</c:v>
                </c:pt>
                <c:pt idx="4">
                  <c:v>71.725999999999999</c:v>
                </c:pt>
                <c:pt idx="5">
                  <c:v>79.153000000000006</c:v>
                </c:pt>
                <c:pt idx="6">
                  <c:v>86.795369999999991</c:v>
                </c:pt>
                <c:pt idx="7">
                  <c:v>93.152810000000002</c:v>
                </c:pt>
                <c:pt idx="8">
                  <c:v>98.410719999999998</c:v>
                </c:pt>
                <c:pt idx="9">
                  <c:v>97.698650000000015</c:v>
                </c:pt>
                <c:pt idx="10" formatCode="_-* #,##0.0_-;\-* #,##0.0_-;_-* &quot;-&quot;??_-;_-@_-">
                  <c:v>110.87193000000001</c:v>
                </c:pt>
              </c:numCache>
            </c:numRef>
          </c:val>
        </c:ser>
        <c:dLbls>
          <c:dLblPos val="inEnd"/>
          <c:showLegendKey val="0"/>
          <c:showVal val="1"/>
          <c:showCatName val="0"/>
          <c:showSerName val="0"/>
          <c:showPercent val="0"/>
          <c:showBubbleSize val="0"/>
        </c:dLbls>
        <c:gapWidth val="219"/>
        <c:overlap val="-27"/>
        <c:axId val="-1798941472"/>
        <c:axId val="-1798950176"/>
      </c:barChart>
      <c:catAx>
        <c:axId val="-179894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798950176"/>
        <c:crosses val="autoZero"/>
        <c:auto val="1"/>
        <c:lblAlgn val="ctr"/>
        <c:lblOffset val="100"/>
        <c:noMultiLvlLbl val="0"/>
      </c:catAx>
      <c:valAx>
        <c:axId val="-1798950176"/>
        <c:scaling>
          <c:orientation val="minMax"/>
        </c:scaling>
        <c:delete val="0"/>
        <c:axPos val="l"/>
        <c:numFmt formatCode="_(* #,##0.0_);_(* \(#,##0.0\);_(* &quot;-&quot;??_);_(@_)" sourceLinked="1"/>
        <c:majorTickMark val="none"/>
        <c:minorTickMark val="none"/>
        <c:tickLblPos val="nextTo"/>
        <c:spPr>
          <a:noFill/>
          <a:ln>
            <a:noFill/>
          </a:ln>
          <a:effectLst/>
        </c:spPr>
        <c:txPr>
          <a:bodyPr rot="-60000000" vert="horz"/>
          <a:lstStyle/>
          <a:p>
            <a:pPr>
              <a:defRPr/>
            </a:pPr>
            <a:endParaRPr lang="en-US"/>
          </a:p>
        </c:txPr>
        <c:crossAx val="-1798941472"/>
        <c:crosses val="autoZero"/>
        <c:crossBetween val="between"/>
      </c:valAx>
      <c:spPr>
        <a:noFill/>
        <a:ln>
          <a:noFill/>
        </a:ln>
        <a:effectLst/>
      </c:spPr>
    </c:plotArea>
    <c:plotVisOnly val="1"/>
    <c:dispBlanksAs val="gap"/>
    <c:showDLblsOverMax val="0"/>
  </c:chart>
  <c:spPr>
    <a:solidFill>
      <a:srgbClr val="DBEFF9"/>
    </a:solidFill>
    <a:ln w="9525" cap="flat" cmpd="sng" algn="ctr">
      <a:solidFill>
        <a:schemeClr val="tx1">
          <a:lumMod val="15000"/>
          <a:lumOff val="85000"/>
        </a:schemeClr>
      </a:solidFill>
      <a:round/>
    </a:ln>
    <a:effectLst/>
  </c:spPr>
  <c:txPr>
    <a:bodyPr/>
    <a:lstStyle/>
    <a:p>
      <a:pPr>
        <a:defRPr sz="800">
          <a:latin typeface="+mj-lt"/>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5">
                  <a:shade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95C5-4D96-87F6-28C19FEA5DC2}"/>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95C5-4D96-87F6-28C19FEA5DC2}"/>
              </c:ext>
            </c:extLst>
          </c:dPt>
          <c:dPt>
            <c:idx val="2"/>
            <c:bubble3D val="0"/>
            <c:spPr>
              <a:solidFill>
                <a:schemeClr val="accent5">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95C5-4D96-87F6-28C19FEA5DC2}"/>
              </c:ext>
            </c:extLst>
          </c:dPt>
          <c:dLbls>
            <c:dLbl>
              <c:idx val="0"/>
              <c:layout>
                <c:manualLayout>
                  <c:x val="-0.10765511565344503"/>
                  <c:y val="-0.29313814646408637"/>
                </c:manualLayout>
              </c:layout>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95C5-4D96-87F6-28C19FEA5DC2}"/>
                </c:ext>
                <c:ext xmlns:c15="http://schemas.microsoft.com/office/drawing/2012/chart" uri="{CE6537A1-D6FC-4f65-9D91-7224C49458BB}"/>
              </c:extLst>
            </c:dLbl>
            <c:dLbl>
              <c:idx val="1"/>
              <c:layout>
                <c:manualLayout>
                  <c:x val="9.4614304257209653E-3"/>
                  <c:y val="7.0208125392776599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95C5-4D96-87F6-28C19FEA5DC2}"/>
                </c:ext>
                <c:ext xmlns:c15="http://schemas.microsoft.com/office/drawing/2012/chart" uri="{CE6537A1-D6FC-4f65-9D91-7224C49458BB}"/>
              </c:extLst>
            </c:dLbl>
            <c:dLbl>
              <c:idx val="2"/>
              <c:layout>
                <c:manualLayout>
                  <c:x val="0.23367032319088046"/>
                  <c:y val="4.4899387576552922E-2"/>
                </c:manualLayout>
              </c:layout>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Sheet1!$C$116:$C$118</c:f>
              <c:strCache>
                <c:ptCount val="3"/>
                <c:pt idx="0">
                  <c:v>Sigurimi shoqëror</c:v>
                </c:pt>
                <c:pt idx="1">
                  <c:v>Sigurimi shëndetësor</c:v>
                </c:pt>
                <c:pt idx="2">
                  <c:v>Të ardhurat për kompensimin në vlerë të pronarëve</c:v>
                </c:pt>
              </c:strCache>
            </c:strRef>
          </c:cat>
          <c:val>
            <c:numRef>
              <c:f>Sheet1!$D$116:$D$118</c:f>
              <c:numCache>
                <c:formatCode>0.0%</c:formatCode>
                <c:ptCount val="3"/>
                <c:pt idx="0">
                  <c:v>0.8559419871563605</c:v>
                </c:pt>
                <c:pt idx="1">
                  <c:v>0.13115123746302043</c:v>
                </c:pt>
                <c:pt idx="2">
                  <c:v>1.2906775380619092E-2</c:v>
                </c:pt>
              </c:numCache>
            </c:numRef>
          </c:val>
          <c:extLst xmlns:c16r2="http://schemas.microsoft.com/office/drawing/2015/06/chart">
            <c:ext xmlns:c16="http://schemas.microsoft.com/office/drawing/2014/chart" uri="{C3380CC4-5D6E-409C-BE32-E72D297353CC}">
              <c16:uniqueId val="{00000006-95C5-4D96-87F6-28C19FEA5DC2}"/>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rgbClr val="DBEFF9"/>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5">
                  <a:shade val="5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3D26-4C99-8DC0-3B4E51157176}"/>
              </c:ext>
            </c:extLst>
          </c:dPt>
          <c:dPt>
            <c:idx val="1"/>
            <c:bubble3D val="0"/>
            <c:spPr>
              <a:solidFill>
                <a:schemeClr val="accent5">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3D26-4C99-8DC0-3B4E51157176}"/>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3D26-4C99-8DC0-3B4E51157176}"/>
              </c:ext>
            </c:extLst>
          </c:dPt>
          <c:dPt>
            <c:idx val="3"/>
            <c:bubble3D val="0"/>
            <c:spPr>
              <a:solidFill>
                <a:schemeClr val="accent5">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3D26-4C99-8DC0-3B4E51157176}"/>
              </c:ext>
            </c:extLst>
          </c:dPt>
          <c:dPt>
            <c:idx val="4"/>
            <c:bubble3D val="0"/>
            <c:spPr>
              <a:solidFill>
                <a:schemeClr val="accent5">
                  <a:tint val="5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3D26-4C99-8DC0-3B4E51157176}"/>
              </c:ext>
            </c:extLst>
          </c:dPt>
          <c:dLbls>
            <c:dLbl>
              <c:idx val="0"/>
              <c:layout>
                <c:manualLayout>
                  <c:x val="9.6851729185140872E-2"/>
                  <c:y val="3.7393162393162392E-2"/>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3.1414153285113447E-3"/>
                  <c:y val="-8.8159813356663744E-2"/>
                </c:manualLayout>
              </c:layout>
              <c:tx>
                <c:rich>
                  <a:bodyPr/>
                  <a:lstStyle/>
                  <a:p>
                    <a:fld id="{0D0EF041-8B2C-422C-9B52-979B4CD769E7}" type="CATEGORYNAME">
                      <a:rPr lang="en-US">
                        <a:solidFill>
                          <a:schemeClr val="accent1">
                            <a:lumMod val="50000"/>
                          </a:schemeClr>
                        </a:solidFill>
                      </a:rPr>
                      <a:pPr/>
                      <a:t>[CATEGORY NAME]</a:t>
                    </a:fld>
                    <a:r>
                      <a:rPr lang="en-US" baseline="0">
                        <a:solidFill>
                          <a:schemeClr val="accent1">
                            <a:lumMod val="50000"/>
                          </a:schemeClr>
                        </a:solidFill>
                      </a:rPr>
                      <a:t>, </a:t>
                    </a:r>
                    <a:fld id="{675C04DA-4A2F-44AE-A75C-E3DDA412F9B2}" type="VALUE">
                      <a:rPr lang="en-US" baseline="0">
                        <a:solidFill>
                          <a:schemeClr val="accent1">
                            <a:lumMod val="50000"/>
                          </a:schemeClr>
                        </a:solidFill>
                      </a:rPr>
                      <a:pPr/>
                      <a:t>[VALUE]</a:t>
                    </a:fld>
                    <a:endParaRPr lang="en-US" baseline="0">
                      <a:solidFill>
                        <a:schemeClr val="accent1">
                          <a:lumMod val="50000"/>
                        </a:schemeClr>
                      </a:solidFill>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F404AACA-0602-4B51-A7C7-21C25304F489}" type="CATEGORYNAME">
                      <a:rPr lang="en-US" sz="900">
                        <a:solidFill>
                          <a:schemeClr val="accent1">
                            <a:lumMod val="50000"/>
                          </a:schemeClr>
                        </a:solidFill>
                      </a:rPr>
                      <a:pPr/>
                      <a:t>[CATEGORY NAME]</a:t>
                    </a:fld>
                    <a:r>
                      <a:rPr lang="en-US" sz="900" baseline="0">
                        <a:solidFill>
                          <a:schemeClr val="accent1">
                            <a:lumMod val="50000"/>
                          </a:schemeClr>
                        </a:solidFill>
                      </a:rPr>
                      <a:t>, </a:t>
                    </a:r>
                    <a:fld id="{65204A2F-94D5-4092-BD5C-61B5DAA96CC1}" type="VALUE">
                      <a:rPr lang="en-US" sz="900" baseline="0">
                        <a:solidFill>
                          <a:schemeClr val="accent1">
                            <a:lumMod val="50000"/>
                          </a:schemeClr>
                        </a:solidFill>
                      </a:rPr>
                      <a:pPr/>
                      <a:t>[VALUE]</a:t>
                    </a:fld>
                    <a:endParaRPr lang="en-US" sz="900" baseline="0">
                      <a:solidFill>
                        <a:schemeClr val="accent1">
                          <a:lumMod val="50000"/>
                        </a:schemeClr>
                      </a:solidFill>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4"/>
              <c:layout>
                <c:manualLayout>
                  <c:x val="-2.0355096386357404E-2"/>
                  <c:y val="4.4855530879152929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Sheet1!$C$136:$C$140</c:f>
              <c:strCache>
                <c:ptCount val="5"/>
                <c:pt idx="0">
                  <c:v>Transferimi i fitimit nga Banka e Shqipërisë</c:v>
                </c:pt>
                <c:pt idx="1">
                  <c:v>Të ardhura nga institucionet buxhetore</c:v>
                </c:pt>
                <c:pt idx="2">
                  <c:v>Dividenti</c:v>
                </c:pt>
                <c:pt idx="3">
                  <c:v>Tarifat shërbimeve</c:v>
                </c:pt>
                <c:pt idx="4">
                  <c:v>Te tjera</c:v>
                </c:pt>
              </c:strCache>
            </c:strRef>
          </c:cat>
          <c:val>
            <c:numRef>
              <c:f>Sheet1!$D$136:$D$140</c:f>
              <c:numCache>
                <c:formatCode>0.0%</c:formatCode>
                <c:ptCount val="5"/>
                <c:pt idx="0">
                  <c:v>6.6687842965184277E-2</c:v>
                </c:pt>
                <c:pt idx="1">
                  <c:v>0.58145943280720103</c:v>
                </c:pt>
                <c:pt idx="2">
                  <c:v>6.7073233652189157E-4</c:v>
                </c:pt>
                <c:pt idx="3">
                  <c:v>0.12845443977698484</c:v>
                </c:pt>
                <c:pt idx="4" formatCode="0.00%">
                  <c:v>0.22272755211410797</c:v>
                </c:pt>
              </c:numCache>
            </c:numRef>
          </c:val>
          <c:extLst xmlns:c16r2="http://schemas.microsoft.com/office/drawing/2015/06/chart">
            <c:ext xmlns:c16="http://schemas.microsoft.com/office/drawing/2014/chart" uri="{C3380CC4-5D6E-409C-BE32-E72D297353CC}">
              <c16:uniqueId val="{0000000A-3D26-4C99-8DC0-3B4E5115717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rgbClr val="DBEFF9"/>
    </a:solidFill>
    <a:ln w="9525" cap="flat" cmpd="sng" algn="ctr">
      <a:solidFill>
        <a:sysClr val="window" lastClr="FFFFFF"/>
      </a:solidFill>
      <a:round/>
    </a:ln>
    <a:effectLst/>
  </c:spPr>
  <c:txPr>
    <a:bodyPr/>
    <a:lstStyle/>
    <a:p>
      <a:pPr>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0.48986</cdr:x>
      <cdr:y>0.07042</cdr:y>
    </cdr:from>
    <cdr:to>
      <cdr:x>0.65055</cdr:x>
      <cdr:y>0.07512</cdr:y>
    </cdr:to>
    <cdr:cxnSp macro="">
      <cdr:nvCxnSpPr>
        <cdr:cNvPr id="3" name="Straight Connector 2"/>
        <cdr:cNvCxnSpPr/>
      </cdr:nvCxnSpPr>
      <cdr:spPr>
        <a:xfrm xmlns:a="http://schemas.openxmlformats.org/drawingml/2006/main">
          <a:off x="2990850" y="142875"/>
          <a:ext cx="981075" cy="9525"/>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D2BE0-9437-4222-8C22-12D4D9C40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1</Pages>
  <Words>37259</Words>
  <Characters>212379</Characters>
  <Application>Microsoft Office Word</Application>
  <DocSecurity>0</DocSecurity>
  <Lines>1769</Lines>
  <Paragraphs>498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249140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Besjon Tanuzi</dc:creator>
  <cp:lastModifiedBy>Xhoana Agolli</cp:lastModifiedBy>
  <cp:revision>45</cp:revision>
  <cp:lastPrinted>2021-06-24T07:44:00Z</cp:lastPrinted>
  <dcterms:created xsi:type="dcterms:W3CDTF">2022-06-01T10:22:00Z</dcterms:created>
  <dcterms:modified xsi:type="dcterms:W3CDTF">2022-07-12T14:48:00Z</dcterms:modified>
</cp:coreProperties>
</file>